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93EE1" w:rsidRDefault="00382C47" w:rsidP="00C7556C">
      <w:pPr>
        <w:jc w:val="center"/>
      </w:pPr>
      <w:r w:rsidRPr="00293EE1">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93EE1"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93EE1" w:rsidTr="002E5576">
        <w:tc>
          <w:tcPr>
            <w:tcW w:w="4518" w:type="dxa"/>
          </w:tcPr>
          <w:p w:rsidR="00BF25F3" w:rsidRPr="00293EE1" w:rsidRDefault="00BF25F3" w:rsidP="00BF25F3">
            <w:pPr>
              <w:tabs>
                <w:tab w:val="left" w:pos="6075"/>
              </w:tabs>
              <w:jc w:val="center"/>
              <w:rPr>
                <w:b/>
                <w:sz w:val="32"/>
                <w:szCs w:val="32"/>
              </w:rPr>
            </w:pPr>
            <w:r w:rsidRPr="00293EE1">
              <w:rPr>
                <w:b/>
                <w:sz w:val="32"/>
                <w:szCs w:val="32"/>
              </w:rPr>
              <w:t>SUPREME COURT OF CANADA</w:t>
            </w:r>
          </w:p>
        </w:tc>
        <w:tc>
          <w:tcPr>
            <w:tcW w:w="630" w:type="dxa"/>
          </w:tcPr>
          <w:p w:rsidR="00BF25F3" w:rsidRPr="00293EE1" w:rsidRDefault="00BF25F3" w:rsidP="00BF25F3">
            <w:pPr>
              <w:tabs>
                <w:tab w:val="left" w:pos="6075"/>
              </w:tabs>
              <w:jc w:val="center"/>
              <w:rPr>
                <w:sz w:val="32"/>
                <w:szCs w:val="32"/>
              </w:rPr>
            </w:pPr>
          </w:p>
        </w:tc>
        <w:tc>
          <w:tcPr>
            <w:tcW w:w="4428" w:type="dxa"/>
          </w:tcPr>
          <w:p w:rsidR="00BF25F3" w:rsidRPr="00293EE1" w:rsidRDefault="00BF25F3" w:rsidP="00BF25F3">
            <w:pPr>
              <w:tabs>
                <w:tab w:val="left" w:pos="6075"/>
              </w:tabs>
              <w:jc w:val="center"/>
              <w:rPr>
                <w:b/>
                <w:sz w:val="32"/>
                <w:szCs w:val="32"/>
                <w:lang w:val="fr-CA"/>
              </w:rPr>
            </w:pPr>
            <w:r w:rsidRPr="00293EE1">
              <w:rPr>
                <w:b/>
                <w:sz w:val="32"/>
                <w:szCs w:val="32"/>
                <w:lang w:val="fr-CA"/>
              </w:rPr>
              <w:t>COUR SUPRÊME DU CANADA</w:t>
            </w:r>
          </w:p>
        </w:tc>
      </w:tr>
      <w:tr w:rsidR="00BF25F3" w:rsidRPr="00293EE1" w:rsidTr="002E5576">
        <w:tc>
          <w:tcPr>
            <w:tcW w:w="4518" w:type="dxa"/>
          </w:tcPr>
          <w:p w:rsidR="00BF25F3" w:rsidRPr="00293EE1" w:rsidRDefault="00BF25F3" w:rsidP="00BF25F3">
            <w:pPr>
              <w:tabs>
                <w:tab w:val="left" w:pos="6075"/>
              </w:tabs>
            </w:pPr>
          </w:p>
          <w:p w:rsidR="001B5C23" w:rsidRPr="00293EE1" w:rsidRDefault="001B5C23" w:rsidP="00BF25F3">
            <w:pPr>
              <w:tabs>
                <w:tab w:val="left" w:pos="6075"/>
              </w:tabs>
            </w:pPr>
          </w:p>
          <w:p w:rsidR="001B5C23" w:rsidRPr="00293EE1" w:rsidRDefault="001B5C23" w:rsidP="00BF25F3">
            <w:pPr>
              <w:tabs>
                <w:tab w:val="left" w:pos="6075"/>
              </w:tabs>
            </w:pPr>
          </w:p>
        </w:tc>
        <w:tc>
          <w:tcPr>
            <w:tcW w:w="630" w:type="dxa"/>
          </w:tcPr>
          <w:p w:rsidR="00BF25F3" w:rsidRPr="00293EE1" w:rsidRDefault="00BF25F3" w:rsidP="00BF25F3">
            <w:pPr>
              <w:tabs>
                <w:tab w:val="left" w:pos="6075"/>
              </w:tabs>
            </w:pPr>
          </w:p>
        </w:tc>
        <w:tc>
          <w:tcPr>
            <w:tcW w:w="4428" w:type="dxa"/>
          </w:tcPr>
          <w:p w:rsidR="00BF25F3" w:rsidRPr="00293EE1" w:rsidRDefault="00BF25F3" w:rsidP="00BF25F3">
            <w:pPr>
              <w:tabs>
                <w:tab w:val="left" w:pos="6075"/>
              </w:tabs>
              <w:rPr>
                <w:lang w:val="fr-CA"/>
              </w:rPr>
            </w:pPr>
          </w:p>
        </w:tc>
      </w:tr>
      <w:tr w:rsidR="00BF25F3" w:rsidRPr="00293EE1" w:rsidTr="002E5576">
        <w:tc>
          <w:tcPr>
            <w:tcW w:w="4518" w:type="dxa"/>
          </w:tcPr>
          <w:p w:rsidR="001B5C23" w:rsidRPr="00293EE1" w:rsidRDefault="00BF25F3" w:rsidP="00BF25F3">
            <w:pPr>
              <w:tabs>
                <w:tab w:val="left" w:pos="6075"/>
              </w:tabs>
              <w:jc w:val="center"/>
              <w:rPr>
                <w:sz w:val="28"/>
                <w:szCs w:val="28"/>
              </w:rPr>
            </w:pPr>
            <w:r w:rsidRPr="00293EE1">
              <w:rPr>
                <w:sz w:val="28"/>
                <w:szCs w:val="28"/>
              </w:rPr>
              <w:t>BULLETIN OF</w:t>
            </w:r>
          </w:p>
          <w:p w:rsidR="00BF25F3" w:rsidRPr="00293EE1" w:rsidRDefault="00BF25F3" w:rsidP="00BF25F3">
            <w:pPr>
              <w:tabs>
                <w:tab w:val="left" w:pos="6075"/>
              </w:tabs>
              <w:jc w:val="center"/>
              <w:rPr>
                <w:sz w:val="28"/>
                <w:szCs w:val="28"/>
              </w:rPr>
            </w:pPr>
            <w:r w:rsidRPr="00293EE1">
              <w:rPr>
                <w:sz w:val="28"/>
                <w:szCs w:val="28"/>
              </w:rPr>
              <w:t xml:space="preserve"> PROCEEDINGS</w:t>
            </w:r>
          </w:p>
        </w:tc>
        <w:tc>
          <w:tcPr>
            <w:tcW w:w="630" w:type="dxa"/>
          </w:tcPr>
          <w:p w:rsidR="00BF25F3" w:rsidRPr="00293EE1" w:rsidRDefault="00BF25F3" w:rsidP="00BF25F3">
            <w:pPr>
              <w:tabs>
                <w:tab w:val="left" w:pos="6075"/>
              </w:tabs>
            </w:pPr>
          </w:p>
        </w:tc>
        <w:tc>
          <w:tcPr>
            <w:tcW w:w="4428" w:type="dxa"/>
          </w:tcPr>
          <w:p w:rsidR="001B5C23" w:rsidRPr="00293EE1" w:rsidRDefault="00BF25F3" w:rsidP="00BF25F3">
            <w:pPr>
              <w:tabs>
                <w:tab w:val="left" w:pos="6075"/>
              </w:tabs>
              <w:jc w:val="center"/>
              <w:rPr>
                <w:sz w:val="28"/>
                <w:szCs w:val="28"/>
                <w:lang w:val="fr-CA"/>
              </w:rPr>
            </w:pPr>
            <w:r w:rsidRPr="00293EE1">
              <w:rPr>
                <w:sz w:val="28"/>
                <w:szCs w:val="28"/>
                <w:lang w:val="fr-CA"/>
              </w:rPr>
              <w:t>BULLETIN DES</w:t>
            </w:r>
          </w:p>
          <w:p w:rsidR="00BF25F3" w:rsidRPr="00293EE1" w:rsidRDefault="00BF25F3" w:rsidP="00BF25F3">
            <w:pPr>
              <w:tabs>
                <w:tab w:val="left" w:pos="6075"/>
              </w:tabs>
              <w:jc w:val="center"/>
              <w:rPr>
                <w:sz w:val="28"/>
                <w:szCs w:val="28"/>
                <w:lang w:val="fr-CA"/>
              </w:rPr>
            </w:pPr>
            <w:r w:rsidRPr="00293EE1">
              <w:rPr>
                <w:sz w:val="28"/>
                <w:szCs w:val="28"/>
                <w:lang w:val="fr-CA"/>
              </w:rPr>
              <w:t xml:space="preserve"> PROCÉDURES</w:t>
            </w:r>
          </w:p>
        </w:tc>
      </w:tr>
      <w:tr w:rsidR="00BF25F3" w:rsidRPr="00293EE1" w:rsidTr="002E5576">
        <w:tc>
          <w:tcPr>
            <w:tcW w:w="4518" w:type="dxa"/>
          </w:tcPr>
          <w:p w:rsidR="00BF25F3" w:rsidRPr="00293EE1" w:rsidRDefault="00BF25F3" w:rsidP="00BF25F3">
            <w:pPr>
              <w:tabs>
                <w:tab w:val="left" w:pos="6075"/>
              </w:tabs>
            </w:pPr>
          </w:p>
          <w:p w:rsidR="001B5C23" w:rsidRPr="00293EE1" w:rsidRDefault="001B5C23" w:rsidP="00BF25F3">
            <w:pPr>
              <w:tabs>
                <w:tab w:val="left" w:pos="6075"/>
              </w:tabs>
            </w:pPr>
          </w:p>
        </w:tc>
        <w:tc>
          <w:tcPr>
            <w:tcW w:w="630" w:type="dxa"/>
          </w:tcPr>
          <w:p w:rsidR="00BF25F3" w:rsidRPr="00293EE1" w:rsidRDefault="00BF25F3" w:rsidP="00BF25F3">
            <w:pPr>
              <w:tabs>
                <w:tab w:val="left" w:pos="6075"/>
              </w:tabs>
            </w:pPr>
          </w:p>
        </w:tc>
        <w:tc>
          <w:tcPr>
            <w:tcW w:w="4428" w:type="dxa"/>
          </w:tcPr>
          <w:p w:rsidR="00BF25F3" w:rsidRPr="00293EE1" w:rsidRDefault="00BF25F3" w:rsidP="00BF25F3">
            <w:pPr>
              <w:tabs>
                <w:tab w:val="left" w:pos="6075"/>
              </w:tabs>
              <w:rPr>
                <w:lang w:val="fr-CA"/>
              </w:rPr>
            </w:pPr>
          </w:p>
        </w:tc>
      </w:tr>
      <w:tr w:rsidR="00BF25F3" w:rsidRPr="00B2512D" w:rsidTr="002E5576">
        <w:tc>
          <w:tcPr>
            <w:tcW w:w="4518" w:type="dxa"/>
          </w:tcPr>
          <w:p w:rsidR="00BF25F3" w:rsidRPr="00293EE1" w:rsidRDefault="00BF25F3" w:rsidP="00BF25F3">
            <w:pPr>
              <w:tabs>
                <w:tab w:val="left" w:pos="6075"/>
              </w:tabs>
              <w:jc w:val="both"/>
              <w:rPr>
                <w:rFonts w:ascii="Arial" w:hAnsi="Arial" w:cs="Arial"/>
                <w:i/>
                <w:sz w:val="20"/>
                <w:szCs w:val="20"/>
              </w:rPr>
            </w:pPr>
            <w:r w:rsidRPr="00293EE1">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93EE1" w:rsidRDefault="00BF25F3" w:rsidP="00BF25F3">
            <w:pPr>
              <w:tabs>
                <w:tab w:val="left" w:pos="6075"/>
              </w:tabs>
              <w:jc w:val="both"/>
              <w:rPr>
                <w:rFonts w:ascii="Arial" w:hAnsi="Arial" w:cs="Arial"/>
                <w:i/>
                <w:sz w:val="20"/>
                <w:szCs w:val="20"/>
              </w:rPr>
            </w:pPr>
          </w:p>
        </w:tc>
        <w:tc>
          <w:tcPr>
            <w:tcW w:w="4428" w:type="dxa"/>
          </w:tcPr>
          <w:p w:rsidR="00BF25F3" w:rsidRPr="00293EE1" w:rsidRDefault="00BF25F3" w:rsidP="00BF25F3">
            <w:pPr>
              <w:tabs>
                <w:tab w:val="left" w:pos="6075"/>
              </w:tabs>
              <w:jc w:val="both"/>
              <w:rPr>
                <w:rFonts w:ascii="Arial" w:hAnsi="Arial" w:cs="Arial"/>
                <w:i/>
                <w:sz w:val="20"/>
                <w:szCs w:val="20"/>
                <w:lang w:val="fr-CA"/>
              </w:rPr>
            </w:pPr>
            <w:r w:rsidRPr="00293EE1">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2512D" w:rsidTr="002E5576">
        <w:tc>
          <w:tcPr>
            <w:tcW w:w="4518" w:type="dxa"/>
          </w:tcPr>
          <w:p w:rsidR="00BF25F3" w:rsidRPr="00293EE1" w:rsidRDefault="00BF25F3" w:rsidP="00BF25F3">
            <w:pPr>
              <w:tabs>
                <w:tab w:val="left" w:pos="6075"/>
              </w:tabs>
              <w:rPr>
                <w:lang w:val="fr-CA"/>
              </w:rPr>
            </w:pPr>
          </w:p>
          <w:p w:rsidR="00D862C1" w:rsidRPr="00293EE1" w:rsidRDefault="00D862C1" w:rsidP="00BF25F3">
            <w:pPr>
              <w:tabs>
                <w:tab w:val="left" w:pos="6075"/>
              </w:tabs>
              <w:rPr>
                <w:lang w:val="fr-CA"/>
              </w:rPr>
            </w:pPr>
          </w:p>
        </w:tc>
        <w:tc>
          <w:tcPr>
            <w:tcW w:w="630" w:type="dxa"/>
          </w:tcPr>
          <w:p w:rsidR="00BF25F3" w:rsidRPr="00293EE1" w:rsidRDefault="00BF25F3" w:rsidP="00BF25F3">
            <w:pPr>
              <w:tabs>
                <w:tab w:val="left" w:pos="6075"/>
              </w:tabs>
              <w:rPr>
                <w:lang w:val="fr-CA"/>
              </w:rPr>
            </w:pPr>
          </w:p>
        </w:tc>
        <w:tc>
          <w:tcPr>
            <w:tcW w:w="4428" w:type="dxa"/>
          </w:tcPr>
          <w:p w:rsidR="00BF25F3" w:rsidRPr="00293EE1" w:rsidRDefault="00BF25F3" w:rsidP="00BF25F3">
            <w:pPr>
              <w:tabs>
                <w:tab w:val="left" w:pos="6075"/>
              </w:tabs>
              <w:rPr>
                <w:lang w:val="fr-CA"/>
              </w:rPr>
            </w:pPr>
          </w:p>
        </w:tc>
      </w:tr>
      <w:tr w:rsidR="00BF25F3" w:rsidRPr="00B2512D" w:rsidTr="002E5576">
        <w:tc>
          <w:tcPr>
            <w:tcW w:w="4518" w:type="dxa"/>
          </w:tcPr>
          <w:p w:rsidR="00BF25F3" w:rsidRPr="00293EE1" w:rsidRDefault="00BF25F3" w:rsidP="009F3024">
            <w:pPr>
              <w:tabs>
                <w:tab w:val="left" w:pos="6075"/>
              </w:tabs>
              <w:jc w:val="both"/>
              <w:rPr>
                <w:rFonts w:ascii="Arial" w:hAnsi="Arial" w:cs="Arial"/>
                <w:i/>
                <w:sz w:val="20"/>
                <w:szCs w:val="20"/>
              </w:rPr>
            </w:pPr>
            <w:r w:rsidRPr="00293EE1">
              <w:rPr>
                <w:rFonts w:ascii="Arial" w:hAnsi="Arial" w:cs="Arial"/>
                <w:i/>
                <w:sz w:val="20"/>
                <w:szCs w:val="20"/>
              </w:rPr>
              <w:t xml:space="preserve">During Court sessions </w:t>
            </w:r>
            <w:r w:rsidR="009F3024" w:rsidRPr="00293EE1">
              <w:rPr>
                <w:rFonts w:ascii="Arial" w:hAnsi="Arial" w:cs="Arial"/>
                <w:i/>
                <w:sz w:val="20"/>
                <w:szCs w:val="20"/>
              </w:rPr>
              <w:t xml:space="preserve">the Bulletin </w:t>
            </w:r>
            <w:r w:rsidRPr="00293EE1">
              <w:rPr>
                <w:rFonts w:ascii="Arial" w:hAnsi="Arial" w:cs="Arial"/>
                <w:i/>
                <w:sz w:val="20"/>
                <w:szCs w:val="20"/>
              </w:rPr>
              <w:t>is usually issued weekly.</w:t>
            </w:r>
          </w:p>
        </w:tc>
        <w:tc>
          <w:tcPr>
            <w:tcW w:w="630" w:type="dxa"/>
          </w:tcPr>
          <w:p w:rsidR="00BF25F3" w:rsidRPr="00293EE1" w:rsidRDefault="00BF25F3" w:rsidP="00BF25F3">
            <w:pPr>
              <w:tabs>
                <w:tab w:val="left" w:pos="6075"/>
              </w:tabs>
              <w:jc w:val="both"/>
              <w:rPr>
                <w:rFonts w:ascii="Arial" w:hAnsi="Arial" w:cs="Arial"/>
                <w:i/>
                <w:sz w:val="20"/>
                <w:szCs w:val="20"/>
              </w:rPr>
            </w:pPr>
          </w:p>
        </w:tc>
        <w:tc>
          <w:tcPr>
            <w:tcW w:w="4428" w:type="dxa"/>
          </w:tcPr>
          <w:p w:rsidR="00BF25F3" w:rsidRPr="00293EE1" w:rsidRDefault="00BF25F3" w:rsidP="00BF25F3">
            <w:pPr>
              <w:tabs>
                <w:tab w:val="left" w:pos="6075"/>
              </w:tabs>
              <w:jc w:val="both"/>
              <w:rPr>
                <w:rFonts w:ascii="Arial" w:hAnsi="Arial" w:cs="Arial"/>
                <w:i/>
                <w:sz w:val="20"/>
                <w:szCs w:val="20"/>
                <w:lang w:val="fr-CA"/>
              </w:rPr>
            </w:pPr>
            <w:r w:rsidRPr="00293EE1">
              <w:rPr>
                <w:rFonts w:ascii="Arial" w:hAnsi="Arial" w:cs="Arial"/>
                <w:i/>
                <w:sz w:val="20"/>
                <w:szCs w:val="20"/>
                <w:lang w:val="fr-CA"/>
              </w:rPr>
              <w:t>Le Bulletin paraît en principe toutes les semaines pendant les sessions de la Cour.</w:t>
            </w:r>
          </w:p>
        </w:tc>
      </w:tr>
      <w:tr w:rsidR="00BF25F3" w:rsidRPr="00B2512D" w:rsidTr="002E5576">
        <w:tc>
          <w:tcPr>
            <w:tcW w:w="4518" w:type="dxa"/>
          </w:tcPr>
          <w:p w:rsidR="00BF25F3" w:rsidRPr="00293EE1" w:rsidRDefault="00BF25F3" w:rsidP="00BF25F3">
            <w:pPr>
              <w:tabs>
                <w:tab w:val="left" w:pos="6075"/>
              </w:tabs>
              <w:rPr>
                <w:lang w:val="fr-CA"/>
              </w:rPr>
            </w:pPr>
          </w:p>
          <w:p w:rsidR="00D862C1" w:rsidRPr="00293EE1" w:rsidRDefault="00D862C1" w:rsidP="00BF25F3">
            <w:pPr>
              <w:tabs>
                <w:tab w:val="left" w:pos="6075"/>
              </w:tabs>
              <w:rPr>
                <w:lang w:val="fr-CA"/>
              </w:rPr>
            </w:pPr>
          </w:p>
        </w:tc>
        <w:tc>
          <w:tcPr>
            <w:tcW w:w="630" w:type="dxa"/>
          </w:tcPr>
          <w:p w:rsidR="00BF25F3" w:rsidRPr="00293EE1" w:rsidRDefault="00BF25F3" w:rsidP="00BF25F3">
            <w:pPr>
              <w:tabs>
                <w:tab w:val="left" w:pos="6075"/>
              </w:tabs>
              <w:rPr>
                <w:lang w:val="fr-CA"/>
              </w:rPr>
            </w:pPr>
          </w:p>
        </w:tc>
        <w:tc>
          <w:tcPr>
            <w:tcW w:w="4428" w:type="dxa"/>
          </w:tcPr>
          <w:p w:rsidR="00BF25F3" w:rsidRPr="00293EE1" w:rsidRDefault="00BF25F3" w:rsidP="00BF25F3">
            <w:pPr>
              <w:tabs>
                <w:tab w:val="left" w:pos="6075"/>
              </w:tabs>
              <w:rPr>
                <w:lang w:val="fr-CA"/>
              </w:rPr>
            </w:pPr>
          </w:p>
        </w:tc>
      </w:tr>
      <w:tr w:rsidR="00BF25F3" w:rsidRPr="00B2512D" w:rsidTr="002E5576">
        <w:tc>
          <w:tcPr>
            <w:tcW w:w="4518" w:type="dxa"/>
          </w:tcPr>
          <w:p w:rsidR="00BF25F3" w:rsidRPr="00293EE1" w:rsidRDefault="000E27A5" w:rsidP="00BF25F3">
            <w:pPr>
              <w:tabs>
                <w:tab w:val="left" w:pos="6075"/>
              </w:tabs>
              <w:jc w:val="both"/>
              <w:rPr>
                <w:rFonts w:ascii="Arial" w:hAnsi="Arial" w:cs="Arial"/>
                <w:i/>
                <w:sz w:val="20"/>
                <w:szCs w:val="20"/>
              </w:rPr>
            </w:pPr>
            <w:r w:rsidRPr="00293EE1">
              <w:rPr>
                <w:rFonts w:ascii="Arial" w:hAnsi="Arial" w:cs="Arial"/>
                <w:i/>
                <w:sz w:val="20"/>
                <w:szCs w:val="20"/>
              </w:rPr>
              <w:fldChar w:fldCharType="begin"/>
            </w:r>
            <w:r w:rsidR="00BF25F3" w:rsidRPr="00293EE1">
              <w:rPr>
                <w:rFonts w:ascii="Arial" w:hAnsi="Arial" w:cs="Arial"/>
                <w:i/>
                <w:sz w:val="20"/>
                <w:szCs w:val="20"/>
              </w:rPr>
              <w:instrText xml:space="preserve"> SEQ CHAPTER \h \r 1</w:instrText>
            </w:r>
            <w:r w:rsidRPr="00293EE1">
              <w:rPr>
                <w:rFonts w:ascii="Arial" w:hAnsi="Arial" w:cs="Arial"/>
                <w:i/>
                <w:sz w:val="20"/>
                <w:szCs w:val="20"/>
              </w:rPr>
              <w:fldChar w:fldCharType="end"/>
            </w:r>
            <w:r w:rsidR="00BF25F3" w:rsidRPr="00293EE1">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93EE1" w:rsidRDefault="00BF25F3" w:rsidP="00BF25F3">
            <w:pPr>
              <w:tabs>
                <w:tab w:val="left" w:pos="6075"/>
              </w:tabs>
              <w:jc w:val="both"/>
              <w:rPr>
                <w:rFonts w:ascii="Arial" w:hAnsi="Arial" w:cs="Arial"/>
                <w:i/>
                <w:sz w:val="20"/>
                <w:szCs w:val="20"/>
              </w:rPr>
            </w:pPr>
          </w:p>
        </w:tc>
        <w:tc>
          <w:tcPr>
            <w:tcW w:w="4428" w:type="dxa"/>
          </w:tcPr>
          <w:p w:rsidR="00BF25F3" w:rsidRPr="00293EE1" w:rsidRDefault="000E27A5" w:rsidP="00BF25F3">
            <w:pPr>
              <w:tabs>
                <w:tab w:val="left" w:pos="6075"/>
              </w:tabs>
              <w:jc w:val="both"/>
              <w:rPr>
                <w:rFonts w:ascii="Arial" w:hAnsi="Arial" w:cs="Arial"/>
                <w:i/>
                <w:sz w:val="20"/>
                <w:szCs w:val="20"/>
                <w:lang w:val="fr-CA"/>
              </w:rPr>
            </w:pPr>
            <w:r w:rsidRPr="00293EE1">
              <w:rPr>
                <w:rFonts w:ascii="Arial" w:hAnsi="Arial" w:cs="Arial"/>
                <w:i/>
                <w:sz w:val="20"/>
                <w:szCs w:val="20"/>
                <w:lang w:val="fr-CA"/>
              </w:rPr>
              <w:fldChar w:fldCharType="begin"/>
            </w:r>
            <w:r w:rsidR="00BF25F3" w:rsidRPr="00293EE1">
              <w:rPr>
                <w:rFonts w:ascii="Arial" w:hAnsi="Arial" w:cs="Arial"/>
                <w:i/>
                <w:sz w:val="20"/>
                <w:szCs w:val="20"/>
                <w:lang w:val="fr-CA"/>
              </w:rPr>
              <w:instrText xml:space="preserve"> SEQ CHAPTER \h \r 1</w:instrText>
            </w:r>
            <w:r w:rsidRPr="00293EE1">
              <w:rPr>
                <w:rFonts w:ascii="Arial" w:hAnsi="Arial" w:cs="Arial"/>
                <w:i/>
                <w:sz w:val="20"/>
                <w:szCs w:val="20"/>
                <w:lang w:val="fr-CA"/>
              </w:rPr>
              <w:fldChar w:fldCharType="end"/>
            </w:r>
            <w:r w:rsidR="00BF25F3" w:rsidRPr="00293EE1">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2512D" w:rsidTr="002E5576">
        <w:tc>
          <w:tcPr>
            <w:tcW w:w="4518" w:type="dxa"/>
          </w:tcPr>
          <w:p w:rsidR="009F3024" w:rsidRPr="00293EE1" w:rsidRDefault="009F3024" w:rsidP="009F3024">
            <w:pPr>
              <w:tabs>
                <w:tab w:val="left" w:pos="6075"/>
              </w:tabs>
              <w:rPr>
                <w:rFonts w:cs="Times New Roman"/>
                <w:szCs w:val="24"/>
                <w:lang w:val="fr-CA"/>
              </w:rPr>
            </w:pPr>
          </w:p>
          <w:p w:rsidR="009F3024" w:rsidRPr="00293EE1" w:rsidRDefault="009F3024" w:rsidP="009F3024">
            <w:pPr>
              <w:tabs>
                <w:tab w:val="left" w:pos="6075"/>
              </w:tabs>
              <w:rPr>
                <w:rFonts w:cs="Times New Roman"/>
                <w:szCs w:val="24"/>
                <w:lang w:val="fr-CA"/>
              </w:rPr>
            </w:pPr>
          </w:p>
        </w:tc>
        <w:tc>
          <w:tcPr>
            <w:tcW w:w="630" w:type="dxa"/>
          </w:tcPr>
          <w:p w:rsidR="009F3024" w:rsidRPr="00293EE1" w:rsidRDefault="009F3024" w:rsidP="009F3024">
            <w:pPr>
              <w:tabs>
                <w:tab w:val="left" w:pos="6075"/>
              </w:tabs>
              <w:rPr>
                <w:rFonts w:cs="Times New Roman"/>
                <w:szCs w:val="24"/>
                <w:lang w:val="fr-CA"/>
              </w:rPr>
            </w:pPr>
          </w:p>
        </w:tc>
        <w:tc>
          <w:tcPr>
            <w:tcW w:w="4428" w:type="dxa"/>
          </w:tcPr>
          <w:p w:rsidR="009F3024" w:rsidRPr="00293EE1" w:rsidRDefault="009F3024" w:rsidP="009F3024">
            <w:pPr>
              <w:tabs>
                <w:tab w:val="left" w:pos="6075"/>
              </w:tabs>
              <w:rPr>
                <w:rFonts w:cs="Times New Roman"/>
                <w:szCs w:val="24"/>
                <w:lang w:val="fr-CA"/>
              </w:rPr>
            </w:pPr>
          </w:p>
        </w:tc>
      </w:tr>
      <w:tr w:rsidR="009F3024" w:rsidRPr="00B2512D" w:rsidTr="002E5576">
        <w:tc>
          <w:tcPr>
            <w:tcW w:w="4518" w:type="dxa"/>
          </w:tcPr>
          <w:p w:rsidR="009F3024" w:rsidRPr="00293EE1" w:rsidRDefault="009F3024" w:rsidP="00E414CA">
            <w:pPr>
              <w:tabs>
                <w:tab w:val="left" w:pos="6075"/>
              </w:tabs>
              <w:jc w:val="both"/>
              <w:rPr>
                <w:rFonts w:ascii="Arial" w:hAnsi="Arial" w:cs="Arial"/>
                <w:i/>
                <w:sz w:val="20"/>
                <w:szCs w:val="20"/>
              </w:rPr>
            </w:pPr>
            <w:r w:rsidRPr="00293EE1">
              <w:rPr>
                <w:rFonts w:ascii="Arial" w:hAnsi="Arial" w:cs="Arial"/>
                <w:i/>
                <w:sz w:val="20"/>
                <w:szCs w:val="20"/>
              </w:rPr>
              <w:t xml:space="preserve">Consult the Supreme Court of Canada website at </w:t>
            </w:r>
            <w:hyperlink r:id="rId8" w:history="1">
              <w:r w:rsidR="00E414CA" w:rsidRPr="00293EE1">
                <w:rPr>
                  <w:rStyle w:val="Hyperlink"/>
                  <w:rFonts w:ascii="Arial" w:hAnsi="Arial" w:cs="Arial"/>
                  <w:i/>
                  <w:sz w:val="20"/>
                  <w:szCs w:val="20"/>
                </w:rPr>
                <w:t>www.scc-csc.ca</w:t>
              </w:r>
            </w:hyperlink>
            <w:r w:rsidRPr="00293EE1">
              <w:rPr>
                <w:rFonts w:ascii="Arial" w:hAnsi="Arial" w:cs="Arial"/>
                <w:i/>
                <w:sz w:val="20"/>
                <w:szCs w:val="20"/>
              </w:rPr>
              <w:t xml:space="preserve"> for more information.</w:t>
            </w:r>
          </w:p>
        </w:tc>
        <w:tc>
          <w:tcPr>
            <w:tcW w:w="630" w:type="dxa"/>
          </w:tcPr>
          <w:p w:rsidR="009F3024" w:rsidRPr="00293EE1" w:rsidRDefault="009F3024" w:rsidP="00BF25F3">
            <w:pPr>
              <w:tabs>
                <w:tab w:val="left" w:pos="6075"/>
              </w:tabs>
              <w:jc w:val="both"/>
              <w:rPr>
                <w:rFonts w:ascii="Arial" w:hAnsi="Arial" w:cs="Arial"/>
                <w:i/>
                <w:sz w:val="20"/>
                <w:szCs w:val="20"/>
              </w:rPr>
            </w:pPr>
          </w:p>
        </w:tc>
        <w:tc>
          <w:tcPr>
            <w:tcW w:w="4428" w:type="dxa"/>
          </w:tcPr>
          <w:p w:rsidR="009F3024" w:rsidRPr="00293EE1" w:rsidRDefault="009F3024" w:rsidP="00E414CA">
            <w:pPr>
              <w:tabs>
                <w:tab w:val="left" w:pos="6075"/>
              </w:tabs>
              <w:jc w:val="both"/>
              <w:rPr>
                <w:rFonts w:ascii="Arial" w:hAnsi="Arial" w:cs="Arial"/>
                <w:i/>
                <w:sz w:val="20"/>
                <w:szCs w:val="20"/>
                <w:lang w:val="fr-CA"/>
              </w:rPr>
            </w:pPr>
            <w:r w:rsidRPr="00293EE1">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293EE1">
                <w:rPr>
                  <w:rStyle w:val="Hyperlink"/>
                  <w:rFonts w:ascii="Arial" w:hAnsi="Arial" w:cs="Arial"/>
                  <w:i/>
                  <w:sz w:val="20"/>
                  <w:szCs w:val="20"/>
                  <w:lang w:val="fr-CA"/>
                </w:rPr>
                <w:t>www.scc-csc.ca</w:t>
              </w:r>
            </w:hyperlink>
            <w:r w:rsidRPr="00293EE1">
              <w:rPr>
                <w:rFonts w:ascii="Arial" w:hAnsi="Arial" w:cs="Arial"/>
                <w:i/>
                <w:sz w:val="20"/>
                <w:szCs w:val="20"/>
                <w:lang w:val="fr-CA"/>
              </w:rPr>
              <w:t xml:space="preserve"> </w:t>
            </w:r>
          </w:p>
        </w:tc>
      </w:tr>
    </w:tbl>
    <w:p w:rsidR="00BF25F3" w:rsidRPr="00293EE1" w:rsidRDefault="00BF25F3" w:rsidP="00BF25F3">
      <w:pPr>
        <w:tabs>
          <w:tab w:val="left" w:pos="6075"/>
        </w:tabs>
        <w:rPr>
          <w:lang w:val="fr-CA"/>
        </w:rPr>
      </w:pPr>
    </w:p>
    <w:p w:rsidR="00440E24" w:rsidRPr="00293EE1" w:rsidRDefault="00440E24" w:rsidP="00440E24">
      <w:pPr>
        <w:pBdr>
          <w:bottom w:val="single" w:sz="6" w:space="1" w:color="auto"/>
        </w:pBdr>
        <w:tabs>
          <w:tab w:val="left" w:pos="6075"/>
        </w:tabs>
        <w:rPr>
          <w:lang w:val="fr-CA"/>
        </w:rPr>
      </w:pPr>
    </w:p>
    <w:p w:rsidR="00440E24" w:rsidRPr="00293EE1" w:rsidRDefault="00440E24" w:rsidP="00440E24">
      <w:pPr>
        <w:rPr>
          <w:lang w:val="fr-CA"/>
        </w:rPr>
      </w:pPr>
    </w:p>
    <w:p w:rsidR="00600252" w:rsidRPr="00293EE1" w:rsidRDefault="00C73D06" w:rsidP="00F0068D">
      <w:pPr>
        <w:pBdr>
          <w:bottom w:val="single" w:sz="6" w:space="1" w:color="auto"/>
        </w:pBdr>
        <w:tabs>
          <w:tab w:val="center" w:pos="4680"/>
          <w:tab w:val="right" w:pos="9360"/>
        </w:tabs>
        <w:rPr>
          <w:lang w:val="fr-CA"/>
        </w:rPr>
      </w:pPr>
      <w:proofErr w:type="spellStart"/>
      <w:r w:rsidRPr="00293EE1">
        <w:rPr>
          <w:lang w:val="fr-CA"/>
        </w:rPr>
        <w:t>J</w:t>
      </w:r>
      <w:r w:rsidR="00C97158" w:rsidRPr="00293EE1">
        <w:rPr>
          <w:lang w:val="fr-CA"/>
        </w:rPr>
        <w:t>une</w:t>
      </w:r>
      <w:proofErr w:type="spellEnd"/>
      <w:r w:rsidR="00440E24" w:rsidRPr="00293EE1">
        <w:rPr>
          <w:lang w:val="fr-CA"/>
        </w:rPr>
        <w:t xml:space="preserve"> </w:t>
      </w:r>
      <w:r w:rsidR="00C97158" w:rsidRPr="00293EE1">
        <w:rPr>
          <w:lang w:val="fr-CA"/>
        </w:rPr>
        <w:t>2</w:t>
      </w:r>
      <w:r w:rsidR="00440E24" w:rsidRPr="00293EE1">
        <w:rPr>
          <w:lang w:val="fr-CA"/>
        </w:rPr>
        <w:t>, 201</w:t>
      </w:r>
      <w:r w:rsidR="00E8544A" w:rsidRPr="00293EE1">
        <w:rPr>
          <w:lang w:val="fr-CA"/>
        </w:rPr>
        <w:t>7</w:t>
      </w:r>
      <w:r w:rsidR="00F0068D" w:rsidRPr="00293EE1">
        <w:rPr>
          <w:lang w:val="fr-CA"/>
        </w:rPr>
        <w:tab/>
      </w:r>
      <w:r w:rsidR="00C97158" w:rsidRPr="00293EE1">
        <w:rPr>
          <w:lang w:val="fr-CA"/>
        </w:rPr>
        <w:t>879</w:t>
      </w:r>
      <w:r w:rsidR="00F0068D" w:rsidRPr="00293EE1">
        <w:rPr>
          <w:lang w:val="fr-CA"/>
        </w:rPr>
        <w:t xml:space="preserve"> - </w:t>
      </w:r>
      <w:r w:rsidR="00D001E4" w:rsidRPr="00293EE1">
        <w:rPr>
          <w:lang w:val="fr-CA"/>
        </w:rPr>
        <w:t>923</w:t>
      </w:r>
      <w:r w:rsidR="00440E24" w:rsidRPr="00293EE1">
        <w:rPr>
          <w:lang w:val="fr-CA"/>
        </w:rPr>
        <w:tab/>
        <w:t>Le</w:t>
      </w:r>
      <w:r w:rsidRPr="00293EE1">
        <w:rPr>
          <w:lang w:val="fr-CA"/>
        </w:rPr>
        <w:t xml:space="preserve"> </w:t>
      </w:r>
      <w:r w:rsidR="00C97158" w:rsidRPr="00293EE1">
        <w:rPr>
          <w:lang w:val="fr-CA"/>
        </w:rPr>
        <w:t>2</w:t>
      </w:r>
      <w:r w:rsidRPr="00293EE1">
        <w:rPr>
          <w:lang w:val="fr-CA"/>
        </w:rPr>
        <w:t xml:space="preserve"> j</w:t>
      </w:r>
      <w:r w:rsidR="00C97158" w:rsidRPr="00293EE1">
        <w:rPr>
          <w:lang w:val="fr-CA"/>
        </w:rPr>
        <w:t>uin</w:t>
      </w:r>
      <w:r w:rsidR="00440E24" w:rsidRPr="00293EE1">
        <w:rPr>
          <w:lang w:val="fr-CA"/>
        </w:rPr>
        <w:t xml:space="preserve"> 201</w:t>
      </w:r>
      <w:r w:rsidR="00E8544A" w:rsidRPr="00293EE1">
        <w:rPr>
          <w:lang w:val="fr-CA"/>
        </w:rPr>
        <w:t>7</w:t>
      </w:r>
    </w:p>
    <w:p w:rsidR="00440E24" w:rsidRPr="00293EE1" w:rsidRDefault="00440E24" w:rsidP="00440E24">
      <w:pPr>
        <w:pBdr>
          <w:bottom w:val="single" w:sz="6" w:space="1" w:color="auto"/>
        </w:pBdr>
        <w:tabs>
          <w:tab w:val="right" w:pos="9360"/>
        </w:tabs>
        <w:rPr>
          <w:lang w:val="fr-CA"/>
        </w:rPr>
      </w:pPr>
    </w:p>
    <w:p w:rsidR="00440E24" w:rsidRPr="00293EE1" w:rsidRDefault="00440E24" w:rsidP="00440E24">
      <w:pPr>
        <w:pBdr>
          <w:bottom w:val="single" w:sz="6" w:space="1" w:color="auto"/>
        </w:pBdr>
        <w:tabs>
          <w:tab w:val="right" w:pos="9360"/>
        </w:tabs>
        <w:rPr>
          <w:sz w:val="18"/>
          <w:szCs w:val="18"/>
          <w:lang w:val="fr-CA"/>
        </w:rPr>
      </w:pPr>
      <w:r w:rsidRPr="00293EE1">
        <w:rPr>
          <w:sz w:val="18"/>
          <w:szCs w:val="18"/>
          <w:lang w:val="fr-CA"/>
        </w:rPr>
        <w:t xml:space="preserve">© </w:t>
      </w:r>
      <w:proofErr w:type="spellStart"/>
      <w:r w:rsidRPr="00293EE1">
        <w:rPr>
          <w:sz w:val="18"/>
          <w:szCs w:val="18"/>
          <w:lang w:val="fr-CA"/>
        </w:rPr>
        <w:t>Supreme</w:t>
      </w:r>
      <w:proofErr w:type="spellEnd"/>
      <w:r w:rsidRPr="00293EE1">
        <w:rPr>
          <w:sz w:val="18"/>
          <w:szCs w:val="18"/>
          <w:lang w:val="fr-CA"/>
        </w:rPr>
        <w:t xml:space="preserve"> Court of Canada (</w:t>
      </w:r>
      <w:r w:rsidR="0030050B" w:rsidRPr="00293EE1">
        <w:rPr>
          <w:sz w:val="18"/>
          <w:szCs w:val="18"/>
          <w:lang w:val="fr-CA"/>
        </w:rPr>
        <w:t>201</w:t>
      </w:r>
      <w:r w:rsidR="00E8544A" w:rsidRPr="00293EE1">
        <w:rPr>
          <w:sz w:val="18"/>
          <w:szCs w:val="18"/>
          <w:lang w:val="fr-CA"/>
        </w:rPr>
        <w:t>7</w:t>
      </w:r>
      <w:r w:rsidRPr="00293EE1">
        <w:rPr>
          <w:sz w:val="18"/>
          <w:szCs w:val="18"/>
          <w:lang w:val="fr-CA"/>
        </w:rPr>
        <w:t>)</w:t>
      </w:r>
      <w:r w:rsidRPr="00293EE1">
        <w:rPr>
          <w:sz w:val="18"/>
          <w:szCs w:val="18"/>
          <w:lang w:val="fr-CA"/>
        </w:rPr>
        <w:tab/>
        <w:t>© Cour suprême du Canada (</w:t>
      </w:r>
      <w:r w:rsidR="0030050B" w:rsidRPr="00293EE1">
        <w:rPr>
          <w:sz w:val="18"/>
          <w:szCs w:val="18"/>
          <w:lang w:val="fr-CA"/>
        </w:rPr>
        <w:t>201</w:t>
      </w:r>
      <w:r w:rsidR="00E8544A" w:rsidRPr="00293EE1">
        <w:rPr>
          <w:sz w:val="18"/>
          <w:szCs w:val="18"/>
          <w:lang w:val="fr-CA"/>
        </w:rPr>
        <w:t>7</w:t>
      </w:r>
      <w:r w:rsidRPr="00293EE1">
        <w:rPr>
          <w:sz w:val="18"/>
          <w:szCs w:val="18"/>
          <w:lang w:val="fr-CA"/>
        </w:rPr>
        <w:t>)</w:t>
      </w:r>
    </w:p>
    <w:p w:rsidR="00440E24" w:rsidRPr="00293EE1" w:rsidRDefault="00440E24" w:rsidP="00440E24">
      <w:pPr>
        <w:pBdr>
          <w:bottom w:val="single" w:sz="6" w:space="1" w:color="auto"/>
        </w:pBdr>
        <w:tabs>
          <w:tab w:val="right" w:pos="9360"/>
        </w:tabs>
        <w:rPr>
          <w:sz w:val="18"/>
          <w:szCs w:val="18"/>
          <w:lang w:val="fr-CA"/>
        </w:rPr>
      </w:pPr>
      <w:r w:rsidRPr="00293EE1">
        <w:rPr>
          <w:sz w:val="18"/>
          <w:szCs w:val="18"/>
          <w:lang w:val="fr-CA"/>
        </w:rPr>
        <w:t>ISSN 1918-8358 (Online)</w:t>
      </w:r>
      <w:r w:rsidRPr="00293EE1">
        <w:rPr>
          <w:sz w:val="18"/>
          <w:szCs w:val="18"/>
          <w:lang w:val="fr-CA"/>
        </w:rPr>
        <w:tab/>
        <w:t>ISSN 1918-8358 (En ligne)</w:t>
      </w:r>
    </w:p>
    <w:p w:rsidR="00600252" w:rsidRPr="00293EE1" w:rsidRDefault="00600252" w:rsidP="00BF25F3">
      <w:pPr>
        <w:pBdr>
          <w:bottom w:val="single" w:sz="6" w:space="1" w:color="auto"/>
        </w:pBdr>
        <w:tabs>
          <w:tab w:val="left" w:pos="6075"/>
        </w:tabs>
        <w:rPr>
          <w:lang w:val="fr-CA"/>
        </w:rPr>
      </w:pPr>
    </w:p>
    <w:p w:rsidR="0030050B" w:rsidRPr="00293EE1"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93EE1" w:rsidTr="00245129">
        <w:tc>
          <w:tcPr>
            <w:tcW w:w="4290" w:type="dxa"/>
            <w:shd w:val="clear" w:color="auto" w:fill="auto"/>
            <w:tcMar>
              <w:left w:w="0" w:type="dxa"/>
              <w:right w:w="0" w:type="dxa"/>
            </w:tcMar>
          </w:tcPr>
          <w:p w:rsidR="00245129" w:rsidRPr="00293EE1" w:rsidRDefault="00245129" w:rsidP="00245129">
            <w:pPr>
              <w:jc w:val="both"/>
              <w:rPr>
                <w:rFonts w:eastAsia="Times New Roman" w:cs="Times New Roman"/>
                <w:b/>
                <w:sz w:val="20"/>
                <w:szCs w:val="20"/>
                <w:lang w:eastAsia="en-CA"/>
              </w:rPr>
            </w:pPr>
            <w:r w:rsidRPr="00293EE1">
              <w:rPr>
                <w:b/>
              </w:rPr>
              <w:lastRenderedPageBreak/>
              <w:t>CONTENTS</w:t>
            </w:r>
          </w:p>
        </w:tc>
        <w:tc>
          <w:tcPr>
            <w:tcW w:w="1200" w:type="dxa"/>
            <w:shd w:val="clear" w:color="auto" w:fill="auto"/>
            <w:tcMar>
              <w:left w:w="0" w:type="dxa"/>
              <w:right w:w="0" w:type="dxa"/>
            </w:tcMar>
          </w:tcPr>
          <w:p w:rsidR="00245129" w:rsidRPr="00293EE1" w:rsidRDefault="00245129" w:rsidP="00245129">
            <w:pPr>
              <w:jc w:val="center"/>
              <w:rPr>
                <w:rFonts w:eastAsia="Times New Roman" w:cs="Times New Roman"/>
                <w:b/>
                <w:sz w:val="20"/>
                <w:szCs w:val="20"/>
                <w:lang w:eastAsia="en-CA"/>
              </w:rPr>
            </w:pPr>
          </w:p>
          <w:p w:rsidR="00245129" w:rsidRPr="00293EE1"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93EE1" w:rsidRDefault="00245129" w:rsidP="00245129">
            <w:pPr>
              <w:rPr>
                <w:rFonts w:eastAsia="Times New Roman" w:cs="Times New Roman"/>
                <w:b/>
                <w:sz w:val="20"/>
                <w:szCs w:val="20"/>
                <w:lang w:val="fr-CA" w:eastAsia="en-CA"/>
              </w:rPr>
            </w:pPr>
            <w:r w:rsidRPr="00293EE1">
              <w:rPr>
                <w:b/>
                <w:lang w:val="fr-CA"/>
              </w:rPr>
              <w:t>TABLE DES MATIÈRES</w:t>
            </w:r>
          </w:p>
        </w:tc>
      </w:tr>
    </w:tbl>
    <w:p w:rsidR="0095096B" w:rsidRPr="00293EE1"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93EE1" w:rsidTr="00164E6D">
        <w:tc>
          <w:tcPr>
            <w:tcW w:w="3708" w:type="dxa"/>
          </w:tcPr>
          <w:p w:rsidR="0095096B" w:rsidRPr="00293EE1" w:rsidRDefault="0095096B" w:rsidP="0095096B">
            <w:pPr>
              <w:tabs>
                <w:tab w:val="right" w:pos="9360"/>
              </w:tabs>
              <w:rPr>
                <w:rFonts w:cs="Times New Roman"/>
                <w:sz w:val="20"/>
                <w:szCs w:val="20"/>
              </w:rPr>
            </w:pPr>
            <w:r w:rsidRPr="00293EE1">
              <w:rPr>
                <w:rFonts w:cs="Times New Roman"/>
                <w:sz w:val="20"/>
                <w:szCs w:val="20"/>
              </w:rPr>
              <w:t xml:space="preserve">Applications for leave to appeal </w:t>
            </w:r>
          </w:p>
          <w:p w:rsidR="0095096B" w:rsidRPr="00293EE1" w:rsidRDefault="0095096B" w:rsidP="0095096B">
            <w:pPr>
              <w:tabs>
                <w:tab w:val="right" w:pos="9360"/>
              </w:tabs>
              <w:rPr>
                <w:rFonts w:cs="Times New Roman"/>
                <w:sz w:val="20"/>
                <w:szCs w:val="20"/>
              </w:rPr>
            </w:pPr>
            <w:r w:rsidRPr="00293EE1">
              <w:rPr>
                <w:rFonts w:cs="Times New Roman"/>
                <w:sz w:val="20"/>
                <w:szCs w:val="20"/>
              </w:rPr>
              <w:t>filed</w:t>
            </w:r>
          </w:p>
          <w:p w:rsidR="0095096B" w:rsidRPr="00293EE1" w:rsidRDefault="0095096B" w:rsidP="0095096B">
            <w:pPr>
              <w:tabs>
                <w:tab w:val="right" w:pos="9360"/>
              </w:tabs>
              <w:rPr>
                <w:rFonts w:cs="Times New Roman"/>
                <w:sz w:val="20"/>
                <w:szCs w:val="20"/>
              </w:rPr>
            </w:pPr>
          </w:p>
          <w:p w:rsidR="0095096B" w:rsidRPr="00293EE1" w:rsidRDefault="0095096B" w:rsidP="0095096B">
            <w:pPr>
              <w:tabs>
                <w:tab w:val="right" w:pos="9360"/>
              </w:tabs>
              <w:rPr>
                <w:rFonts w:cs="Times New Roman"/>
                <w:sz w:val="20"/>
                <w:szCs w:val="20"/>
              </w:rPr>
            </w:pPr>
            <w:r w:rsidRPr="00293EE1">
              <w:rPr>
                <w:rFonts w:cs="Times New Roman"/>
                <w:sz w:val="20"/>
                <w:szCs w:val="20"/>
              </w:rPr>
              <w:t xml:space="preserve">Applications for leave submitted </w:t>
            </w:r>
          </w:p>
          <w:p w:rsidR="0095096B" w:rsidRPr="00293EE1" w:rsidRDefault="0095096B" w:rsidP="0095096B">
            <w:pPr>
              <w:tabs>
                <w:tab w:val="right" w:pos="9360"/>
              </w:tabs>
              <w:rPr>
                <w:rFonts w:cs="Times New Roman"/>
                <w:sz w:val="20"/>
                <w:szCs w:val="20"/>
              </w:rPr>
            </w:pPr>
            <w:r w:rsidRPr="00293EE1">
              <w:rPr>
                <w:rFonts w:cs="Times New Roman"/>
                <w:sz w:val="20"/>
                <w:szCs w:val="20"/>
              </w:rPr>
              <w:t>to Court since last issue</w:t>
            </w:r>
          </w:p>
          <w:p w:rsidR="0095096B" w:rsidRPr="00293EE1" w:rsidRDefault="0095096B" w:rsidP="0095096B">
            <w:pPr>
              <w:tabs>
                <w:tab w:val="right" w:pos="9360"/>
              </w:tabs>
              <w:rPr>
                <w:rFonts w:cs="Times New Roman"/>
                <w:sz w:val="20"/>
                <w:szCs w:val="20"/>
              </w:rPr>
            </w:pPr>
          </w:p>
          <w:p w:rsidR="0095096B" w:rsidRPr="00293EE1" w:rsidRDefault="0095096B" w:rsidP="0095096B">
            <w:pPr>
              <w:tabs>
                <w:tab w:val="right" w:pos="9360"/>
              </w:tabs>
              <w:rPr>
                <w:rFonts w:cs="Times New Roman"/>
                <w:sz w:val="20"/>
                <w:szCs w:val="20"/>
              </w:rPr>
            </w:pPr>
            <w:r w:rsidRPr="00293EE1">
              <w:rPr>
                <w:rFonts w:cs="Times New Roman"/>
                <w:sz w:val="20"/>
                <w:szCs w:val="20"/>
              </w:rPr>
              <w:t xml:space="preserve">Judgments on applications for </w:t>
            </w:r>
          </w:p>
          <w:p w:rsidR="0095096B" w:rsidRPr="00293EE1" w:rsidRDefault="0095096B" w:rsidP="0095096B">
            <w:pPr>
              <w:tabs>
                <w:tab w:val="right" w:pos="9360"/>
              </w:tabs>
              <w:rPr>
                <w:rFonts w:cs="Times New Roman"/>
                <w:sz w:val="20"/>
                <w:szCs w:val="20"/>
              </w:rPr>
            </w:pPr>
            <w:r w:rsidRPr="00293EE1">
              <w:rPr>
                <w:rFonts w:cs="Times New Roman"/>
                <w:sz w:val="20"/>
                <w:szCs w:val="20"/>
              </w:rPr>
              <w:t>leave</w:t>
            </w:r>
          </w:p>
          <w:p w:rsidR="0095096B" w:rsidRPr="00293EE1" w:rsidRDefault="0095096B" w:rsidP="0095096B">
            <w:pPr>
              <w:tabs>
                <w:tab w:val="right" w:pos="9360"/>
              </w:tabs>
              <w:rPr>
                <w:rFonts w:cs="Times New Roman"/>
                <w:sz w:val="20"/>
                <w:szCs w:val="20"/>
              </w:rPr>
            </w:pPr>
          </w:p>
          <w:p w:rsidR="0095096B" w:rsidRPr="00293EE1" w:rsidRDefault="0095096B" w:rsidP="0095096B">
            <w:pPr>
              <w:tabs>
                <w:tab w:val="right" w:pos="9360"/>
              </w:tabs>
              <w:rPr>
                <w:rFonts w:cs="Times New Roman"/>
                <w:sz w:val="20"/>
                <w:szCs w:val="20"/>
              </w:rPr>
            </w:pPr>
            <w:r w:rsidRPr="00293EE1">
              <w:rPr>
                <w:rFonts w:cs="Times New Roman"/>
                <w:sz w:val="20"/>
                <w:szCs w:val="20"/>
              </w:rPr>
              <w:t>Motions</w:t>
            </w:r>
          </w:p>
          <w:p w:rsidR="0095096B" w:rsidRPr="00293EE1" w:rsidRDefault="0095096B" w:rsidP="0095096B">
            <w:pPr>
              <w:tabs>
                <w:tab w:val="right" w:pos="9360"/>
              </w:tabs>
              <w:rPr>
                <w:rFonts w:cs="Times New Roman"/>
                <w:sz w:val="20"/>
                <w:szCs w:val="20"/>
              </w:rPr>
            </w:pPr>
          </w:p>
          <w:p w:rsidR="0095096B" w:rsidRPr="00293EE1" w:rsidRDefault="0095096B" w:rsidP="0095096B">
            <w:pPr>
              <w:tabs>
                <w:tab w:val="right" w:pos="9360"/>
              </w:tabs>
              <w:rPr>
                <w:rFonts w:cs="Times New Roman"/>
                <w:sz w:val="20"/>
                <w:szCs w:val="20"/>
              </w:rPr>
            </w:pPr>
            <w:r w:rsidRPr="00293EE1">
              <w:rPr>
                <w:rFonts w:cs="Times New Roman"/>
                <w:sz w:val="20"/>
                <w:szCs w:val="20"/>
              </w:rPr>
              <w:t xml:space="preserve">Notices of appeal filed since last </w:t>
            </w:r>
          </w:p>
          <w:p w:rsidR="0095096B" w:rsidRPr="00293EE1" w:rsidRDefault="0095096B" w:rsidP="0095096B">
            <w:pPr>
              <w:tabs>
                <w:tab w:val="right" w:pos="9360"/>
              </w:tabs>
              <w:rPr>
                <w:rFonts w:cs="Times New Roman"/>
                <w:sz w:val="20"/>
                <w:szCs w:val="20"/>
              </w:rPr>
            </w:pPr>
            <w:r w:rsidRPr="00293EE1">
              <w:rPr>
                <w:rFonts w:cs="Times New Roman"/>
                <w:sz w:val="20"/>
                <w:szCs w:val="20"/>
              </w:rPr>
              <w:t>issue</w:t>
            </w:r>
          </w:p>
          <w:p w:rsidR="0095096B" w:rsidRPr="00293EE1" w:rsidRDefault="0095096B" w:rsidP="0095096B">
            <w:pPr>
              <w:tabs>
                <w:tab w:val="right" w:pos="9360"/>
              </w:tabs>
              <w:rPr>
                <w:rFonts w:cs="Times New Roman"/>
                <w:sz w:val="20"/>
                <w:szCs w:val="20"/>
              </w:rPr>
            </w:pPr>
          </w:p>
          <w:p w:rsidR="0095096B" w:rsidRPr="00293EE1" w:rsidRDefault="0095096B" w:rsidP="0095096B">
            <w:pPr>
              <w:tabs>
                <w:tab w:val="right" w:pos="9360"/>
              </w:tabs>
              <w:rPr>
                <w:rFonts w:cs="Times New Roman"/>
                <w:sz w:val="20"/>
                <w:szCs w:val="20"/>
              </w:rPr>
            </w:pPr>
            <w:r w:rsidRPr="00293EE1">
              <w:rPr>
                <w:rFonts w:cs="Times New Roman"/>
                <w:sz w:val="20"/>
                <w:szCs w:val="20"/>
              </w:rPr>
              <w:t xml:space="preserve">Notices of discontinuance filed since </w:t>
            </w:r>
          </w:p>
          <w:p w:rsidR="0095096B" w:rsidRPr="00293EE1" w:rsidRDefault="0095096B" w:rsidP="0095096B">
            <w:pPr>
              <w:tabs>
                <w:tab w:val="right" w:pos="9360"/>
              </w:tabs>
              <w:rPr>
                <w:rFonts w:cs="Times New Roman"/>
                <w:sz w:val="20"/>
                <w:szCs w:val="20"/>
              </w:rPr>
            </w:pPr>
            <w:r w:rsidRPr="00293EE1">
              <w:rPr>
                <w:rFonts w:cs="Times New Roman"/>
                <w:sz w:val="20"/>
                <w:szCs w:val="20"/>
              </w:rPr>
              <w:t>last issue</w:t>
            </w:r>
          </w:p>
          <w:p w:rsidR="0095096B" w:rsidRPr="00293EE1" w:rsidRDefault="0095096B" w:rsidP="0095096B">
            <w:pPr>
              <w:tabs>
                <w:tab w:val="right" w:pos="9360"/>
              </w:tabs>
              <w:rPr>
                <w:rFonts w:cs="Times New Roman"/>
                <w:sz w:val="20"/>
                <w:szCs w:val="20"/>
              </w:rPr>
            </w:pPr>
          </w:p>
          <w:p w:rsidR="0095096B" w:rsidRPr="00293EE1" w:rsidRDefault="0095096B" w:rsidP="0095096B">
            <w:pPr>
              <w:tabs>
                <w:tab w:val="right" w:pos="9360"/>
              </w:tabs>
              <w:rPr>
                <w:rFonts w:cs="Times New Roman"/>
                <w:sz w:val="20"/>
                <w:szCs w:val="20"/>
              </w:rPr>
            </w:pPr>
            <w:r w:rsidRPr="00293EE1">
              <w:rPr>
                <w:rFonts w:cs="Times New Roman"/>
                <w:sz w:val="20"/>
                <w:szCs w:val="20"/>
              </w:rPr>
              <w:t>Appeals heard since last issue and disposition</w:t>
            </w:r>
          </w:p>
          <w:p w:rsidR="0095096B" w:rsidRPr="00293EE1" w:rsidRDefault="0095096B" w:rsidP="0095096B">
            <w:pPr>
              <w:tabs>
                <w:tab w:val="right" w:pos="9360"/>
              </w:tabs>
              <w:rPr>
                <w:rFonts w:cs="Times New Roman"/>
                <w:sz w:val="20"/>
                <w:szCs w:val="20"/>
              </w:rPr>
            </w:pPr>
          </w:p>
          <w:p w:rsidR="0095096B" w:rsidRPr="00293EE1" w:rsidRDefault="0095096B" w:rsidP="0095096B">
            <w:pPr>
              <w:tabs>
                <w:tab w:val="right" w:pos="9360"/>
              </w:tabs>
              <w:rPr>
                <w:rFonts w:cs="Times New Roman"/>
                <w:sz w:val="20"/>
                <w:szCs w:val="20"/>
              </w:rPr>
            </w:pPr>
            <w:r w:rsidRPr="00293EE1">
              <w:rPr>
                <w:rFonts w:cs="Times New Roman"/>
                <w:sz w:val="20"/>
                <w:szCs w:val="20"/>
              </w:rPr>
              <w:t>Pronouncements of appeals reserved</w:t>
            </w:r>
          </w:p>
          <w:p w:rsidR="0095096B" w:rsidRPr="00293EE1" w:rsidRDefault="0095096B" w:rsidP="0095096B">
            <w:pPr>
              <w:tabs>
                <w:tab w:val="right" w:pos="9360"/>
              </w:tabs>
              <w:rPr>
                <w:rFonts w:cs="Times New Roman"/>
                <w:sz w:val="20"/>
                <w:szCs w:val="20"/>
              </w:rPr>
            </w:pPr>
          </w:p>
          <w:p w:rsidR="004C406B" w:rsidRPr="00293EE1" w:rsidRDefault="004C406B" w:rsidP="0095096B">
            <w:pPr>
              <w:tabs>
                <w:tab w:val="right" w:pos="9360"/>
              </w:tabs>
              <w:rPr>
                <w:rFonts w:cs="Times New Roman"/>
                <w:sz w:val="20"/>
                <w:szCs w:val="20"/>
              </w:rPr>
            </w:pPr>
          </w:p>
          <w:p w:rsidR="0095096B" w:rsidRPr="00293EE1" w:rsidRDefault="0095096B" w:rsidP="0095096B">
            <w:pPr>
              <w:tabs>
                <w:tab w:val="right" w:pos="9360"/>
              </w:tabs>
              <w:rPr>
                <w:rFonts w:cs="Times New Roman"/>
                <w:sz w:val="20"/>
                <w:szCs w:val="20"/>
              </w:rPr>
            </w:pPr>
            <w:r w:rsidRPr="00293EE1">
              <w:rPr>
                <w:rFonts w:cs="Times New Roman"/>
                <w:sz w:val="20"/>
                <w:szCs w:val="20"/>
              </w:rPr>
              <w:t>Headnotes of recent judgments</w:t>
            </w:r>
          </w:p>
          <w:p w:rsidR="00A87207" w:rsidRPr="00293EE1" w:rsidRDefault="00A87207" w:rsidP="004C406B">
            <w:pPr>
              <w:tabs>
                <w:tab w:val="right" w:pos="9360"/>
              </w:tabs>
              <w:rPr>
                <w:rFonts w:cs="Times New Roman"/>
                <w:sz w:val="20"/>
                <w:szCs w:val="20"/>
              </w:rPr>
            </w:pPr>
          </w:p>
        </w:tc>
        <w:tc>
          <w:tcPr>
            <w:tcW w:w="1980" w:type="dxa"/>
          </w:tcPr>
          <w:p w:rsidR="0095096B" w:rsidRPr="00293EE1" w:rsidRDefault="00E01131" w:rsidP="0095096B">
            <w:pPr>
              <w:jc w:val="center"/>
              <w:rPr>
                <w:rFonts w:cs="Times New Roman"/>
                <w:sz w:val="20"/>
                <w:szCs w:val="20"/>
              </w:rPr>
            </w:pPr>
            <w:r w:rsidRPr="00293EE1">
              <w:rPr>
                <w:rFonts w:cs="Times New Roman"/>
                <w:sz w:val="20"/>
                <w:szCs w:val="20"/>
              </w:rPr>
              <w:t xml:space="preserve">879 </w:t>
            </w:r>
            <w:r w:rsidR="000E27A5" w:rsidRPr="00293EE1">
              <w:rPr>
                <w:rFonts w:cs="Times New Roman"/>
                <w:sz w:val="20"/>
                <w:szCs w:val="20"/>
              </w:rPr>
              <w:fldChar w:fldCharType="begin"/>
            </w:r>
            <w:r w:rsidR="0095096B" w:rsidRPr="00293EE1">
              <w:rPr>
                <w:rFonts w:cs="Times New Roman"/>
                <w:sz w:val="20"/>
                <w:szCs w:val="20"/>
              </w:rPr>
              <w:instrText xml:space="preserve"> SEQ CHAPTER \h \r 1</w:instrText>
            </w:r>
            <w:r w:rsidR="000E27A5" w:rsidRPr="00293EE1">
              <w:rPr>
                <w:rFonts w:cs="Times New Roman"/>
                <w:sz w:val="20"/>
                <w:szCs w:val="20"/>
              </w:rPr>
              <w:fldChar w:fldCharType="end"/>
            </w:r>
            <w:r w:rsidR="0095096B" w:rsidRPr="00293EE1">
              <w:rPr>
                <w:rFonts w:cs="Times New Roman"/>
                <w:sz w:val="20"/>
                <w:szCs w:val="20"/>
              </w:rPr>
              <w:t>-</w:t>
            </w:r>
            <w:r w:rsidRPr="00293EE1">
              <w:rPr>
                <w:rFonts w:cs="Times New Roman"/>
                <w:sz w:val="20"/>
                <w:szCs w:val="20"/>
              </w:rPr>
              <w:t xml:space="preserve"> 880</w:t>
            </w:r>
          </w:p>
          <w:p w:rsidR="0095096B" w:rsidRPr="00293EE1" w:rsidRDefault="0095096B" w:rsidP="0095096B">
            <w:pPr>
              <w:jc w:val="center"/>
              <w:rPr>
                <w:rFonts w:cs="Times New Roman"/>
                <w:sz w:val="20"/>
                <w:szCs w:val="20"/>
              </w:rPr>
            </w:pPr>
          </w:p>
          <w:p w:rsidR="0095096B" w:rsidRPr="00293EE1" w:rsidRDefault="0095096B" w:rsidP="0095096B">
            <w:pPr>
              <w:jc w:val="center"/>
              <w:rPr>
                <w:rFonts w:cs="Times New Roman"/>
                <w:sz w:val="20"/>
                <w:szCs w:val="20"/>
              </w:rPr>
            </w:pPr>
          </w:p>
          <w:p w:rsidR="0095096B" w:rsidRPr="00293EE1" w:rsidRDefault="00E01131" w:rsidP="0095096B">
            <w:pPr>
              <w:jc w:val="center"/>
              <w:rPr>
                <w:rFonts w:cs="Times New Roman"/>
                <w:sz w:val="20"/>
                <w:szCs w:val="20"/>
              </w:rPr>
            </w:pPr>
            <w:r w:rsidRPr="00293EE1">
              <w:rPr>
                <w:rFonts w:cs="Times New Roman"/>
                <w:sz w:val="20"/>
                <w:szCs w:val="20"/>
              </w:rPr>
              <w:t>881</w:t>
            </w:r>
          </w:p>
          <w:p w:rsidR="0095096B" w:rsidRPr="00293EE1" w:rsidRDefault="0095096B" w:rsidP="0095096B">
            <w:pPr>
              <w:jc w:val="center"/>
              <w:rPr>
                <w:rFonts w:cs="Times New Roman"/>
                <w:sz w:val="20"/>
                <w:szCs w:val="20"/>
              </w:rPr>
            </w:pPr>
          </w:p>
          <w:p w:rsidR="0095096B" w:rsidRPr="00293EE1" w:rsidRDefault="0095096B" w:rsidP="0095096B">
            <w:pPr>
              <w:jc w:val="center"/>
              <w:rPr>
                <w:rFonts w:cs="Times New Roman"/>
                <w:sz w:val="20"/>
                <w:szCs w:val="20"/>
              </w:rPr>
            </w:pPr>
          </w:p>
          <w:p w:rsidR="0095096B" w:rsidRPr="00293EE1" w:rsidRDefault="00E01131" w:rsidP="0095096B">
            <w:pPr>
              <w:jc w:val="center"/>
              <w:rPr>
                <w:rFonts w:cs="Times New Roman"/>
                <w:sz w:val="20"/>
                <w:szCs w:val="20"/>
              </w:rPr>
            </w:pPr>
            <w:r w:rsidRPr="00293EE1">
              <w:rPr>
                <w:rFonts w:cs="Times New Roman"/>
                <w:sz w:val="20"/>
                <w:szCs w:val="20"/>
              </w:rPr>
              <w:t xml:space="preserve">882 </w:t>
            </w:r>
            <w:r w:rsidR="0095096B" w:rsidRPr="00293EE1">
              <w:rPr>
                <w:rFonts w:cs="Times New Roman"/>
                <w:sz w:val="20"/>
                <w:szCs w:val="20"/>
              </w:rPr>
              <w:t>-</w:t>
            </w:r>
            <w:r w:rsidRPr="00293EE1">
              <w:rPr>
                <w:rFonts w:cs="Times New Roman"/>
                <w:sz w:val="20"/>
                <w:szCs w:val="20"/>
              </w:rPr>
              <w:t xml:space="preserve"> </w:t>
            </w:r>
            <w:r w:rsidR="005071A8" w:rsidRPr="00293EE1">
              <w:rPr>
                <w:rFonts w:cs="Times New Roman"/>
                <w:sz w:val="20"/>
                <w:szCs w:val="20"/>
              </w:rPr>
              <w:t>909</w:t>
            </w:r>
          </w:p>
          <w:p w:rsidR="0095096B" w:rsidRPr="00293EE1" w:rsidRDefault="0095096B" w:rsidP="0095096B">
            <w:pPr>
              <w:jc w:val="center"/>
              <w:rPr>
                <w:rFonts w:cs="Times New Roman"/>
                <w:sz w:val="20"/>
                <w:szCs w:val="20"/>
              </w:rPr>
            </w:pPr>
          </w:p>
          <w:p w:rsidR="0095436A" w:rsidRPr="00293EE1" w:rsidRDefault="0095436A" w:rsidP="0095096B">
            <w:pPr>
              <w:jc w:val="center"/>
              <w:rPr>
                <w:rFonts w:cs="Times New Roman"/>
                <w:sz w:val="20"/>
                <w:szCs w:val="20"/>
              </w:rPr>
            </w:pPr>
          </w:p>
          <w:p w:rsidR="0095096B" w:rsidRPr="00293EE1" w:rsidRDefault="005071A8" w:rsidP="0095096B">
            <w:pPr>
              <w:jc w:val="center"/>
              <w:rPr>
                <w:rFonts w:cs="Times New Roman"/>
                <w:sz w:val="20"/>
                <w:szCs w:val="20"/>
              </w:rPr>
            </w:pPr>
            <w:r w:rsidRPr="00293EE1">
              <w:rPr>
                <w:rFonts w:cs="Times New Roman"/>
                <w:sz w:val="20"/>
                <w:szCs w:val="20"/>
              </w:rPr>
              <w:t>910</w:t>
            </w:r>
          </w:p>
          <w:p w:rsidR="0095096B" w:rsidRPr="00293EE1" w:rsidRDefault="0095096B" w:rsidP="0095096B">
            <w:pPr>
              <w:jc w:val="center"/>
              <w:rPr>
                <w:rFonts w:cs="Times New Roman"/>
                <w:sz w:val="20"/>
                <w:szCs w:val="20"/>
              </w:rPr>
            </w:pPr>
          </w:p>
          <w:p w:rsidR="0095096B" w:rsidRPr="00293EE1" w:rsidRDefault="00F03341" w:rsidP="0095096B">
            <w:pPr>
              <w:jc w:val="center"/>
              <w:rPr>
                <w:rFonts w:cs="Times New Roman"/>
                <w:sz w:val="20"/>
                <w:szCs w:val="20"/>
              </w:rPr>
            </w:pPr>
            <w:r w:rsidRPr="00293EE1">
              <w:rPr>
                <w:rFonts w:cs="Times New Roman"/>
                <w:sz w:val="20"/>
                <w:szCs w:val="20"/>
              </w:rPr>
              <w:t>911</w:t>
            </w:r>
          </w:p>
          <w:p w:rsidR="0095096B" w:rsidRPr="00293EE1" w:rsidRDefault="0095096B" w:rsidP="0095096B">
            <w:pPr>
              <w:jc w:val="center"/>
              <w:rPr>
                <w:rFonts w:cs="Times New Roman"/>
                <w:sz w:val="20"/>
                <w:szCs w:val="20"/>
              </w:rPr>
            </w:pPr>
          </w:p>
          <w:p w:rsidR="0095096B" w:rsidRPr="00293EE1" w:rsidRDefault="0095096B" w:rsidP="0095096B">
            <w:pPr>
              <w:jc w:val="center"/>
              <w:rPr>
                <w:rFonts w:cs="Times New Roman"/>
                <w:sz w:val="20"/>
                <w:szCs w:val="20"/>
              </w:rPr>
            </w:pPr>
          </w:p>
          <w:p w:rsidR="0095096B" w:rsidRPr="00293EE1" w:rsidRDefault="00F03341" w:rsidP="0095096B">
            <w:pPr>
              <w:jc w:val="center"/>
              <w:rPr>
                <w:rFonts w:cs="Times New Roman"/>
                <w:sz w:val="20"/>
                <w:szCs w:val="20"/>
              </w:rPr>
            </w:pPr>
            <w:r w:rsidRPr="00293EE1">
              <w:rPr>
                <w:rFonts w:cs="Times New Roman"/>
                <w:sz w:val="20"/>
                <w:szCs w:val="20"/>
              </w:rPr>
              <w:t>912</w:t>
            </w:r>
          </w:p>
          <w:p w:rsidR="0095096B" w:rsidRPr="00293EE1" w:rsidRDefault="0095096B" w:rsidP="0095096B">
            <w:pPr>
              <w:jc w:val="center"/>
              <w:rPr>
                <w:rFonts w:cs="Times New Roman"/>
                <w:sz w:val="20"/>
                <w:szCs w:val="20"/>
              </w:rPr>
            </w:pPr>
          </w:p>
          <w:p w:rsidR="0095436A" w:rsidRPr="00293EE1" w:rsidRDefault="0095436A" w:rsidP="0095096B">
            <w:pPr>
              <w:jc w:val="center"/>
              <w:rPr>
                <w:rFonts w:cs="Times New Roman"/>
                <w:sz w:val="20"/>
                <w:szCs w:val="20"/>
              </w:rPr>
            </w:pPr>
          </w:p>
          <w:p w:rsidR="0095096B" w:rsidRPr="00293EE1" w:rsidRDefault="00F03341" w:rsidP="0095096B">
            <w:pPr>
              <w:jc w:val="center"/>
              <w:rPr>
                <w:rFonts w:cs="Times New Roman"/>
                <w:sz w:val="20"/>
                <w:szCs w:val="20"/>
              </w:rPr>
            </w:pPr>
            <w:r w:rsidRPr="00293EE1">
              <w:rPr>
                <w:rFonts w:cs="Times New Roman"/>
                <w:sz w:val="20"/>
                <w:szCs w:val="20"/>
              </w:rPr>
              <w:t>913</w:t>
            </w:r>
          </w:p>
          <w:p w:rsidR="0095096B" w:rsidRPr="00293EE1" w:rsidRDefault="0095096B" w:rsidP="0095096B">
            <w:pPr>
              <w:jc w:val="center"/>
              <w:rPr>
                <w:rFonts w:cs="Times New Roman"/>
                <w:sz w:val="20"/>
                <w:szCs w:val="20"/>
              </w:rPr>
            </w:pPr>
          </w:p>
          <w:p w:rsidR="0095436A" w:rsidRPr="00293EE1" w:rsidRDefault="0095436A" w:rsidP="0095096B">
            <w:pPr>
              <w:jc w:val="center"/>
              <w:rPr>
                <w:rFonts w:cs="Times New Roman"/>
                <w:sz w:val="20"/>
                <w:szCs w:val="20"/>
              </w:rPr>
            </w:pPr>
          </w:p>
          <w:p w:rsidR="0095096B" w:rsidRPr="00293EE1" w:rsidRDefault="00F03341" w:rsidP="0095096B">
            <w:pPr>
              <w:jc w:val="center"/>
              <w:rPr>
                <w:rFonts w:cs="Times New Roman"/>
                <w:sz w:val="20"/>
                <w:szCs w:val="20"/>
              </w:rPr>
            </w:pPr>
            <w:r w:rsidRPr="00293EE1">
              <w:rPr>
                <w:rFonts w:cs="Times New Roman"/>
                <w:sz w:val="20"/>
                <w:szCs w:val="20"/>
              </w:rPr>
              <w:t>914</w:t>
            </w:r>
          </w:p>
          <w:p w:rsidR="0095096B" w:rsidRPr="00293EE1" w:rsidRDefault="0095096B" w:rsidP="0095096B">
            <w:pPr>
              <w:jc w:val="center"/>
              <w:rPr>
                <w:rFonts w:cs="Times New Roman"/>
                <w:sz w:val="20"/>
                <w:szCs w:val="20"/>
              </w:rPr>
            </w:pPr>
          </w:p>
          <w:p w:rsidR="0095436A" w:rsidRPr="00293EE1" w:rsidRDefault="0095436A" w:rsidP="0095096B">
            <w:pPr>
              <w:jc w:val="center"/>
              <w:rPr>
                <w:rFonts w:cs="Times New Roman"/>
                <w:sz w:val="20"/>
                <w:szCs w:val="20"/>
              </w:rPr>
            </w:pPr>
          </w:p>
          <w:p w:rsidR="0095096B" w:rsidRPr="00293EE1" w:rsidRDefault="00F03341" w:rsidP="0095096B">
            <w:pPr>
              <w:jc w:val="center"/>
              <w:rPr>
                <w:rFonts w:cs="Times New Roman"/>
                <w:sz w:val="20"/>
                <w:szCs w:val="20"/>
              </w:rPr>
            </w:pPr>
            <w:r w:rsidRPr="00293EE1">
              <w:rPr>
                <w:rFonts w:cs="Times New Roman"/>
                <w:sz w:val="20"/>
                <w:szCs w:val="20"/>
              </w:rPr>
              <w:t xml:space="preserve">915 – </w:t>
            </w:r>
            <w:r w:rsidR="00D001E4" w:rsidRPr="00293EE1">
              <w:rPr>
                <w:rFonts w:cs="Times New Roman"/>
                <w:sz w:val="20"/>
                <w:szCs w:val="20"/>
              </w:rPr>
              <w:t>923</w:t>
            </w:r>
          </w:p>
          <w:p w:rsidR="00A87207" w:rsidRPr="00293EE1" w:rsidRDefault="00A87207" w:rsidP="004C406B">
            <w:pPr>
              <w:jc w:val="center"/>
              <w:rPr>
                <w:rFonts w:cs="Times New Roman"/>
                <w:sz w:val="20"/>
                <w:szCs w:val="20"/>
              </w:rPr>
            </w:pPr>
          </w:p>
        </w:tc>
        <w:tc>
          <w:tcPr>
            <w:tcW w:w="3888" w:type="dxa"/>
          </w:tcPr>
          <w:p w:rsidR="0095096B" w:rsidRPr="00293EE1" w:rsidRDefault="000E27A5" w:rsidP="0095096B">
            <w:pPr>
              <w:rPr>
                <w:rFonts w:cs="Times New Roman"/>
                <w:sz w:val="20"/>
                <w:szCs w:val="20"/>
                <w:lang w:val="fr-CA"/>
              </w:rPr>
            </w:pPr>
            <w:r w:rsidRPr="00293EE1">
              <w:rPr>
                <w:rFonts w:cs="Times New Roman"/>
                <w:sz w:val="20"/>
                <w:szCs w:val="20"/>
                <w:lang w:val="fr-CA"/>
              </w:rPr>
              <w:fldChar w:fldCharType="begin"/>
            </w:r>
            <w:r w:rsidR="0095096B" w:rsidRPr="00293EE1">
              <w:rPr>
                <w:rFonts w:cs="Times New Roman"/>
                <w:sz w:val="20"/>
                <w:szCs w:val="20"/>
                <w:lang w:val="fr-CA"/>
              </w:rPr>
              <w:instrText xml:space="preserve"> SEQ CHAPTER \h \r 1</w:instrText>
            </w:r>
            <w:r w:rsidRPr="00293EE1">
              <w:rPr>
                <w:rFonts w:cs="Times New Roman"/>
                <w:sz w:val="20"/>
                <w:szCs w:val="20"/>
                <w:lang w:val="fr-CA"/>
              </w:rPr>
              <w:fldChar w:fldCharType="end"/>
            </w:r>
            <w:r w:rsidR="0095096B" w:rsidRPr="00293EE1">
              <w:rPr>
                <w:rFonts w:cs="Times New Roman"/>
                <w:sz w:val="20"/>
                <w:szCs w:val="20"/>
                <w:lang w:val="fr-CA"/>
              </w:rPr>
              <w:t>Demandes d</w:t>
            </w:r>
            <w:r w:rsidR="004137A0" w:rsidRPr="00293EE1">
              <w:rPr>
                <w:rFonts w:cs="Times New Roman"/>
                <w:sz w:val="20"/>
                <w:szCs w:val="20"/>
                <w:lang w:val="fr-CA"/>
              </w:rPr>
              <w:t>’</w:t>
            </w:r>
            <w:r w:rsidR="0095096B" w:rsidRPr="00293EE1">
              <w:rPr>
                <w:rFonts w:cs="Times New Roman"/>
                <w:sz w:val="20"/>
                <w:szCs w:val="20"/>
                <w:lang w:val="fr-CA"/>
              </w:rPr>
              <w:t>autorisation d</w:t>
            </w:r>
            <w:r w:rsidR="004137A0" w:rsidRPr="00293EE1">
              <w:rPr>
                <w:rFonts w:cs="Times New Roman"/>
                <w:sz w:val="20"/>
                <w:szCs w:val="20"/>
                <w:lang w:val="fr-CA"/>
              </w:rPr>
              <w:t>’</w:t>
            </w:r>
            <w:r w:rsidR="0095096B" w:rsidRPr="00293EE1">
              <w:rPr>
                <w:rFonts w:cs="Times New Roman"/>
                <w:sz w:val="20"/>
                <w:szCs w:val="20"/>
                <w:lang w:val="fr-CA"/>
              </w:rPr>
              <w:t xml:space="preserve">appel </w:t>
            </w:r>
          </w:p>
          <w:p w:rsidR="0095096B" w:rsidRPr="00293EE1" w:rsidRDefault="0095096B" w:rsidP="0095096B">
            <w:pPr>
              <w:rPr>
                <w:rFonts w:cs="Times New Roman"/>
                <w:sz w:val="20"/>
                <w:szCs w:val="20"/>
                <w:lang w:val="fr-CA"/>
              </w:rPr>
            </w:pPr>
            <w:r w:rsidRPr="00293EE1">
              <w:rPr>
                <w:rFonts w:cs="Times New Roman"/>
                <w:sz w:val="20"/>
                <w:szCs w:val="20"/>
                <w:lang w:val="fr-CA"/>
              </w:rPr>
              <w:t>déposées</w:t>
            </w:r>
          </w:p>
          <w:p w:rsidR="0095096B" w:rsidRPr="00293EE1" w:rsidRDefault="0095096B" w:rsidP="0095096B">
            <w:pPr>
              <w:rPr>
                <w:rFonts w:cs="Times New Roman"/>
                <w:sz w:val="20"/>
                <w:szCs w:val="20"/>
                <w:lang w:val="fr-CA"/>
              </w:rPr>
            </w:pPr>
          </w:p>
          <w:p w:rsidR="0095096B" w:rsidRPr="00293EE1" w:rsidRDefault="0095096B" w:rsidP="0095096B">
            <w:pPr>
              <w:rPr>
                <w:rFonts w:cs="Times New Roman"/>
                <w:sz w:val="20"/>
                <w:szCs w:val="20"/>
                <w:lang w:val="fr-CA"/>
              </w:rPr>
            </w:pPr>
            <w:r w:rsidRPr="00293EE1">
              <w:rPr>
                <w:rFonts w:cs="Times New Roman"/>
                <w:sz w:val="20"/>
                <w:szCs w:val="20"/>
                <w:lang w:val="fr-CA"/>
              </w:rPr>
              <w:t xml:space="preserve">Demandes soumises à la Cour depuis la </w:t>
            </w:r>
          </w:p>
          <w:p w:rsidR="0095096B" w:rsidRPr="00293EE1" w:rsidRDefault="0095096B" w:rsidP="0095096B">
            <w:pPr>
              <w:rPr>
                <w:rFonts w:cs="Times New Roman"/>
                <w:sz w:val="20"/>
                <w:szCs w:val="20"/>
                <w:lang w:val="fr-CA"/>
              </w:rPr>
            </w:pPr>
            <w:r w:rsidRPr="00293EE1">
              <w:rPr>
                <w:rFonts w:cs="Times New Roman"/>
                <w:sz w:val="20"/>
                <w:szCs w:val="20"/>
                <w:lang w:val="fr-CA"/>
              </w:rPr>
              <w:t>dernière parution</w:t>
            </w:r>
          </w:p>
          <w:p w:rsidR="0095096B" w:rsidRPr="00293EE1" w:rsidRDefault="0095096B" w:rsidP="0095096B">
            <w:pPr>
              <w:rPr>
                <w:rFonts w:cs="Times New Roman"/>
                <w:sz w:val="20"/>
                <w:szCs w:val="20"/>
                <w:lang w:val="fr-CA"/>
              </w:rPr>
            </w:pPr>
          </w:p>
          <w:p w:rsidR="0095096B" w:rsidRPr="00293EE1" w:rsidRDefault="0095096B" w:rsidP="0095096B">
            <w:pPr>
              <w:rPr>
                <w:rFonts w:cs="Times New Roman"/>
                <w:sz w:val="20"/>
                <w:szCs w:val="20"/>
                <w:lang w:val="fr-CA"/>
              </w:rPr>
            </w:pPr>
            <w:r w:rsidRPr="00293EE1">
              <w:rPr>
                <w:rFonts w:cs="Times New Roman"/>
                <w:sz w:val="20"/>
                <w:szCs w:val="20"/>
                <w:lang w:val="fr-CA"/>
              </w:rPr>
              <w:t xml:space="preserve">Jugements rendus sur les demandes </w:t>
            </w:r>
          </w:p>
          <w:p w:rsidR="0095096B" w:rsidRPr="00293EE1" w:rsidRDefault="004137A0" w:rsidP="0095096B">
            <w:pPr>
              <w:rPr>
                <w:rFonts w:cs="Times New Roman"/>
                <w:sz w:val="20"/>
                <w:szCs w:val="20"/>
                <w:lang w:val="fr-CA"/>
              </w:rPr>
            </w:pPr>
            <w:r w:rsidRPr="00293EE1">
              <w:rPr>
                <w:rFonts w:cs="Times New Roman"/>
                <w:sz w:val="20"/>
                <w:szCs w:val="20"/>
                <w:lang w:val="fr-CA"/>
              </w:rPr>
              <w:t>d’</w:t>
            </w:r>
            <w:r w:rsidR="0095096B" w:rsidRPr="00293EE1">
              <w:rPr>
                <w:rFonts w:cs="Times New Roman"/>
                <w:sz w:val="20"/>
                <w:szCs w:val="20"/>
                <w:lang w:val="fr-CA"/>
              </w:rPr>
              <w:t>autorisation</w:t>
            </w:r>
          </w:p>
          <w:p w:rsidR="0095096B" w:rsidRPr="00293EE1" w:rsidRDefault="0095096B" w:rsidP="0095096B">
            <w:pPr>
              <w:rPr>
                <w:rFonts w:cs="Times New Roman"/>
                <w:sz w:val="20"/>
                <w:szCs w:val="20"/>
                <w:lang w:val="fr-CA"/>
              </w:rPr>
            </w:pPr>
          </w:p>
          <w:p w:rsidR="0095096B" w:rsidRPr="00293EE1" w:rsidRDefault="0095096B" w:rsidP="0095096B">
            <w:pPr>
              <w:rPr>
                <w:rFonts w:cs="Times New Roman"/>
                <w:sz w:val="20"/>
                <w:szCs w:val="20"/>
                <w:lang w:val="fr-CA"/>
              </w:rPr>
            </w:pPr>
            <w:r w:rsidRPr="00293EE1">
              <w:rPr>
                <w:rFonts w:cs="Times New Roman"/>
                <w:sz w:val="20"/>
                <w:szCs w:val="20"/>
                <w:lang w:val="fr-CA"/>
              </w:rPr>
              <w:t>Requêtes</w:t>
            </w:r>
          </w:p>
          <w:p w:rsidR="0095096B" w:rsidRPr="00293EE1" w:rsidRDefault="0095096B" w:rsidP="0095096B">
            <w:pPr>
              <w:rPr>
                <w:rFonts w:cs="Times New Roman"/>
                <w:sz w:val="20"/>
                <w:szCs w:val="20"/>
                <w:lang w:val="fr-CA"/>
              </w:rPr>
            </w:pPr>
          </w:p>
          <w:p w:rsidR="0095096B" w:rsidRPr="00293EE1" w:rsidRDefault="0095096B" w:rsidP="0095096B">
            <w:pPr>
              <w:rPr>
                <w:rFonts w:cs="Times New Roman"/>
                <w:sz w:val="20"/>
                <w:szCs w:val="20"/>
                <w:lang w:val="fr-CA"/>
              </w:rPr>
            </w:pPr>
            <w:r w:rsidRPr="00293EE1">
              <w:rPr>
                <w:rFonts w:cs="Times New Roman"/>
                <w:sz w:val="20"/>
                <w:szCs w:val="20"/>
                <w:lang w:val="fr-CA"/>
              </w:rPr>
              <w:t>Avis d</w:t>
            </w:r>
            <w:r w:rsidR="004137A0" w:rsidRPr="00293EE1">
              <w:rPr>
                <w:rFonts w:cs="Times New Roman"/>
                <w:sz w:val="20"/>
                <w:szCs w:val="20"/>
                <w:lang w:val="fr-CA"/>
              </w:rPr>
              <w:t>’</w:t>
            </w:r>
            <w:r w:rsidRPr="00293EE1">
              <w:rPr>
                <w:rFonts w:cs="Times New Roman"/>
                <w:sz w:val="20"/>
                <w:szCs w:val="20"/>
                <w:lang w:val="fr-CA"/>
              </w:rPr>
              <w:t xml:space="preserve">appel déposés depuis la dernière </w:t>
            </w:r>
          </w:p>
          <w:p w:rsidR="0095096B" w:rsidRPr="00293EE1" w:rsidRDefault="0095096B" w:rsidP="0095096B">
            <w:pPr>
              <w:rPr>
                <w:rFonts w:cs="Times New Roman"/>
                <w:sz w:val="20"/>
                <w:szCs w:val="20"/>
                <w:lang w:val="fr-CA"/>
              </w:rPr>
            </w:pPr>
            <w:r w:rsidRPr="00293EE1">
              <w:rPr>
                <w:rFonts w:cs="Times New Roman"/>
                <w:sz w:val="20"/>
                <w:szCs w:val="20"/>
                <w:lang w:val="fr-CA"/>
              </w:rPr>
              <w:t>parution</w:t>
            </w:r>
          </w:p>
          <w:p w:rsidR="0095096B" w:rsidRPr="00293EE1" w:rsidRDefault="0095096B" w:rsidP="0095096B">
            <w:pPr>
              <w:rPr>
                <w:rFonts w:cs="Times New Roman"/>
                <w:sz w:val="20"/>
                <w:szCs w:val="20"/>
                <w:lang w:val="fr-CA"/>
              </w:rPr>
            </w:pPr>
          </w:p>
          <w:p w:rsidR="0095096B" w:rsidRPr="00293EE1" w:rsidRDefault="0095096B" w:rsidP="0095096B">
            <w:pPr>
              <w:rPr>
                <w:rFonts w:cs="Times New Roman"/>
                <w:sz w:val="20"/>
                <w:szCs w:val="20"/>
                <w:lang w:val="fr-CA"/>
              </w:rPr>
            </w:pPr>
            <w:r w:rsidRPr="00293EE1">
              <w:rPr>
                <w:rFonts w:cs="Times New Roman"/>
                <w:sz w:val="20"/>
                <w:szCs w:val="20"/>
                <w:lang w:val="fr-CA"/>
              </w:rPr>
              <w:t>Avis de désistement déposés depuis la dernière parution</w:t>
            </w:r>
          </w:p>
          <w:p w:rsidR="0095096B" w:rsidRPr="00293EE1" w:rsidRDefault="0095096B" w:rsidP="0095096B">
            <w:pPr>
              <w:rPr>
                <w:rFonts w:cs="Times New Roman"/>
                <w:sz w:val="20"/>
                <w:szCs w:val="20"/>
                <w:lang w:val="fr-CA"/>
              </w:rPr>
            </w:pPr>
          </w:p>
          <w:p w:rsidR="0095096B" w:rsidRPr="00293EE1" w:rsidRDefault="0095096B" w:rsidP="0095096B">
            <w:pPr>
              <w:rPr>
                <w:rFonts w:cs="Times New Roman"/>
                <w:sz w:val="20"/>
                <w:szCs w:val="20"/>
                <w:lang w:val="fr-CA"/>
              </w:rPr>
            </w:pPr>
            <w:r w:rsidRPr="00293EE1">
              <w:rPr>
                <w:rFonts w:cs="Times New Roman"/>
                <w:sz w:val="20"/>
                <w:szCs w:val="20"/>
                <w:lang w:val="fr-CA"/>
              </w:rPr>
              <w:t xml:space="preserve">Appels entendus depuis la dernière </w:t>
            </w:r>
          </w:p>
          <w:p w:rsidR="0095096B" w:rsidRPr="00293EE1" w:rsidRDefault="0095096B" w:rsidP="0095096B">
            <w:pPr>
              <w:rPr>
                <w:rFonts w:cs="Times New Roman"/>
                <w:sz w:val="20"/>
                <w:szCs w:val="20"/>
                <w:lang w:val="fr-CA"/>
              </w:rPr>
            </w:pPr>
            <w:r w:rsidRPr="00293EE1">
              <w:rPr>
                <w:rFonts w:cs="Times New Roman"/>
                <w:sz w:val="20"/>
                <w:szCs w:val="20"/>
                <w:lang w:val="fr-CA"/>
              </w:rPr>
              <w:t>parution et résultat</w:t>
            </w:r>
          </w:p>
          <w:p w:rsidR="0095096B" w:rsidRPr="00293EE1" w:rsidRDefault="0095096B" w:rsidP="0095096B">
            <w:pPr>
              <w:rPr>
                <w:rFonts w:cs="Times New Roman"/>
                <w:sz w:val="20"/>
                <w:szCs w:val="20"/>
                <w:lang w:val="fr-CA"/>
              </w:rPr>
            </w:pPr>
          </w:p>
          <w:p w:rsidR="0095096B" w:rsidRPr="00293EE1" w:rsidRDefault="0095096B" w:rsidP="0095096B">
            <w:pPr>
              <w:rPr>
                <w:rFonts w:cs="Times New Roman"/>
                <w:sz w:val="20"/>
                <w:szCs w:val="20"/>
                <w:lang w:val="fr-CA"/>
              </w:rPr>
            </w:pPr>
            <w:r w:rsidRPr="00293EE1">
              <w:rPr>
                <w:rFonts w:cs="Times New Roman"/>
                <w:sz w:val="20"/>
                <w:szCs w:val="20"/>
                <w:lang w:val="fr-CA"/>
              </w:rPr>
              <w:t xml:space="preserve">Jugements rendus sur les appels en </w:t>
            </w:r>
          </w:p>
          <w:p w:rsidR="0095096B" w:rsidRPr="00293EE1" w:rsidRDefault="0095096B" w:rsidP="0095096B">
            <w:pPr>
              <w:rPr>
                <w:rFonts w:cs="Times New Roman"/>
                <w:sz w:val="20"/>
                <w:szCs w:val="20"/>
                <w:lang w:val="fr-CA"/>
              </w:rPr>
            </w:pPr>
            <w:r w:rsidRPr="00293EE1">
              <w:rPr>
                <w:rFonts w:cs="Times New Roman"/>
                <w:sz w:val="20"/>
                <w:szCs w:val="20"/>
                <w:lang w:val="fr-CA"/>
              </w:rPr>
              <w:t>délibéré</w:t>
            </w:r>
          </w:p>
          <w:p w:rsidR="0095096B" w:rsidRPr="00293EE1" w:rsidRDefault="0095096B" w:rsidP="0095096B">
            <w:pPr>
              <w:rPr>
                <w:rFonts w:cs="Times New Roman"/>
                <w:sz w:val="20"/>
                <w:szCs w:val="20"/>
                <w:lang w:val="fr-CA"/>
              </w:rPr>
            </w:pPr>
          </w:p>
          <w:p w:rsidR="0095096B" w:rsidRPr="00293EE1" w:rsidRDefault="0095096B" w:rsidP="0095096B">
            <w:pPr>
              <w:rPr>
                <w:rFonts w:cs="Times New Roman"/>
                <w:sz w:val="20"/>
                <w:szCs w:val="20"/>
                <w:lang w:val="fr-CA"/>
              </w:rPr>
            </w:pPr>
            <w:r w:rsidRPr="00293EE1">
              <w:rPr>
                <w:rFonts w:cs="Times New Roman"/>
                <w:sz w:val="20"/>
                <w:szCs w:val="20"/>
                <w:lang w:val="fr-CA"/>
              </w:rPr>
              <w:t xml:space="preserve">Sommaires de </w:t>
            </w:r>
            <w:r w:rsidR="00C50A5C" w:rsidRPr="00293EE1">
              <w:rPr>
                <w:rFonts w:cs="Times New Roman"/>
                <w:sz w:val="20"/>
                <w:szCs w:val="20"/>
                <w:lang w:val="fr-CA"/>
              </w:rPr>
              <w:t>jugements récents</w:t>
            </w:r>
          </w:p>
          <w:p w:rsidR="00A87207" w:rsidRPr="00293EE1" w:rsidRDefault="00A87207" w:rsidP="004C406B">
            <w:pPr>
              <w:rPr>
                <w:rFonts w:cs="Times New Roman"/>
                <w:sz w:val="20"/>
                <w:szCs w:val="20"/>
                <w:lang w:val="fr-CA"/>
              </w:rPr>
            </w:pPr>
          </w:p>
        </w:tc>
      </w:tr>
    </w:tbl>
    <w:p w:rsidR="0095096B" w:rsidRPr="00293EE1"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B2512D" w:rsidTr="0079724F">
        <w:tc>
          <w:tcPr>
            <w:tcW w:w="9576" w:type="dxa"/>
          </w:tcPr>
          <w:p w:rsidR="0079724F" w:rsidRPr="00293EE1" w:rsidRDefault="0079724F" w:rsidP="00215F7C">
            <w:pPr>
              <w:keepNext/>
              <w:tabs>
                <w:tab w:val="right" w:pos="9360"/>
              </w:tabs>
              <w:jc w:val="center"/>
              <w:rPr>
                <w:szCs w:val="24"/>
              </w:rPr>
            </w:pPr>
            <w:r w:rsidRPr="00293EE1">
              <w:rPr>
                <w:szCs w:val="24"/>
              </w:rPr>
              <w:t>NOTICE</w:t>
            </w:r>
          </w:p>
          <w:p w:rsidR="0079724F" w:rsidRPr="00293EE1" w:rsidRDefault="0079724F" w:rsidP="00215F7C">
            <w:pPr>
              <w:keepNext/>
              <w:tabs>
                <w:tab w:val="right" w:pos="9360"/>
              </w:tabs>
              <w:rPr>
                <w:szCs w:val="24"/>
              </w:rPr>
            </w:pPr>
          </w:p>
          <w:p w:rsidR="0079724F" w:rsidRPr="00293EE1" w:rsidRDefault="0079724F" w:rsidP="00215F7C">
            <w:pPr>
              <w:keepNext/>
              <w:tabs>
                <w:tab w:val="right" w:pos="9360"/>
              </w:tabs>
              <w:jc w:val="both"/>
              <w:rPr>
                <w:szCs w:val="24"/>
              </w:rPr>
            </w:pPr>
            <w:r w:rsidRPr="00293EE1">
              <w:rPr>
                <w:szCs w:val="24"/>
              </w:rPr>
              <w:t>Case summaries included in the Bulletin are prepared by the Office of the Registrar of the Supreme Court of Canada (Law Branch) for information purposes only.</w:t>
            </w:r>
          </w:p>
          <w:p w:rsidR="0079724F" w:rsidRPr="00293EE1" w:rsidRDefault="0079724F" w:rsidP="00215F7C">
            <w:pPr>
              <w:keepNext/>
              <w:tabs>
                <w:tab w:val="right" w:pos="9360"/>
              </w:tabs>
              <w:rPr>
                <w:szCs w:val="24"/>
              </w:rPr>
            </w:pPr>
          </w:p>
          <w:p w:rsidR="0079724F" w:rsidRPr="00293EE1" w:rsidRDefault="0079724F" w:rsidP="00215F7C">
            <w:pPr>
              <w:keepNext/>
              <w:tabs>
                <w:tab w:val="right" w:pos="9360"/>
              </w:tabs>
              <w:rPr>
                <w:szCs w:val="24"/>
              </w:rPr>
            </w:pPr>
          </w:p>
          <w:p w:rsidR="0079724F" w:rsidRPr="00293EE1" w:rsidRDefault="0079724F" w:rsidP="00215F7C">
            <w:pPr>
              <w:keepNext/>
              <w:tabs>
                <w:tab w:val="right" w:pos="9360"/>
              </w:tabs>
              <w:jc w:val="center"/>
              <w:rPr>
                <w:szCs w:val="24"/>
                <w:lang w:val="fr-CA"/>
              </w:rPr>
            </w:pPr>
            <w:r w:rsidRPr="00293EE1">
              <w:rPr>
                <w:szCs w:val="24"/>
                <w:lang w:val="fr-CA"/>
              </w:rPr>
              <w:t>AVIS</w:t>
            </w:r>
          </w:p>
          <w:p w:rsidR="0079724F" w:rsidRPr="00293EE1" w:rsidRDefault="0079724F" w:rsidP="00215F7C">
            <w:pPr>
              <w:keepNext/>
              <w:tabs>
                <w:tab w:val="right" w:pos="9360"/>
              </w:tabs>
              <w:rPr>
                <w:szCs w:val="24"/>
                <w:lang w:val="fr-CA"/>
              </w:rPr>
            </w:pPr>
          </w:p>
          <w:p w:rsidR="0079724F" w:rsidRPr="00293EE1" w:rsidRDefault="0079724F" w:rsidP="00215F7C">
            <w:pPr>
              <w:keepNext/>
              <w:tabs>
                <w:tab w:val="right" w:pos="9360"/>
              </w:tabs>
              <w:jc w:val="both"/>
              <w:rPr>
                <w:sz w:val="20"/>
                <w:szCs w:val="20"/>
                <w:lang w:val="fr-CA"/>
              </w:rPr>
            </w:pPr>
            <w:r w:rsidRPr="00293EE1">
              <w:rPr>
                <w:szCs w:val="24"/>
                <w:lang w:val="fr-CA"/>
              </w:rPr>
              <w:t>Les résumés de dossiers publiés dans le bulletin sont préparés par le Bureau du registraire (Direction générale du droit) uniquement à titre d’information.</w:t>
            </w:r>
          </w:p>
        </w:tc>
      </w:tr>
    </w:tbl>
    <w:p w:rsidR="0095096B" w:rsidRPr="00293EE1" w:rsidRDefault="0095096B" w:rsidP="0095096B">
      <w:pPr>
        <w:tabs>
          <w:tab w:val="right" w:pos="9360"/>
        </w:tabs>
        <w:rPr>
          <w:lang w:val="fr-CA"/>
        </w:rPr>
      </w:pPr>
    </w:p>
    <w:p w:rsidR="00C01FCB" w:rsidRPr="00293EE1" w:rsidRDefault="00C01FCB" w:rsidP="0095096B">
      <w:pPr>
        <w:tabs>
          <w:tab w:val="right" w:pos="9360"/>
        </w:tabs>
        <w:rPr>
          <w:lang w:val="fr-CA"/>
        </w:rPr>
      </w:pPr>
    </w:p>
    <w:p w:rsidR="00C01FCB" w:rsidRPr="00293EE1" w:rsidRDefault="00C01FCB" w:rsidP="0095096B">
      <w:pPr>
        <w:tabs>
          <w:tab w:val="right" w:pos="9360"/>
        </w:tabs>
        <w:rPr>
          <w:lang w:val="fr-CA"/>
        </w:rPr>
      </w:pPr>
    </w:p>
    <w:p w:rsidR="00A87207" w:rsidRPr="00293EE1" w:rsidRDefault="00A87207" w:rsidP="0095096B">
      <w:pPr>
        <w:tabs>
          <w:tab w:val="right" w:pos="9360"/>
        </w:tabs>
        <w:rPr>
          <w:lang w:val="fr-CA"/>
        </w:rPr>
        <w:sectPr w:rsidR="00A87207" w:rsidRPr="00293EE1"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93EE1" w:rsidTr="00245129">
        <w:tc>
          <w:tcPr>
            <w:tcW w:w="4200" w:type="dxa"/>
            <w:shd w:val="clear" w:color="auto" w:fill="auto"/>
            <w:tcMar>
              <w:left w:w="0" w:type="dxa"/>
              <w:right w:w="0" w:type="dxa"/>
            </w:tcMar>
          </w:tcPr>
          <w:p w:rsidR="00A87207" w:rsidRPr="00293EE1" w:rsidRDefault="00A87207" w:rsidP="00BA6468">
            <w:pPr>
              <w:rPr>
                <w:rFonts w:eastAsia="Times New Roman" w:cs="Times New Roman"/>
                <w:b/>
                <w:sz w:val="20"/>
                <w:szCs w:val="20"/>
                <w:lang w:eastAsia="en-CA"/>
              </w:rPr>
            </w:pPr>
            <w:r w:rsidRPr="00293EE1">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93EE1" w:rsidRDefault="00A87207" w:rsidP="002E2327">
            <w:pPr>
              <w:jc w:val="center"/>
              <w:rPr>
                <w:rFonts w:eastAsia="Times New Roman" w:cs="Times New Roman"/>
                <w:b/>
                <w:sz w:val="20"/>
                <w:szCs w:val="20"/>
                <w:lang w:eastAsia="en-CA"/>
              </w:rPr>
            </w:pPr>
          </w:p>
          <w:p w:rsidR="00A87207" w:rsidRPr="00293EE1" w:rsidRDefault="00A87207" w:rsidP="002E2327">
            <w:pPr>
              <w:jc w:val="center"/>
              <w:rPr>
                <w:rFonts w:eastAsia="Times New Roman" w:cs="Times New Roman"/>
                <w:b/>
                <w:sz w:val="20"/>
                <w:szCs w:val="20"/>
                <w:lang w:eastAsia="en-CA"/>
              </w:rPr>
            </w:pPr>
          </w:p>
          <w:p w:rsidR="00A87207" w:rsidRPr="00293EE1"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93EE1" w:rsidRDefault="00A87207" w:rsidP="00A87207">
            <w:pPr>
              <w:rPr>
                <w:rFonts w:eastAsia="Times New Roman" w:cs="Times New Roman"/>
                <w:b/>
                <w:sz w:val="20"/>
                <w:szCs w:val="20"/>
                <w:lang w:val="fr-CA" w:eastAsia="en-CA"/>
              </w:rPr>
            </w:pPr>
            <w:r w:rsidRPr="00293EE1">
              <w:rPr>
                <w:rFonts w:eastAsia="Times New Roman" w:cs="Times New Roman"/>
                <w:b/>
                <w:szCs w:val="20"/>
                <w:lang w:val="fr-CA" w:eastAsia="en-CA"/>
              </w:rPr>
              <w:t>DEMANDES D’AUTORISATION D’APPEL DÉPOSÉES</w:t>
            </w:r>
          </w:p>
        </w:tc>
      </w:tr>
    </w:tbl>
    <w:p w:rsidR="00A87207" w:rsidRPr="00293EE1"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293EE1" w:rsidTr="003B3977">
        <w:tc>
          <w:tcPr>
            <w:tcW w:w="4320" w:type="dxa"/>
            <w:shd w:val="clear" w:color="auto" w:fill="auto"/>
          </w:tcPr>
          <w:p w:rsidR="002F10B3" w:rsidRPr="00293EE1" w:rsidRDefault="00C92DD5" w:rsidP="005F1ED8">
            <w:pPr>
              <w:rPr>
                <w:b/>
                <w:sz w:val="20"/>
                <w:szCs w:val="20"/>
              </w:rPr>
            </w:pPr>
            <w:r w:rsidRPr="00293EE1">
              <w:rPr>
                <w:b/>
                <w:sz w:val="20"/>
                <w:szCs w:val="20"/>
              </w:rPr>
              <w:t>Placid Inc.</w:t>
            </w:r>
          </w:p>
          <w:p w:rsidR="00C92DD5" w:rsidRPr="00293EE1" w:rsidRDefault="00C92DD5" w:rsidP="005F1ED8">
            <w:pPr>
              <w:rPr>
                <w:sz w:val="20"/>
                <w:szCs w:val="20"/>
              </w:rPr>
            </w:pPr>
            <w:r w:rsidRPr="00293EE1">
              <w:rPr>
                <w:b/>
                <w:sz w:val="20"/>
                <w:szCs w:val="20"/>
              </w:rPr>
              <w:tab/>
            </w:r>
            <w:r w:rsidRPr="00293EE1">
              <w:rPr>
                <w:sz w:val="20"/>
                <w:szCs w:val="20"/>
              </w:rPr>
              <w:t>Placid Inc.</w:t>
            </w:r>
          </w:p>
          <w:p w:rsidR="00C92DD5" w:rsidRPr="00293EE1" w:rsidRDefault="00C92DD5" w:rsidP="005F1ED8">
            <w:pPr>
              <w:rPr>
                <w:b/>
                <w:sz w:val="20"/>
                <w:szCs w:val="20"/>
              </w:rPr>
            </w:pPr>
          </w:p>
          <w:p w:rsidR="00C92DD5" w:rsidRPr="00293EE1" w:rsidRDefault="00C92DD5" w:rsidP="005F1ED8">
            <w:pPr>
              <w:rPr>
                <w:sz w:val="20"/>
                <w:szCs w:val="20"/>
              </w:rPr>
            </w:pPr>
            <w:r w:rsidRPr="00293EE1">
              <w:rPr>
                <w:b/>
                <w:sz w:val="20"/>
                <w:szCs w:val="20"/>
              </w:rPr>
              <w:tab/>
            </w:r>
            <w:r w:rsidRPr="00293EE1">
              <w:rPr>
                <w:sz w:val="20"/>
                <w:szCs w:val="20"/>
              </w:rPr>
              <w:t>v. (37558)</w:t>
            </w:r>
          </w:p>
          <w:p w:rsidR="00C92DD5" w:rsidRPr="00293EE1" w:rsidRDefault="00C92DD5" w:rsidP="005F1ED8">
            <w:pPr>
              <w:rPr>
                <w:b/>
                <w:sz w:val="20"/>
                <w:szCs w:val="20"/>
              </w:rPr>
            </w:pPr>
          </w:p>
          <w:p w:rsidR="00C92DD5" w:rsidRPr="00293EE1" w:rsidRDefault="00C92DD5" w:rsidP="005F1ED8">
            <w:pPr>
              <w:rPr>
                <w:b/>
                <w:sz w:val="20"/>
                <w:szCs w:val="20"/>
              </w:rPr>
            </w:pPr>
            <w:r w:rsidRPr="00293EE1">
              <w:rPr>
                <w:b/>
                <w:sz w:val="20"/>
                <w:szCs w:val="20"/>
              </w:rPr>
              <w:t>Seven Oaks General Hospital (Man.)</w:t>
            </w:r>
          </w:p>
          <w:p w:rsidR="00C92DD5" w:rsidRPr="00293EE1" w:rsidRDefault="00C92DD5" w:rsidP="005F1ED8">
            <w:pPr>
              <w:rPr>
                <w:sz w:val="20"/>
                <w:szCs w:val="20"/>
              </w:rPr>
            </w:pPr>
            <w:r w:rsidRPr="00293EE1">
              <w:rPr>
                <w:b/>
                <w:sz w:val="20"/>
                <w:szCs w:val="20"/>
              </w:rPr>
              <w:tab/>
            </w:r>
            <w:r w:rsidRPr="00293EE1">
              <w:rPr>
                <w:sz w:val="20"/>
                <w:szCs w:val="20"/>
              </w:rPr>
              <w:t>Daniel P. Ryall</w:t>
            </w:r>
          </w:p>
          <w:p w:rsidR="00C92DD5" w:rsidRPr="00293EE1" w:rsidRDefault="00C92DD5" w:rsidP="005F1ED8">
            <w:pPr>
              <w:rPr>
                <w:sz w:val="20"/>
                <w:szCs w:val="20"/>
              </w:rPr>
            </w:pPr>
            <w:r w:rsidRPr="00293EE1">
              <w:rPr>
                <w:sz w:val="20"/>
                <w:szCs w:val="20"/>
              </w:rPr>
              <w:tab/>
            </w:r>
            <w:proofErr w:type="spellStart"/>
            <w:r w:rsidRPr="00293EE1">
              <w:rPr>
                <w:sz w:val="20"/>
                <w:szCs w:val="20"/>
              </w:rPr>
              <w:t>Winiipeg</w:t>
            </w:r>
            <w:proofErr w:type="spellEnd"/>
            <w:r w:rsidRPr="00293EE1">
              <w:rPr>
                <w:sz w:val="20"/>
                <w:szCs w:val="20"/>
              </w:rPr>
              <w:t xml:space="preserve"> Regional Health Authority</w:t>
            </w:r>
          </w:p>
          <w:p w:rsidR="002F10B3" w:rsidRPr="00293EE1" w:rsidRDefault="002F10B3" w:rsidP="005F1ED8">
            <w:pPr>
              <w:rPr>
                <w:b/>
                <w:sz w:val="20"/>
                <w:szCs w:val="20"/>
              </w:rPr>
            </w:pPr>
          </w:p>
          <w:p w:rsidR="00C21644" w:rsidRPr="00293EE1" w:rsidRDefault="00C21644" w:rsidP="005F1ED8">
            <w:pPr>
              <w:rPr>
                <w:sz w:val="20"/>
                <w:szCs w:val="20"/>
              </w:rPr>
            </w:pPr>
            <w:r w:rsidRPr="00293EE1">
              <w:rPr>
                <w:sz w:val="20"/>
                <w:szCs w:val="20"/>
              </w:rPr>
              <w:t xml:space="preserve">FILING DATE: </w:t>
            </w:r>
            <w:r w:rsidR="00966CF4" w:rsidRPr="00293EE1">
              <w:rPr>
                <w:sz w:val="20"/>
                <w:szCs w:val="20"/>
              </w:rPr>
              <w:t>24.10.2016</w:t>
            </w:r>
          </w:p>
          <w:p w:rsidR="00C21644" w:rsidRPr="00293EE1" w:rsidRDefault="00B2512D" w:rsidP="005F1ED8">
            <w:pPr>
              <w:rPr>
                <w:sz w:val="20"/>
                <w:szCs w:val="20"/>
                <w:lang w:val="fr-CA"/>
              </w:rPr>
            </w:pPr>
            <w:r>
              <w:rPr>
                <w:sz w:val="20"/>
                <w:szCs w:val="20"/>
                <w:lang w:val="fr-CA"/>
              </w:rPr>
              <w:pict>
                <v:rect id="_x0000_i1025" style="width:108pt;height:1pt" o:hrpct="0" o:hralign="center" o:hrstd="t" o:hrnoshade="t" o:hr="t" fillcolor="black [3213]" stroked="f"/>
              </w:pict>
            </w:r>
          </w:p>
          <w:p w:rsidR="00966CF4" w:rsidRPr="00293EE1" w:rsidRDefault="00966CF4" w:rsidP="005F1ED8">
            <w:pPr>
              <w:rPr>
                <w:sz w:val="20"/>
                <w:szCs w:val="20"/>
              </w:rPr>
            </w:pPr>
          </w:p>
        </w:tc>
        <w:tc>
          <w:tcPr>
            <w:tcW w:w="1181" w:type="dxa"/>
            <w:shd w:val="clear" w:color="auto" w:fill="auto"/>
          </w:tcPr>
          <w:p w:rsidR="00C21644" w:rsidRPr="00293EE1" w:rsidRDefault="00C21644" w:rsidP="00242AEE">
            <w:pPr>
              <w:jc w:val="center"/>
              <w:rPr>
                <w:sz w:val="20"/>
                <w:szCs w:val="20"/>
              </w:rPr>
            </w:pPr>
          </w:p>
        </w:tc>
        <w:tc>
          <w:tcPr>
            <w:tcW w:w="4320" w:type="dxa"/>
            <w:shd w:val="clear" w:color="auto" w:fill="auto"/>
          </w:tcPr>
          <w:p w:rsidR="00C21644" w:rsidRPr="00293EE1" w:rsidRDefault="00966CF4" w:rsidP="002F10B3">
            <w:pPr>
              <w:rPr>
                <w:b/>
                <w:sz w:val="20"/>
                <w:szCs w:val="20"/>
                <w:lang w:val="fr-CA"/>
              </w:rPr>
            </w:pPr>
            <w:r w:rsidRPr="00293EE1">
              <w:rPr>
                <w:b/>
                <w:sz w:val="20"/>
                <w:szCs w:val="20"/>
                <w:lang w:val="fr-CA"/>
              </w:rPr>
              <w:t xml:space="preserve">Gilles </w:t>
            </w:r>
            <w:proofErr w:type="spellStart"/>
            <w:r w:rsidRPr="00293EE1">
              <w:rPr>
                <w:b/>
                <w:sz w:val="20"/>
                <w:szCs w:val="20"/>
                <w:lang w:val="fr-CA"/>
              </w:rPr>
              <w:t>Patenaude</w:t>
            </w:r>
            <w:proofErr w:type="spellEnd"/>
          </w:p>
          <w:p w:rsidR="00966CF4" w:rsidRPr="00293EE1" w:rsidRDefault="00966CF4" w:rsidP="002F10B3">
            <w:pPr>
              <w:rPr>
                <w:sz w:val="20"/>
                <w:szCs w:val="20"/>
                <w:lang w:val="fr-CA"/>
              </w:rPr>
            </w:pPr>
            <w:r w:rsidRPr="00293EE1">
              <w:rPr>
                <w:b/>
                <w:sz w:val="20"/>
                <w:szCs w:val="20"/>
                <w:lang w:val="fr-CA"/>
              </w:rPr>
              <w:tab/>
            </w:r>
            <w:r w:rsidRPr="00293EE1">
              <w:rPr>
                <w:sz w:val="20"/>
                <w:szCs w:val="20"/>
                <w:lang w:val="fr-CA"/>
              </w:rPr>
              <w:t xml:space="preserve">Gilles </w:t>
            </w:r>
            <w:proofErr w:type="spellStart"/>
            <w:r w:rsidRPr="00293EE1">
              <w:rPr>
                <w:sz w:val="20"/>
                <w:szCs w:val="20"/>
                <w:lang w:val="fr-CA"/>
              </w:rPr>
              <w:t>Patenaude</w:t>
            </w:r>
            <w:proofErr w:type="spellEnd"/>
          </w:p>
          <w:p w:rsidR="00966CF4" w:rsidRPr="00293EE1" w:rsidRDefault="00966CF4" w:rsidP="002F10B3">
            <w:pPr>
              <w:rPr>
                <w:sz w:val="20"/>
                <w:szCs w:val="20"/>
                <w:lang w:val="fr-CA"/>
              </w:rPr>
            </w:pPr>
          </w:p>
          <w:p w:rsidR="00966CF4" w:rsidRPr="00293EE1" w:rsidRDefault="00966CF4" w:rsidP="002F10B3">
            <w:pPr>
              <w:rPr>
                <w:sz w:val="20"/>
                <w:szCs w:val="20"/>
                <w:lang w:val="fr-CA"/>
              </w:rPr>
            </w:pPr>
            <w:r w:rsidRPr="00293EE1">
              <w:rPr>
                <w:sz w:val="20"/>
                <w:szCs w:val="20"/>
                <w:lang w:val="fr-CA"/>
              </w:rPr>
              <w:tab/>
              <w:t>c. (37560)</w:t>
            </w:r>
          </w:p>
          <w:p w:rsidR="00966CF4" w:rsidRPr="00293EE1" w:rsidRDefault="00966CF4" w:rsidP="002F10B3">
            <w:pPr>
              <w:rPr>
                <w:sz w:val="20"/>
                <w:szCs w:val="20"/>
                <w:lang w:val="fr-CA"/>
              </w:rPr>
            </w:pPr>
          </w:p>
          <w:p w:rsidR="00966CF4" w:rsidRPr="00293EE1" w:rsidRDefault="00966CF4" w:rsidP="002F10B3">
            <w:pPr>
              <w:rPr>
                <w:b/>
                <w:sz w:val="20"/>
                <w:szCs w:val="20"/>
                <w:lang w:val="fr-CA"/>
              </w:rPr>
            </w:pPr>
            <w:r w:rsidRPr="00293EE1">
              <w:rPr>
                <w:b/>
                <w:sz w:val="20"/>
                <w:szCs w:val="20"/>
                <w:lang w:val="fr-CA"/>
              </w:rPr>
              <w:t>Ville de Longueuil (</w:t>
            </w:r>
            <w:proofErr w:type="spellStart"/>
            <w:r w:rsidRPr="00293EE1">
              <w:rPr>
                <w:b/>
                <w:sz w:val="20"/>
                <w:szCs w:val="20"/>
                <w:lang w:val="fr-CA"/>
              </w:rPr>
              <w:t>Qc</w:t>
            </w:r>
            <w:proofErr w:type="spellEnd"/>
            <w:r w:rsidRPr="00293EE1">
              <w:rPr>
                <w:b/>
                <w:sz w:val="20"/>
                <w:szCs w:val="20"/>
                <w:lang w:val="fr-CA"/>
              </w:rPr>
              <w:t>)</w:t>
            </w:r>
          </w:p>
          <w:p w:rsidR="00966CF4" w:rsidRPr="00293EE1" w:rsidRDefault="00966CF4" w:rsidP="002F10B3">
            <w:pPr>
              <w:rPr>
                <w:sz w:val="20"/>
                <w:szCs w:val="20"/>
                <w:lang w:val="fr-CA"/>
              </w:rPr>
            </w:pPr>
            <w:r w:rsidRPr="00293EE1">
              <w:rPr>
                <w:b/>
                <w:sz w:val="20"/>
                <w:szCs w:val="20"/>
                <w:lang w:val="fr-CA"/>
              </w:rPr>
              <w:tab/>
            </w:r>
            <w:r w:rsidRPr="00293EE1">
              <w:rPr>
                <w:sz w:val="20"/>
                <w:szCs w:val="20"/>
                <w:lang w:val="fr-CA"/>
              </w:rPr>
              <w:t>Isabelle Montpetit</w:t>
            </w:r>
          </w:p>
          <w:p w:rsidR="00966CF4" w:rsidRPr="00293EE1" w:rsidRDefault="00966CF4" w:rsidP="002F10B3">
            <w:pPr>
              <w:rPr>
                <w:sz w:val="20"/>
                <w:szCs w:val="20"/>
                <w:lang w:val="fr-CA"/>
              </w:rPr>
            </w:pPr>
            <w:r w:rsidRPr="00293EE1">
              <w:rPr>
                <w:sz w:val="20"/>
                <w:szCs w:val="20"/>
                <w:lang w:val="fr-CA"/>
              </w:rPr>
              <w:tab/>
              <w:t xml:space="preserve">Ville de Longueuil </w:t>
            </w:r>
          </w:p>
          <w:p w:rsidR="00966CF4" w:rsidRPr="00293EE1" w:rsidRDefault="00966CF4" w:rsidP="002F10B3">
            <w:pPr>
              <w:rPr>
                <w:sz w:val="20"/>
                <w:szCs w:val="20"/>
                <w:lang w:val="fr-CA"/>
              </w:rPr>
            </w:pPr>
          </w:p>
          <w:p w:rsidR="00966CF4" w:rsidRPr="00293EE1" w:rsidRDefault="00966CF4" w:rsidP="002F10B3">
            <w:pPr>
              <w:rPr>
                <w:sz w:val="20"/>
                <w:szCs w:val="20"/>
                <w:lang w:val="fr-CA"/>
              </w:rPr>
            </w:pPr>
            <w:r w:rsidRPr="00293EE1">
              <w:rPr>
                <w:sz w:val="20"/>
                <w:szCs w:val="20"/>
                <w:lang w:val="fr-CA"/>
              </w:rPr>
              <w:t>DATE DE PRODUCTION : 09.05.2017</w:t>
            </w:r>
          </w:p>
          <w:p w:rsidR="00966CF4" w:rsidRPr="00293EE1" w:rsidRDefault="00B2512D" w:rsidP="002F10B3">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293EE1" w:rsidTr="003B3977">
        <w:tc>
          <w:tcPr>
            <w:tcW w:w="4320" w:type="dxa"/>
            <w:shd w:val="clear" w:color="auto" w:fill="auto"/>
          </w:tcPr>
          <w:p w:rsidR="00C21644" w:rsidRPr="00293EE1" w:rsidRDefault="00966CF4" w:rsidP="003B3977">
            <w:pPr>
              <w:rPr>
                <w:b/>
                <w:sz w:val="20"/>
                <w:szCs w:val="20"/>
              </w:rPr>
            </w:pPr>
            <w:r w:rsidRPr="00293EE1">
              <w:rPr>
                <w:b/>
                <w:sz w:val="20"/>
                <w:szCs w:val="20"/>
              </w:rPr>
              <w:t xml:space="preserve">Neil Craig </w:t>
            </w:r>
            <w:proofErr w:type="spellStart"/>
            <w:r w:rsidRPr="00293EE1">
              <w:rPr>
                <w:b/>
                <w:sz w:val="20"/>
                <w:szCs w:val="20"/>
              </w:rPr>
              <w:t>Vezey</w:t>
            </w:r>
            <w:proofErr w:type="spellEnd"/>
            <w:r w:rsidRPr="00293EE1">
              <w:rPr>
                <w:b/>
                <w:sz w:val="20"/>
                <w:szCs w:val="20"/>
              </w:rPr>
              <w:t xml:space="preserve"> </w:t>
            </w:r>
            <w:proofErr w:type="spellStart"/>
            <w:r w:rsidRPr="00293EE1">
              <w:rPr>
                <w:b/>
                <w:sz w:val="20"/>
                <w:szCs w:val="20"/>
              </w:rPr>
              <w:t>Rooker</w:t>
            </w:r>
            <w:proofErr w:type="spellEnd"/>
          </w:p>
          <w:p w:rsidR="00966CF4" w:rsidRPr="00293EE1" w:rsidRDefault="00966CF4" w:rsidP="003B3977">
            <w:pPr>
              <w:rPr>
                <w:sz w:val="20"/>
                <w:szCs w:val="20"/>
              </w:rPr>
            </w:pPr>
            <w:r w:rsidRPr="00293EE1">
              <w:rPr>
                <w:b/>
                <w:sz w:val="20"/>
                <w:szCs w:val="20"/>
              </w:rPr>
              <w:tab/>
            </w:r>
            <w:r w:rsidRPr="00293EE1">
              <w:rPr>
                <w:sz w:val="20"/>
                <w:szCs w:val="20"/>
              </w:rPr>
              <w:t>Michael</w:t>
            </w:r>
            <w:r w:rsidR="00204C45" w:rsidRPr="00293EE1">
              <w:rPr>
                <w:sz w:val="20"/>
                <w:szCs w:val="20"/>
              </w:rPr>
              <w:t xml:space="preserve"> </w:t>
            </w:r>
            <w:proofErr w:type="spellStart"/>
            <w:r w:rsidR="00204C45" w:rsidRPr="00293EE1">
              <w:rPr>
                <w:sz w:val="20"/>
                <w:szCs w:val="20"/>
              </w:rPr>
              <w:t>Ghert</w:t>
            </w:r>
            <w:proofErr w:type="spellEnd"/>
          </w:p>
          <w:p w:rsidR="00204C45" w:rsidRPr="00293EE1" w:rsidRDefault="00204C45" w:rsidP="003B3977">
            <w:pPr>
              <w:rPr>
                <w:sz w:val="20"/>
                <w:szCs w:val="20"/>
              </w:rPr>
            </w:pPr>
            <w:r w:rsidRPr="00293EE1">
              <w:rPr>
                <w:sz w:val="20"/>
                <w:szCs w:val="20"/>
              </w:rPr>
              <w:tab/>
            </w:r>
            <w:proofErr w:type="spellStart"/>
            <w:r w:rsidRPr="00293EE1">
              <w:rPr>
                <w:sz w:val="20"/>
                <w:szCs w:val="20"/>
              </w:rPr>
              <w:t>Daunais</w:t>
            </w:r>
            <w:proofErr w:type="spellEnd"/>
            <w:r w:rsidRPr="00293EE1">
              <w:rPr>
                <w:sz w:val="20"/>
                <w:szCs w:val="20"/>
              </w:rPr>
              <w:t xml:space="preserve"> McKay and Harms</w:t>
            </w:r>
          </w:p>
          <w:p w:rsidR="00204C45" w:rsidRPr="00293EE1" w:rsidRDefault="00204C45" w:rsidP="003B3977">
            <w:pPr>
              <w:rPr>
                <w:sz w:val="20"/>
                <w:szCs w:val="20"/>
              </w:rPr>
            </w:pPr>
          </w:p>
          <w:p w:rsidR="00204C45" w:rsidRPr="00293EE1" w:rsidRDefault="00204C45" w:rsidP="003B3977">
            <w:pPr>
              <w:rPr>
                <w:sz w:val="20"/>
                <w:szCs w:val="20"/>
                <w:lang w:val="en-US"/>
              </w:rPr>
            </w:pPr>
            <w:r w:rsidRPr="00293EE1">
              <w:rPr>
                <w:sz w:val="20"/>
                <w:szCs w:val="20"/>
              </w:rPr>
              <w:tab/>
            </w:r>
            <w:r w:rsidRPr="00293EE1">
              <w:rPr>
                <w:sz w:val="20"/>
                <w:szCs w:val="20"/>
                <w:lang w:val="en-US"/>
              </w:rPr>
              <w:t>v. (37563)</w:t>
            </w:r>
          </w:p>
          <w:p w:rsidR="00204C45" w:rsidRPr="00293EE1" w:rsidRDefault="00204C45" w:rsidP="003B3977">
            <w:pPr>
              <w:rPr>
                <w:sz w:val="20"/>
                <w:szCs w:val="20"/>
                <w:lang w:val="en-US"/>
              </w:rPr>
            </w:pPr>
          </w:p>
          <w:p w:rsidR="00204C45" w:rsidRPr="00293EE1" w:rsidRDefault="00204C45" w:rsidP="003B3977">
            <w:pPr>
              <w:rPr>
                <w:b/>
                <w:sz w:val="20"/>
                <w:szCs w:val="20"/>
                <w:lang w:val="en-US"/>
              </w:rPr>
            </w:pPr>
            <w:r w:rsidRPr="00293EE1">
              <w:rPr>
                <w:b/>
                <w:sz w:val="20"/>
                <w:szCs w:val="20"/>
                <w:lang w:val="en-US"/>
              </w:rPr>
              <w:t xml:space="preserve">Cindy Elise </w:t>
            </w:r>
            <w:proofErr w:type="spellStart"/>
            <w:r w:rsidRPr="00293EE1">
              <w:rPr>
                <w:b/>
                <w:sz w:val="20"/>
                <w:szCs w:val="20"/>
                <w:lang w:val="en-US"/>
              </w:rPr>
              <w:t>Rooker</w:t>
            </w:r>
            <w:proofErr w:type="spellEnd"/>
            <w:r w:rsidRPr="00293EE1">
              <w:rPr>
                <w:b/>
                <w:sz w:val="20"/>
                <w:szCs w:val="20"/>
                <w:lang w:val="en-US"/>
              </w:rPr>
              <w:t xml:space="preserve"> (Alta.)</w:t>
            </w:r>
          </w:p>
          <w:p w:rsidR="00204C45" w:rsidRPr="00293EE1" w:rsidRDefault="00204C45" w:rsidP="003B3977">
            <w:pPr>
              <w:rPr>
                <w:sz w:val="20"/>
                <w:szCs w:val="20"/>
                <w:lang w:val="en-US"/>
              </w:rPr>
            </w:pPr>
            <w:r w:rsidRPr="00293EE1">
              <w:rPr>
                <w:sz w:val="20"/>
                <w:szCs w:val="20"/>
                <w:lang w:val="en-US"/>
              </w:rPr>
              <w:tab/>
              <w:t xml:space="preserve">Laura H. </w:t>
            </w:r>
            <w:proofErr w:type="spellStart"/>
            <w:r w:rsidRPr="00293EE1">
              <w:rPr>
                <w:sz w:val="20"/>
                <w:szCs w:val="20"/>
                <w:lang w:val="en-US"/>
              </w:rPr>
              <w:t>Bruyer</w:t>
            </w:r>
            <w:proofErr w:type="spellEnd"/>
          </w:p>
          <w:p w:rsidR="00204C45" w:rsidRPr="00293EE1" w:rsidRDefault="00204C45" w:rsidP="003B3977">
            <w:pPr>
              <w:rPr>
                <w:sz w:val="20"/>
                <w:szCs w:val="20"/>
                <w:lang w:val="fr-CA"/>
              </w:rPr>
            </w:pPr>
            <w:r w:rsidRPr="00293EE1">
              <w:rPr>
                <w:sz w:val="20"/>
                <w:szCs w:val="20"/>
                <w:lang w:val="en-US"/>
              </w:rPr>
              <w:tab/>
            </w:r>
            <w:r w:rsidRPr="00293EE1">
              <w:rPr>
                <w:sz w:val="20"/>
                <w:szCs w:val="20"/>
                <w:lang w:val="fr-CA"/>
              </w:rPr>
              <w:t xml:space="preserve">Gordon </w:t>
            </w:r>
            <w:proofErr w:type="spellStart"/>
            <w:r w:rsidRPr="00293EE1">
              <w:rPr>
                <w:sz w:val="20"/>
                <w:szCs w:val="20"/>
                <w:lang w:val="fr-CA"/>
              </w:rPr>
              <w:t>Zwaenepoel</w:t>
            </w:r>
            <w:proofErr w:type="spellEnd"/>
          </w:p>
          <w:p w:rsidR="007628C7" w:rsidRPr="00293EE1" w:rsidRDefault="007628C7" w:rsidP="003B3977">
            <w:pPr>
              <w:rPr>
                <w:sz w:val="20"/>
                <w:szCs w:val="20"/>
                <w:lang w:val="fr-CA"/>
              </w:rPr>
            </w:pPr>
          </w:p>
          <w:p w:rsidR="007628C7" w:rsidRPr="00293EE1" w:rsidRDefault="007628C7" w:rsidP="003B3977">
            <w:pPr>
              <w:rPr>
                <w:sz w:val="20"/>
                <w:szCs w:val="20"/>
                <w:lang w:val="fr-CA"/>
              </w:rPr>
            </w:pPr>
            <w:r w:rsidRPr="00293EE1">
              <w:rPr>
                <w:sz w:val="20"/>
                <w:szCs w:val="20"/>
                <w:lang w:val="fr-CA"/>
              </w:rPr>
              <w:t>FILING DATE : 15.05.2017</w:t>
            </w:r>
          </w:p>
          <w:p w:rsidR="00204C45" w:rsidRPr="00293EE1" w:rsidRDefault="00B2512D" w:rsidP="003B3977">
            <w:pPr>
              <w:rPr>
                <w:sz w:val="20"/>
                <w:szCs w:val="20"/>
                <w:lang w:val="fr-CA"/>
              </w:rPr>
            </w:pPr>
            <w:r>
              <w:rPr>
                <w:sz w:val="20"/>
                <w:szCs w:val="20"/>
                <w:lang w:val="fr-CA"/>
              </w:rPr>
              <w:pict>
                <v:rect id="_x0000_i1027" style="width:108pt;height:1pt" o:hrpct="0" o:hralign="center" o:hrstd="t" o:hrnoshade="t" o:hr="t" fillcolor="black [3213]" stroked="f"/>
              </w:pict>
            </w:r>
          </w:p>
          <w:p w:rsidR="007628C7" w:rsidRPr="00293EE1" w:rsidRDefault="007628C7" w:rsidP="003B3977">
            <w:pPr>
              <w:rPr>
                <w:sz w:val="20"/>
                <w:szCs w:val="20"/>
                <w:lang w:val="fr-CA"/>
              </w:rPr>
            </w:pPr>
          </w:p>
        </w:tc>
        <w:tc>
          <w:tcPr>
            <w:tcW w:w="1181" w:type="dxa"/>
            <w:shd w:val="clear" w:color="auto" w:fill="auto"/>
          </w:tcPr>
          <w:p w:rsidR="00C21644" w:rsidRPr="00293EE1" w:rsidRDefault="00C21644" w:rsidP="00242AEE">
            <w:pPr>
              <w:jc w:val="center"/>
              <w:rPr>
                <w:sz w:val="20"/>
                <w:szCs w:val="20"/>
                <w:lang w:val="fr-CA"/>
              </w:rPr>
            </w:pPr>
          </w:p>
        </w:tc>
        <w:tc>
          <w:tcPr>
            <w:tcW w:w="4320" w:type="dxa"/>
            <w:shd w:val="clear" w:color="auto" w:fill="auto"/>
          </w:tcPr>
          <w:p w:rsidR="00C21644" w:rsidRPr="00293EE1" w:rsidRDefault="007628C7" w:rsidP="002F10B3">
            <w:pPr>
              <w:rPr>
                <w:b/>
                <w:sz w:val="20"/>
                <w:szCs w:val="20"/>
                <w:lang w:val="en-US"/>
              </w:rPr>
            </w:pPr>
            <w:r w:rsidRPr="00293EE1">
              <w:rPr>
                <w:b/>
                <w:sz w:val="20"/>
                <w:szCs w:val="20"/>
                <w:lang w:val="en-US"/>
              </w:rPr>
              <w:t>Elizabeth Bernard</w:t>
            </w:r>
          </w:p>
          <w:p w:rsidR="007628C7" w:rsidRPr="00293EE1" w:rsidRDefault="007628C7" w:rsidP="002F10B3">
            <w:pPr>
              <w:rPr>
                <w:sz w:val="20"/>
                <w:szCs w:val="20"/>
                <w:lang w:val="en-US"/>
              </w:rPr>
            </w:pPr>
            <w:r w:rsidRPr="00293EE1">
              <w:rPr>
                <w:b/>
                <w:sz w:val="20"/>
                <w:szCs w:val="20"/>
                <w:lang w:val="en-US"/>
              </w:rPr>
              <w:tab/>
            </w:r>
            <w:r w:rsidRPr="00293EE1">
              <w:rPr>
                <w:sz w:val="20"/>
                <w:szCs w:val="20"/>
                <w:lang w:val="en-US"/>
              </w:rPr>
              <w:t>Elizabeth Bernard</w:t>
            </w:r>
          </w:p>
          <w:p w:rsidR="007628C7" w:rsidRPr="00293EE1" w:rsidRDefault="007628C7" w:rsidP="002F10B3">
            <w:pPr>
              <w:rPr>
                <w:sz w:val="20"/>
                <w:szCs w:val="20"/>
                <w:lang w:val="en-US"/>
              </w:rPr>
            </w:pPr>
          </w:p>
          <w:p w:rsidR="007628C7" w:rsidRPr="00293EE1" w:rsidRDefault="007628C7" w:rsidP="002F10B3">
            <w:pPr>
              <w:rPr>
                <w:sz w:val="20"/>
                <w:szCs w:val="20"/>
                <w:lang w:val="en-US"/>
              </w:rPr>
            </w:pPr>
            <w:r w:rsidRPr="00293EE1">
              <w:rPr>
                <w:sz w:val="20"/>
                <w:szCs w:val="20"/>
                <w:lang w:val="en-US"/>
              </w:rPr>
              <w:tab/>
              <w:t>v. (37575)</w:t>
            </w:r>
          </w:p>
          <w:p w:rsidR="007628C7" w:rsidRPr="00293EE1" w:rsidRDefault="007628C7" w:rsidP="002F10B3">
            <w:pPr>
              <w:rPr>
                <w:sz w:val="20"/>
                <w:szCs w:val="20"/>
                <w:lang w:val="en-US"/>
              </w:rPr>
            </w:pPr>
          </w:p>
          <w:p w:rsidR="007628C7" w:rsidRPr="00293EE1" w:rsidRDefault="007628C7" w:rsidP="002F10B3">
            <w:pPr>
              <w:rPr>
                <w:b/>
                <w:sz w:val="20"/>
                <w:szCs w:val="20"/>
                <w:lang w:val="fr-CA"/>
              </w:rPr>
            </w:pPr>
            <w:r w:rsidRPr="00293EE1">
              <w:rPr>
                <w:b/>
                <w:sz w:val="20"/>
                <w:szCs w:val="20"/>
                <w:lang w:val="fr-CA"/>
              </w:rPr>
              <w:t>Cecilia Close et al. (F.C.)</w:t>
            </w:r>
          </w:p>
          <w:p w:rsidR="007628C7" w:rsidRPr="00293EE1" w:rsidRDefault="007628C7" w:rsidP="002F10B3">
            <w:pPr>
              <w:rPr>
                <w:sz w:val="20"/>
                <w:szCs w:val="20"/>
                <w:lang w:val="en-US"/>
              </w:rPr>
            </w:pPr>
            <w:r w:rsidRPr="00293EE1">
              <w:rPr>
                <w:sz w:val="20"/>
                <w:szCs w:val="20"/>
                <w:lang w:val="fr-CA"/>
              </w:rPr>
              <w:tab/>
            </w:r>
            <w:r w:rsidRPr="00293EE1">
              <w:rPr>
                <w:sz w:val="20"/>
                <w:szCs w:val="20"/>
                <w:lang w:val="en-US"/>
              </w:rPr>
              <w:t xml:space="preserve">Patricia H. </w:t>
            </w:r>
            <w:proofErr w:type="spellStart"/>
            <w:r w:rsidRPr="00293EE1">
              <w:rPr>
                <w:sz w:val="20"/>
                <w:szCs w:val="20"/>
                <w:lang w:val="en-US"/>
              </w:rPr>
              <w:t>Harewood</w:t>
            </w:r>
            <w:proofErr w:type="spellEnd"/>
            <w:r w:rsidRPr="00293EE1">
              <w:rPr>
                <w:sz w:val="20"/>
                <w:szCs w:val="20"/>
                <w:lang w:val="en-US"/>
              </w:rPr>
              <w:t xml:space="preserve"> </w:t>
            </w:r>
          </w:p>
          <w:p w:rsidR="007628C7" w:rsidRPr="00293EE1" w:rsidRDefault="007628C7" w:rsidP="002F10B3">
            <w:pPr>
              <w:rPr>
                <w:sz w:val="20"/>
                <w:szCs w:val="20"/>
                <w:lang w:val="en-US"/>
              </w:rPr>
            </w:pPr>
            <w:r w:rsidRPr="00293EE1">
              <w:rPr>
                <w:sz w:val="20"/>
                <w:szCs w:val="20"/>
                <w:lang w:val="en-US"/>
              </w:rPr>
              <w:tab/>
              <w:t>Public Service Alliance of Canada</w:t>
            </w:r>
          </w:p>
          <w:p w:rsidR="007628C7" w:rsidRPr="00293EE1" w:rsidRDefault="007628C7" w:rsidP="002F10B3">
            <w:pPr>
              <w:rPr>
                <w:sz w:val="20"/>
                <w:szCs w:val="20"/>
                <w:lang w:val="en-US"/>
              </w:rPr>
            </w:pPr>
          </w:p>
          <w:p w:rsidR="007628C7" w:rsidRPr="00293EE1" w:rsidRDefault="007628C7" w:rsidP="002F10B3">
            <w:pPr>
              <w:rPr>
                <w:sz w:val="20"/>
                <w:szCs w:val="20"/>
                <w:lang w:val="fr-CA"/>
              </w:rPr>
            </w:pPr>
            <w:r w:rsidRPr="00293EE1">
              <w:rPr>
                <w:sz w:val="20"/>
                <w:szCs w:val="20"/>
                <w:lang w:val="fr-CA"/>
              </w:rPr>
              <w:t>FILING DATE : 15.05.2017</w:t>
            </w:r>
          </w:p>
          <w:p w:rsidR="007628C7" w:rsidRPr="00293EE1" w:rsidRDefault="00B2512D" w:rsidP="002F10B3">
            <w:pPr>
              <w:rPr>
                <w:sz w:val="20"/>
                <w:szCs w:val="20"/>
                <w:lang w:val="fr-CA"/>
              </w:rPr>
            </w:pPr>
            <w:r>
              <w:rPr>
                <w:sz w:val="20"/>
                <w:szCs w:val="20"/>
                <w:lang w:val="fr-CA"/>
              </w:rPr>
              <w:pict>
                <v:rect id="_x0000_i1028" style="width:108pt;height:1pt" o:hrpct="0" o:hralign="center" o:hrstd="t" o:hrnoshade="t" o:hr="t" fillcolor="black [3213]" stroked="f"/>
              </w:pict>
            </w:r>
          </w:p>
          <w:p w:rsidR="007628C7" w:rsidRPr="00293EE1" w:rsidRDefault="007628C7" w:rsidP="002F10B3">
            <w:pPr>
              <w:rPr>
                <w:sz w:val="20"/>
                <w:szCs w:val="20"/>
                <w:lang w:val="fr-CA"/>
              </w:rPr>
            </w:pPr>
          </w:p>
        </w:tc>
      </w:tr>
      <w:tr w:rsidR="00C21644" w:rsidRPr="00293EE1" w:rsidTr="003B3977">
        <w:tc>
          <w:tcPr>
            <w:tcW w:w="4320" w:type="dxa"/>
            <w:shd w:val="clear" w:color="auto" w:fill="auto"/>
          </w:tcPr>
          <w:p w:rsidR="00C21644" w:rsidRPr="00293EE1" w:rsidRDefault="00B16A06" w:rsidP="005F1ED8">
            <w:pPr>
              <w:rPr>
                <w:b/>
                <w:sz w:val="20"/>
                <w:szCs w:val="20"/>
                <w:lang w:val="en-US"/>
              </w:rPr>
            </w:pPr>
            <w:r w:rsidRPr="00293EE1">
              <w:rPr>
                <w:b/>
                <w:sz w:val="20"/>
                <w:szCs w:val="20"/>
                <w:lang w:val="en-US"/>
              </w:rPr>
              <w:t>Buddy Haynes</w:t>
            </w:r>
          </w:p>
          <w:p w:rsidR="00B16A06" w:rsidRPr="00293EE1" w:rsidRDefault="00B16A06" w:rsidP="005F1ED8">
            <w:pPr>
              <w:rPr>
                <w:sz w:val="20"/>
                <w:szCs w:val="20"/>
                <w:lang w:val="en-US"/>
              </w:rPr>
            </w:pPr>
            <w:r w:rsidRPr="00293EE1">
              <w:rPr>
                <w:b/>
                <w:sz w:val="20"/>
                <w:szCs w:val="20"/>
                <w:lang w:val="en-US"/>
              </w:rPr>
              <w:tab/>
            </w:r>
            <w:r w:rsidRPr="00293EE1">
              <w:rPr>
                <w:sz w:val="20"/>
                <w:szCs w:val="20"/>
                <w:lang w:val="en-US"/>
              </w:rPr>
              <w:t>Joseph A. Zak</w:t>
            </w:r>
          </w:p>
          <w:p w:rsidR="00B16A06" w:rsidRPr="00293EE1" w:rsidRDefault="00B16A06" w:rsidP="005F1ED8">
            <w:pPr>
              <w:rPr>
                <w:sz w:val="20"/>
                <w:szCs w:val="20"/>
                <w:lang w:val="en-US"/>
              </w:rPr>
            </w:pPr>
            <w:r w:rsidRPr="00293EE1">
              <w:rPr>
                <w:sz w:val="20"/>
                <w:szCs w:val="20"/>
                <w:lang w:val="en-US"/>
              </w:rPr>
              <w:tab/>
              <w:t>Home, Marr, Zak</w:t>
            </w:r>
          </w:p>
          <w:p w:rsidR="00B16A06" w:rsidRPr="00293EE1" w:rsidRDefault="00B16A06" w:rsidP="005F1ED8">
            <w:pPr>
              <w:rPr>
                <w:sz w:val="20"/>
                <w:szCs w:val="20"/>
                <w:lang w:val="en-US"/>
              </w:rPr>
            </w:pPr>
          </w:p>
          <w:p w:rsidR="00B16A06" w:rsidRPr="00293EE1" w:rsidRDefault="00B16A06" w:rsidP="005F1ED8">
            <w:pPr>
              <w:rPr>
                <w:sz w:val="20"/>
                <w:szCs w:val="20"/>
                <w:lang w:val="en-US"/>
              </w:rPr>
            </w:pPr>
            <w:r w:rsidRPr="00293EE1">
              <w:rPr>
                <w:sz w:val="20"/>
                <w:szCs w:val="20"/>
                <w:lang w:val="en-US"/>
              </w:rPr>
              <w:tab/>
              <w:t>v. (37570)</w:t>
            </w:r>
          </w:p>
          <w:p w:rsidR="00B16A06" w:rsidRPr="00293EE1" w:rsidRDefault="00B16A06" w:rsidP="005F1ED8">
            <w:pPr>
              <w:rPr>
                <w:sz w:val="20"/>
                <w:szCs w:val="20"/>
                <w:lang w:val="en-US"/>
              </w:rPr>
            </w:pPr>
          </w:p>
          <w:p w:rsidR="00B16A06" w:rsidRPr="00293EE1" w:rsidRDefault="00B16A06" w:rsidP="005F1ED8">
            <w:pPr>
              <w:rPr>
                <w:b/>
                <w:sz w:val="20"/>
                <w:szCs w:val="20"/>
                <w:lang w:val="en-US"/>
              </w:rPr>
            </w:pPr>
            <w:r w:rsidRPr="00293EE1">
              <w:rPr>
                <w:b/>
                <w:sz w:val="20"/>
                <w:szCs w:val="20"/>
                <w:lang w:val="en-US"/>
              </w:rPr>
              <w:t>Art</w:t>
            </w:r>
            <w:r w:rsidR="00D24C0D" w:rsidRPr="00293EE1">
              <w:rPr>
                <w:b/>
                <w:sz w:val="20"/>
                <w:szCs w:val="20"/>
                <w:lang w:val="en-US"/>
              </w:rPr>
              <w:t>h</w:t>
            </w:r>
            <w:r w:rsidRPr="00293EE1">
              <w:rPr>
                <w:b/>
                <w:sz w:val="20"/>
                <w:szCs w:val="20"/>
                <w:lang w:val="en-US"/>
              </w:rPr>
              <w:t>ur Brian Haynes (B.C.)</w:t>
            </w:r>
          </w:p>
          <w:p w:rsidR="00B16A06" w:rsidRPr="00293EE1" w:rsidRDefault="00B16A06" w:rsidP="005F1ED8">
            <w:pPr>
              <w:rPr>
                <w:sz w:val="20"/>
                <w:szCs w:val="20"/>
                <w:lang w:val="en-US"/>
              </w:rPr>
            </w:pPr>
            <w:r w:rsidRPr="00293EE1">
              <w:rPr>
                <w:sz w:val="20"/>
                <w:szCs w:val="20"/>
                <w:lang w:val="en-US"/>
              </w:rPr>
              <w:tab/>
              <w:t>Grant L. Ritchey</w:t>
            </w:r>
          </w:p>
          <w:p w:rsidR="00B16A06" w:rsidRPr="00293EE1" w:rsidRDefault="00B16A06" w:rsidP="005F1ED8">
            <w:pPr>
              <w:rPr>
                <w:sz w:val="20"/>
                <w:szCs w:val="20"/>
                <w:lang w:val="en-US"/>
              </w:rPr>
            </w:pPr>
            <w:r w:rsidRPr="00293EE1">
              <w:rPr>
                <w:sz w:val="20"/>
                <w:szCs w:val="20"/>
                <w:lang w:val="en-US"/>
              </w:rPr>
              <w:tab/>
              <w:t>QA Law</w:t>
            </w:r>
          </w:p>
          <w:p w:rsidR="00B16A06" w:rsidRPr="00293EE1" w:rsidRDefault="00B16A06" w:rsidP="005F1ED8">
            <w:pPr>
              <w:rPr>
                <w:sz w:val="20"/>
                <w:szCs w:val="20"/>
                <w:lang w:val="en-US"/>
              </w:rPr>
            </w:pPr>
          </w:p>
          <w:p w:rsidR="00B16A06" w:rsidRPr="00293EE1" w:rsidRDefault="00B16A06" w:rsidP="005F1ED8">
            <w:pPr>
              <w:rPr>
                <w:sz w:val="20"/>
                <w:szCs w:val="20"/>
                <w:lang w:val="en-US"/>
              </w:rPr>
            </w:pPr>
            <w:r w:rsidRPr="00293EE1">
              <w:rPr>
                <w:sz w:val="20"/>
                <w:szCs w:val="20"/>
                <w:lang w:val="en-US"/>
              </w:rPr>
              <w:t>FILING DATE: 18.05.2017</w:t>
            </w:r>
          </w:p>
          <w:p w:rsidR="00B16A06" w:rsidRPr="00293EE1" w:rsidRDefault="00B2512D" w:rsidP="005F1ED8">
            <w:pPr>
              <w:rPr>
                <w:sz w:val="20"/>
                <w:szCs w:val="20"/>
                <w:lang w:val="fr-CA"/>
              </w:rPr>
            </w:pPr>
            <w:r>
              <w:rPr>
                <w:sz w:val="20"/>
                <w:szCs w:val="20"/>
                <w:lang w:val="fr-CA"/>
              </w:rPr>
              <w:pict>
                <v:rect id="_x0000_i1029" style="width:108pt;height:1pt" o:hrpct="0" o:hralign="center" o:hrstd="t" o:hrnoshade="t" o:hr="t" fillcolor="black [3213]" stroked="f"/>
              </w:pict>
            </w:r>
          </w:p>
          <w:p w:rsidR="00B16A06" w:rsidRPr="00293EE1" w:rsidRDefault="00B16A06" w:rsidP="005F1ED8">
            <w:pPr>
              <w:rPr>
                <w:sz w:val="20"/>
                <w:szCs w:val="20"/>
                <w:lang w:val="en-US"/>
              </w:rPr>
            </w:pPr>
          </w:p>
        </w:tc>
        <w:tc>
          <w:tcPr>
            <w:tcW w:w="1181" w:type="dxa"/>
            <w:shd w:val="clear" w:color="auto" w:fill="auto"/>
          </w:tcPr>
          <w:p w:rsidR="00C21644" w:rsidRPr="00293EE1" w:rsidRDefault="00C21644" w:rsidP="00242AEE">
            <w:pPr>
              <w:jc w:val="center"/>
              <w:rPr>
                <w:sz w:val="20"/>
                <w:szCs w:val="20"/>
                <w:lang w:val="en-US"/>
              </w:rPr>
            </w:pPr>
          </w:p>
        </w:tc>
        <w:tc>
          <w:tcPr>
            <w:tcW w:w="4320" w:type="dxa"/>
            <w:shd w:val="clear" w:color="auto" w:fill="auto"/>
          </w:tcPr>
          <w:p w:rsidR="00C21644" w:rsidRPr="00293EE1" w:rsidRDefault="000E669C" w:rsidP="005F1ED8">
            <w:pPr>
              <w:rPr>
                <w:b/>
                <w:sz w:val="20"/>
                <w:szCs w:val="20"/>
                <w:lang w:val="en-US"/>
              </w:rPr>
            </w:pPr>
            <w:r w:rsidRPr="00293EE1">
              <w:rPr>
                <w:b/>
                <w:sz w:val="20"/>
                <w:szCs w:val="20"/>
                <w:lang w:val="en-US"/>
              </w:rPr>
              <w:t>Chas Berry</w:t>
            </w:r>
          </w:p>
          <w:p w:rsidR="000E669C" w:rsidRPr="00293EE1" w:rsidRDefault="000E669C" w:rsidP="005F1ED8">
            <w:pPr>
              <w:rPr>
                <w:sz w:val="20"/>
                <w:szCs w:val="20"/>
                <w:lang w:val="en-US"/>
              </w:rPr>
            </w:pPr>
            <w:r w:rsidRPr="00293EE1">
              <w:rPr>
                <w:b/>
                <w:sz w:val="20"/>
                <w:szCs w:val="20"/>
                <w:lang w:val="en-US"/>
              </w:rPr>
              <w:tab/>
            </w:r>
            <w:r w:rsidRPr="00293EE1">
              <w:rPr>
                <w:sz w:val="20"/>
                <w:szCs w:val="20"/>
                <w:lang w:val="en-US"/>
              </w:rPr>
              <w:t xml:space="preserve">Lance </w:t>
            </w:r>
            <w:proofErr w:type="spellStart"/>
            <w:r w:rsidRPr="00293EE1">
              <w:rPr>
                <w:sz w:val="20"/>
                <w:szCs w:val="20"/>
                <w:lang w:val="en-US"/>
              </w:rPr>
              <w:t>Beechener</w:t>
            </w:r>
            <w:proofErr w:type="spellEnd"/>
          </w:p>
          <w:p w:rsidR="000E669C" w:rsidRPr="00293EE1" w:rsidRDefault="000E669C" w:rsidP="005F1ED8">
            <w:pPr>
              <w:rPr>
                <w:sz w:val="20"/>
                <w:szCs w:val="20"/>
                <w:lang w:val="en-US"/>
              </w:rPr>
            </w:pPr>
            <w:r w:rsidRPr="00293EE1">
              <w:rPr>
                <w:sz w:val="20"/>
                <w:szCs w:val="20"/>
                <w:lang w:val="en-US"/>
              </w:rPr>
              <w:tab/>
              <w:t>Lockyer Campbell Posner</w:t>
            </w:r>
          </w:p>
          <w:p w:rsidR="000E669C" w:rsidRPr="00293EE1" w:rsidRDefault="000E669C" w:rsidP="005F1ED8">
            <w:pPr>
              <w:rPr>
                <w:sz w:val="20"/>
                <w:szCs w:val="20"/>
                <w:lang w:val="en-US"/>
              </w:rPr>
            </w:pPr>
          </w:p>
          <w:p w:rsidR="000E669C" w:rsidRPr="00293EE1" w:rsidRDefault="000E669C" w:rsidP="005F1ED8">
            <w:pPr>
              <w:rPr>
                <w:sz w:val="20"/>
                <w:szCs w:val="20"/>
                <w:lang w:val="en-US"/>
              </w:rPr>
            </w:pPr>
            <w:r w:rsidRPr="00293EE1">
              <w:rPr>
                <w:sz w:val="20"/>
                <w:szCs w:val="20"/>
                <w:lang w:val="en-US"/>
              </w:rPr>
              <w:tab/>
              <w:t>v. (37571)</w:t>
            </w:r>
          </w:p>
          <w:p w:rsidR="000E669C" w:rsidRPr="00293EE1" w:rsidRDefault="000E669C" w:rsidP="005F1ED8">
            <w:pPr>
              <w:rPr>
                <w:sz w:val="20"/>
                <w:szCs w:val="20"/>
                <w:lang w:val="en-US"/>
              </w:rPr>
            </w:pPr>
          </w:p>
          <w:p w:rsidR="000E669C" w:rsidRPr="00293EE1" w:rsidRDefault="000E669C" w:rsidP="005F1ED8">
            <w:pPr>
              <w:rPr>
                <w:b/>
                <w:sz w:val="20"/>
                <w:szCs w:val="20"/>
                <w:lang w:val="en-US"/>
              </w:rPr>
            </w:pPr>
            <w:r w:rsidRPr="00293EE1">
              <w:rPr>
                <w:b/>
                <w:sz w:val="20"/>
                <w:szCs w:val="20"/>
                <w:lang w:val="en-US"/>
              </w:rPr>
              <w:t xml:space="preserve">Her Majesty the Queen (Ont.) </w:t>
            </w:r>
          </w:p>
          <w:p w:rsidR="000E669C" w:rsidRPr="00293EE1" w:rsidRDefault="000E669C" w:rsidP="005F1ED8">
            <w:pPr>
              <w:rPr>
                <w:sz w:val="20"/>
                <w:szCs w:val="20"/>
                <w:lang w:val="en-US"/>
              </w:rPr>
            </w:pPr>
            <w:r w:rsidRPr="00293EE1">
              <w:rPr>
                <w:sz w:val="20"/>
                <w:szCs w:val="20"/>
                <w:lang w:val="en-US"/>
              </w:rPr>
              <w:tab/>
              <w:t xml:space="preserve">Eric H. </w:t>
            </w:r>
            <w:proofErr w:type="spellStart"/>
            <w:r w:rsidRPr="00293EE1">
              <w:rPr>
                <w:sz w:val="20"/>
                <w:szCs w:val="20"/>
                <w:lang w:val="en-US"/>
              </w:rPr>
              <w:t>Siebenmorgen</w:t>
            </w:r>
            <w:proofErr w:type="spellEnd"/>
          </w:p>
          <w:p w:rsidR="000E669C" w:rsidRPr="00293EE1" w:rsidRDefault="000E669C" w:rsidP="005F1ED8">
            <w:pPr>
              <w:rPr>
                <w:sz w:val="20"/>
                <w:szCs w:val="20"/>
                <w:lang w:val="en-US"/>
              </w:rPr>
            </w:pPr>
            <w:r w:rsidRPr="00293EE1">
              <w:rPr>
                <w:sz w:val="20"/>
                <w:szCs w:val="20"/>
                <w:lang w:val="en-US"/>
              </w:rPr>
              <w:tab/>
              <w:t>A.G. of Ontario</w:t>
            </w:r>
          </w:p>
          <w:p w:rsidR="000E669C" w:rsidRPr="00293EE1" w:rsidRDefault="000E669C" w:rsidP="005F1ED8">
            <w:pPr>
              <w:rPr>
                <w:sz w:val="20"/>
                <w:szCs w:val="20"/>
                <w:lang w:val="en-US"/>
              </w:rPr>
            </w:pPr>
          </w:p>
          <w:p w:rsidR="000E669C" w:rsidRPr="00293EE1" w:rsidRDefault="000E669C" w:rsidP="005F1ED8">
            <w:pPr>
              <w:rPr>
                <w:sz w:val="20"/>
                <w:szCs w:val="20"/>
                <w:lang w:val="fr-CA"/>
              </w:rPr>
            </w:pPr>
            <w:r w:rsidRPr="00293EE1">
              <w:rPr>
                <w:sz w:val="20"/>
                <w:szCs w:val="20"/>
                <w:lang w:val="fr-CA"/>
              </w:rPr>
              <w:t>FILING DATE: 18.05.2017</w:t>
            </w:r>
          </w:p>
          <w:p w:rsidR="000E669C" w:rsidRPr="00293EE1" w:rsidRDefault="00B2512D" w:rsidP="005F1ED8">
            <w:pPr>
              <w:rPr>
                <w:sz w:val="20"/>
                <w:szCs w:val="20"/>
                <w:lang w:val="en-US"/>
              </w:rPr>
            </w:pPr>
            <w:r>
              <w:rPr>
                <w:sz w:val="20"/>
                <w:szCs w:val="20"/>
                <w:lang w:val="fr-CA"/>
              </w:rPr>
              <w:pict>
                <v:rect id="_x0000_i1030" style="width:108pt;height:1pt" o:hrpct="0" o:hralign="center" o:hrstd="t" o:hrnoshade="t" o:hr="t" fillcolor="black [3213]" stroked="f"/>
              </w:pict>
            </w:r>
          </w:p>
        </w:tc>
      </w:tr>
      <w:tr w:rsidR="00B16A06" w:rsidRPr="00293EE1" w:rsidTr="003B3977">
        <w:tc>
          <w:tcPr>
            <w:tcW w:w="4320" w:type="dxa"/>
            <w:shd w:val="clear" w:color="auto" w:fill="auto"/>
          </w:tcPr>
          <w:p w:rsidR="00B16A06" w:rsidRPr="00293EE1" w:rsidRDefault="00B2512D" w:rsidP="005F1ED8">
            <w:pPr>
              <w:rPr>
                <w:b/>
                <w:sz w:val="20"/>
                <w:szCs w:val="20"/>
                <w:lang w:val="fr-CA"/>
              </w:rPr>
            </w:pPr>
            <w:r>
              <w:rPr>
                <w:b/>
                <w:sz w:val="20"/>
                <w:szCs w:val="20"/>
                <w:lang w:val="fr-CA"/>
              </w:rPr>
              <w:t>R.A.</w:t>
            </w:r>
          </w:p>
          <w:p w:rsidR="009635F1" w:rsidRPr="00293EE1" w:rsidRDefault="009635F1" w:rsidP="005F1ED8">
            <w:pPr>
              <w:rPr>
                <w:sz w:val="20"/>
                <w:szCs w:val="20"/>
                <w:lang w:val="fr-CA"/>
              </w:rPr>
            </w:pPr>
            <w:r w:rsidRPr="00293EE1">
              <w:rPr>
                <w:sz w:val="20"/>
                <w:szCs w:val="20"/>
                <w:lang w:val="fr-CA"/>
              </w:rPr>
              <w:tab/>
            </w:r>
            <w:proofErr w:type="spellStart"/>
            <w:r w:rsidRPr="00293EE1">
              <w:rPr>
                <w:sz w:val="20"/>
                <w:szCs w:val="20"/>
                <w:lang w:val="fr-CA"/>
              </w:rPr>
              <w:t>Nassib</w:t>
            </w:r>
            <w:proofErr w:type="spellEnd"/>
            <w:r w:rsidRPr="00293EE1">
              <w:rPr>
                <w:sz w:val="20"/>
                <w:szCs w:val="20"/>
                <w:lang w:val="fr-CA"/>
              </w:rPr>
              <w:t xml:space="preserve"> Eid</w:t>
            </w:r>
          </w:p>
          <w:p w:rsidR="009635F1" w:rsidRPr="00293EE1" w:rsidRDefault="009635F1" w:rsidP="005F1ED8">
            <w:pPr>
              <w:rPr>
                <w:sz w:val="20"/>
                <w:szCs w:val="20"/>
                <w:lang w:val="fr-CA"/>
              </w:rPr>
            </w:pPr>
            <w:r w:rsidRPr="00293EE1">
              <w:rPr>
                <w:sz w:val="20"/>
                <w:szCs w:val="20"/>
                <w:lang w:val="fr-CA"/>
              </w:rPr>
              <w:tab/>
              <w:t>Deveau Avocats</w:t>
            </w:r>
          </w:p>
          <w:p w:rsidR="009635F1" w:rsidRPr="00293EE1" w:rsidRDefault="009635F1" w:rsidP="005F1ED8">
            <w:pPr>
              <w:rPr>
                <w:sz w:val="20"/>
                <w:szCs w:val="20"/>
                <w:lang w:val="fr-CA"/>
              </w:rPr>
            </w:pPr>
          </w:p>
          <w:p w:rsidR="009635F1" w:rsidRPr="00293EE1" w:rsidRDefault="009635F1" w:rsidP="005F1ED8">
            <w:pPr>
              <w:rPr>
                <w:sz w:val="20"/>
                <w:szCs w:val="20"/>
                <w:lang w:val="fr-CA"/>
              </w:rPr>
            </w:pPr>
            <w:r w:rsidRPr="00293EE1">
              <w:rPr>
                <w:sz w:val="20"/>
                <w:szCs w:val="20"/>
                <w:lang w:val="fr-CA"/>
              </w:rPr>
              <w:tab/>
              <w:t>c. (37565)</w:t>
            </w:r>
          </w:p>
          <w:p w:rsidR="009635F1" w:rsidRPr="00293EE1" w:rsidRDefault="009635F1" w:rsidP="005F1ED8">
            <w:pPr>
              <w:rPr>
                <w:sz w:val="20"/>
                <w:szCs w:val="20"/>
                <w:lang w:val="fr-CA"/>
              </w:rPr>
            </w:pPr>
          </w:p>
          <w:p w:rsidR="009635F1" w:rsidRPr="00B2512D" w:rsidRDefault="00B2512D" w:rsidP="00B2512D">
            <w:pPr>
              <w:rPr>
                <w:b/>
                <w:sz w:val="20"/>
                <w:szCs w:val="20"/>
                <w:lang w:val="en-US"/>
              </w:rPr>
            </w:pPr>
            <w:r>
              <w:rPr>
                <w:b/>
                <w:sz w:val="20"/>
                <w:szCs w:val="20"/>
                <w:lang w:val="en-US"/>
              </w:rPr>
              <w:t xml:space="preserve">A.AB. </w:t>
            </w:r>
            <w:r w:rsidRPr="00B2512D">
              <w:rPr>
                <w:b/>
                <w:sz w:val="20"/>
                <w:szCs w:val="20"/>
                <w:lang w:val="en-US"/>
              </w:rPr>
              <w:t xml:space="preserve">et </w:t>
            </w:r>
            <w:proofErr w:type="spellStart"/>
            <w:r w:rsidRPr="00B2512D">
              <w:rPr>
                <w:b/>
                <w:sz w:val="20"/>
                <w:szCs w:val="20"/>
                <w:lang w:val="en-US"/>
              </w:rPr>
              <w:t>autres</w:t>
            </w:r>
            <w:proofErr w:type="spellEnd"/>
            <w:r w:rsidR="009635F1" w:rsidRPr="00B2512D">
              <w:rPr>
                <w:b/>
                <w:sz w:val="20"/>
                <w:szCs w:val="20"/>
                <w:lang w:val="en-US"/>
              </w:rPr>
              <w:t xml:space="preserve"> (Qc)</w:t>
            </w:r>
          </w:p>
          <w:p w:rsidR="009635F1" w:rsidRPr="00B2512D" w:rsidRDefault="009635F1" w:rsidP="005F1ED8">
            <w:pPr>
              <w:rPr>
                <w:sz w:val="20"/>
                <w:szCs w:val="20"/>
                <w:lang w:val="en-US"/>
              </w:rPr>
            </w:pPr>
            <w:r w:rsidRPr="00B2512D">
              <w:rPr>
                <w:sz w:val="20"/>
                <w:szCs w:val="20"/>
                <w:lang w:val="en-US"/>
              </w:rPr>
              <w:tab/>
            </w:r>
            <w:r w:rsidR="00B2512D">
              <w:rPr>
                <w:sz w:val="20"/>
                <w:szCs w:val="20"/>
                <w:lang w:val="en-US"/>
              </w:rPr>
              <w:t>A.AB.</w:t>
            </w:r>
          </w:p>
          <w:p w:rsidR="009635F1" w:rsidRPr="00B2512D" w:rsidRDefault="009635F1" w:rsidP="005F1ED8">
            <w:pPr>
              <w:rPr>
                <w:sz w:val="20"/>
                <w:szCs w:val="20"/>
                <w:lang w:val="en-US"/>
              </w:rPr>
            </w:pPr>
          </w:p>
          <w:p w:rsidR="009635F1" w:rsidRPr="00B2512D" w:rsidRDefault="009635F1" w:rsidP="005F1ED8">
            <w:pPr>
              <w:rPr>
                <w:sz w:val="20"/>
                <w:szCs w:val="20"/>
                <w:lang w:val="en-US"/>
              </w:rPr>
            </w:pPr>
            <w:r w:rsidRPr="00B2512D">
              <w:rPr>
                <w:sz w:val="20"/>
                <w:szCs w:val="20"/>
                <w:lang w:val="en-US"/>
              </w:rPr>
              <w:t>DATE DE PRODUCTION : 19.05.2</w:t>
            </w:r>
            <w:bookmarkStart w:id="0" w:name="_GoBack"/>
            <w:bookmarkEnd w:id="0"/>
            <w:r w:rsidRPr="00B2512D">
              <w:rPr>
                <w:sz w:val="20"/>
                <w:szCs w:val="20"/>
                <w:lang w:val="en-US"/>
              </w:rPr>
              <w:t>017</w:t>
            </w:r>
          </w:p>
          <w:p w:rsidR="009635F1" w:rsidRPr="00B2512D" w:rsidRDefault="00B2512D" w:rsidP="005F1ED8">
            <w:pPr>
              <w:rPr>
                <w:sz w:val="20"/>
                <w:szCs w:val="20"/>
                <w:lang w:val="en-US"/>
              </w:rPr>
            </w:pPr>
            <w:r>
              <w:rPr>
                <w:sz w:val="20"/>
                <w:szCs w:val="20"/>
                <w:lang w:val="fr-CA"/>
              </w:rPr>
              <w:pict>
                <v:rect id="_x0000_i1031" style="width:108pt;height:1pt" o:hrpct="0" o:hralign="center" o:hrstd="t" o:hrnoshade="t" o:hr="t" fillcolor="black [3213]" stroked="f"/>
              </w:pict>
            </w:r>
          </w:p>
          <w:p w:rsidR="009635F1" w:rsidRPr="00B2512D" w:rsidRDefault="009635F1" w:rsidP="005F1ED8">
            <w:pPr>
              <w:rPr>
                <w:sz w:val="20"/>
                <w:szCs w:val="20"/>
                <w:lang w:val="en-US"/>
              </w:rPr>
            </w:pPr>
          </w:p>
        </w:tc>
        <w:tc>
          <w:tcPr>
            <w:tcW w:w="1181" w:type="dxa"/>
            <w:shd w:val="clear" w:color="auto" w:fill="auto"/>
          </w:tcPr>
          <w:p w:rsidR="009635F1" w:rsidRPr="00B2512D" w:rsidRDefault="009635F1" w:rsidP="00242AEE">
            <w:pPr>
              <w:jc w:val="center"/>
              <w:rPr>
                <w:sz w:val="20"/>
                <w:szCs w:val="20"/>
                <w:lang w:val="en-US"/>
              </w:rPr>
            </w:pPr>
          </w:p>
        </w:tc>
        <w:tc>
          <w:tcPr>
            <w:tcW w:w="4320" w:type="dxa"/>
            <w:shd w:val="clear" w:color="auto" w:fill="auto"/>
          </w:tcPr>
          <w:p w:rsidR="00B16A06" w:rsidRPr="00293EE1" w:rsidRDefault="009635F1" w:rsidP="005F1ED8">
            <w:pPr>
              <w:rPr>
                <w:b/>
                <w:sz w:val="20"/>
                <w:szCs w:val="20"/>
                <w:lang w:val="en-US"/>
              </w:rPr>
            </w:pPr>
            <w:r w:rsidRPr="00293EE1">
              <w:rPr>
                <w:b/>
                <w:sz w:val="20"/>
                <w:szCs w:val="20"/>
                <w:lang w:val="en-US"/>
              </w:rPr>
              <w:t xml:space="preserve">Eric </w:t>
            </w:r>
            <w:proofErr w:type="spellStart"/>
            <w:r w:rsidRPr="00293EE1">
              <w:rPr>
                <w:b/>
                <w:sz w:val="20"/>
                <w:szCs w:val="20"/>
                <w:lang w:val="en-US"/>
              </w:rPr>
              <w:t>Tsui</w:t>
            </w:r>
            <w:proofErr w:type="spellEnd"/>
          </w:p>
          <w:p w:rsidR="009635F1" w:rsidRPr="00293EE1" w:rsidRDefault="009635F1" w:rsidP="005F1ED8">
            <w:pPr>
              <w:rPr>
                <w:sz w:val="20"/>
                <w:szCs w:val="20"/>
                <w:lang w:val="en-US"/>
              </w:rPr>
            </w:pPr>
            <w:r w:rsidRPr="00293EE1">
              <w:rPr>
                <w:b/>
                <w:sz w:val="20"/>
                <w:szCs w:val="20"/>
                <w:lang w:val="en-US"/>
              </w:rPr>
              <w:tab/>
            </w:r>
            <w:r w:rsidRPr="00293EE1">
              <w:rPr>
                <w:sz w:val="20"/>
                <w:szCs w:val="20"/>
                <w:lang w:val="en-US"/>
              </w:rPr>
              <w:t xml:space="preserve">Alan Young </w:t>
            </w:r>
          </w:p>
          <w:p w:rsidR="009635F1" w:rsidRPr="00293EE1" w:rsidRDefault="009635F1" w:rsidP="005F1ED8">
            <w:pPr>
              <w:rPr>
                <w:sz w:val="20"/>
                <w:szCs w:val="20"/>
                <w:lang w:val="en-US"/>
              </w:rPr>
            </w:pPr>
            <w:r w:rsidRPr="00293EE1">
              <w:rPr>
                <w:sz w:val="20"/>
                <w:szCs w:val="20"/>
                <w:lang w:val="en-US"/>
              </w:rPr>
              <w:tab/>
            </w:r>
            <w:proofErr w:type="spellStart"/>
            <w:r w:rsidRPr="00293EE1">
              <w:rPr>
                <w:sz w:val="20"/>
                <w:szCs w:val="20"/>
                <w:lang w:val="en-US"/>
              </w:rPr>
              <w:t>Osgoode</w:t>
            </w:r>
            <w:proofErr w:type="spellEnd"/>
            <w:r w:rsidRPr="00293EE1">
              <w:rPr>
                <w:sz w:val="20"/>
                <w:szCs w:val="20"/>
                <w:lang w:val="en-US"/>
              </w:rPr>
              <w:t xml:space="preserve"> Hall Law of School of York </w:t>
            </w:r>
            <w:r w:rsidRPr="00293EE1">
              <w:rPr>
                <w:sz w:val="20"/>
                <w:szCs w:val="20"/>
                <w:lang w:val="en-US"/>
              </w:rPr>
              <w:tab/>
              <w:t>University</w:t>
            </w:r>
          </w:p>
          <w:p w:rsidR="009635F1" w:rsidRPr="00293EE1" w:rsidRDefault="009635F1" w:rsidP="005F1ED8">
            <w:pPr>
              <w:rPr>
                <w:sz w:val="20"/>
                <w:szCs w:val="20"/>
                <w:lang w:val="en-US"/>
              </w:rPr>
            </w:pPr>
          </w:p>
          <w:p w:rsidR="009635F1" w:rsidRPr="00293EE1" w:rsidRDefault="009635F1" w:rsidP="005F1ED8">
            <w:pPr>
              <w:rPr>
                <w:sz w:val="20"/>
                <w:szCs w:val="20"/>
                <w:lang w:val="en-US"/>
              </w:rPr>
            </w:pPr>
            <w:r w:rsidRPr="00293EE1">
              <w:rPr>
                <w:sz w:val="20"/>
                <w:szCs w:val="20"/>
                <w:lang w:val="en-US"/>
              </w:rPr>
              <w:tab/>
              <w:t>v. (37568)</w:t>
            </w:r>
          </w:p>
          <w:p w:rsidR="009635F1" w:rsidRPr="00293EE1" w:rsidRDefault="009635F1" w:rsidP="005F1ED8">
            <w:pPr>
              <w:rPr>
                <w:sz w:val="20"/>
                <w:szCs w:val="20"/>
                <w:lang w:val="en-US"/>
              </w:rPr>
            </w:pPr>
          </w:p>
          <w:p w:rsidR="009635F1" w:rsidRPr="00293EE1" w:rsidRDefault="009635F1" w:rsidP="005F1ED8">
            <w:pPr>
              <w:rPr>
                <w:b/>
                <w:sz w:val="20"/>
                <w:szCs w:val="20"/>
                <w:lang w:val="en-US"/>
              </w:rPr>
            </w:pPr>
            <w:r w:rsidRPr="00293EE1">
              <w:rPr>
                <w:b/>
                <w:sz w:val="20"/>
                <w:szCs w:val="20"/>
                <w:lang w:val="en-US"/>
              </w:rPr>
              <w:t xml:space="preserve">Her Majesty the Queen ex. </w:t>
            </w:r>
            <w:proofErr w:type="spellStart"/>
            <w:r w:rsidRPr="00293EE1">
              <w:rPr>
                <w:b/>
                <w:sz w:val="20"/>
                <w:szCs w:val="20"/>
                <w:lang w:val="en-US"/>
              </w:rPr>
              <w:t>Rel</w:t>
            </w:r>
            <w:proofErr w:type="spellEnd"/>
            <w:r w:rsidRPr="00293EE1">
              <w:rPr>
                <w:b/>
                <w:sz w:val="20"/>
                <w:szCs w:val="20"/>
                <w:lang w:val="en-US"/>
              </w:rPr>
              <w:t xml:space="preserve"> the Regional Municipality of York (Ont.)</w:t>
            </w:r>
          </w:p>
          <w:p w:rsidR="009635F1" w:rsidRPr="00293EE1" w:rsidRDefault="009635F1" w:rsidP="005F1ED8">
            <w:pPr>
              <w:rPr>
                <w:sz w:val="20"/>
                <w:szCs w:val="20"/>
                <w:lang w:val="en-US"/>
              </w:rPr>
            </w:pPr>
            <w:r w:rsidRPr="00293EE1">
              <w:rPr>
                <w:sz w:val="20"/>
                <w:szCs w:val="20"/>
                <w:lang w:val="en-US"/>
              </w:rPr>
              <w:tab/>
              <w:t xml:space="preserve">Chris G. </w:t>
            </w:r>
            <w:proofErr w:type="spellStart"/>
            <w:r w:rsidRPr="00293EE1">
              <w:rPr>
                <w:sz w:val="20"/>
                <w:szCs w:val="20"/>
                <w:lang w:val="en-US"/>
              </w:rPr>
              <w:t>Bendick</w:t>
            </w:r>
            <w:proofErr w:type="spellEnd"/>
            <w:r w:rsidRPr="00293EE1">
              <w:rPr>
                <w:sz w:val="20"/>
                <w:szCs w:val="20"/>
                <w:lang w:val="en-US"/>
              </w:rPr>
              <w:t xml:space="preserve"> </w:t>
            </w:r>
          </w:p>
          <w:p w:rsidR="009635F1" w:rsidRPr="00293EE1" w:rsidRDefault="009635F1" w:rsidP="005F1ED8">
            <w:pPr>
              <w:rPr>
                <w:sz w:val="20"/>
                <w:szCs w:val="20"/>
                <w:lang w:val="en-US"/>
              </w:rPr>
            </w:pPr>
            <w:r w:rsidRPr="00293EE1">
              <w:rPr>
                <w:sz w:val="20"/>
                <w:szCs w:val="20"/>
                <w:lang w:val="en-US"/>
              </w:rPr>
              <w:tab/>
              <w:t>The Regional Municipality of York</w:t>
            </w:r>
          </w:p>
          <w:p w:rsidR="009635F1" w:rsidRPr="00293EE1" w:rsidRDefault="009635F1" w:rsidP="005F1ED8">
            <w:pPr>
              <w:rPr>
                <w:sz w:val="20"/>
                <w:szCs w:val="20"/>
                <w:lang w:val="en-US"/>
              </w:rPr>
            </w:pPr>
          </w:p>
          <w:p w:rsidR="009635F1" w:rsidRPr="00293EE1" w:rsidRDefault="009635F1" w:rsidP="005F1ED8">
            <w:pPr>
              <w:rPr>
                <w:sz w:val="20"/>
                <w:szCs w:val="20"/>
                <w:lang w:val="en-US"/>
              </w:rPr>
            </w:pPr>
            <w:r w:rsidRPr="00293EE1">
              <w:rPr>
                <w:sz w:val="20"/>
                <w:szCs w:val="20"/>
                <w:lang w:val="en-US"/>
              </w:rPr>
              <w:t>FILING DATE: 19.05.2017</w:t>
            </w:r>
          </w:p>
          <w:p w:rsidR="009635F1" w:rsidRPr="00293EE1" w:rsidRDefault="00B2512D" w:rsidP="005F1ED8">
            <w:pPr>
              <w:rPr>
                <w:sz w:val="20"/>
                <w:szCs w:val="20"/>
                <w:lang w:val="fr-CA"/>
              </w:rPr>
            </w:pPr>
            <w:r>
              <w:rPr>
                <w:sz w:val="20"/>
                <w:szCs w:val="20"/>
                <w:lang w:val="fr-CA"/>
              </w:rPr>
              <w:pict>
                <v:rect id="_x0000_i1032" style="width:108pt;height:1pt" o:hrpct="0" o:hralign="center" o:hrstd="t" o:hrnoshade="t" o:hr="t" fillcolor="black [3213]" stroked="f"/>
              </w:pict>
            </w:r>
          </w:p>
          <w:p w:rsidR="009635F1" w:rsidRPr="00293EE1" w:rsidRDefault="009635F1" w:rsidP="005F1ED8">
            <w:pPr>
              <w:rPr>
                <w:sz w:val="20"/>
                <w:szCs w:val="20"/>
                <w:lang w:val="en-US"/>
              </w:rPr>
            </w:pPr>
          </w:p>
        </w:tc>
      </w:tr>
      <w:tr w:rsidR="00B16A06" w:rsidRPr="00293EE1" w:rsidTr="003B3977">
        <w:tc>
          <w:tcPr>
            <w:tcW w:w="4320" w:type="dxa"/>
            <w:shd w:val="clear" w:color="auto" w:fill="auto"/>
          </w:tcPr>
          <w:p w:rsidR="00B16A06" w:rsidRPr="00293EE1" w:rsidRDefault="00F50B77" w:rsidP="005F1ED8">
            <w:pPr>
              <w:rPr>
                <w:b/>
                <w:sz w:val="20"/>
                <w:szCs w:val="20"/>
                <w:lang w:val="en-US"/>
              </w:rPr>
            </w:pPr>
            <w:r w:rsidRPr="00293EE1">
              <w:rPr>
                <w:b/>
                <w:sz w:val="20"/>
                <w:szCs w:val="20"/>
                <w:lang w:val="en-US"/>
              </w:rPr>
              <w:lastRenderedPageBreak/>
              <w:t>Cynthia Karen MacKinnon</w:t>
            </w:r>
          </w:p>
          <w:p w:rsidR="00F50B77" w:rsidRPr="00293EE1" w:rsidRDefault="00F50B77" w:rsidP="005F1ED8">
            <w:pPr>
              <w:rPr>
                <w:sz w:val="20"/>
                <w:szCs w:val="20"/>
                <w:lang w:val="en-US"/>
              </w:rPr>
            </w:pPr>
            <w:r w:rsidRPr="00293EE1">
              <w:rPr>
                <w:b/>
                <w:sz w:val="20"/>
                <w:szCs w:val="20"/>
                <w:lang w:val="en-US"/>
              </w:rPr>
              <w:tab/>
            </w:r>
            <w:r w:rsidRPr="00293EE1">
              <w:rPr>
                <w:sz w:val="20"/>
                <w:szCs w:val="20"/>
                <w:lang w:val="en-US"/>
              </w:rPr>
              <w:t xml:space="preserve">Gerald D. </w:t>
            </w:r>
            <w:proofErr w:type="spellStart"/>
            <w:r w:rsidRPr="00293EE1">
              <w:rPr>
                <w:sz w:val="20"/>
                <w:szCs w:val="20"/>
                <w:lang w:val="en-US"/>
              </w:rPr>
              <w:t>Chipeur</w:t>
            </w:r>
            <w:proofErr w:type="spellEnd"/>
            <w:r w:rsidRPr="00293EE1">
              <w:rPr>
                <w:sz w:val="20"/>
                <w:szCs w:val="20"/>
                <w:lang w:val="en-US"/>
              </w:rPr>
              <w:t>, Q.C.</w:t>
            </w:r>
          </w:p>
          <w:p w:rsidR="00F50B77" w:rsidRPr="00293EE1" w:rsidRDefault="00F50B77" w:rsidP="005F1ED8">
            <w:pPr>
              <w:rPr>
                <w:sz w:val="20"/>
                <w:szCs w:val="20"/>
                <w:lang w:val="en-US"/>
              </w:rPr>
            </w:pPr>
            <w:r w:rsidRPr="00293EE1">
              <w:rPr>
                <w:sz w:val="20"/>
                <w:szCs w:val="20"/>
                <w:lang w:val="en-US"/>
              </w:rPr>
              <w:tab/>
              <w:t>Miller Thompson LLP</w:t>
            </w:r>
          </w:p>
          <w:p w:rsidR="00F50B77" w:rsidRPr="00293EE1" w:rsidRDefault="00F50B77" w:rsidP="005F1ED8">
            <w:pPr>
              <w:rPr>
                <w:sz w:val="20"/>
                <w:szCs w:val="20"/>
                <w:lang w:val="en-US"/>
              </w:rPr>
            </w:pPr>
          </w:p>
          <w:p w:rsidR="00F50B77" w:rsidRPr="00293EE1" w:rsidRDefault="00F50B77" w:rsidP="005F1ED8">
            <w:pPr>
              <w:rPr>
                <w:sz w:val="20"/>
                <w:szCs w:val="20"/>
                <w:lang w:val="en-US"/>
              </w:rPr>
            </w:pPr>
            <w:r w:rsidRPr="00293EE1">
              <w:rPr>
                <w:sz w:val="20"/>
                <w:szCs w:val="20"/>
                <w:lang w:val="en-US"/>
              </w:rPr>
              <w:tab/>
              <w:t>v. (37569)</w:t>
            </w:r>
          </w:p>
          <w:p w:rsidR="00F50B77" w:rsidRPr="00293EE1" w:rsidRDefault="00F50B77" w:rsidP="005F1ED8">
            <w:pPr>
              <w:rPr>
                <w:sz w:val="20"/>
                <w:szCs w:val="20"/>
                <w:lang w:val="en-US"/>
              </w:rPr>
            </w:pPr>
          </w:p>
          <w:p w:rsidR="00F50B77" w:rsidRPr="00293EE1" w:rsidRDefault="00F50B77" w:rsidP="005F1ED8">
            <w:pPr>
              <w:rPr>
                <w:b/>
                <w:sz w:val="20"/>
                <w:szCs w:val="20"/>
                <w:lang w:val="en-US"/>
              </w:rPr>
            </w:pPr>
            <w:r w:rsidRPr="00293EE1">
              <w:rPr>
                <w:b/>
                <w:sz w:val="20"/>
                <w:szCs w:val="20"/>
                <w:lang w:val="en-US"/>
              </w:rPr>
              <w:t>Her Majesty the Queen (Alta.)</w:t>
            </w:r>
          </w:p>
          <w:p w:rsidR="00F50B77" w:rsidRPr="00293EE1" w:rsidRDefault="00F50B77" w:rsidP="005F1ED8">
            <w:pPr>
              <w:rPr>
                <w:sz w:val="20"/>
                <w:szCs w:val="20"/>
                <w:lang w:val="en-US"/>
              </w:rPr>
            </w:pPr>
            <w:r w:rsidRPr="00293EE1">
              <w:rPr>
                <w:sz w:val="20"/>
                <w:szCs w:val="20"/>
                <w:lang w:val="en-US"/>
              </w:rPr>
              <w:tab/>
            </w:r>
            <w:proofErr w:type="spellStart"/>
            <w:r w:rsidRPr="00293EE1">
              <w:rPr>
                <w:sz w:val="20"/>
                <w:szCs w:val="20"/>
                <w:lang w:val="en-US"/>
              </w:rPr>
              <w:t>Iwona</w:t>
            </w:r>
            <w:proofErr w:type="spellEnd"/>
            <w:r w:rsidRPr="00293EE1">
              <w:rPr>
                <w:sz w:val="20"/>
                <w:szCs w:val="20"/>
                <w:lang w:val="en-US"/>
              </w:rPr>
              <w:t xml:space="preserve"> </w:t>
            </w:r>
            <w:proofErr w:type="spellStart"/>
            <w:r w:rsidRPr="00293EE1">
              <w:rPr>
                <w:sz w:val="20"/>
                <w:szCs w:val="20"/>
                <w:lang w:val="en-US"/>
              </w:rPr>
              <w:t>Kuklicz</w:t>
            </w:r>
            <w:proofErr w:type="spellEnd"/>
          </w:p>
          <w:p w:rsidR="00F50B77" w:rsidRPr="00293EE1" w:rsidRDefault="00F50B77" w:rsidP="005F1ED8">
            <w:pPr>
              <w:rPr>
                <w:sz w:val="20"/>
                <w:szCs w:val="20"/>
                <w:lang w:val="en-US"/>
              </w:rPr>
            </w:pPr>
            <w:r w:rsidRPr="00293EE1">
              <w:rPr>
                <w:sz w:val="20"/>
                <w:szCs w:val="20"/>
                <w:lang w:val="en-US"/>
              </w:rPr>
              <w:tab/>
              <w:t>Appeals &amp; Prosecution Policy Branch</w:t>
            </w:r>
          </w:p>
          <w:p w:rsidR="00F50B77" w:rsidRPr="00293EE1" w:rsidRDefault="00F50B77" w:rsidP="005F1ED8">
            <w:pPr>
              <w:rPr>
                <w:sz w:val="20"/>
                <w:szCs w:val="20"/>
                <w:lang w:val="en-US"/>
              </w:rPr>
            </w:pPr>
          </w:p>
          <w:p w:rsidR="00F50B77" w:rsidRPr="00293EE1" w:rsidRDefault="00F50B77" w:rsidP="005F1ED8">
            <w:pPr>
              <w:rPr>
                <w:sz w:val="20"/>
                <w:szCs w:val="20"/>
                <w:lang w:val="en-US"/>
              </w:rPr>
            </w:pPr>
            <w:r w:rsidRPr="00293EE1">
              <w:rPr>
                <w:sz w:val="20"/>
                <w:szCs w:val="20"/>
                <w:lang w:val="en-US"/>
              </w:rPr>
              <w:t>FILING DATE: 19.05.2017</w:t>
            </w:r>
          </w:p>
          <w:p w:rsidR="00F50B77" w:rsidRPr="00293EE1" w:rsidRDefault="00B2512D" w:rsidP="005F1ED8">
            <w:pPr>
              <w:rPr>
                <w:sz w:val="20"/>
                <w:szCs w:val="20"/>
                <w:lang w:val="fr-CA"/>
              </w:rPr>
            </w:pPr>
            <w:r>
              <w:rPr>
                <w:sz w:val="20"/>
                <w:szCs w:val="20"/>
                <w:lang w:val="fr-CA"/>
              </w:rPr>
              <w:pict>
                <v:rect id="_x0000_i1033" style="width:108pt;height:1pt" o:hrpct="0" o:hralign="center" o:hrstd="t" o:hrnoshade="t" o:hr="t" fillcolor="black [3213]" stroked="f"/>
              </w:pict>
            </w:r>
          </w:p>
          <w:p w:rsidR="00F50B77" w:rsidRPr="00293EE1" w:rsidRDefault="00F50B77" w:rsidP="005F1ED8">
            <w:pPr>
              <w:rPr>
                <w:sz w:val="20"/>
                <w:szCs w:val="20"/>
                <w:lang w:val="en-US"/>
              </w:rPr>
            </w:pPr>
          </w:p>
        </w:tc>
        <w:tc>
          <w:tcPr>
            <w:tcW w:w="1181" w:type="dxa"/>
            <w:shd w:val="clear" w:color="auto" w:fill="auto"/>
          </w:tcPr>
          <w:p w:rsidR="00B16A06" w:rsidRPr="00293EE1" w:rsidRDefault="00B16A06" w:rsidP="00242AEE">
            <w:pPr>
              <w:jc w:val="center"/>
              <w:rPr>
                <w:sz w:val="20"/>
                <w:szCs w:val="20"/>
                <w:lang w:val="en-US"/>
              </w:rPr>
            </w:pPr>
          </w:p>
        </w:tc>
        <w:tc>
          <w:tcPr>
            <w:tcW w:w="4320" w:type="dxa"/>
            <w:shd w:val="clear" w:color="auto" w:fill="auto"/>
          </w:tcPr>
          <w:p w:rsidR="00B16A06" w:rsidRPr="00293EE1" w:rsidRDefault="00F50B77" w:rsidP="005F1ED8">
            <w:pPr>
              <w:rPr>
                <w:b/>
                <w:sz w:val="20"/>
                <w:szCs w:val="20"/>
                <w:lang w:val="en-US"/>
              </w:rPr>
            </w:pPr>
            <w:r w:rsidRPr="00293EE1">
              <w:rPr>
                <w:b/>
                <w:sz w:val="20"/>
                <w:szCs w:val="20"/>
                <w:lang w:val="en-US"/>
              </w:rPr>
              <w:t xml:space="preserve">Vice Media Canada Inc. et al. </w:t>
            </w:r>
          </w:p>
          <w:p w:rsidR="00F50B77" w:rsidRPr="00293EE1" w:rsidRDefault="00F50B77" w:rsidP="005F1ED8">
            <w:pPr>
              <w:rPr>
                <w:sz w:val="20"/>
                <w:szCs w:val="20"/>
                <w:lang w:val="en-US"/>
              </w:rPr>
            </w:pPr>
            <w:r w:rsidRPr="00293EE1">
              <w:rPr>
                <w:b/>
                <w:sz w:val="20"/>
                <w:szCs w:val="20"/>
                <w:lang w:val="en-US"/>
              </w:rPr>
              <w:tab/>
            </w:r>
            <w:r w:rsidRPr="00293EE1">
              <w:rPr>
                <w:sz w:val="20"/>
                <w:szCs w:val="20"/>
                <w:lang w:val="en-US"/>
              </w:rPr>
              <w:t xml:space="preserve">M. Philip </w:t>
            </w:r>
            <w:proofErr w:type="spellStart"/>
            <w:r w:rsidRPr="00293EE1">
              <w:rPr>
                <w:sz w:val="20"/>
                <w:szCs w:val="20"/>
                <w:lang w:val="en-US"/>
              </w:rPr>
              <w:t>Tunley</w:t>
            </w:r>
            <w:proofErr w:type="spellEnd"/>
          </w:p>
          <w:p w:rsidR="00F50B77" w:rsidRPr="00293EE1" w:rsidRDefault="00F50B77" w:rsidP="005F1ED8">
            <w:pPr>
              <w:rPr>
                <w:sz w:val="20"/>
                <w:szCs w:val="20"/>
                <w:lang w:val="en-US"/>
              </w:rPr>
            </w:pPr>
            <w:r w:rsidRPr="00293EE1">
              <w:rPr>
                <w:sz w:val="20"/>
                <w:szCs w:val="20"/>
                <w:lang w:val="en-US"/>
              </w:rPr>
              <w:tab/>
            </w:r>
            <w:proofErr w:type="spellStart"/>
            <w:r w:rsidRPr="00293EE1">
              <w:rPr>
                <w:sz w:val="20"/>
                <w:szCs w:val="20"/>
                <w:lang w:val="en-US"/>
              </w:rPr>
              <w:t>Stockwoods</w:t>
            </w:r>
            <w:proofErr w:type="spellEnd"/>
            <w:r w:rsidRPr="00293EE1">
              <w:rPr>
                <w:sz w:val="20"/>
                <w:szCs w:val="20"/>
                <w:lang w:val="en-US"/>
              </w:rPr>
              <w:t xml:space="preserve"> LLP</w:t>
            </w:r>
          </w:p>
          <w:p w:rsidR="00F50B77" w:rsidRPr="00293EE1" w:rsidRDefault="00F50B77" w:rsidP="005F1ED8">
            <w:pPr>
              <w:rPr>
                <w:sz w:val="20"/>
                <w:szCs w:val="20"/>
                <w:lang w:val="en-US"/>
              </w:rPr>
            </w:pPr>
          </w:p>
          <w:p w:rsidR="00F50B77" w:rsidRPr="00293EE1" w:rsidRDefault="00F50B77" w:rsidP="005F1ED8">
            <w:pPr>
              <w:rPr>
                <w:sz w:val="20"/>
                <w:szCs w:val="20"/>
                <w:lang w:val="en-US"/>
              </w:rPr>
            </w:pPr>
            <w:r w:rsidRPr="00293EE1">
              <w:rPr>
                <w:sz w:val="20"/>
                <w:szCs w:val="20"/>
                <w:lang w:val="en-US"/>
              </w:rPr>
              <w:tab/>
              <w:t>v. (37574)</w:t>
            </w:r>
          </w:p>
          <w:p w:rsidR="00F50B77" w:rsidRPr="00293EE1" w:rsidRDefault="00F50B77" w:rsidP="005F1ED8">
            <w:pPr>
              <w:rPr>
                <w:sz w:val="20"/>
                <w:szCs w:val="20"/>
                <w:lang w:val="en-US"/>
              </w:rPr>
            </w:pPr>
          </w:p>
          <w:p w:rsidR="00F50B77" w:rsidRPr="00293EE1" w:rsidRDefault="00F50B77" w:rsidP="005F1ED8">
            <w:pPr>
              <w:rPr>
                <w:b/>
                <w:sz w:val="20"/>
                <w:szCs w:val="20"/>
                <w:lang w:val="en-US"/>
              </w:rPr>
            </w:pPr>
            <w:r w:rsidRPr="00293EE1">
              <w:rPr>
                <w:b/>
                <w:sz w:val="20"/>
                <w:szCs w:val="20"/>
                <w:lang w:val="en-US"/>
              </w:rPr>
              <w:t>Her Majesty the Queen in Right of Canada (Ont.)</w:t>
            </w:r>
          </w:p>
          <w:p w:rsidR="00F50B77" w:rsidRPr="00293EE1" w:rsidRDefault="00F50B77" w:rsidP="005F1ED8">
            <w:pPr>
              <w:rPr>
                <w:sz w:val="20"/>
                <w:szCs w:val="20"/>
                <w:lang w:val="en-US"/>
              </w:rPr>
            </w:pPr>
            <w:r w:rsidRPr="00293EE1">
              <w:rPr>
                <w:sz w:val="20"/>
                <w:szCs w:val="20"/>
                <w:lang w:val="en-US"/>
              </w:rPr>
              <w:tab/>
              <w:t>Iain A.C. MacKinnon</w:t>
            </w:r>
          </w:p>
          <w:p w:rsidR="00F50B77" w:rsidRPr="00293EE1" w:rsidRDefault="00F50B77" w:rsidP="005F1ED8">
            <w:pPr>
              <w:rPr>
                <w:sz w:val="20"/>
                <w:szCs w:val="20"/>
                <w:lang w:val="en-US"/>
              </w:rPr>
            </w:pPr>
            <w:r w:rsidRPr="00293EE1">
              <w:rPr>
                <w:sz w:val="20"/>
                <w:szCs w:val="20"/>
                <w:lang w:val="en-US"/>
              </w:rPr>
              <w:tab/>
              <w:t>Linden &amp; Associates</w:t>
            </w:r>
          </w:p>
          <w:p w:rsidR="00F50B77" w:rsidRPr="00293EE1" w:rsidRDefault="00F50B77" w:rsidP="005F1ED8">
            <w:pPr>
              <w:rPr>
                <w:sz w:val="20"/>
                <w:szCs w:val="20"/>
                <w:lang w:val="en-US"/>
              </w:rPr>
            </w:pPr>
          </w:p>
          <w:p w:rsidR="00F50B77" w:rsidRPr="00293EE1" w:rsidRDefault="00F50B77" w:rsidP="005F1ED8">
            <w:pPr>
              <w:rPr>
                <w:sz w:val="20"/>
                <w:szCs w:val="20"/>
                <w:lang w:val="en-US"/>
              </w:rPr>
            </w:pPr>
            <w:r w:rsidRPr="00293EE1">
              <w:rPr>
                <w:sz w:val="20"/>
                <w:szCs w:val="20"/>
                <w:lang w:val="en-US"/>
              </w:rPr>
              <w:t>FILING DATE: 19.05.2017</w:t>
            </w:r>
          </w:p>
          <w:p w:rsidR="00F50B77" w:rsidRPr="00293EE1" w:rsidRDefault="00B2512D" w:rsidP="005F1ED8">
            <w:pPr>
              <w:rPr>
                <w:sz w:val="20"/>
                <w:szCs w:val="20"/>
                <w:lang w:val="fr-CA"/>
              </w:rPr>
            </w:pPr>
            <w:r>
              <w:rPr>
                <w:sz w:val="20"/>
                <w:szCs w:val="20"/>
                <w:lang w:val="fr-CA"/>
              </w:rPr>
              <w:pict>
                <v:rect id="_x0000_i1034" style="width:108pt;height:1pt" o:hrpct="0" o:hralign="center" o:hrstd="t" o:hrnoshade="t" o:hr="t" fillcolor="black [3213]" stroked="f"/>
              </w:pict>
            </w:r>
          </w:p>
          <w:p w:rsidR="00F50B77" w:rsidRPr="00293EE1" w:rsidRDefault="00F50B77" w:rsidP="005F1ED8">
            <w:pPr>
              <w:rPr>
                <w:sz w:val="20"/>
                <w:szCs w:val="20"/>
                <w:lang w:val="en-US"/>
              </w:rPr>
            </w:pPr>
          </w:p>
        </w:tc>
      </w:tr>
      <w:tr w:rsidR="00B16A06" w:rsidRPr="00293EE1" w:rsidTr="003B3977">
        <w:tc>
          <w:tcPr>
            <w:tcW w:w="4320" w:type="dxa"/>
            <w:shd w:val="clear" w:color="auto" w:fill="auto"/>
          </w:tcPr>
          <w:p w:rsidR="00B16A06" w:rsidRPr="00293EE1" w:rsidRDefault="003E74E5" w:rsidP="005F1ED8">
            <w:pPr>
              <w:rPr>
                <w:b/>
                <w:sz w:val="20"/>
                <w:szCs w:val="20"/>
                <w:lang w:val="en-US"/>
              </w:rPr>
            </w:pPr>
            <w:r w:rsidRPr="00293EE1">
              <w:rPr>
                <w:b/>
                <w:sz w:val="20"/>
                <w:szCs w:val="20"/>
                <w:lang w:val="en-US"/>
              </w:rPr>
              <w:t xml:space="preserve">Wayne </w:t>
            </w:r>
            <w:proofErr w:type="spellStart"/>
            <w:r w:rsidRPr="00293EE1">
              <w:rPr>
                <w:b/>
                <w:sz w:val="20"/>
                <w:szCs w:val="20"/>
                <w:lang w:val="en-US"/>
              </w:rPr>
              <w:t>Mikkelsen</w:t>
            </w:r>
            <w:proofErr w:type="spellEnd"/>
            <w:r w:rsidRPr="00293EE1">
              <w:rPr>
                <w:b/>
                <w:sz w:val="20"/>
                <w:szCs w:val="20"/>
                <w:lang w:val="en-US"/>
              </w:rPr>
              <w:t xml:space="preserve"> et al.</w:t>
            </w:r>
          </w:p>
          <w:p w:rsidR="003E74E5" w:rsidRPr="00293EE1" w:rsidRDefault="003E74E5" w:rsidP="005F1ED8">
            <w:pPr>
              <w:rPr>
                <w:sz w:val="20"/>
                <w:szCs w:val="20"/>
                <w:lang w:val="en-US"/>
              </w:rPr>
            </w:pPr>
            <w:r w:rsidRPr="00293EE1">
              <w:rPr>
                <w:b/>
                <w:sz w:val="20"/>
                <w:szCs w:val="20"/>
                <w:lang w:val="en-US"/>
              </w:rPr>
              <w:tab/>
            </w:r>
            <w:r w:rsidRPr="00293EE1">
              <w:rPr>
                <w:sz w:val="20"/>
                <w:szCs w:val="20"/>
                <w:lang w:val="en-US"/>
              </w:rPr>
              <w:t>James D. Murphy</w:t>
            </w:r>
          </w:p>
          <w:p w:rsidR="003E74E5" w:rsidRPr="00293EE1" w:rsidRDefault="003E74E5" w:rsidP="005F1ED8">
            <w:pPr>
              <w:rPr>
                <w:sz w:val="20"/>
                <w:szCs w:val="20"/>
                <w:lang w:val="en-US"/>
              </w:rPr>
            </w:pPr>
            <w:r w:rsidRPr="00293EE1">
              <w:rPr>
                <w:sz w:val="20"/>
                <w:szCs w:val="20"/>
                <w:lang w:val="en-US"/>
              </w:rPr>
              <w:tab/>
              <w:t>Brunet, Duckworth &amp; Palmer</w:t>
            </w:r>
          </w:p>
          <w:p w:rsidR="003E74E5" w:rsidRPr="00293EE1" w:rsidRDefault="003E74E5" w:rsidP="005F1ED8">
            <w:pPr>
              <w:rPr>
                <w:sz w:val="20"/>
                <w:szCs w:val="20"/>
                <w:lang w:val="en-US"/>
              </w:rPr>
            </w:pPr>
          </w:p>
          <w:p w:rsidR="003E74E5" w:rsidRPr="00293EE1" w:rsidRDefault="003E74E5" w:rsidP="005F1ED8">
            <w:pPr>
              <w:rPr>
                <w:sz w:val="20"/>
                <w:szCs w:val="20"/>
                <w:lang w:val="en-US"/>
              </w:rPr>
            </w:pPr>
            <w:r w:rsidRPr="00293EE1">
              <w:rPr>
                <w:sz w:val="20"/>
                <w:szCs w:val="20"/>
                <w:lang w:val="en-US"/>
              </w:rPr>
              <w:tab/>
              <w:t>v. (37572)</w:t>
            </w:r>
          </w:p>
          <w:p w:rsidR="003E74E5" w:rsidRPr="00293EE1" w:rsidRDefault="003E74E5" w:rsidP="005F1ED8">
            <w:pPr>
              <w:rPr>
                <w:sz w:val="20"/>
                <w:szCs w:val="20"/>
                <w:lang w:val="en-US"/>
              </w:rPr>
            </w:pPr>
          </w:p>
          <w:p w:rsidR="003E74E5" w:rsidRPr="00293EE1" w:rsidRDefault="003E74E5" w:rsidP="005F1ED8">
            <w:pPr>
              <w:rPr>
                <w:b/>
                <w:sz w:val="20"/>
                <w:szCs w:val="20"/>
                <w:lang w:val="en-US"/>
              </w:rPr>
            </w:pPr>
            <w:r w:rsidRPr="00293EE1">
              <w:rPr>
                <w:b/>
                <w:sz w:val="20"/>
                <w:szCs w:val="20"/>
                <w:lang w:val="en-US"/>
              </w:rPr>
              <w:t>Truman Development Corporation (Alta.)</w:t>
            </w:r>
          </w:p>
          <w:p w:rsidR="003E74E5" w:rsidRPr="00293EE1" w:rsidRDefault="003E74E5" w:rsidP="005F1ED8">
            <w:pPr>
              <w:rPr>
                <w:sz w:val="20"/>
                <w:szCs w:val="20"/>
                <w:lang w:val="fr-CA"/>
              </w:rPr>
            </w:pPr>
            <w:r w:rsidRPr="00293EE1">
              <w:rPr>
                <w:sz w:val="20"/>
                <w:szCs w:val="20"/>
                <w:lang w:val="en-US"/>
              </w:rPr>
              <w:tab/>
            </w:r>
            <w:r w:rsidRPr="00293EE1">
              <w:rPr>
                <w:sz w:val="20"/>
                <w:szCs w:val="20"/>
                <w:lang w:val="fr-CA"/>
              </w:rPr>
              <w:t>Robert J. Simpson, Q.C.</w:t>
            </w:r>
          </w:p>
          <w:p w:rsidR="003E74E5" w:rsidRPr="00293EE1" w:rsidRDefault="003E74E5" w:rsidP="005F1ED8">
            <w:pPr>
              <w:rPr>
                <w:sz w:val="20"/>
                <w:szCs w:val="20"/>
                <w:lang w:val="fr-CA"/>
              </w:rPr>
            </w:pPr>
            <w:r w:rsidRPr="00293EE1">
              <w:rPr>
                <w:sz w:val="20"/>
                <w:szCs w:val="20"/>
                <w:lang w:val="fr-CA"/>
              </w:rPr>
              <w:tab/>
              <w:t>Rose LLP</w:t>
            </w:r>
          </w:p>
          <w:p w:rsidR="003E74E5" w:rsidRPr="00293EE1" w:rsidRDefault="003E74E5" w:rsidP="005F1ED8">
            <w:pPr>
              <w:rPr>
                <w:sz w:val="20"/>
                <w:szCs w:val="20"/>
                <w:lang w:val="fr-CA"/>
              </w:rPr>
            </w:pPr>
          </w:p>
          <w:p w:rsidR="003E74E5" w:rsidRPr="00293EE1" w:rsidRDefault="003E74E5" w:rsidP="005F1ED8">
            <w:pPr>
              <w:rPr>
                <w:sz w:val="20"/>
                <w:szCs w:val="20"/>
                <w:lang w:val="fr-CA"/>
              </w:rPr>
            </w:pPr>
            <w:r w:rsidRPr="00293EE1">
              <w:rPr>
                <w:sz w:val="20"/>
                <w:szCs w:val="20"/>
                <w:lang w:val="fr-CA"/>
              </w:rPr>
              <w:t>FILING DATE : 23.05.2017</w:t>
            </w:r>
          </w:p>
          <w:p w:rsidR="003E74E5" w:rsidRPr="00293EE1" w:rsidRDefault="00B2512D" w:rsidP="005F1ED8">
            <w:pPr>
              <w:rPr>
                <w:sz w:val="20"/>
                <w:szCs w:val="20"/>
                <w:lang w:val="fr-CA"/>
              </w:rPr>
            </w:pPr>
            <w:r>
              <w:rPr>
                <w:sz w:val="20"/>
                <w:szCs w:val="20"/>
                <w:lang w:val="fr-CA"/>
              </w:rPr>
              <w:pict>
                <v:rect id="_x0000_i1035" style="width:108pt;height:1pt" o:hrpct="0" o:hralign="center" o:hrstd="t" o:hrnoshade="t" o:hr="t" fillcolor="black [3213]" stroked="f"/>
              </w:pict>
            </w:r>
          </w:p>
          <w:p w:rsidR="003E74E5" w:rsidRPr="00293EE1" w:rsidRDefault="003E74E5" w:rsidP="005F1ED8">
            <w:pPr>
              <w:rPr>
                <w:sz w:val="20"/>
                <w:szCs w:val="20"/>
                <w:lang w:val="fr-CA"/>
              </w:rPr>
            </w:pPr>
          </w:p>
        </w:tc>
        <w:tc>
          <w:tcPr>
            <w:tcW w:w="1181" w:type="dxa"/>
            <w:shd w:val="clear" w:color="auto" w:fill="auto"/>
          </w:tcPr>
          <w:p w:rsidR="00B16A06" w:rsidRPr="00293EE1" w:rsidRDefault="00B16A06" w:rsidP="00242AEE">
            <w:pPr>
              <w:jc w:val="center"/>
              <w:rPr>
                <w:sz w:val="20"/>
                <w:szCs w:val="20"/>
                <w:lang w:val="fr-CA"/>
              </w:rPr>
            </w:pPr>
          </w:p>
        </w:tc>
        <w:tc>
          <w:tcPr>
            <w:tcW w:w="4320" w:type="dxa"/>
            <w:shd w:val="clear" w:color="auto" w:fill="auto"/>
          </w:tcPr>
          <w:p w:rsidR="00B16A06" w:rsidRPr="00293EE1" w:rsidRDefault="003E74E5" w:rsidP="005F1ED8">
            <w:pPr>
              <w:rPr>
                <w:b/>
                <w:sz w:val="20"/>
                <w:szCs w:val="20"/>
                <w:lang w:val="fr-CA"/>
              </w:rPr>
            </w:pPr>
            <w:r w:rsidRPr="00293EE1">
              <w:rPr>
                <w:b/>
                <w:sz w:val="20"/>
                <w:szCs w:val="20"/>
                <w:lang w:val="fr-CA"/>
              </w:rPr>
              <w:t>Marcel Nadeau</w:t>
            </w:r>
          </w:p>
          <w:p w:rsidR="003E74E5" w:rsidRPr="00293EE1" w:rsidRDefault="003E74E5" w:rsidP="005F1ED8">
            <w:pPr>
              <w:rPr>
                <w:sz w:val="20"/>
                <w:szCs w:val="20"/>
                <w:lang w:val="fr-CA"/>
              </w:rPr>
            </w:pPr>
            <w:r w:rsidRPr="00293EE1">
              <w:rPr>
                <w:b/>
                <w:sz w:val="20"/>
                <w:szCs w:val="20"/>
                <w:lang w:val="fr-CA"/>
              </w:rPr>
              <w:tab/>
            </w:r>
            <w:r w:rsidRPr="00293EE1">
              <w:rPr>
                <w:sz w:val="20"/>
                <w:szCs w:val="20"/>
                <w:lang w:val="fr-CA"/>
              </w:rPr>
              <w:t xml:space="preserve">Normand </w:t>
            </w:r>
            <w:proofErr w:type="spellStart"/>
            <w:r w:rsidRPr="00293EE1">
              <w:rPr>
                <w:sz w:val="20"/>
                <w:szCs w:val="20"/>
                <w:lang w:val="fr-CA"/>
              </w:rPr>
              <w:t>Painchaud</w:t>
            </w:r>
            <w:proofErr w:type="spellEnd"/>
          </w:p>
          <w:p w:rsidR="003E74E5" w:rsidRPr="00293EE1" w:rsidRDefault="003E74E5" w:rsidP="005F1ED8">
            <w:pPr>
              <w:rPr>
                <w:sz w:val="20"/>
                <w:szCs w:val="20"/>
                <w:lang w:val="fr-CA"/>
              </w:rPr>
            </w:pPr>
            <w:r w:rsidRPr="00293EE1">
              <w:rPr>
                <w:sz w:val="20"/>
                <w:szCs w:val="20"/>
                <w:lang w:val="fr-CA"/>
              </w:rPr>
              <w:tab/>
              <w:t xml:space="preserve">Sylvestre </w:t>
            </w:r>
            <w:proofErr w:type="spellStart"/>
            <w:r w:rsidRPr="00293EE1">
              <w:rPr>
                <w:sz w:val="20"/>
                <w:szCs w:val="20"/>
                <w:lang w:val="fr-CA"/>
              </w:rPr>
              <w:t>Painchaud</w:t>
            </w:r>
            <w:proofErr w:type="spellEnd"/>
            <w:r w:rsidRPr="00293EE1">
              <w:rPr>
                <w:sz w:val="20"/>
                <w:szCs w:val="20"/>
                <w:lang w:val="fr-CA"/>
              </w:rPr>
              <w:t xml:space="preserve"> et Associés </w:t>
            </w:r>
            <w:r w:rsidRPr="00293EE1">
              <w:rPr>
                <w:sz w:val="20"/>
                <w:szCs w:val="20"/>
                <w:lang w:val="fr-CA"/>
              </w:rPr>
              <w:tab/>
            </w:r>
            <w:proofErr w:type="spellStart"/>
            <w:r w:rsidR="00B36210" w:rsidRPr="00293EE1">
              <w:rPr>
                <w:sz w:val="20"/>
                <w:szCs w:val="20"/>
                <w:lang w:val="fr-CA"/>
              </w:rPr>
              <w:t>s.e.n.c.r.l</w:t>
            </w:r>
            <w:proofErr w:type="spellEnd"/>
            <w:r w:rsidR="00B36210" w:rsidRPr="00293EE1">
              <w:rPr>
                <w:sz w:val="20"/>
                <w:szCs w:val="20"/>
                <w:lang w:val="fr-CA"/>
              </w:rPr>
              <w:t>.</w:t>
            </w:r>
          </w:p>
          <w:p w:rsidR="003E74E5" w:rsidRPr="00293EE1" w:rsidRDefault="003E74E5" w:rsidP="005F1ED8">
            <w:pPr>
              <w:rPr>
                <w:sz w:val="20"/>
                <w:szCs w:val="20"/>
                <w:lang w:val="fr-CA"/>
              </w:rPr>
            </w:pPr>
          </w:p>
          <w:p w:rsidR="003E74E5" w:rsidRPr="00293EE1" w:rsidRDefault="003E74E5" w:rsidP="005F1ED8">
            <w:pPr>
              <w:rPr>
                <w:sz w:val="20"/>
                <w:szCs w:val="20"/>
                <w:lang w:val="fr-CA"/>
              </w:rPr>
            </w:pPr>
            <w:r w:rsidRPr="00293EE1">
              <w:rPr>
                <w:sz w:val="20"/>
                <w:szCs w:val="20"/>
                <w:lang w:val="fr-CA"/>
              </w:rPr>
              <w:tab/>
              <w:t>c. (37576)</w:t>
            </w:r>
          </w:p>
          <w:p w:rsidR="003E74E5" w:rsidRPr="00293EE1" w:rsidRDefault="003E74E5" w:rsidP="005F1ED8">
            <w:pPr>
              <w:rPr>
                <w:sz w:val="20"/>
                <w:szCs w:val="20"/>
                <w:lang w:val="fr-CA"/>
              </w:rPr>
            </w:pPr>
          </w:p>
          <w:p w:rsidR="003E74E5" w:rsidRPr="00293EE1" w:rsidRDefault="00584503" w:rsidP="005F1ED8">
            <w:pPr>
              <w:rPr>
                <w:b/>
                <w:sz w:val="20"/>
                <w:szCs w:val="20"/>
                <w:lang w:val="fr-CA"/>
              </w:rPr>
            </w:pPr>
            <w:r w:rsidRPr="00293EE1">
              <w:rPr>
                <w:b/>
                <w:sz w:val="20"/>
                <w:szCs w:val="20"/>
                <w:lang w:val="fr-CA"/>
              </w:rPr>
              <w:t xml:space="preserve">Mercedes Benz Canada </w:t>
            </w:r>
            <w:proofErr w:type="spellStart"/>
            <w:r w:rsidRPr="00293EE1">
              <w:rPr>
                <w:b/>
                <w:sz w:val="20"/>
                <w:szCs w:val="20"/>
                <w:lang w:val="fr-CA"/>
              </w:rPr>
              <w:t>inc.</w:t>
            </w:r>
            <w:proofErr w:type="spellEnd"/>
            <w:r w:rsidRPr="00293EE1">
              <w:rPr>
                <w:b/>
                <w:sz w:val="20"/>
                <w:szCs w:val="20"/>
                <w:lang w:val="fr-CA"/>
              </w:rPr>
              <w:t xml:space="preserve"> et autre (</w:t>
            </w:r>
            <w:proofErr w:type="spellStart"/>
            <w:r w:rsidRPr="00293EE1">
              <w:rPr>
                <w:b/>
                <w:sz w:val="20"/>
                <w:szCs w:val="20"/>
                <w:lang w:val="fr-CA"/>
              </w:rPr>
              <w:t>Qc</w:t>
            </w:r>
            <w:proofErr w:type="spellEnd"/>
            <w:r w:rsidRPr="00293EE1">
              <w:rPr>
                <w:b/>
                <w:sz w:val="20"/>
                <w:szCs w:val="20"/>
                <w:lang w:val="fr-CA"/>
              </w:rPr>
              <w:t>)</w:t>
            </w:r>
          </w:p>
          <w:p w:rsidR="00584503" w:rsidRPr="00293EE1" w:rsidRDefault="00584503" w:rsidP="005F1ED8">
            <w:pPr>
              <w:rPr>
                <w:sz w:val="20"/>
                <w:szCs w:val="20"/>
                <w:lang w:val="fr-CA"/>
              </w:rPr>
            </w:pPr>
            <w:r w:rsidRPr="00293EE1">
              <w:rPr>
                <w:b/>
                <w:sz w:val="20"/>
                <w:szCs w:val="20"/>
                <w:lang w:val="fr-CA"/>
              </w:rPr>
              <w:tab/>
            </w:r>
            <w:r w:rsidRPr="00293EE1">
              <w:rPr>
                <w:sz w:val="20"/>
                <w:szCs w:val="20"/>
                <w:lang w:val="fr-CA"/>
              </w:rPr>
              <w:t xml:space="preserve">Laurent </w:t>
            </w:r>
            <w:proofErr w:type="spellStart"/>
            <w:r w:rsidRPr="00293EE1">
              <w:rPr>
                <w:sz w:val="20"/>
                <w:szCs w:val="20"/>
                <w:lang w:val="fr-CA"/>
              </w:rPr>
              <w:t>Nahmiash</w:t>
            </w:r>
            <w:proofErr w:type="spellEnd"/>
          </w:p>
          <w:p w:rsidR="00584503" w:rsidRPr="00293EE1" w:rsidRDefault="00584503" w:rsidP="005F1ED8">
            <w:pPr>
              <w:rPr>
                <w:sz w:val="20"/>
                <w:szCs w:val="20"/>
                <w:lang w:val="fr-CA"/>
              </w:rPr>
            </w:pPr>
            <w:r w:rsidRPr="00293EE1">
              <w:rPr>
                <w:sz w:val="20"/>
                <w:szCs w:val="20"/>
                <w:lang w:val="fr-CA"/>
              </w:rPr>
              <w:tab/>
              <w:t>Dentons Canada LLP</w:t>
            </w:r>
          </w:p>
          <w:p w:rsidR="00584503" w:rsidRPr="00293EE1" w:rsidRDefault="00584503" w:rsidP="005F1ED8">
            <w:pPr>
              <w:rPr>
                <w:sz w:val="20"/>
                <w:szCs w:val="20"/>
                <w:lang w:val="fr-CA"/>
              </w:rPr>
            </w:pPr>
          </w:p>
          <w:p w:rsidR="00584503" w:rsidRPr="00293EE1" w:rsidRDefault="00584503" w:rsidP="005F1ED8">
            <w:pPr>
              <w:rPr>
                <w:sz w:val="20"/>
                <w:szCs w:val="20"/>
                <w:lang w:val="fr-CA"/>
              </w:rPr>
            </w:pPr>
            <w:r w:rsidRPr="00293EE1">
              <w:rPr>
                <w:sz w:val="20"/>
                <w:szCs w:val="20"/>
                <w:lang w:val="fr-CA"/>
              </w:rPr>
              <w:t>DATE DE PRODUCTION : 23.05.2017</w:t>
            </w:r>
          </w:p>
          <w:p w:rsidR="00584503" w:rsidRPr="00293EE1" w:rsidRDefault="00B2512D" w:rsidP="005F1ED8">
            <w:pPr>
              <w:rPr>
                <w:sz w:val="20"/>
                <w:szCs w:val="20"/>
                <w:lang w:val="fr-CA"/>
              </w:rPr>
            </w:pPr>
            <w:r>
              <w:rPr>
                <w:sz w:val="20"/>
                <w:szCs w:val="20"/>
                <w:lang w:val="fr-CA"/>
              </w:rPr>
              <w:pict>
                <v:rect id="_x0000_i1036" style="width:108pt;height:1pt" o:hrpct="0" o:hralign="center" o:hrstd="t" o:hrnoshade="t" o:hr="t" fillcolor="black [3213]" stroked="f"/>
              </w:pict>
            </w:r>
          </w:p>
          <w:p w:rsidR="00584503" w:rsidRPr="00293EE1" w:rsidRDefault="00584503" w:rsidP="005F1ED8">
            <w:pPr>
              <w:rPr>
                <w:sz w:val="20"/>
                <w:szCs w:val="20"/>
                <w:lang w:val="fr-CA"/>
              </w:rPr>
            </w:pPr>
          </w:p>
        </w:tc>
      </w:tr>
      <w:tr w:rsidR="00D445F5" w:rsidRPr="00293EE1" w:rsidTr="003B3977">
        <w:tc>
          <w:tcPr>
            <w:tcW w:w="4320" w:type="dxa"/>
            <w:shd w:val="clear" w:color="auto" w:fill="auto"/>
          </w:tcPr>
          <w:p w:rsidR="00D445F5" w:rsidRPr="00293EE1" w:rsidRDefault="002D05AC" w:rsidP="00D445F5">
            <w:pPr>
              <w:rPr>
                <w:b/>
                <w:sz w:val="20"/>
                <w:szCs w:val="20"/>
                <w:lang w:val="en-US"/>
              </w:rPr>
            </w:pPr>
            <w:r w:rsidRPr="00293EE1">
              <w:rPr>
                <w:b/>
                <w:sz w:val="20"/>
                <w:szCs w:val="20"/>
                <w:lang w:val="en-US"/>
              </w:rPr>
              <w:t>Teamsters Canada Rail Conference</w:t>
            </w:r>
          </w:p>
          <w:p w:rsidR="00D445F5" w:rsidRPr="00293EE1" w:rsidRDefault="00D445F5" w:rsidP="00D445F5">
            <w:pPr>
              <w:rPr>
                <w:sz w:val="20"/>
                <w:szCs w:val="20"/>
                <w:lang w:val="en-US"/>
              </w:rPr>
            </w:pPr>
            <w:r w:rsidRPr="00293EE1">
              <w:rPr>
                <w:sz w:val="20"/>
                <w:szCs w:val="20"/>
                <w:lang w:val="en-US"/>
              </w:rPr>
              <w:tab/>
            </w:r>
            <w:r w:rsidR="002D05AC" w:rsidRPr="00293EE1">
              <w:rPr>
                <w:sz w:val="20"/>
                <w:szCs w:val="20"/>
                <w:lang w:val="en-US"/>
              </w:rPr>
              <w:t>Sylvain Beauchamp</w:t>
            </w:r>
          </w:p>
          <w:p w:rsidR="00D445F5" w:rsidRPr="00293EE1" w:rsidRDefault="00D445F5" w:rsidP="00D445F5">
            <w:pPr>
              <w:rPr>
                <w:sz w:val="20"/>
                <w:szCs w:val="20"/>
                <w:lang w:val="fr-CA"/>
              </w:rPr>
            </w:pPr>
            <w:r w:rsidRPr="00293EE1">
              <w:rPr>
                <w:sz w:val="20"/>
                <w:szCs w:val="20"/>
                <w:lang w:val="en-US"/>
              </w:rPr>
              <w:tab/>
            </w:r>
            <w:proofErr w:type="spellStart"/>
            <w:r w:rsidR="002D05AC" w:rsidRPr="00293EE1">
              <w:rPr>
                <w:sz w:val="20"/>
                <w:szCs w:val="20"/>
                <w:lang w:val="fr-CA"/>
              </w:rPr>
              <w:t>Melançon</w:t>
            </w:r>
            <w:proofErr w:type="spellEnd"/>
            <w:r w:rsidR="002D05AC" w:rsidRPr="00293EE1">
              <w:rPr>
                <w:sz w:val="20"/>
                <w:szCs w:val="20"/>
                <w:lang w:val="fr-CA"/>
              </w:rPr>
              <w:t xml:space="preserve">, Marceau, Grenier </w:t>
            </w:r>
            <w:r w:rsidRPr="00293EE1">
              <w:rPr>
                <w:sz w:val="20"/>
                <w:szCs w:val="20"/>
                <w:lang w:val="fr-CA"/>
              </w:rPr>
              <w:t xml:space="preserve">&amp; </w:t>
            </w:r>
            <w:proofErr w:type="spellStart"/>
            <w:r w:rsidR="002D05AC" w:rsidRPr="00293EE1">
              <w:rPr>
                <w:sz w:val="20"/>
                <w:szCs w:val="20"/>
                <w:lang w:val="fr-CA"/>
              </w:rPr>
              <w:t>Sciortino</w:t>
            </w:r>
            <w:proofErr w:type="spellEnd"/>
          </w:p>
          <w:p w:rsidR="00D445F5" w:rsidRPr="00293EE1" w:rsidRDefault="00D445F5" w:rsidP="00D445F5">
            <w:pPr>
              <w:rPr>
                <w:sz w:val="20"/>
                <w:szCs w:val="20"/>
                <w:lang w:val="fr-CA"/>
              </w:rPr>
            </w:pPr>
          </w:p>
          <w:p w:rsidR="00D445F5" w:rsidRPr="00293EE1" w:rsidRDefault="00D445F5" w:rsidP="00D445F5">
            <w:pPr>
              <w:rPr>
                <w:sz w:val="20"/>
                <w:szCs w:val="20"/>
                <w:lang w:val="fr-CA"/>
              </w:rPr>
            </w:pPr>
            <w:r w:rsidRPr="00293EE1">
              <w:rPr>
                <w:sz w:val="20"/>
                <w:szCs w:val="20"/>
                <w:lang w:val="fr-CA"/>
              </w:rPr>
              <w:tab/>
              <w:t>v. (375</w:t>
            </w:r>
            <w:r w:rsidR="00B2032C" w:rsidRPr="00293EE1">
              <w:rPr>
                <w:sz w:val="20"/>
                <w:szCs w:val="20"/>
                <w:lang w:val="fr-CA"/>
              </w:rPr>
              <w:t>73</w:t>
            </w:r>
            <w:r w:rsidRPr="00293EE1">
              <w:rPr>
                <w:sz w:val="20"/>
                <w:szCs w:val="20"/>
                <w:lang w:val="fr-CA"/>
              </w:rPr>
              <w:t>)</w:t>
            </w:r>
          </w:p>
          <w:p w:rsidR="00D445F5" w:rsidRPr="00293EE1" w:rsidRDefault="00D445F5" w:rsidP="00D445F5">
            <w:pPr>
              <w:rPr>
                <w:sz w:val="20"/>
                <w:szCs w:val="20"/>
                <w:lang w:val="fr-CA"/>
              </w:rPr>
            </w:pPr>
          </w:p>
          <w:p w:rsidR="00D445F5" w:rsidRPr="00293EE1" w:rsidRDefault="002D05AC" w:rsidP="00D445F5">
            <w:pPr>
              <w:rPr>
                <w:b/>
                <w:sz w:val="20"/>
                <w:szCs w:val="20"/>
                <w:lang w:val="en-US"/>
              </w:rPr>
            </w:pPr>
            <w:r w:rsidRPr="00293EE1">
              <w:rPr>
                <w:b/>
                <w:sz w:val="20"/>
                <w:szCs w:val="20"/>
                <w:lang w:val="en-US"/>
              </w:rPr>
              <w:t>Canadian Pacific Railway Company</w:t>
            </w:r>
            <w:r w:rsidR="00D445F5" w:rsidRPr="00293EE1">
              <w:rPr>
                <w:b/>
                <w:sz w:val="20"/>
                <w:szCs w:val="20"/>
                <w:lang w:val="en-US"/>
              </w:rPr>
              <w:t xml:space="preserve"> (</w:t>
            </w:r>
            <w:r w:rsidRPr="00293EE1">
              <w:rPr>
                <w:b/>
                <w:sz w:val="20"/>
                <w:szCs w:val="20"/>
                <w:lang w:val="en-US"/>
              </w:rPr>
              <w:t>Que.</w:t>
            </w:r>
            <w:r w:rsidR="00D445F5" w:rsidRPr="00293EE1">
              <w:rPr>
                <w:b/>
                <w:sz w:val="20"/>
                <w:szCs w:val="20"/>
                <w:lang w:val="en-US"/>
              </w:rPr>
              <w:t>)</w:t>
            </w:r>
          </w:p>
          <w:p w:rsidR="00D445F5" w:rsidRPr="00293EE1" w:rsidRDefault="00D445F5" w:rsidP="00D445F5">
            <w:pPr>
              <w:rPr>
                <w:sz w:val="20"/>
                <w:szCs w:val="20"/>
                <w:lang w:val="en-US"/>
              </w:rPr>
            </w:pPr>
            <w:r w:rsidRPr="00293EE1">
              <w:rPr>
                <w:sz w:val="20"/>
                <w:szCs w:val="20"/>
                <w:lang w:val="en-US"/>
              </w:rPr>
              <w:tab/>
            </w:r>
            <w:r w:rsidR="002D05AC" w:rsidRPr="00293EE1">
              <w:rPr>
                <w:sz w:val="20"/>
                <w:szCs w:val="20"/>
                <w:lang w:val="en-US"/>
              </w:rPr>
              <w:t>Guy J. Pratte</w:t>
            </w:r>
          </w:p>
          <w:p w:rsidR="00D445F5" w:rsidRPr="00293EE1" w:rsidRDefault="002D05AC" w:rsidP="00D445F5">
            <w:pPr>
              <w:rPr>
                <w:sz w:val="20"/>
                <w:szCs w:val="20"/>
                <w:lang w:val="en-US"/>
              </w:rPr>
            </w:pPr>
            <w:r w:rsidRPr="00293EE1">
              <w:rPr>
                <w:sz w:val="20"/>
                <w:szCs w:val="20"/>
                <w:lang w:val="en-US"/>
              </w:rPr>
              <w:tab/>
              <w:t xml:space="preserve">Borden Ladner Gervais </w:t>
            </w:r>
            <w:proofErr w:type="spellStart"/>
            <w:r w:rsidRPr="00293EE1">
              <w:rPr>
                <w:sz w:val="20"/>
                <w:szCs w:val="20"/>
                <w:lang w:val="en-US"/>
              </w:rPr>
              <w:t>s.e.n.c.r.l</w:t>
            </w:r>
            <w:proofErr w:type="spellEnd"/>
            <w:r w:rsidRPr="00293EE1">
              <w:rPr>
                <w:sz w:val="20"/>
                <w:szCs w:val="20"/>
                <w:lang w:val="en-US"/>
              </w:rPr>
              <w:t xml:space="preserve">., </w:t>
            </w:r>
            <w:proofErr w:type="spellStart"/>
            <w:r w:rsidRPr="00293EE1">
              <w:rPr>
                <w:sz w:val="20"/>
                <w:szCs w:val="20"/>
                <w:lang w:val="en-US"/>
              </w:rPr>
              <w:t>s.r.l</w:t>
            </w:r>
            <w:proofErr w:type="spellEnd"/>
            <w:r w:rsidRPr="00293EE1">
              <w:rPr>
                <w:sz w:val="20"/>
                <w:szCs w:val="20"/>
                <w:lang w:val="en-US"/>
              </w:rPr>
              <w:t>.</w:t>
            </w:r>
          </w:p>
          <w:p w:rsidR="00D445F5" w:rsidRPr="00293EE1" w:rsidRDefault="00D445F5" w:rsidP="00D445F5">
            <w:pPr>
              <w:rPr>
                <w:sz w:val="20"/>
                <w:szCs w:val="20"/>
                <w:lang w:val="en-US"/>
              </w:rPr>
            </w:pPr>
          </w:p>
          <w:p w:rsidR="00D445F5" w:rsidRPr="00293EE1" w:rsidRDefault="00D445F5" w:rsidP="00D445F5">
            <w:pPr>
              <w:rPr>
                <w:sz w:val="20"/>
                <w:szCs w:val="20"/>
                <w:lang w:val="en-US"/>
              </w:rPr>
            </w:pPr>
            <w:r w:rsidRPr="00293EE1">
              <w:rPr>
                <w:sz w:val="20"/>
                <w:szCs w:val="20"/>
                <w:lang w:val="en-US"/>
              </w:rPr>
              <w:t xml:space="preserve">FILING DATE : </w:t>
            </w:r>
            <w:r w:rsidR="00B2032C" w:rsidRPr="00293EE1">
              <w:rPr>
                <w:sz w:val="20"/>
                <w:szCs w:val="20"/>
                <w:lang w:val="en-US"/>
              </w:rPr>
              <w:t>19</w:t>
            </w:r>
            <w:r w:rsidRPr="00293EE1">
              <w:rPr>
                <w:sz w:val="20"/>
                <w:szCs w:val="20"/>
                <w:lang w:val="en-US"/>
              </w:rPr>
              <w:t>.05.2017</w:t>
            </w:r>
          </w:p>
          <w:p w:rsidR="00D445F5" w:rsidRPr="00293EE1" w:rsidRDefault="00B2512D" w:rsidP="00D445F5">
            <w:pPr>
              <w:rPr>
                <w:sz w:val="20"/>
                <w:szCs w:val="20"/>
                <w:lang w:val="en-US"/>
              </w:rPr>
            </w:pPr>
            <w:r>
              <w:rPr>
                <w:sz w:val="20"/>
                <w:szCs w:val="20"/>
                <w:lang w:val="fr-CA"/>
              </w:rPr>
              <w:pict>
                <v:rect id="_x0000_i1037" style="width:108pt;height:1pt" o:hrpct="0" o:hralign="center" o:hrstd="t" o:hrnoshade="t" o:hr="t" fillcolor="black [3213]" stroked="f"/>
              </w:pict>
            </w:r>
          </w:p>
          <w:p w:rsidR="00D445F5" w:rsidRPr="00293EE1" w:rsidRDefault="00D445F5" w:rsidP="00D445F5">
            <w:pPr>
              <w:rPr>
                <w:b/>
                <w:sz w:val="20"/>
                <w:szCs w:val="20"/>
                <w:lang w:val="en-US"/>
              </w:rPr>
            </w:pPr>
          </w:p>
        </w:tc>
        <w:tc>
          <w:tcPr>
            <w:tcW w:w="1181" w:type="dxa"/>
            <w:shd w:val="clear" w:color="auto" w:fill="auto"/>
          </w:tcPr>
          <w:p w:rsidR="00D445F5" w:rsidRPr="00293EE1" w:rsidRDefault="00D445F5" w:rsidP="00242AEE">
            <w:pPr>
              <w:jc w:val="center"/>
              <w:rPr>
                <w:sz w:val="20"/>
                <w:szCs w:val="20"/>
                <w:lang w:val="en-US"/>
              </w:rPr>
            </w:pPr>
          </w:p>
        </w:tc>
        <w:tc>
          <w:tcPr>
            <w:tcW w:w="4320" w:type="dxa"/>
            <w:shd w:val="clear" w:color="auto" w:fill="auto"/>
          </w:tcPr>
          <w:p w:rsidR="00D445F5" w:rsidRPr="00293EE1" w:rsidRDefault="00D445F5" w:rsidP="005F1ED8">
            <w:pPr>
              <w:rPr>
                <w:b/>
                <w:sz w:val="20"/>
                <w:szCs w:val="20"/>
                <w:lang w:val="en-US"/>
              </w:rPr>
            </w:pPr>
          </w:p>
        </w:tc>
      </w:tr>
    </w:tbl>
    <w:p w:rsidR="00242AEE" w:rsidRPr="00293EE1" w:rsidRDefault="00242AEE" w:rsidP="0095096B">
      <w:pPr>
        <w:tabs>
          <w:tab w:val="right" w:pos="9360"/>
        </w:tabs>
        <w:rPr>
          <w:sz w:val="20"/>
          <w:szCs w:val="20"/>
          <w:lang w:val="en-US"/>
        </w:rPr>
      </w:pPr>
    </w:p>
    <w:p w:rsidR="00C01FCB" w:rsidRPr="00293EE1" w:rsidRDefault="00C01FCB" w:rsidP="0095096B">
      <w:pPr>
        <w:tabs>
          <w:tab w:val="right" w:pos="9360"/>
        </w:tabs>
        <w:rPr>
          <w:sz w:val="20"/>
          <w:szCs w:val="20"/>
          <w:lang w:val="en-US"/>
        </w:rPr>
      </w:pPr>
    </w:p>
    <w:p w:rsidR="00C01FCB" w:rsidRPr="00293EE1" w:rsidRDefault="00C01FCB" w:rsidP="0095096B">
      <w:pPr>
        <w:tabs>
          <w:tab w:val="right" w:pos="9360"/>
        </w:tabs>
        <w:rPr>
          <w:sz w:val="20"/>
          <w:szCs w:val="20"/>
          <w:lang w:val="en-US"/>
        </w:rPr>
      </w:pPr>
    </w:p>
    <w:p w:rsidR="00242AEE" w:rsidRPr="00293EE1" w:rsidRDefault="00242AEE" w:rsidP="0095096B">
      <w:pPr>
        <w:tabs>
          <w:tab w:val="right" w:pos="9360"/>
        </w:tabs>
        <w:rPr>
          <w:sz w:val="20"/>
          <w:szCs w:val="20"/>
          <w:lang w:val="en-US"/>
        </w:rPr>
        <w:sectPr w:rsidR="00242AEE" w:rsidRPr="00293EE1" w:rsidSect="00FF5DB2">
          <w:headerReference w:type="default" r:id="rId10"/>
          <w:footerReference w:type="default" r:id="rId11"/>
          <w:headerReference w:type="first" r:id="rId12"/>
          <w:footerReference w:type="first" r:id="rId13"/>
          <w:pgSz w:w="12240" w:h="15840"/>
          <w:pgMar w:top="720" w:right="965" w:bottom="1080" w:left="1656" w:header="706" w:footer="706" w:gutter="0"/>
          <w:pgNumType w:start="87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B2512D" w:rsidTr="00BA6468">
        <w:trPr>
          <w:trHeight w:val="900"/>
        </w:trPr>
        <w:tc>
          <w:tcPr>
            <w:tcW w:w="4200" w:type="dxa"/>
            <w:tcMar>
              <w:left w:w="0" w:type="dxa"/>
              <w:right w:w="0" w:type="dxa"/>
            </w:tcMar>
          </w:tcPr>
          <w:p w:rsidR="002E2327" w:rsidRPr="00293EE1" w:rsidRDefault="002E2327" w:rsidP="002E2327">
            <w:pPr>
              <w:keepNext/>
              <w:keepLines/>
              <w:widowControl w:val="0"/>
              <w:rPr>
                <w:b/>
                <w:szCs w:val="24"/>
                <w:lang w:val="en-US"/>
              </w:rPr>
            </w:pPr>
            <w:r w:rsidRPr="00293EE1">
              <w:rPr>
                <w:b/>
                <w:szCs w:val="24"/>
                <w:lang w:val="en-US"/>
              </w:rPr>
              <w:lastRenderedPageBreak/>
              <w:t>APPLICATIONS FOR LEAVE SUBMITTED TO COURT SINCE LAST ISSUE</w:t>
            </w:r>
          </w:p>
        </w:tc>
        <w:tc>
          <w:tcPr>
            <w:tcW w:w="1200" w:type="dxa"/>
            <w:tcMar>
              <w:left w:w="0" w:type="dxa"/>
              <w:right w:w="0" w:type="dxa"/>
            </w:tcMar>
          </w:tcPr>
          <w:p w:rsidR="002E2327" w:rsidRPr="00293EE1" w:rsidRDefault="002E2327" w:rsidP="002E2327">
            <w:pPr>
              <w:keepNext/>
              <w:keepLines/>
              <w:widowControl w:val="0"/>
              <w:jc w:val="center"/>
              <w:rPr>
                <w:b/>
                <w:szCs w:val="24"/>
                <w:lang w:val="en-US"/>
              </w:rPr>
            </w:pPr>
          </w:p>
          <w:p w:rsidR="001D0D5F" w:rsidRPr="00293EE1" w:rsidRDefault="001D0D5F" w:rsidP="002E2327">
            <w:pPr>
              <w:keepNext/>
              <w:keepLines/>
              <w:widowControl w:val="0"/>
              <w:jc w:val="center"/>
              <w:rPr>
                <w:b/>
                <w:szCs w:val="24"/>
                <w:lang w:val="en-US"/>
              </w:rPr>
            </w:pPr>
          </w:p>
          <w:p w:rsidR="001D0D5F" w:rsidRPr="00293EE1" w:rsidRDefault="001D0D5F" w:rsidP="002E2327">
            <w:pPr>
              <w:keepNext/>
              <w:keepLines/>
              <w:widowControl w:val="0"/>
              <w:jc w:val="center"/>
              <w:rPr>
                <w:b/>
                <w:szCs w:val="24"/>
                <w:lang w:val="en-US"/>
              </w:rPr>
            </w:pPr>
          </w:p>
          <w:p w:rsidR="001D0D5F" w:rsidRPr="00293EE1" w:rsidRDefault="001D0D5F" w:rsidP="002E2327">
            <w:pPr>
              <w:keepNext/>
              <w:keepLines/>
              <w:widowControl w:val="0"/>
              <w:jc w:val="center"/>
              <w:rPr>
                <w:b/>
                <w:szCs w:val="24"/>
                <w:lang w:val="en-US"/>
              </w:rPr>
            </w:pPr>
          </w:p>
        </w:tc>
        <w:tc>
          <w:tcPr>
            <w:tcW w:w="4080" w:type="dxa"/>
            <w:tcMar>
              <w:left w:w="0" w:type="dxa"/>
              <w:right w:w="0" w:type="dxa"/>
            </w:tcMar>
          </w:tcPr>
          <w:p w:rsidR="002E2327" w:rsidRPr="00293EE1" w:rsidRDefault="002E2327" w:rsidP="002E2327">
            <w:pPr>
              <w:keepLines/>
              <w:widowControl w:val="0"/>
              <w:rPr>
                <w:szCs w:val="24"/>
                <w:lang w:val="fr-CA"/>
              </w:rPr>
            </w:pPr>
            <w:r w:rsidRPr="00293EE1">
              <w:rPr>
                <w:b/>
                <w:szCs w:val="24"/>
                <w:lang w:val="fr-CA"/>
              </w:rPr>
              <w:t>DEMANDES SOUMISES À LA COUR DEPUIS LA DERNIÈRE PARUTION</w:t>
            </w:r>
          </w:p>
          <w:p w:rsidR="002E2327" w:rsidRPr="00293EE1"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293EE1" w:rsidRDefault="002E2327" w:rsidP="002E2327">
      <w:pPr>
        <w:widowControl w:val="0"/>
        <w:rPr>
          <w:b/>
          <w:sz w:val="20"/>
          <w:szCs w:val="20"/>
          <w:lang w:val="fr-CA"/>
        </w:rPr>
      </w:pPr>
    </w:p>
    <w:p w:rsidR="00CB3520" w:rsidRPr="00293EE1" w:rsidRDefault="0053747B" w:rsidP="00CB3520">
      <w:pPr>
        <w:widowControl w:val="0"/>
        <w:rPr>
          <w:b/>
          <w:sz w:val="20"/>
          <w:szCs w:val="20"/>
        </w:rPr>
      </w:pPr>
      <w:r w:rsidRPr="00293EE1">
        <w:rPr>
          <w:b/>
          <w:sz w:val="20"/>
          <w:szCs w:val="20"/>
        </w:rPr>
        <w:t>MAY</w:t>
      </w:r>
      <w:r w:rsidR="00CB3520" w:rsidRPr="00293EE1">
        <w:rPr>
          <w:b/>
          <w:sz w:val="20"/>
          <w:szCs w:val="20"/>
        </w:rPr>
        <w:t xml:space="preserve"> </w:t>
      </w:r>
      <w:r w:rsidRPr="00293EE1">
        <w:rPr>
          <w:b/>
          <w:sz w:val="20"/>
          <w:szCs w:val="20"/>
        </w:rPr>
        <w:t>29</w:t>
      </w:r>
      <w:r w:rsidR="00CB3520" w:rsidRPr="00293EE1">
        <w:rPr>
          <w:b/>
          <w:sz w:val="20"/>
          <w:szCs w:val="20"/>
        </w:rPr>
        <w:t>, 201</w:t>
      </w:r>
      <w:r w:rsidR="00E8544A" w:rsidRPr="00293EE1">
        <w:rPr>
          <w:b/>
          <w:sz w:val="20"/>
          <w:szCs w:val="20"/>
        </w:rPr>
        <w:t>7</w:t>
      </w:r>
      <w:r w:rsidR="00CB3520" w:rsidRPr="00293EE1">
        <w:rPr>
          <w:b/>
          <w:sz w:val="20"/>
          <w:szCs w:val="20"/>
        </w:rPr>
        <w:t xml:space="preserve"> / LE </w:t>
      </w:r>
      <w:r w:rsidRPr="00293EE1">
        <w:rPr>
          <w:b/>
          <w:sz w:val="20"/>
          <w:szCs w:val="20"/>
        </w:rPr>
        <w:t>29</w:t>
      </w:r>
      <w:r w:rsidR="00CB3520" w:rsidRPr="00293EE1">
        <w:rPr>
          <w:b/>
          <w:sz w:val="20"/>
          <w:szCs w:val="20"/>
        </w:rPr>
        <w:t xml:space="preserve"> </w:t>
      </w:r>
      <w:r w:rsidRPr="00293EE1">
        <w:rPr>
          <w:b/>
          <w:sz w:val="20"/>
          <w:szCs w:val="20"/>
        </w:rPr>
        <w:t>MAI</w:t>
      </w:r>
      <w:r w:rsidR="00CB3520" w:rsidRPr="00293EE1">
        <w:rPr>
          <w:b/>
          <w:sz w:val="20"/>
          <w:szCs w:val="20"/>
        </w:rPr>
        <w:t xml:space="preserve"> 201</w:t>
      </w:r>
      <w:r w:rsidR="00E8544A" w:rsidRPr="00293EE1">
        <w:rPr>
          <w:b/>
          <w:sz w:val="20"/>
          <w:szCs w:val="20"/>
        </w:rPr>
        <w:t>7</w:t>
      </w:r>
    </w:p>
    <w:p w:rsidR="00CB3520" w:rsidRPr="00293EE1"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051B7A" w:rsidRPr="00B2512D" w:rsidTr="00A263CB">
        <w:trPr>
          <w:cantSplit/>
        </w:trPr>
        <w:tc>
          <w:tcPr>
            <w:tcW w:w="508" w:type="dxa"/>
          </w:tcPr>
          <w:p w:rsidR="00051B7A" w:rsidRPr="00293EE1" w:rsidRDefault="00051B7A" w:rsidP="00A263CB">
            <w:pPr>
              <w:rPr>
                <w:sz w:val="20"/>
                <w:szCs w:val="20"/>
              </w:rPr>
            </w:pPr>
          </w:p>
        </w:tc>
        <w:tc>
          <w:tcPr>
            <w:tcW w:w="810" w:type="dxa"/>
          </w:tcPr>
          <w:p w:rsidR="00051B7A" w:rsidRPr="00293EE1" w:rsidRDefault="00051B7A" w:rsidP="00A263CB">
            <w:pPr>
              <w:rPr>
                <w:sz w:val="20"/>
                <w:szCs w:val="20"/>
              </w:rPr>
            </w:pPr>
          </w:p>
        </w:tc>
        <w:tc>
          <w:tcPr>
            <w:tcW w:w="8258" w:type="dxa"/>
            <w:gridSpan w:val="3"/>
          </w:tcPr>
          <w:p w:rsidR="00051B7A" w:rsidRPr="00293EE1" w:rsidRDefault="00051B7A" w:rsidP="00051B7A">
            <w:pPr>
              <w:jc w:val="center"/>
              <w:rPr>
                <w:b/>
                <w:bCs/>
                <w:sz w:val="20"/>
                <w:szCs w:val="20"/>
              </w:rPr>
            </w:pPr>
            <w:r w:rsidRPr="00293EE1">
              <w:rPr>
                <w:b/>
                <w:bCs/>
                <w:sz w:val="20"/>
                <w:szCs w:val="20"/>
              </w:rPr>
              <w:t xml:space="preserve">CORAM:  Chief Justice </w:t>
            </w:r>
            <w:proofErr w:type="spellStart"/>
            <w:r w:rsidRPr="00293EE1">
              <w:rPr>
                <w:b/>
                <w:bCs/>
                <w:sz w:val="20"/>
                <w:szCs w:val="20"/>
              </w:rPr>
              <w:t>McLachlin</w:t>
            </w:r>
            <w:proofErr w:type="spellEnd"/>
            <w:r w:rsidRPr="00293EE1">
              <w:rPr>
                <w:b/>
                <w:bCs/>
                <w:sz w:val="20"/>
                <w:szCs w:val="20"/>
              </w:rPr>
              <w:t xml:space="preserve"> and Wagner and </w:t>
            </w:r>
            <w:proofErr w:type="spellStart"/>
            <w:r w:rsidRPr="00293EE1">
              <w:rPr>
                <w:b/>
                <w:bCs/>
                <w:sz w:val="20"/>
                <w:szCs w:val="20"/>
              </w:rPr>
              <w:t>Gascon</w:t>
            </w:r>
            <w:proofErr w:type="spellEnd"/>
            <w:r w:rsidRPr="00293EE1">
              <w:rPr>
                <w:b/>
                <w:bCs/>
                <w:sz w:val="20"/>
                <w:szCs w:val="20"/>
              </w:rPr>
              <w:t xml:space="preserve"> JJ.</w:t>
            </w:r>
          </w:p>
          <w:p w:rsidR="00051B7A" w:rsidRPr="00293EE1" w:rsidRDefault="00051B7A" w:rsidP="00051B7A">
            <w:pPr>
              <w:jc w:val="center"/>
              <w:rPr>
                <w:sz w:val="20"/>
                <w:szCs w:val="20"/>
                <w:lang w:val="fr-CA"/>
              </w:rPr>
            </w:pPr>
            <w:r w:rsidRPr="00293EE1">
              <w:rPr>
                <w:b/>
                <w:bCs/>
                <w:sz w:val="20"/>
                <w:szCs w:val="20"/>
                <w:lang w:val="fr-CA"/>
              </w:rPr>
              <w:t xml:space="preserve">La juge en chef </w:t>
            </w:r>
            <w:proofErr w:type="spellStart"/>
            <w:r w:rsidRPr="00293EE1">
              <w:rPr>
                <w:b/>
                <w:bCs/>
                <w:sz w:val="20"/>
                <w:szCs w:val="20"/>
                <w:lang w:val="fr-CA"/>
              </w:rPr>
              <w:t>McLachlin</w:t>
            </w:r>
            <w:proofErr w:type="spellEnd"/>
            <w:r w:rsidRPr="00293EE1">
              <w:rPr>
                <w:b/>
                <w:bCs/>
                <w:sz w:val="20"/>
                <w:szCs w:val="20"/>
                <w:lang w:val="fr-CA"/>
              </w:rPr>
              <w:t xml:space="preserve"> et les juges Wagner et Gascon</w:t>
            </w:r>
          </w:p>
          <w:p w:rsidR="00051B7A" w:rsidRPr="00293EE1" w:rsidRDefault="00051B7A" w:rsidP="00A263CB">
            <w:pPr>
              <w:pStyle w:val="SCCAppellantInfoAppellantInfo"/>
              <w:rPr>
                <w:sz w:val="20"/>
                <w:szCs w:val="20"/>
                <w:lang w:val="fr-CA"/>
              </w:rPr>
            </w:pPr>
          </w:p>
        </w:tc>
      </w:tr>
      <w:tr w:rsidR="0053747B" w:rsidRPr="00293EE1" w:rsidTr="00A263CB">
        <w:trPr>
          <w:cantSplit/>
        </w:trPr>
        <w:tc>
          <w:tcPr>
            <w:tcW w:w="508" w:type="dxa"/>
          </w:tcPr>
          <w:p w:rsidR="0053747B" w:rsidRPr="00293EE1" w:rsidRDefault="0053747B" w:rsidP="00A263CB">
            <w:pPr>
              <w:rPr>
                <w:sz w:val="20"/>
                <w:szCs w:val="20"/>
              </w:rPr>
            </w:pPr>
            <w:r w:rsidRPr="00293EE1">
              <w:rPr>
                <w:sz w:val="20"/>
                <w:szCs w:val="20"/>
              </w:rPr>
              <w:t>1.</w:t>
            </w:r>
          </w:p>
        </w:tc>
        <w:tc>
          <w:tcPr>
            <w:tcW w:w="810" w:type="dxa"/>
          </w:tcPr>
          <w:p w:rsidR="0053747B" w:rsidRPr="00293EE1" w:rsidRDefault="0053747B" w:rsidP="00A263CB">
            <w:pPr>
              <w:rPr>
                <w:sz w:val="20"/>
                <w:szCs w:val="20"/>
              </w:rPr>
            </w:pPr>
            <w:r w:rsidRPr="00293EE1">
              <w:rPr>
                <w:sz w:val="20"/>
                <w:szCs w:val="20"/>
              </w:rPr>
              <w:t>37530</w:t>
            </w:r>
          </w:p>
        </w:tc>
        <w:tc>
          <w:tcPr>
            <w:tcW w:w="4050" w:type="dxa"/>
          </w:tcPr>
          <w:p w:rsidR="0053747B" w:rsidRPr="00293EE1" w:rsidRDefault="0053747B" w:rsidP="00A263CB">
            <w:pPr>
              <w:pStyle w:val="SCCAppellantInfoAppellantInfo"/>
              <w:rPr>
                <w:sz w:val="20"/>
                <w:szCs w:val="20"/>
              </w:rPr>
            </w:pPr>
            <w:r w:rsidRPr="00293EE1">
              <w:rPr>
                <w:sz w:val="20"/>
                <w:szCs w:val="20"/>
              </w:rPr>
              <w:t>Lyle David Pierce</w:t>
            </w:r>
          </w:p>
          <w:p w:rsidR="0053747B" w:rsidRPr="00293EE1" w:rsidRDefault="0053747B" w:rsidP="00A263CB">
            <w:pPr>
              <w:pStyle w:val="SCCAppellantInfoAppellantInfo"/>
              <w:rPr>
                <w:sz w:val="20"/>
                <w:szCs w:val="20"/>
              </w:rPr>
            </w:pPr>
            <w:r w:rsidRPr="00293EE1">
              <w:rPr>
                <w:sz w:val="20"/>
                <w:szCs w:val="20"/>
              </w:rPr>
              <w:t>(Que.) (Criminal) (By Leave)</w:t>
            </w:r>
          </w:p>
        </w:tc>
        <w:tc>
          <w:tcPr>
            <w:tcW w:w="360" w:type="dxa"/>
          </w:tcPr>
          <w:p w:rsidR="0053747B" w:rsidRPr="00293EE1" w:rsidRDefault="0053747B" w:rsidP="00A263CB">
            <w:pPr>
              <w:rPr>
                <w:sz w:val="20"/>
                <w:szCs w:val="20"/>
              </w:rPr>
            </w:pPr>
            <w:r w:rsidRPr="00293EE1">
              <w:rPr>
                <w:sz w:val="20"/>
                <w:szCs w:val="20"/>
              </w:rPr>
              <w:t>v.</w:t>
            </w:r>
          </w:p>
        </w:tc>
        <w:tc>
          <w:tcPr>
            <w:tcW w:w="3848" w:type="dxa"/>
          </w:tcPr>
          <w:p w:rsidR="0053747B" w:rsidRPr="00293EE1" w:rsidRDefault="0053747B" w:rsidP="00A263CB">
            <w:pPr>
              <w:pStyle w:val="SCCAppellantInfoAppellantInfo"/>
              <w:rPr>
                <w:sz w:val="20"/>
                <w:szCs w:val="20"/>
              </w:rPr>
            </w:pPr>
            <w:r w:rsidRPr="00293EE1">
              <w:rPr>
                <w:sz w:val="20"/>
                <w:szCs w:val="20"/>
              </w:rPr>
              <w:t>Her Majesty the Queen</w:t>
            </w:r>
          </w:p>
        </w:tc>
      </w:tr>
      <w:tr w:rsidR="0053747B" w:rsidRPr="00B2512D" w:rsidTr="00A263CB">
        <w:trPr>
          <w:cantSplit/>
        </w:trPr>
        <w:tc>
          <w:tcPr>
            <w:tcW w:w="508" w:type="dxa"/>
          </w:tcPr>
          <w:p w:rsidR="0053747B" w:rsidRPr="00293EE1" w:rsidRDefault="0053747B" w:rsidP="00A263CB">
            <w:pPr>
              <w:rPr>
                <w:sz w:val="20"/>
                <w:szCs w:val="20"/>
              </w:rPr>
            </w:pPr>
            <w:r w:rsidRPr="00293EE1">
              <w:rPr>
                <w:sz w:val="20"/>
                <w:szCs w:val="20"/>
              </w:rPr>
              <w:t>2.</w:t>
            </w:r>
          </w:p>
        </w:tc>
        <w:tc>
          <w:tcPr>
            <w:tcW w:w="810" w:type="dxa"/>
          </w:tcPr>
          <w:p w:rsidR="0053747B" w:rsidRPr="00293EE1" w:rsidRDefault="0053747B" w:rsidP="00A263CB">
            <w:pPr>
              <w:rPr>
                <w:sz w:val="20"/>
                <w:szCs w:val="20"/>
              </w:rPr>
            </w:pPr>
            <w:r w:rsidRPr="00293EE1">
              <w:rPr>
                <w:sz w:val="20"/>
                <w:szCs w:val="20"/>
              </w:rPr>
              <w:t>37535</w:t>
            </w:r>
          </w:p>
        </w:tc>
        <w:tc>
          <w:tcPr>
            <w:tcW w:w="4050" w:type="dxa"/>
          </w:tcPr>
          <w:p w:rsidR="0053747B" w:rsidRPr="00293EE1" w:rsidRDefault="0053747B" w:rsidP="00A263CB">
            <w:pPr>
              <w:pStyle w:val="SCCAppellantInfoAppellantInfo"/>
              <w:rPr>
                <w:sz w:val="20"/>
                <w:szCs w:val="20"/>
              </w:rPr>
            </w:pPr>
            <w:r w:rsidRPr="00293EE1">
              <w:rPr>
                <w:sz w:val="20"/>
                <w:szCs w:val="20"/>
              </w:rPr>
              <w:t xml:space="preserve">Edward </w:t>
            </w:r>
            <w:proofErr w:type="spellStart"/>
            <w:r w:rsidRPr="00293EE1">
              <w:rPr>
                <w:sz w:val="20"/>
                <w:szCs w:val="20"/>
              </w:rPr>
              <w:t>Eng</w:t>
            </w:r>
            <w:proofErr w:type="spellEnd"/>
            <w:r w:rsidRPr="00293EE1">
              <w:rPr>
                <w:sz w:val="20"/>
                <w:szCs w:val="20"/>
              </w:rPr>
              <w:t xml:space="preserve"> et al.</w:t>
            </w:r>
          </w:p>
          <w:p w:rsidR="0053747B" w:rsidRPr="00293EE1" w:rsidRDefault="0053747B" w:rsidP="00A263CB">
            <w:pPr>
              <w:pStyle w:val="SCCAppellantInfoAppellantInfo"/>
              <w:rPr>
                <w:sz w:val="20"/>
                <w:szCs w:val="20"/>
              </w:rPr>
            </w:pPr>
            <w:r w:rsidRPr="00293EE1">
              <w:rPr>
                <w:sz w:val="20"/>
                <w:szCs w:val="20"/>
              </w:rPr>
              <w:t>(B.C.) (Civil) (By Leave)</w:t>
            </w:r>
          </w:p>
        </w:tc>
        <w:tc>
          <w:tcPr>
            <w:tcW w:w="360" w:type="dxa"/>
          </w:tcPr>
          <w:p w:rsidR="0053747B" w:rsidRPr="00293EE1" w:rsidRDefault="0053747B" w:rsidP="00A263CB">
            <w:pPr>
              <w:rPr>
                <w:sz w:val="20"/>
                <w:szCs w:val="20"/>
              </w:rPr>
            </w:pPr>
            <w:r w:rsidRPr="00293EE1">
              <w:rPr>
                <w:sz w:val="20"/>
                <w:szCs w:val="20"/>
              </w:rPr>
              <w:t>v.</w:t>
            </w:r>
          </w:p>
        </w:tc>
        <w:tc>
          <w:tcPr>
            <w:tcW w:w="3848" w:type="dxa"/>
          </w:tcPr>
          <w:p w:rsidR="0053747B" w:rsidRPr="00293EE1" w:rsidRDefault="0053747B" w:rsidP="00A263CB">
            <w:pPr>
              <w:pStyle w:val="SCCAppellantInfoAppellantInfo"/>
              <w:rPr>
                <w:sz w:val="20"/>
                <w:szCs w:val="20"/>
                <w:lang w:val="fr-CA"/>
              </w:rPr>
            </w:pPr>
            <w:r w:rsidRPr="00293EE1">
              <w:rPr>
                <w:sz w:val="20"/>
                <w:szCs w:val="20"/>
                <w:lang w:val="fr-CA"/>
              </w:rPr>
              <w:t xml:space="preserve">Fortune Venture </w:t>
            </w:r>
            <w:proofErr w:type="spellStart"/>
            <w:r w:rsidRPr="00293EE1">
              <w:rPr>
                <w:sz w:val="20"/>
                <w:szCs w:val="20"/>
                <w:lang w:val="fr-CA"/>
              </w:rPr>
              <w:t>Enterprises</w:t>
            </w:r>
            <w:proofErr w:type="spellEnd"/>
            <w:r w:rsidRPr="00293EE1">
              <w:rPr>
                <w:sz w:val="20"/>
                <w:szCs w:val="20"/>
                <w:lang w:val="fr-CA"/>
              </w:rPr>
              <w:t xml:space="preserve"> Ltd., et al.</w:t>
            </w:r>
          </w:p>
        </w:tc>
      </w:tr>
      <w:tr w:rsidR="00051B7A" w:rsidRPr="00B2512D" w:rsidTr="00A263CB">
        <w:trPr>
          <w:cantSplit/>
        </w:trPr>
        <w:tc>
          <w:tcPr>
            <w:tcW w:w="508" w:type="dxa"/>
          </w:tcPr>
          <w:p w:rsidR="00051B7A" w:rsidRPr="00293EE1" w:rsidRDefault="00051B7A" w:rsidP="00A263CB">
            <w:pPr>
              <w:rPr>
                <w:sz w:val="20"/>
                <w:szCs w:val="20"/>
                <w:lang w:val="fr-CA"/>
              </w:rPr>
            </w:pPr>
          </w:p>
        </w:tc>
        <w:tc>
          <w:tcPr>
            <w:tcW w:w="810" w:type="dxa"/>
          </w:tcPr>
          <w:p w:rsidR="00051B7A" w:rsidRPr="00293EE1" w:rsidRDefault="00051B7A" w:rsidP="00A263CB">
            <w:pPr>
              <w:rPr>
                <w:sz w:val="20"/>
                <w:szCs w:val="20"/>
                <w:lang w:val="fr-CA"/>
              </w:rPr>
            </w:pPr>
          </w:p>
        </w:tc>
        <w:tc>
          <w:tcPr>
            <w:tcW w:w="8258" w:type="dxa"/>
            <w:gridSpan w:val="3"/>
          </w:tcPr>
          <w:p w:rsidR="00051B7A" w:rsidRPr="00293EE1" w:rsidRDefault="00051B7A" w:rsidP="00051B7A">
            <w:pPr>
              <w:jc w:val="center"/>
              <w:rPr>
                <w:b/>
                <w:bCs/>
                <w:sz w:val="20"/>
                <w:szCs w:val="20"/>
                <w:lang w:val="en-US"/>
              </w:rPr>
            </w:pPr>
            <w:r w:rsidRPr="00293EE1">
              <w:rPr>
                <w:b/>
                <w:bCs/>
                <w:sz w:val="20"/>
                <w:szCs w:val="20"/>
              </w:rPr>
              <w:t xml:space="preserve">CORAM: </w:t>
            </w:r>
            <w:proofErr w:type="spellStart"/>
            <w:r w:rsidRPr="00293EE1">
              <w:rPr>
                <w:b/>
                <w:bCs/>
                <w:sz w:val="20"/>
                <w:szCs w:val="20"/>
              </w:rPr>
              <w:t>Abella</w:t>
            </w:r>
            <w:proofErr w:type="spellEnd"/>
            <w:r w:rsidRPr="00293EE1">
              <w:rPr>
                <w:b/>
                <w:bCs/>
                <w:sz w:val="20"/>
                <w:szCs w:val="20"/>
              </w:rPr>
              <w:t xml:space="preserve">, </w:t>
            </w:r>
            <w:proofErr w:type="spellStart"/>
            <w:r w:rsidRPr="00293EE1">
              <w:rPr>
                <w:b/>
                <w:bCs/>
                <w:sz w:val="20"/>
                <w:szCs w:val="20"/>
              </w:rPr>
              <w:t>Karakatsanis</w:t>
            </w:r>
            <w:proofErr w:type="spellEnd"/>
            <w:r w:rsidRPr="00293EE1">
              <w:rPr>
                <w:b/>
                <w:bCs/>
                <w:sz w:val="20"/>
                <w:szCs w:val="20"/>
              </w:rPr>
              <w:t xml:space="preserve"> and Brown JJ.</w:t>
            </w:r>
          </w:p>
          <w:p w:rsidR="00051B7A" w:rsidRPr="00293EE1" w:rsidRDefault="00051B7A" w:rsidP="00051B7A">
            <w:pPr>
              <w:jc w:val="center"/>
              <w:rPr>
                <w:b/>
                <w:bCs/>
                <w:sz w:val="20"/>
                <w:szCs w:val="20"/>
                <w:lang w:val="fr-CA"/>
              </w:rPr>
            </w:pPr>
            <w:r w:rsidRPr="00293EE1">
              <w:rPr>
                <w:b/>
                <w:bCs/>
                <w:sz w:val="20"/>
                <w:szCs w:val="20"/>
                <w:lang w:val="fr-CA"/>
              </w:rPr>
              <w:t xml:space="preserve">Les juges Abella, </w:t>
            </w:r>
            <w:proofErr w:type="spellStart"/>
            <w:r w:rsidRPr="00293EE1">
              <w:rPr>
                <w:b/>
                <w:bCs/>
                <w:sz w:val="20"/>
                <w:szCs w:val="20"/>
                <w:lang w:val="fr-CA"/>
              </w:rPr>
              <w:t>Karakatsanis</w:t>
            </w:r>
            <w:proofErr w:type="spellEnd"/>
            <w:r w:rsidRPr="00293EE1">
              <w:rPr>
                <w:b/>
                <w:bCs/>
                <w:sz w:val="20"/>
                <w:szCs w:val="20"/>
                <w:lang w:val="fr-CA"/>
              </w:rPr>
              <w:t xml:space="preserve"> et Brown</w:t>
            </w:r>
          </w:p>
          <w:p w:rsidR="00051B7A" w:rsidRPr="00293EE1" w:rsidRDefault="00051B7A" w:rsidP="00A263CB">
            <w:pPr>
              <w:rPr>
                <w:sz w:val="20"/>
                <w:szCs w:val="20"/>
                <w:lang w:val="fr-CA"/>
              </w:rPr>
            </w:pPr>
          </w:p>
        </w:tc>
      </w:tr>
      <w:tr w:rsidR="0053747B" w:rsidRPr="00293EE1" w:rsidTr="00A263CB">
        <w:trPr>
          <w:cantSplit/>
        </w:trPr>
        <w:tc>
          <w:tcPr>
            <w:tcW w:w="508" w:type="dxa"/>
          </w:tcPr>
          <w:p w:rsidR="0053747B" w:rsidRPr="00293EE1" w:rsidRDefault="0053747B" w:rsidP="00A263CB">
            <w:pPr>
              <w:rPr>
                <w:sz w:val="20"/>
                <w:szCs w:val="20"/>
              </w:rPr>
            </w:pPr>
            <w:r w:rsidRPr="00293EE1">
              <w:rPr>
                <w:sz w:val="20"/>
                <w:szCs w:val="20"/>
              </w:rPr>
              <w:t>3.</w:t>
            </w:r>
          </w:p>
        </w:tc>
        <w:tc>
          <w:tcPr>
            <w:tcW w:w="810" w:type="dxa"/>
          </w:tcPr>
          <w:p w:rsidR="0053747B" w:rsidRPr="00293EE1" w:rsidRDefault="0053747B" w:rsidP="00A263CB">
            <w:pPr>
              <w:rPr>
                <w:sz w:val="20"/>
                <w:szCs w:val="20"/>
              </w:rPr>
            </w:pPr>
            <w:r w:rsidRPr="00293EE1">
              <w:rPr>
                <w:sz w:val="20"/>
                <w:szCs w:val="20"/>
              </w:rPr>
              <w:t>37562</w:t>
            </w:r>
          </w:p>
        </w:tc>
        <w:tc>
          <w:tcPr>
            <w:tcW w:w="4050" w:type="dxa"/>
          </w:tcPr>
          <w:p w:rsidR="0053747B" w:rsidRPr="00293EE1" w:rsidRDefault="0053747B" w:rsidP="00A263CB">
            <w:pPr>
              <w:pStyle w:val="SCCAppellantInfoAppellantInfo"/>
              <w:rPr>
                <w:sz w:val="20"/>
                <w:szCs w:val="20"/>
              </w:rPr>
            </w:pPr>
            <w:r w:rsidRPr="00293EE1">
              <w:rPr>
                <w:sz w:val="20"/>
                <w:szCs w:val="20"/>
              </w:rPr>
              <w:t>Jennifer Holley</w:t>
            </w:r>
          </w:p>
          <w:p w:rsidR="0053747B" w:rsidRPr="00293EE1" w:rsidRDefault="0053747B" w:rsidP="00A263CB">
            <w:pPr>
              <w:pStyle w:val="SCCAppellantInfoAppellantInfo"/>
              <w:rPr>
                <w:sz w:val="20"/>
                <w:szCs w:val="20"/>
              </w:rPr>
            </w:pPr>
            <w:r w:rsidRPr="00293EE1">
              <w:rPr>
                <w:sz w:val="20"/>
                <w:szCs w:val="20"/>
              </w:rPr>
              <w:t>(Ont.) (Civil) (By Leave)</w:t>
            </w:r>
          </w:p>
        </w:tc>
        <w:tc>
          <w:tcPr>
            <w:tcW w:w="360" w:type="dxa"/>
          </w:tcPr>
          <w:p w:rsidR="0053747B" w:rsidRPr="00293EE1" w:rsidRDefault="0053747B" w:rsidP="00A263CB">
            <w:pPr>
              <w:rPr>
                <w:sz w:val="20"/>
                <w:szCs w:val="20"/>
              </w:rPr>
            </w:pPr>
            <w:r w:rsidRPr="00293EE1">
              <w:rPr>
                <w:sz w:val="20"/>
                <w:szCs w:val="20"/>
              </w:rPr>
              <w:t>v.</w:t>
            </w:r>
          </w:p>
        </w:tc>
        <w:tc>
          <w:tcPr>
            <w:tcW w:w="3848" w:type="dxa"/>
          </w:tcPr>
          <w:p w:rsidR="0053747B" w:rsidRPr="00293EE1" w:rsidRDefault="0053747B" w:rsidP="00A263CB">
            <w:pPr>
              <w:pStyle w:val="SCCAppellantInfoAppellantInfo"/>
              <w:rPr>
                <w:sz w:val="20"/>
                <w:szCs w:val="20"/>
              </w:rPr>
            </w:pPr>
            <w:r w:rsidRPr="00293EE1">
              <w:rPr>
                <w:sz w:val="20"/>
                <w:szCs w:val="20"/>
              </w:rPr>
              <w:t>Nortel Networks Corporation, et al.</w:t>
            </w:r>
          </w:p>
        </w:tc>
      </w:tr>
      <w:tr w:rsidR="0053747B" w:rsidRPr="00293EE1" w:rsidTr="00A263CB">
        <w:trPr>
          <w:cantSplit/>
        </w:trPr>
        <w:tc>
          <w:tcPr>
            <w:tcW w:w="508" w:type="dxa"/>
          </w:tcPr>
          <w:p w:rsidR="0053747B" w:rsidRPr="00293EE1" w:rsidRDefault="0053747B" w:rsidP="00A263CB">
            <w:pPr>
              <w:rPr>
                <w:sz w:val="20"/>
                <w:szCs w:val="20"/>
              </w:rPr>
            </w:pPr>
            <w:r w:rsidRPr="00293EE1">
              <w:rPr>
                <w:sz w:val="20"/>
                <w:szCs w:val="20"/>
              </w:rPr>
              <w:t>4.</w:t>
            </w:r>
          </w:p>
        </w:tc>
        <w:tc>
          <w:tcPr>
            <w:tcW w:w="810" w:type="dxa"/>
          </w:tcPr>
          <w:p w:rsidR="0053747B" w:rsidRPr="00293EE1" w:rsidRDefault="0053747B" w:rsidP="00A263CB">
            <w:pPr>
              <w:rPr>
                <w:sz w:val="20"/>
                <w:szCs w:val="20"/>
              </w:rPr>
            </w:pPr>
            <w:r w:rsidRPr="00293EE1">
              <w:rPr>
                <w:sz w:val="20"/>
                <w:szCs w:val="20"/>
              </w:rPr>
              <w:t>37503</w:t>
            </w:r>
          </w:p>
        </w:tc>
        <w:tc>
          <w:tcPr>
            <w:tcW w:w="4050" w:type="dxa"/>
          </w:tcPr>
          <w:p w:rsidR="0053747B" w:rsidRPr="00293EE1" w:rsidRDefault="0053747B" w:rsidP="00A263CB">
            <w:pPr>
              <w:pStyle w:val="SCCAppellantInfoAppellantInfo"/>
              <w:rPr>
                <w:sz w:val="20"/>
                <w:szCs w:val="20"/>
              </w:rPr>
            </w:pPr>
            <w:r w:rsidRPr="00293EE1">
              <w:rPr>
                <w:sz w:val="20"/>
                <w:szCs w:val="20"/>
              </w:rPr>
              <w:t>Mohammed Al-</w:t>
            </w:r>
            <w:proofErr w:type="spellStart"/>
            <w:r w:rsidRPr="00293EE1">
              <w:rPr>
                <w:sz w:val="20"/>
                <w:szCs w:val="20"/>
              </w:rPr>
              <w:t>Ghamdi</w:t>
            </w:r>
            <w:proofErr w:type="spellEnd"/>
          </w:p>
          <w:p w:rsidR="0053747B" w:rsidRPr="00293EE1" w:rsidRDefault="0053747B" w:rsidP="00A263CB">
            <w:pPr>
              <w:pStyle w:val="SCCAppellantInfoAppellantInfo"/>
              <w:rPr>
                <w:sz w:val="20"/>
                <w:szCs w:val="20"/>
              </w:rPr>
            </w:pPr>
            <w:r w:rsidRPr="00293EE1">
              <w:rPr>
                <w:sz w:val="20"/>
                <w:szCs w:val="20"/>
              </w:rPr>
              <w:t>(Alta.) (Civil) (By Leave)</w:t>
            </w:r>
          </w:p>
        </w:tc>
        <w:tc>
          <w:tcPr>
            <w:tcW w:w="360" w:type="dxa"/>
          </w:tcPr>
          <w:p w:rsidR="0053747B" w:rsidRPr="00293EE1" w:rsidRDefault="0053747B" w:rsidP="00A263CB">
            <w:pPr>
              <w:rPr>
                <w:sz w:val="20"/>
                <w:szCs w:val="20"/>
              </w:rPr>
            </w:pPr>
            <w:r w:rsidRPr="00293EE1">
              <w:rPr>
                <w:sz w:val="20"/>
                <w:szCs w:val="20"/>
              </w:rPr>
              <w:t>v.</w:t>
            </w:r>
          </w:p>
        </w:tc>
        <w:tc>
          <w:tcPr>
            <w:tcW w:w="3848" w:type="dxa"/>
          </w:tcPr>
          <w:p w:rsidR="0053747B" w:rsidRPr="00293EE1" w:rsidRDefault="0053747B" w:rsidP="00A263CB">
            <w:pPr>
              <w:pStyle w:val="SCCAppellantInfoAppellantInfo"/>
              <w:rPr>
                <w:sz w:val="20"/>
                <w:szCs w:val="20"/>
              </w:rPr>
            </w:pPr>
            <w:r w:rsidRPr="00293EE1">
              <w:rPr>
                <w:sz w:val="20"/>
                <w:szCs w:val="20"/>
              </w:rPr>
              <w:t>Peace Country Health Region, et al.</w:t>
            </w:r>
          </w:p>
        </w:tc>
      </w:tr>
      <w:tr w:rsidR="00051B7A" w:rsidRPr="00B2512D" w:rsidTr="00A263CB">
        <w:trPr>
          <w:cantSplit/>
        </w:trPr>
        <w:tc>
          <w:tcPr>
            <w:tcW w:w="508" w:type="dxa"/>
          </w:tcPr>
          <w:p w:rsidR="00051B7A" w:rsidRPr="00293EE1" w:rsidRDefault="00051B7A" w:rsidP="00A263CB">
            <w:pPr>
              <w:rPr>
                <w:sz w:val="20"/>
                <w:szCs w:val="20"/>
              </w:rPr>
            </w:pPr>
          </w:p>
        </w:tc>
        <w:tc>
          <w:tcPr>
            <w:tcW w:w="810" w:type="dxa"/>
          </w:tcPr>
          <w:p w:rsidR="00051B7A" w:rsidRPr="00293EE1" w:rsidRDefault="00051B7A" w:rsidP="00A263CB">
            <w:pPr>
              <w:rPr>
                <w:sz w:val="20"/>
                <w:szCs w:val="20"/>
              </w:rPr>
            </w:pPr>
          </w:p>
        </w:tc>
        <w:tc>
          <w:tcPr>
            <w:tcW w:w="8258" w:type="dxa"/>
            <w:gridSpan w:val="3"/>
          </w:tcPr>
          <w:p w:rsidR="00051B7A" w:rsidRPr="00293EE1" w:rsidRDefault="00051B7A" w:rsidP="00051B7A">
            <w:pPr>
              <w:jc w:val="center"/>
              <w:rPr>
                <w:b/>
                <w:bCs/>
                <w:sz w:val="20"/>
                <w:szCs w:val="20"/>
                <w:lang w:val="en-US"/>
              </w:rPr>
            </w:pPr>
            <w:r w:rsidRPr="00293EE1">
              <w:rPr>
                <w:b/>
                <w:bCs/>
                <w:sz w:val="20"/>
                <w:szCs w:val="20"/>
              </w:rPr>
              <w:t xml:space="preserve">CORAM: </w:t>
            </w:r>
            <w:proofErr w:type="spellStart"/>
            <w:r w:rsidRPr="00293EE1">
              <w:rPr>
                <w:b/>
                <w:bCs/>
                <w:sz w:val="20"/>
                <w:szCs w:val="20"/>
              </w:rPr>
              <w:t>Moldaver</w:t>
            </w:r>
            <w:proofErr w:type="spellEnd"/>
            <w:r w:rsidRPr="00293EE1">
              <w:rPr>
                <w:b/>
                <w:bCs/>
                <w:sz w:val="20"/>
                <w:szCs w:val="20"/>
              </w:rPr>
              <w:t xml:space="preserve">, </w:t>
            </w:r>
            <w:proofErr w:type="spellStart"/>
            <w:r w:rsidRPr="00293EE1">
              <w:rPr>
                <w:b/>
                <w:bCs/>
                <w:sz w:val="20"/>
                <w:szCs w:val="20"/>
              </w:rPr>
              <w:t>Côté</w:t>
            </w:r>
            <w:proofErr w:type="spellEnd"/>
            <w:r w:rsidRPr="00293EE1">
              <w:rPr>
                <w:b/>
                <w:bCs/>
                <w:sz w:val="20"/>
                <w:szCs w:val="20"/>
              </w:rPr>
              <w:t xml:space="preserve"> and Rowe JJ.</w:t>
            </w:r>
          </w:p>
          <w:p w:rsidR="00051B7A" w:rsidRPr="00293EE1" w:rsidRDefault="00051B7A" w:rsidP="00051B7A">
            <w:pPr>
              <w:jc w:val="center"/>
              <w:rPr>
                <w:b/>
                <w:bCs/>
                <w:sz w:val="20"/>
                <w:szCs w:val="20"/>
                <w:lang w:val="fr-CA"/>
              </w:rPr>
            </w:pPr>
            <w:r w:rsidRPr="00293EE1">
              <w:rPr>
                <w:b/>
                <w:bCs/>
                <w:sz w:val="20"/>
                <w:szCs w:val="20"/>
                <w:lang w:val="fr-CA"/>
              </w:rPr>
              <w:t xml:space="preserve">Les juges </w:t>
            </w:r>
            <w:proofErr w:type="spellStart"/>
            <w:r w:rsidRPr="00293EE1">
              <w:rPr>
                <w:b/>
                <w:bCs/>
                <w:sz w:val="20"/>
                <w:szCs w:val="20"/>
                <w:lang w:val="fr-CA"/>
              </w:rPr>
              <w:t>Moldaver</w:t>
            </w:r>
            <w:proofErr w:type="spellEnd"/>
            <w:r w:rsidRPr="00293EE1">
              <w:rPr>
                <w:b/>
                <w:bCs/>
                <w:sz w:val="20"/>
                <w:szCs w:val="20"/>
                <w:lang w:val="fr-CA"/>
              </w:rPr>
              <w:t>, Côté et Rowe</w:t>
            </w:r>
          </w:p>
          <w:p w:rsidR="00051B7A" w:rsidRPr="00293EE1" w:rsidRDefault="00051B7A" w:rsidP="00A263CB">
            <w:pPr>
              <w:rPr>
                <w:sz w:val="20"/>
                <w:szCs w:val="20"/>
                <w:lang w:val="fr-CA"/>
              </w:rPr>
            </w:pPr>
          </w:p>
        </w:tc>
      </w:tr>
      <w:tr w:rsidR="0053747B" w:rsidRPr="00293EE1" w:rsidTr="00A263CB">
        <w:trPr>
          <w:cantSplit/>
        </w:trPr>
        <w:tc>
          <w:tcPr>
            <w:tcW w:w="508" w:type="dxa"/>
          </w:tcPr>
          <w:p w:rsidR="0053747B" w:rsidRPr="00293EE1" w:rsidRDefault="0053747B" w:rsidP="00A263CB">
            <w:pPr>
              <w:rPr>
                <w:sz w:val="20"/>
                <w:szCs w:val="20"/>
              </w:rPr>
            </w:pPr>
            <w:r w:rsidRPr="00293EE1">
              <w:rPr>
                <w:sz w:val="20"/>
                <w:szCs w:val="20"/>
              </w:rPr>
              <w:t>5.</w:t>
            </w:r>
          </w:p>
        </w:tc>
        <w:tc>
          <w:tcPr>
            <w:tcW w:w="810" w:type="dxa"/>
          </w:tcPr>
          <w:p w:rsidR="0053747B" w:rsidRPr="00293EE1" w:rsidRDefault="0053747B" w:rsidP="00A263CB">
            <w:pPr>
              <w:rPr>
                <w:sz w:val="20"/>
                <w:szCs w:val="20"/>
              </w:rPr>
            </w:pPr>
            <w:r w:rsidRPr="00293EE1">
              <w:rPr>
                <w:sz w:val="20"/>
                <w:szCs w:val="20"/>
              </w:rPr>
              <w:t>37451</w:t>
            </w:r>
          </w:p>
        </w:tc>
        <w:tc>
          <w:tcPr>
            <w:tcW w:w="4050" w:type="dxa"/>
          </w:tcPr>
          <w:p w:rsidR="0053747B" w:rsidRPr="00293EE1" w:rsidRDefault="0053747B" w:rsidP="00A263CB">
            <w:pPr>
              <w:pStyle w:val="SCCAppellantInfoAppellantInfo"/>
              <w:rPr>
                <w:sz w:val="20"/>
                <w:szCs w:val="20"/>
              </w:rPr>
            </w:pPr>
            <w:r w:rsidRPr="00293EE1">
              <w:rPr>
                <w:sz w:val="20"/>
                <w:szCs w:val="20"/>
              </w:rPr>
              <w:t>Leo-Progress Enterprises Inc.</w:t>
            </w:r>
          </w:p>
          <w:p w:rsidR="0053747B" w:rsidRPr="00293EE1" w:rsidRDefault="0053747B" w:rsidP="00A263CB">
            <w:pPr>
              <w:pStyle w:val="SCCAppellantInfoAppellantInfo"/>
              <w:rPr>
                <w:sz w:val="20"/>
                <w:szCs w:val="20"/>
              </w:rPr>
            </w:pPr>
            <w:r w:rsidRPr="00293EE1">
              <w:rPr>
                <w:sz w:val="20"/>
                <w:szCs w:val="20"/>
              </w:rPr>
              <w:t>(Ont.) (Civil) (By Leave)</w:t>
            </w:r>
          </w:p>
        </w:tc>
        <w:tc>
          <w:tcPr>
            <w:tcW w:w="360" w:type="dxa"/>
          </w:tcPr>
          <w:p w:rsidR="0053747B" w:rsidRPr="00293EE1" w:rsidRDefault="0053747B" w:rsidP="00A263CB">
            <w:pPr>
              <w:rPr>
                <w:sz w:val="20"/>
                <w:szCs w:val="20"/>
              </w:rPr>
            </w:pPr>
            <w:r w:rsidRPr="00293EE1">
              <w:rPr>
                <w:sz w:val="20"/>
                <w:szCs w:val="20"/>
              </w:rPr>
              <w:t>v.</w:t>
            </w:r>
          </w:p>
        </w:tc>
        <w:tc>
          <w:tcPr>
            <w:tcW w:w="3848" w:type="dxa"/>
          </w:tcPr>
          <w:p w:rsidR="0053747B" w:rsidRPr="00293EE1" w:rsidRDefault="0053747B" w:rsidP="00A263CB">
            <w:pPr>
              <w:pStyle w:val="SCCAppellantInfoAppellantInfo"/>
              <w:rPr>
                <w:sz w:val="20"/>
                <w:szCs w:val="20"/>
              </w:rPr>
            </w:pPr>
            <w:r w:rsidRPr="00293EE1">
              <w:rPr>
                <w:sz w:val="20"/>
                <w:szCs w:val="20"/>
              </w:rPr>
              <w:t>Mariner Foods Limited</w:t>
            </w:r>
          </w:p>
        </w:tc>
      </w:tr>
    </w:tbl>
    <w:p w:rsidR="0053747B" w:rsidRPr="00293EE1" w:rsidRDefault="0053747B" w:rsidP="002E2327">
      <w:pPr>
        <w:widowControl w:val="0"/>
        <w:rPr>
          <w:sz w:val="20"/>
          <w:szCs w:val="20"/>
        </w:rPr>
      </w:pPr>
    </w:p>
    <w:p w:rsidR="0053747B" w:rsidRPr="00293EE1" w:rsidRDefault="00B2512D" w:rsidP="002E2327">
      <w:pPr>
        <w:widowControl w:val="0"/>
        <w:rPr>
          <w:sz w:val="20"/>
          <w:szCs w:val="20"/>
        </w:rPr>
      </w:pPr>
      <w:r>
        <w:rPr>
          <w:sz w:val="20"/>
          <w:szCs w:val="20"/>
        </w:rPr>
        <w:pict>
          <v:rect id="_x0000_i1040" style="width:2in;height:1pt" o:hrpct="0" o:hralign="center" o:hrstd="t" o:hrnoshade="t" o:hr="t" fillcolor="black [3213]" stroked="f"/>
        </w:pict>
      </w:r>
    </w:p>
    <w:p w:rsidR="0053747B" w:rsidRPr="00293EE1" w:rsidRDefault="0053747B" w:rsidP="002E2327">
      <w:pPr>
        <w:widowControl w:val="0"/>
        <w:rPr>
          <w:sz w:val="20"/>
          <w:szCs w:val="20"/>
        </w:rPr>
      </w:pPr>
    </w:p>
    <w:p w:rsidR="0053747B" w:rsidRPr="00293EE1" w:rsidRDefault="0053747B" w:rsidP="002E2327">
      <w:pPr>
        <w:widowControl w:val="0"/>
        <w:rPr>
          <w:sz w:val="20"/>
          <w:szCs w:val="20"/>
        </w:rPr>
      </w:pPr>
    </w:p>
    <w:p w:rsidR="0053747B" w:rsidRPr="00293EE1" w:rsidRDefault="0053747B" w:rsidP="002E2327">
      <w:pPr>
        <w:widowControl w:val="0"/>
        <w:rPr>
          <w:sz w:val="20"/>
          <w:szCs w:val="20"/>
        </w:rPr>
      </w:pPr>
    </w:p>
    <w:p w:rsidR="00D94028" w:rsidRPr="00293EE1" w:rsidRDefault="00D94028" w:rsidP="002E2327">
      <w:pPr>
        <w:widowControl w:val="0"/>
        <w:rPr>
          <w:sz w:val="20"/>
          <w:szCs w:val="20"/>
        </w:rPr>
      </w:pPr>
    </w:p>
    <w:p w:rsidR="0044776A" w:rsidRPr="00293EE1" w:rsidRDefault="0044776A" w:rsidP="002E2327">
      <w:pPr>
        <w:widowControl w:val="0"/>
        <w:spacing w:line="0" w:lineRule="atLeast"/>
        <w:rPr>
          <w:sz w:val="20"/>
          <w:szCs w:val="20"/>
        </w:rPr>
        <w:sectPr w:rsidR="0044776A" w:rsidRPr="00293EE1"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B2512D" w:rsidTr="00ED7E83">
        <w:tc>
          <w:tcPr>
            <w:tcW w:w="4200" w:type="dxa"/>
            <w:tcMar>
              <w:left w:w="0" w:type="dxa"/>
              <w:right w:w="0" w:type="dxa"/>
            </w:tcMar>
          </w:tcPr>
          <w:p w:rsidR="008D292F" w:rsidRPr="00293EE1" w:rsidRDefault="008D292F" w:rsidP="00ED7E83">
            <w:pPr>
              <w:keepNext/>
              <w:keepLines/>
              <w:jc w:val="both"/>
              <w:rPr>
                <w:b/>
                <w:szCs w:val="24"/>
              </w:rPr>
            </w:pPr>
            <w:bookmarkStart w:id="1" w:name="QuickMark_1"/>
            <w:bookmarkEnd w:id="1"/>
            <w:r w:rsidRPr="00293EE1">
              <w:rPr>
                <w:b/>
                <w:szCs w:val="24"/>
              </w:rPr>
              <w:lastRenderedPageBreak/>
              <w:t>JUDGMENTS ON APPLICATIONS</w:t>
            </w:r>
          </w:p>
          <w:p w:rsidR="008D292F" w:rsidRPr="00293EE1" w:rsidRDefault="008D292F" w:rsidP="00ED7E83">
            <w:pPr>
              <w:keepNext/>
              <w:keepLines/>
              <w:jc w:val="both"/>
              <w:rPr>
                <w:b/>
                <w:szCs w:val="24"/>
              </w:rPr>
            </w:pPr>
            <w:r w:rsidRPr="00293EE1">
              <w:rPr>
                <w:b/>
                <w:szCs w:val="24"/>
              </w:rPr>
              <w:t>FOR LEAVE</w:t>
            </w:r>
          </w:p>
        </w:tc>
        <w:tc>
          <w:tcPr>
            <w:tcW w:w="1200" w:type="dxa"/>
            <w:tcMar>
              <w:left w:w="0" w:type="dxa"/>
              <w:right w:w="0" w:type="dxa"/>
            </w:tcMar>
          </w:tcPr>
          <w:p w:rsidR="008D292F" w:rsidRPr="00293EE1" w:rsidRDefault="008D292F" w:rsidP="008D292F">
            <w:pPr>
              <w:keepNext/>
              <w:keepLines/>
              <w:jc w:val="center"/>
              <w:rPr>
                <w:b/>
                <w:szCs w:val="24"/>
              </w:rPr>
            </w:pPr>
          </w:p>
          <w:p w:rsidR="008D292F" w:rsidRPr="00293EE1" w:rsidRDefault="008D292F" w:rsidP="008D292F">
            <w:pPr>
              <w:keepNext/>
              <w:keepLines/>
              <w:jc w:val="center"/>
              <w:rPr>
                <w:b/>
                <w:szCs w:val="24"/>
              </w:rPr>
            </w:pPr>
          </w:p>
          <w:p w:rsidR="008D292F" w:rsidRPr="00293EE1" w:rsidRDefault="008D292F" w:rsidP="008D292F">
            <w:pPr>
              <w:keepNext/>
              <w:keepLines/>
              <w:jc w:val="center"/>
              <w:rPr>
                <w:b/>
                <w:szCs w:val="24"/>
              </w:rPr>
            </w:pPr>
          </w:p>
        </w:tc>
        <w:tc>
          <w:tcPr>
            <w:tcW w:w="4080" w:type="dxa"/>
            <w:tcMar>
              <w:left w:w="0" w:type="dxa"/>
              <w:right w:w="0" w:type="dxa"/>
            </w:tcMar>
          </w:tcPr>
          <w:p w:rsidR="008D292F" w:rsidRPr="00293EE1" w:rsidRDefault="008D292F" w:rsidP="00ED7E83">
            <w:pPr>
              <w:keepNext/>
              <w:keepLines/>
              <w:jc w:val="both"/>
              <w:rPr>
                <w:b/>
                <w:szCs w:val="24"/>
                <w:lang w:val="fr-CA"/>
              </w:rPr>
            </w:pPr>
            <w:r w:rsidRPr="00293EE1">
              <w:rPr>
                <w:b/>
                <w:szCs w:val="24"/>
                <w:lang w:val="fr-CA"/>
              </w:rPr>
              <w:t>JUGEMENTS RENDUS SUR LES DEMANDES D’AUTORISATION</w:t>
            </w:r>
          </w:p>
        </w:tc>
      </w:tr>
    </w:tbl>
    <w:p w:rsidR="008D292F" w:rsidRPr="00293EE1" w:rsidRDefault="008D292F" w:rsidP="008D292F">
      <w:pPr>
        <w:rPr>
          <w:sz w:val="20"/>
          <w:szCs w:val="20"/>
          <w:lang w:val="fr-CA"/>
        </w:rPr>
      </w:pPr>
    </w:p>
    <w:p w:rsidR="000E2959" w:rsidRPr="00293EE1" w:rsidRDefault="00681F61" w:rsidP="000E2959">
      <w:pPr>
        <w:rPr>
          <w:b/>
          <w:sz w:val="20"/>
          <w:szCs w:val="20"/>
        </w:rPr>
      </w:pPr>
      <w:r w:rsidRPr="00293EE1">
        <w:rPr>
          <w:b/>
          <w:sz w:val="20"/>
          <w:szCs w:val="20"/>
        </w:rPr>
        <w:t>J</w:t>
      </w:r>
      <w:r w:rsidR="00F039E0" w:rsidRPr="00293EE1">
        <w:rPr>
          <w:b/>
          <w:sz w:val="20"/>
          <w:szCs w:val="20"/>
        </w:rPr>
        <w:t>UNE</w:t>
      </w:r>
      <w:r w:rsidR="000E2959" w:rsidRPr="00293EE1">
        <w:rPr>
          <w:b/>
          <w:sz w:val="20"/>
          <w:szCs w:val="20"/>
        </w:rPr>
        <w:t xml:space="preserve"> </w:t>
      </w:r>
      <w:r w:rsidR="00E8544A" w:rsidRPr="00293EE1">
        <w:rPr>
          <w:b/>
          <w:sz w:val="20"/>
          <w:szCs w:val="20"/>
        </w:rPr>
        <w:t>1</w:t>
      </w:r>
      <w:r w:rsidR="000E2959" w:rsidRPr="00293EE1">
        <w:rPr>
          <w:b/>
          <w:sz w:val="20"/>
          <w:szCs w:val="20"/>
        </w:rPr>
        <w:t xml:space="preserve">, </w:t>
      </w:r>
      <w:r w:rsidR="0030050B" w:rsidRPr="00293EE1">
        <w:rPr>
          <w:b/>
          <w:sz w:val="20"/>
          <w:szCs w:val="20"/>
        </w:rPr>
        <w:t>201</w:t>
      </w:r>
      <w:r w:rsidR="00E8544A" w:rsidRPr="00293EE1">
        <w:rPr>
          <w:b/>
          <w:sz w:val="20"/>
          <w:szCs w:val="20"/>
        </w:rPr>
        <w:t>7</w:t>
      </w:r>
      <w:r w:rsidR="000E2959" w:rsidRPr="00293EE1">
        <w:rPr>
          <w:b/>
          <w:sz w:val="20"/>
          <w:szCs w:val="20"/>
        </w:rPr>
        <w:t xml:space="preserve"> / LE </w:t>
      </w:r>
      <w:r w:rsidR="00E8544A" w:rsidRPr="00293EE1">
        <w:rPr>
          <w:b/>
          <w:sz w:val="20"/>
          <w:szCs w:val="20"/>
        </w:rPr>
        <w:t>1</w:t>
      </w:r>
      <w:r w:rsidR="000E2959" w:rsidRPr="00293EE1">
        <w:rPr>
          <w:b/>
          <w:sz w:val="20"/>
          <w:szCs w:val="20"/>
        </w:rPr>
        <w:t xml:space="preserve"> </w:t>
      </w:r>
      <w:r w:rsidRPr="00293EE1">
        <w:rPr>
          <w:b/>
          <w:sz w:val="20"/>
          <w:szCs w:val="20"/>
        </w:rPr>
        <w:t>J</w:t>
      </w:r>
      <w:r w:rsidR="00F039E0" w:rsidRPr="00293EE1">
        <w:rPr>
          <w:b/>
          <w:sz w:val="20"/>
          <w:szCs w:val="20"/>
        </w:rPr>
        <w:t>UIN</w:t>
      </w:r>
      <w:r w:rsidR="000E2959" w:rsidRPr="00293EE1">
        <w:rPr>
          <w:b/>
          <w:sz w:val="20"/>
          <w:szCs w:val="20"/>
        </w:rPr>
        <w:t xml:space="preserve"> </w:t>
      </w:r>
      <w:r w:rsidR="0030050B" w:rsidRPr="00293EE1">
        <w:rPr>
          <w:b/>
          <w:sz w:val="20"/>
          <w:szCs w:val="20"/>
        </w:rPr>
        <w:t>201</w:t>
      </w:r>
      <w:r w:rsidR="00E8544A" w:rsidRPr="00293EE1">
        <w:rPr>
          <w:b/>
          <w:sz w:val="20"/>
          <w:szCs w:val="20"/>
        </w:rPr>
        <w:t>7</w:t>
      </w:r>
    </w:p>
    <w:p w:rsidR="00D72D79" w:rsidRPr="00293EE1" w:rsidRDefault="00D72D79" w:rsidP="000E2959">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39E0" w:rsidRPr="00293EE1" w:rsidTr="007F57BF">
        <w:tc>
          <w:tcPr>
            <w:tcW w:w="543" w:type="pct"/>
          </w:tcPr>
          <w:p w:rsidR="00F039E0" w:rsidRPr="00293EE1" w:rsidRDefault="00F039E0" w:rsidP="007F57BF">
            <w:pPr>
              <w:jc w:val="both"/>
              <w:rPr>
                <w:sz w:val="20"/>
              </w:rPr>
            </w:pPr>
            <w:r w:rsidRPr="00293EE1">
              <w:rPr>
                <w:rStyle w:val="SCCFileNumberChar"/>
                <w:sz w:val="20"/>
                <w:szCs w:val="20"/>
              </w:rPr>
              <w:t>37435</w:t>
            </w:r>
          </w:p>
        </w:tc>
        <w:tc>
          <w:tcPr>
            <w:tcW w:w="4457" w:type="pct"/>
            <w:gridSpan w:val="3"/>
          </w:tcPr>
          <w:p w:rsidR="00F039E0" w:rsidRPr="00293EE1" w:rsidRDefault="00F039E0" w:rsidP="007F57BF">
            <w:pPr>
              <w:pStyle w:val="SCCLsocParty"/>
              <w:jc w:val="both"/>
              <w:rPr>
                <w:b/>
                <w:sz w:val="20"/>
                <w:szCs w:val="20"/>
                <w:lang w:val="en-US"/>
              </w:rPr>
            </w:pPr>
            <w:r w:rsidRPr="00293EE1">
              <w:rPr>
                <w:b/>
                <w:sz w:val="20"/>
                <w:szCs w:val="20"/>
                <w:lang w:val="en-US"/>
              </w:rPr>
              <w:t xml:space="preserve">Helene Carter, Edmond </w:t>
            </w:r>
            <w:proofErr w:type="spellStart"/>
            <w:r w:rsidRPr="00293EE1">
              <w:rPr>
                <w:b/>
                <w:sz w:val="20"/>
                <w:szCs w:val="20"/>
                <w:lang w:val="en-US"/>
              </w:rPr>
              <w:t>Blais</w:t>
            </w:r>
            <w:proofErr w:type="spellEnd"/>
            <w:r w:rsidRPr="00293EE1">
              <w:rPr>
                <w:b/>
                <w:sz w:val="20"/>
                <w:szCs w:val="20"/>
                <w:lang w:val="en-US"/>
              </w:rPr>
              <w:t xml:space="preserve"> and Donald </w:t>
            </w:r>
            <w:proofErr w:type="spellStart"/>
            <w:r w:rsidRPr="00293EE1">
              <w:rPr>
                <w:b/>
                <w:sz w:val="20"/>
                <w:szCs w:val="20"/>
                <w:lang w:val="en-US"/>
              </w:rPr>
              <w:t>Givogue</w:t>
            </w:r>
            <w:proofErr w:type="spellEnd"/>
            <w:r w:rsidRPr="00293EE1">
              <w:rPr>
                <w:b/>
                <w:sz w:val="20"/>
                <w:szCs w:val="20"/>
                <w:lang w:val="en-US"/>
              </w:rPr>
              <w:t xml:space="preserve"> v. Intact Insurance Company</w:t>
            </w:r>
          </w:p>
          <w:p w:rsidR="00F039E0" w:rsidRPr="00293EE1" w:rsidRDefault="00F039E0" w:rsidP="007F57BF">
            <w:pPr>
              <w:jc w:val="both"/>
              <w:rPr>
                <w:sz w:val="20"/>
              </w:rPr>
            </w:pPr>
            <w:r w:rsidRPr="00293EE1">
              <w:rPr>
                <w:sz w:val="20"/>
              </w:rPr>
              <w:t>(Ont.) (Civil) (By Leave)</w:t>
            </w:r>
          </w:p>
        </w:tc>
      </w:tr>
      <w:tr w:rsidR="00F039E0" w:rsidRPr="00293EE1" w:rsidTr="007F57BF">
        <w:tc>
          <w:tcPr>
            <w:tcW w:w="543" w:type="pct"/>
          </w:tcPr>
          <w:p w:rsidR="00F039E0" w:rsidRPr="00293EE1" w:rsidRDefault="00F039E0" w:rsidP="007F57BF">
            <w:pPr>
              <w:jc w:val="both"/>
              <w:rPr>
                <w:rStyle w:val="SCCFileNumberChar"/>
                <w:sz w:val="20"/>
                <w:szCs w:val="20"/>
              </w:rPr>
            </w:pPr>
            <w:r w:rsidRPr="00293EE1">
              <w:rPr>
                <w:rStyle w:val="SCCFileNumberChar"/>
                <w:sz w:val="20"/>
                <w:szCs w:val="20"/>
              </w:rPr>
              <w:t>Coram:</w:t>
            </w:r>
          </w:p>
        </w:tc>
        <w:tc>
          <w:tcPr>
            <w:tcW w:w="4457" w:type="pct"/>
            <w:gridSpan w:val="3"/>
          </w:tcPr>
          <w:p w:rsidR="00F039E0" w:rsidRPr="00293EE1" w:rsidRDefault="00AA18ED" w:rsidP="007F57BF">
            <w:pPr>
              <w:pStyle w:val="SCCLsocParty"/>
              <w:jc w:val="both"/>
              <w:rPr>
                <w:b/>
                <w:sz w:val="20"/>
                <w:szCs w:val="20"/>
                <w:lang w:val="en-US"/>
              </w:rPr>
            </w:pPr>
            <w:proofErr w:type="spellStart"/>
            <w:r w:rsidRPr="00293EE1">
              <w:rPr>
                <w:rFonts w:eastAsiaTheme="minorEastAsia"/>
                <w:sz w:val="20"/>
                <w:szCs w:val="20"/>
                <w:lang w:val="en-US" w:eastAsia="en-CA"/>
              </w:rPr>
              <w:t>McLachlin</w:t>
            </w:r>
            <w:proofErr w:type="spellEnd"/>
            <w:r w:rsidRPr="00293EE1">
              <w:rPr>
                <w:rFonts w:eastAsiaTheme="minorEastAsia"/>
                <w:sz w:val="20"/>
                <w:szCs w:val="20"/>
                <w:lang w:val="en-US" w:eastAsia="en-CA"/>
              </w:rPr>
              <w:t xml:space="preserve"> C.J. and </w:t>
            </w:r>
            <w:proofErr w:type="spellStart"/>
            <w:r w:rsidRPr="00293EE1">
              <w:rPr>
                <w:rFonts w:eastAsiaTheme="minorEastAsia"/>
                <w:sz w:val="20"/>
                <w:szCs w:val="20"/>
                <w:lang w:val="en-US" w:eastAsia="en-CA"/>
              </w:rPr>
              <w:t>Abella</w:t>
            </w:r>
            <w:proofErr w:type="spellEnd"/>
            <w:r w:rsidRPr="00293EE1">
              <w:rPr>
                <w:rFonts w:eastAsiaTheme="minorEastAsia"/>
                <w:sz w:val="20"/>
                <w:szCs w:val="20"/>
                <w:lang w:val="en-US" w:eastAsia="en-CA"/>
              </w:rPr>
              <w:t xml:space="preserve">, </w:t>
            </w:r>
            <w:proofErr w:type="spellStart"/>
            <w:r w:rsidRPr="00293EE1">
              <w:rPr>
                <w:rFonts w:eastAsiaTheme="minorEastAsia"/>
                <w:sz w:val="20"/>
                <w:szCs w:val="20"/>
                <w:lang w:val="en-US" w:eastAsia="en-CA"/>
              </w:rPr>
              <w:t>Moldaver</w:t>
            </w:r>
            <w:proofErr w:type="spellEnd"/>
            <w:r w:rsidRPr="00293EE1">
              <w:rPr>
                <w:rFonts w:eastAsiaTheme="minorEastAsia"/>
                <w:sz w:val="20"/>
                <w:szCs w:val="20"/>
                <w:lang w:val="en-US" w:eastAsia="en-CA"/>
              </w:rPr>
              <w:t xml:space="preserve">, </w:t>
            </w:r>
            <w:proofErr w:type="spellStart"/>
            <w:r w:rsidRPr="00293EE1">
              <w:rPr>
                <w:rFonts w:eastAsiaTheme="minorEastAsia"/>
                <w:sz w:val="20"/>
                <w:szCs w:val="20"/>
                <w:lang w:val="en-US" w:eastAsia="en-CA"/>
              </w:rPr>
              <w:t>Karakatsanis</w:t>
            </w:r>
            <w:proofErr w:type="spellEnd"/>
            <w:r w:rsidRPr="00293EE1">
              <w:rPr>
                <w:rFonts w:eastAsiaTheme="minorEastAsia"/>
                <w:sz w:val="20"/>
                <w:szCs w:val="20"/>
                <w:lang w:val="en-US" w:eastAsia="en-CA"/>
              </w:rPr>
              <w:t xml:space="preserve">, Wagner, </w:t>
            </w:r>
            <w:proofErr w:type="spellStart"/>
            <w:r w:rsidRPr="00293EE1">
              <w:rPr>
                <w:rFonts w:eastAsiaTheme="minorEastAsia"/>
                <w:sz w:val="20"/>
                <w:szCs w:val="20"/>
                <w:lang w:val="en-US" w:eastAsia="en-CA"/>
              </w:rPr>
              <w:t>Gascon</w:t>
            </w:r>
            <w:proofErr w:type="spellEnd"/>
            <w:r w:rsidRPr="00293EE1">
              <w:rPr>
                <w:rFonts w:eastAsiaTheme="minorEastAsia"/>
                <w:sz w:val="20"/>
                <w:szCs w:val="20"/>
                <w:lang w:val="en-US" w:eastAsia="en-CA"/>
              </w:rPr>
              <w:t xml:space="preserve">, </w:t>
            </w:r>
            <w:proofErr w:type="spellStart"/>
            <w:r w:rsidRPr="00293EE1">
              <w:rPr>
                <w:rFonts w:eastAsiaTheme="minorEastAsia"/>
                <w:sz w:val="20"/>
                <w:szCs w:val="20"/>
                <w:lang w:val="en-US" w:eastAsia="en-CA"/>
              </w:rPr>
              <w:t>Côté</w:t>
            </w:r>
            <w:proofErr w:type="spellEnd"/>
            <w:r w:rsidRPr="00293EE1">
              <w:rPr>
                <w:rFonts w:eastAsiaTheme="minorEastAsia"/>
                <w:sz w:val="20"/>
                <w:szCs w:val="20"/>
                <w:lang w:val="en-US" w:eastAsia="en-CA"/>
              </w:rPr>
              <w:t>, Brown and Rowe JJ.</w:t>
            </w:r>
          </w:p>
        </w:tc>
      </w:tr>
      <w:tr w:rsidR="00F039E0" w:rsidRPr="00293EE1" w:rsidTr="007F57BF">
        <w:tc>
          <w:tcPr>
            <w:tcW w:w="5000" w:type="pct"/>
            <w:gridSpan w:val="4"/>
          </w:tcPr>
          <w:p w:rsidR="00F039E0" w:rsidRPr="00293EE1" w:rsidRDefault="00AA18ED" w:rsidP="007F57BF">
            <w:pPr>
              <w:jc w:val="both"/>
              <w:rPr>
                <w:sz w:val="20"/>
                <w:szCs w:val="20"/>
              </w:rPr>
            </w:pPr>
            <w:r w:rsidRPr="00293EE1">
              <w:rPr>
                <w:sz w:val="20"/>
                <w:szCs w:val="20"/>
              </w:rPr>
              <w:t>The application for leave to appeal from the judgment of the</w:t>
            </w:r>
            <w:bookmarkStart w:id="2" w:name="BM_1_"/>
            <w:bookmarkEnd w:id="2"/>
            <w:r w:rsidRPr="00293EE1">
              <w:rPr>
                <w:sz w:val="20"/>
                <w:szCs w:val="20"/>
              </w:rPr>
              <w:t xml:space="preserve"> Court of Appeal for Ontario, Number C60843, 2016 ONCA 917, dated December 6, 2016, is dismissed with costs.</w:t>
            </w:r>
          </w:p>
          <w:p w:rsidR="00AA18ED" w:rsidRPr="00293EE1" w:rsidRDefault="00AA18ED" w:rsidP="007F57BF">
            <w:pPr>
              <w:jc w:val="both"/>
              <w:rPr>
                <w:sz w:val="20"/>
              </w:rPr>
            </w:pPr>
          </w:p>
        </w:tc>
      </w:tr>
      <w:tr w:rsidR="00F039E0" w:rsidRPr="00293EE1" w:rsidTr="007F57BF">
        <w:tc>
          <w:tcPr>
            <w:tcW w:w="5000" w:type="pct"/>
            <w:gridSpan w:val="4"/>
          </w:tcPr>
          <w:p w:rsidR="00F039E0" w:rsidRPr="00293EE1" w:rsidRDefault="00F039E0" w:rsidP="007F57BF">
            <w:pPr>
              <w:jc w:val="both"/>
              <w:rPr>
                <w:sz w:val="20"/>
              </w:rPr>
            </w:pPr>
            <w:r w:rsidRPr="00293EE1">
              <w:rPr>
                <w:sz w:val="20"/>
              </w:rPr>
              <w:t>Insurance — Property insurance — Replacement cost endorsement — Coverage for replacement with new building “of like kind and quality” — Building codes upgrades endorsement — Coverage for increases in cost of construction for building of like height, floor area and style, and for like occupancy due to enforcement of building by-laws — Whether an insured has to rebuild a destroyed property with a new property “of like kind and quality” in order to receive its “replacement cost” or lose entitlement to its replacement cost insurance — Whether and to what extent long-standing industry practices inform the interpretation of an insurance provision and the intention of the parties in agreeing to it.</w:t>
            </w:r>
          </w:p>
        </w:tc>
      </w:tr>
      <w:tr w:rsidR="00F039E0" w:rsidRPr="00293EE1" w:rsidTr="007F57BF">
        <w:tc>
          <w:tcPr>
            <w:tcW w:w="5000" w:type="pct"/>
            <w:gridSpan w:val="4"/>
          </w:tcPr>
          <w:p w:rsidR="00F039E0" w:rsidRPr="00293EE1" w:rsidRDefault="00F039E0" w:rsidP="007F57BF">
            <w:pPr>
              <w:jc w:val="both"/>
              <w:rPr>
                <w:sz w:val="20"/>
              </w:rPr>
            </w:pPr>
          </w:p>
        </w:tc>
      </w:tr>
      <w:tr w:rsidR="00F039E0" w:rsidRPr="00293EE1" w:rsidTr="007F57BF">
        <w:tc>
          <w:tcPr>
            <w:tcW w:w="5000" w:type="pct"/>
            <w:gridSpan w:val="4"/>
          </w:tcPr>
          <w:p w:rsidR="00F039E0" w:rsidRPr="00293EE1" w:rsidRDefault="00F039E0" w:rsidP="007F57BF">
            <w:pPr>
              <w:jc w:val="both"/>
              <w:rPr>
                <w:sz w:val="20"/>
              </w:rPr>
            </w:pPr>
            <w:r w:rsidRPr="00293EE1">
              <w:rPr>
                <w:sz w:val="20"/>
              </w:rPr>
              <w:t xml:space="preserve">When the applicants’ income property (a mix of one, two and three storey buildings containing 15 residential units and 13 commercial units) sustained substantial damage in a fire, the applicants decided to demolish the entire site and build an eight and a half storey condominium. Intact Insurance Co, which insured the buildings, refused to pay replacement cost on the grounds that the condominium was not “of like kind and quality’, so was not a “replacement”. The applicants commenced construction, but sued Intact for replacement cost and, under their building by-law coverage, for an amount for building code upgrades. They then brought a motion under r. 21 of the </w:t>
            </w:r>
            <w:r w:rsidRPr="00293EE1">
              <w:rPr>
                <w:i/>
                <w:sz w:val="20"/>
              </w:rPr>
              <w:t>Rules of Civil Procedure</w:t>
            </w:r>
            <w:r w:rsidRPr="00293EE1">
              <w:rPr>
                <w:sz w:val="20"/>
              </w:rPr>
              <w:t xml:space="preserve"> to determine the coverage issues.</w:t>
            </w:r>
          </w:p>
          <w:p w:rsidR="00F039E0" w:rsidRPr="00293EE1" w:rsidRDefault="00F039E0" w:rsidP="007F57BF">
            <w:pPr>
              <w:jc w:val="both"/>
              <w:rPr>
                <w:sz w:val="20"/>
              </w:rPr>
            </w:pPr>
          </w:p>
          <w:p w:rsidR="00F039E0" w:rsidRPr="00293EE1" w:rsidRDefault="00F039E0" w:rsidP="007F57BF">
            <w:pPr>
              <w:jc w:val="both"/>
              <w:rPr>
                <w:sz w:val="20"/>
              </w:rPr>
            </w:pPr>
            <w:r w:rsidRPr="00293EE1">
              <w:rPr>
                <w:sz w:val="20"/>
              </w:rPr>
              <w:t>The motion for a declaration that the applicants were entitled to coverage was dismissed, as was the applicants’ appeal.</w:t>
            </w:r>
          </w:p>
          <w:p w:rsidR="00F039E0" w:rsidRPr="00293EE1" w:rsidRDefault="00F039E0" w:rsidP="007F57BF">
            <w:pPr>
              <w:jc w:val="both"/>
              <w:rPr>
                <w:sz w:val="20"/>
              </w:rPr>
            </w:pPr>
          </w:p>
        </w:tc>
      </w:tr>
      <w:tr w:rsidR="00F039E0" w:rsidRPr="00293EE1" w:rsidTr="007F57BF">
        <w:tc>
          <w:tcPr>
            <w:tcW w:w="2427" w:type="pct"/>
            <w:gridSpan w:val="2"/>
          </w:tcPr>
          <w:p w:rsidR="00F039E0" w:rsidRPr="00293EE1" w:rsidRDefault="00F039E0" w:rsidP="007F57BF">
            <w:pPr>
              <w:jc w:val="both"/>
              <w:rPr>
                <w:sz w:val="20"/>
              </w:rPr>
            </w:pPr>
            <w:r w:rsidRPr="00293EE1">
              <w:rPr>
                <w:sz w:val="20"/>
              </w:rPr>
              <w:t>July 7, 2016</w:t>
            </w:r>
          </w:p>
          <w:p w:rsidR="00F039E0" w:rsidRPr="00293EE1" w:rsidRDefault="00F039E0" w:rsidP="007F57BF">
            <w:pPr>
              <w:jc w:val="both"/>
              <w:rPr>
                <w:sz w:val="20"/>
              </w:rPr>
            </w:pPr>
            <w:r w:rsidRPr="00293EE1">
              <w:rPr>
                <w:sz w:val="20"/>
              </w:rPr>
              <w:t>Ontario Superior Court of Justice</w:t>
            </w:r>
          </w:p>
          <w:p w:rsidR="00F039E0" w:rsidRPr="00293EE1" w:rsidRDefault="00F039E0" w:rsidP="007F57BF">
            <w:pPr>
              <w:jc w:val="both"/>
              <w:rPr>
                <w:sz w:val="20"/>
              </w:rPr>
            </w:pPr>
            <w:r w:rsidRPr="00293EE1">
              <w:rPr>
                <w:sz w:val="20"/>
              </w:rPr>
              <w:t>(Phillips)</w:t>
            </w:r>
          </w:p>
          <w:p w:rsidR="00F039E0" w:rsidRPr="00293EE1" w:rsidRDefault="00B2512D" w:rsidP="007F57BF">
            <w:pPr>
              <w:jc w:val="both"/>
              <w:rPr>
                <w:sz w:val="20"/>
              </w:rPr>
            </w:pPr>
            <w:hyperlink r:id="rId18" w:history="1">
              <w:r w:rsidR="00F039E0" w:rsidRPr="00293EE1">
                <w:rPr>
                  <w:rStyle w:val="Hyperlink"/>
                  <w:sz w:val="20"/>
                </w:rPr>
                <w:t>2014 ONSC 4400</w:t>
              </w:r>
            </w:hyperlink>
          </w:p>
          <w:p w:rsidR="00F039E0" w:rsidRPr="00293EE1" w:rsidRDefault="00F039E0" w:rsidP="007F57BF">
            <w:pPr>
              <w:jc w:val="both"/>
              <w:rPr>
                <w:sz w:val="20"/>
              </w:rPr>
            </w:pPr>
          </w:p>
        </w:tc>
        <w:tc>
          <w:tcPr>
            <w:tcW w:w="243" w:type="pct"/>
          </w:tcPr>
          <w:p w:rsidR="00F039E0" w:rsidRPr="00293EE1" w:rsidRDefault="00F039E0" w:rsidP="007F57BF">
            <w:pPr>
              <w:jc w:val="both"/>
              <w:rPr>
                <w:sz w:val="20"/>
              </w:rPr>
            </w:pPr>
          </w:p>
        </w:tc>
        <w:tc>
          <w:tcPr>
            <w:tcW w:w="2330" w:type="pct"/>
          </w:tcPr>
          <w:p w:rsidR="00F039E0" w:rsidRPr="00293EE1" w:rsidRDefault="00F039E0" w:rsidP="007F57BF">
            <w:pPr>
              <w:jc w:val="both"/>
              <w:rPr>
                <w:sz w:val="20"/>
              </w:rPr>
            </w:pPr>
            <w:r w:rsidRPr="00293EE1">
              <w:rPr>
                <w:sz w:val="20"/>
              </w:rPr>
              <w:t xml:space="preserve">Motion for declaration that applicants’ are entitled to coverage under replacement cost and building bylaws endorsements in policy dismissed </w:t>
            </w:r>
          </w:p>
          <w:p w:rsidR="00F039E0" w:rsidRPr="00293EE1" w:rsidRDefault="00F039E0" w:rsidP="007F57BF">
            <w:pPr>
              <w:jc w:val="both"/>
              <w:rPr>
                <w:sz w:val="20"/>
              </w:rPr>
            </w:pPr>
          </w:p>
        </w:tc>
      </w:tr>
      <w:tr w:rsidR="00F039E0" w:rsidRPr="00293EE1" w:rsidTr="007F57BF">
        <w:tc>
          <w:tcPr>
            <w:tcW w:w="2427" w:type="pct"/>
            <w:gridSpan w:val="2"/>
          </w:tcPr>
          <w:p w:rsidR="00F039E0" w:rsidRPr="00293EE1" w:rsidRDefault="00F039E0" w:rsidP="007F57BF">
            <w:pPr>
              <w:jc w:val="both"/>
              <w:rPr>
                <w:sz w:val="20"/>
              </w:rPr>
            </w:pPr>
            <w:r w:rsidRPr="00293EE1">
              <w:rPr>
                <w:sz w:val="20"/>
              </w:rPr>
              <w:t>December 6, 2016</w:t>
            </w:r>
          </w:p>
          <w:p w:rsidR="00F039E0" w:rsidRPr="00293EE1" w:rsidRDefault="00F039E0" w:rsidP="007F57BF">
            <w:pPr>
              <w:jc w:val="both"/>
              <w:rPr>
                <w:sz w:val="20"/>
              </w:rPr>
            </w:pPr>
            <w:r w:rsidRPr="00293EE1">
              <w:rPr>
                <w:sz w:val="20"/>
              </w:rPr>
              <w:t>Court of Appeal for Ontario</w:t>
            </w:r>
          </w:p>
          <w:p w:rsidR="00F039E0" w:rsidRPr="00293EE1" w:rsidRDefault="00F039E0" w:rsidP="007F57BF">
            <w:pPr>
              <w:jc w:val="both"/>
              <w:rPr>
                <w:sz w:val="20"/>
              </w:rPr>
            </w:pPr>
            <w:r w:rsidRPr="00293EE1">
              <w:rPr>
                <w:sz w:val="20"/>
              </w:rPr>
              <w:t>(</w:t>
            </w:r>
            <w:proofErr w:type="spellStart"/>
            <w:r w:rsidRPr="00293EE1">
              <w:rPr>
                <w:sz w:val="20"/>
              </w:rPr>
              <w:t>Laskin</w:t>
            </w:r>
            <w:proofErr w:type="spellEnd"/>
            <w:r w:rsidRPr="00293EE1">
              <w:rPr>
                <w:sz w:val="20"/>
              </w:rPr>
              <w:t xml:space="preserve">, </w:t>
            </w:r>
            <w:proofErr w:type="spellStart"/>
            <w:r w:rsidRPr="00293EE1">
              <w:rPr>
                <w:sz w:val="20"/>
              </w:rPr>
              <w:t>Pepall</w:t>
            </w:r>
            <w:proofErr w:type="spellEnd"/>
            <w:r w:rsidRPr="00293EE1">
              <w:rPr>
                <w:sz w:val="20"/>
              </w:rPr>
              <w:t>, Brown J.A.)</w:t>
            </w:r>
          </w:p>
          <w:p w:rsidR="00F039E0" w:rsidRPr="00293EE1" w:rsidRDefault="00B2512D" w:rsidP="007F57BF">
            <w:pPr>
              <w:jc w:val="both"/>
              <w:rPr>
                <w:sz w:val="20"/>
              </w:rPr>
            </w:pPr>
            <w:hyperlink r:id="rId19" w:history="1">
              <w:r w:rsidR="00F039E0" w:rsidRPr="00293EE1">
                <w:rPr>
                  <w:rStyle w:val="Hyperlink"/>
                  <w:sz w:val="20"/>
                </w:rPr>
                <w:t>2016 ONCA 917</w:t>
              </w:r>
            </w:hyperlink>
          </w:p>
          <w:p w:rsidR="00F039E0" w:rsidRPr="00293EE1" w:rsidRDefault="00F039E0" w:rsidP="007F57BF">
            <w:pPr>
              <w:jc w:val="both"/>
              <w:rPr>
                <w:sz w:val="20"/>
              </w:rPr>
            </w:pPr>
          </w:p>
        </w:tc>
        <w:tc>
          <w:tcPr>
            <w:tcW w:w="243" w:type="pct"/>
          </w:tcPr>
          <w:p w:rsidR="00F039E0" w:rsidRPr="00293EE1" w:rsidRDefault="00F039E0" w:rsidP="007F57BF">
            <w:pPr>
              <w:jc w:val="both"/>
              <w:rPr>
                <w:sz w:val="20"/>
              </w:rPr>
            </w:pPr>
          </w:p>
        </w:tc>
        <w:tc>
          <w:tcPr>
            <w:tcW w:w="2330" w:type="pct"/>
          </w:tcPr>
          <w:p w:rsidR="00F039E0" w:rsidRPr="00293EE1" w:rsidRDefault="00F039E0" w:rsidP="007F57BF">
            <w:pPr>
              <w:jc w:val="both"/>
              <w:rPr>
                <w:sz w:val="20"/>
              </w:rPr>
            </w:pPr>
            <w:r w:rsidRPr="00293EE1">
              <w:rPr>
                <w:sz w:val="20"/>
              </w:rPr>
              <w:t>Appeal dismissed</w:t>
            </w:r>
          </w:p>
          <w:p w:rsidR="00F039E0" w:rsidRPr="00293EE1" w:rsidRDefault="00F039E0" w:rsidP="007F57BF">
            <w:pPr>
              <w:jc w:val="both"/>
              <w:rPr>
                <w:sz w:val="20"/>
              </w:rPr>
            </w:pPr>
          </w:p>
        </w:tc>
      </w:tr>
      <w:tr w:rsidR="00F039E0" w:rsidRPr="00293EE1" w:rsidTr="007F57BF">
        <w:tc>
          <w:tcPr>
            <w:tcW w:w="2427" w:type="pct"/>
            <w:gridSpan w:val="2"/>
          </w:tcPr>
          <w:p w:rsidR="00F039E0" w:rsidRPr="00293EE1" w:rsidRDefault="00F039E0" w:rsidP="007F57BF">
            <w:pPr>
              <w:jc w:val="both"/>
              <w:rPr>
                <w:sz w:val="20"/>
              </w:rPr>
            </w:pPr>
            <w:r w:rsidRPr="00293EE1">
              <w:rPr>
                <w:sz w:val="20"/>
              </w:rPr>
              <w:t>February 3, 2017</w:t>
            </w:r>
          </w:p>
          <w:p w:rsidR="00F039E0" w:rsidRPr="00293EE1" w:rsidRDefault="00F039E0" w:rsidP="007F57BF">
            <w:pPr>
              <w:jc w:val="both"/>
              <w:rPr>
                <w:sz w:val="20"/>
              </w:rPr>
            </w:pPr>
            <w:r w:rsidRPr="00293EE1">
              <w:rPr>
                <w:sz w:val="20"/>
              </w:rPr>
              <w:t>Supreme Court of Canada</w:t>
            </w:r>
          </w:p>
        </w:tc>
        <w:tc>
          <w:tcPr>
            <w:tcW w:w="243" w:type="pct"/>
          </w:tcPr>
          <w:p w:rsidR="00F039E0" w:rsidRPr="00293EE1" w:rsidRDefault="00F039E0" w:rsidP="007F57BF">
            <w:pPr>
              <w:jc w:val="both"/>
              <w:rPr>
                <w:sz w:val="20"/>
              </w:rPr>
            </w:pPr>
          </w:p>
        </w:tc>
        <w:tc>
          <w:tcPr>
            <w:tcW w:w="2330" w:type="pct"/>
          </w:tcPr>
          <w:p w:rsidR="00F039E0" w:rsidRPr="00293EE1" w:rsidRDefault="00F039E0" w:rsidP="007F57BF">
            <w:pPr>
              <w:jc w:val="both"/>
              <w:rPr>
                <w:sz w:val="20"/>
              </w:rPr>
            </w:pPr>
            <w:r w:rsidRPr="00293EE1">
              <w:rPr>
                <w:sz w:val="20"/>
              </w:rPr>
              <w:t>Application for leave to appeal filed</w:t>
            </w:r>
          </w:p>
          <w:p w:rsidR="00F039E0" w:rsidRPr="00293EE1" w:rsidRDefault="00F039E0" w:rsidP="007F57BF">
            <w:pPr>
              <w:jc w:val="both"/>
              <w:rPr>
                <w:sz w:val="20"/>
              </w:rPr>
            </w:pPr>
          </w:p>
        </w:tc>
      </w:tr>
    </w:tbl>
    <w:p w:rsidR="00F039E0" w:rsidRPr="00293EE1" w:rsidRDefault="00B2512D" w:rsidP="000E2959">
      <w:pPr>
        <w:rPr>
          <w:sz w:val="20"/>
          <w:szCs w:val="20"/>
        </w:rPr>
      </w:pPr>
      <w:r>
        <w:rPr>
          <w:sz w:val="20"/>
          <w:szCs w:val="20"/>
        </w:rPr>
        <w:pict>
          <v:rect id="_x0000_i1043" style="width:2in;height:1pt" o:hrpct="0" o:hralign="center" o:hrstd="t" o:hrnoshade="t" o:hr="t" fillcolor="black [3213]" stroked="f"/>
        </w:pict>
      </w:r>
    </w:p>
    <w:p w:rsidR="00F039E0" w:rsidRPr="00293EE1" w:rsidRDefault="00F039E0" w:rsidP="000E2959">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039E0" w:rsidRPr="00293EE1" w:rsidTr="007F57BF">
        <w:tc>
          <w:tcPr>
            <w:tcW w:w="543" w:type="pct"/>
          </w:tcPr>
          <w:p w:rsidR="00F039E0" w:rsidRPr="00293EE1" w:rsidRDefault="00F039E0" w:rsidP="007F57BF">
            <w:pPr>
              <w:jc w:val="both"/>
              <w:rPr>
                <w:sz w:val="20"/>
                <w:lang w:val="fr-CA"/>
              </w:rPr>
            </w:pPr>
            <w:r w:rsidRPr="00293EE1">
              <w:rPr>
                <w:rStyle w:val="SCCFileNumberChar"/>
                <w:sz w:val="20"/>
                <w:szCs w:val="20"/>
                <w:lang w:val="fr-CA"/>
              </w:rPr>
              <w:t>37435</w:t>
            </w:r>
          </w:p>
        </w:tc>
        <w:tc>
          <w:tcPr>
            <w:tcW w:w="4457" w:type="pct"/>
            <w:gridSpan w:val="3"/>
          </w:tcPr>
          <w:p w:rsidR="00F039E0" w:rsidRPr="00293EE1" w:rsidRDefault="00F039E0" w:rsidP="007F57BF">
            <w:pPr>
              <w:pStyle w:val="SCCLsocParty"/>
              <w:jc w:val="both"/>
              <w:rPr>
                <w:b/>
                <w:sz w:val="20"/>
                <w:szCs w:val="20"/>
              </w:rPr>
            </w:pPr>
            <w:r w:rsidRPr="00293EE1">
              <w:rPr>
                <w:b/>
                <w:sz w:val="20"/>
                <w:szCs w:val="20"/>
              </w:rPr>
              <w:t xml:space="preserve">Helene Carter, Edmond Blais et Donald </w:t>
            </w:r>
            <w:proofErr w:type="spellStart"/>
            <w:r w:rsidRPr="00293EE1">
              <w:rPr>
                <w:b/>
                <w:sz w:val="20"/>
                <w:szCs w:val="20"/>
              </w:rPr>
              <w:t>Givogue</w:t>
            </w:r>
            <w:proofErr w:type="spellEnd"/>
            <w:r w:rsidRPr="00293EE1">
              <w:rPr>
                <w:b/>
                <w:sz w:val="20"/>
                <w:szCs w:val="20"/>
              </w:rPr>
              <w:t xml:space="preserve"> c. Intact Compagnie d’assurance</w:t>
            </w:r>
          </w:p>
          <w:p w:rsidR="00F039E0" w:rsidRPr="00293EE1" w:rsidRDefault="00F039E0" w:rsidP="007F57BF">
            <w:pPr>
              <w:jc w:val="both"/>
              <w:rPr>
                <w:sz w:val="20"/>
                <w:lang w:val="fr-CA"/>
              </w:rPr>
            </w:pPr>
            <w:r w:rsidRPr="00293EE1">
              <w:rPr>
                <w:sz w:val="20"/>
                <w:lang w:val="fr-CA"/>
              </w:rPr>
              <w:t>(Ont.) (Civile) (Sur autorisation)</w:t>
            </w:r>
          </w:p>
        </w:tc>
      </w:tr>
      <w:tr w:rsidR="00F039E0" w:rsidRPr="00B2512D" w:rsidTr="007F57BF">
        <w:tc>
          <w:tcPr>
            <w:tcW w:w="543" w:type="pct"/>
          </w:tcPr>
          <w:p w:rsidR="00F039E0" w:rsidRPr="00293EE1" w:rsidRDefault="00F039E0" w:rsidP="007F57BF">
            <w:pPr>
              <w:jc w:val="both"/>
              <w:rPr>
                <w:rStyle w:val="SCCFileNumberChar"/>
                <w:sz w:val="20"/>
                <w:szCs w:val="20"/>
                <w:lang w:val="fr-CA"/>
              </w:rPr>
            </w:pPr>
            <w:r w:rsidRPr="00293EE1">
              <w:rPr>
                <w:rStyle w:val="SCCFileNumberChar"/>
                <w:sz w:val="20"/>
                <w:szCs w:val="20"/>
              </w:rPr>
              <w:t>Coram:</w:t>
            </w:r>
          </w:p>
        </w:tc>
        <w:tc>
          <w:tcPr>
            <w:tcW w:w="4457" w:type="pct"/>
            <w:gridSpan w:val="3"/>
          </w:tcPr>
          <w:p w:rsidR="00F039E0" w:rsidRPr="00293EE1" w:rsidRDefault="00784366" w:rsidP="007F57BF">
            <w:pPr>
              <w:pStyle w:val="SCCLsocParty"/>
              <w:jc w:val="both"/>
              <w:rPr>
                <w:b/>
                <w:sz w:val="20"/>
                <w:szCs w:val="20"/>
              </w:rPr>
            </w:pPr>
            <w:r w:rsidRPr="00293EE1">
              <w:rPr>
                <w:rFonts w:eastAsiaTheme="minorEastAsia"/>
                <w:sz w:val="20"/>
                <w:szCs w:val="20"/>
                <w:lang w:val="fr-FR" w:eastAsia="en-CA"/>
              </w:rPr>
              <w:t xml:space="preserve">La juge en chef </w:t>
            </w:r>
            <w:proofErr w:type="spellStart"/>
            <w:r w:rsidRPr="00293EE1">
              <w:rPr>
                <w:rFonts w:eastAsiaTheme="minorEastAsia"/>
                <w:sz w:val="20"/>
                <w:szCs w:val="20"/>
                <w:lang w:val="fr-FR" w:eastAsia="en-CA"/>
              </w:rPr>
              <w:t>McLachlin</w:t>
            </w:r>
            <w:proofErr w:type="spellEnd"/>
            <w:r w:rsidRPr="00293EE1">
              <w:rPr>
                <w:rFonts w:eastAsiaTheme="minorEastAsia"/>
                <w:sz w:val="20"/>
                <w:szCs w:val="20"/>
                <w:lang w:val="fr-FR" w:eastAsia="en-CA"/>
              </w:rPr>
              <w:t xml:space="preserve"> et les juges Abella, </w:t>
            </w:r>
            <w:proofErr w:type="spellStart"/>
            <w:r w:rsidRPr="00293EE1">
              <w:rPr>
                <w:rFonts w:eastAsiaTheme="minorEastAsia"/>
                <w:sz w:val="20"/>
                <w:szCs w:val="20"/>
                <w:lang w:val="fr-FR" w:eastAsia="en-CA"/>
              </w:rPr>
              <w:t>Moldaver</w:t>
            </w:r>
            <w:proofErr w:type="spellEnd"/>
            <w:r w:rsidRPr="00293EE1">
              <w:rPr>
                <w:rFonts w:eastAsiaTheme="minorEastAsia"/>
                <w:sz w:val="20"/>
                <w:szCs w:val="20"/>
                <w:lang w:val="fr-FR" w:eastAsia="en-CA"/>
              </w:rPr>
              <w:t xml:space="preserve">, </w:t>
            </w:r>
            <w:proofErr w:type="spellStart"/>
            <w:r w:rsidRPr="00293EE1">
              <w:rPr>
                <w:rFonts w:eastAsiaTheme="minorEastAsia"/>
                <w:sz w:val="20"/>
                <w:szCs w:val="20"/>
                <w:lang w:val="fr-FR" w:eastAsia="en-CA"/>
              </w:rPr>
              <w:t>Karakatsanis</w:t>
            </w:r>
            <w:proofErr w:type="spellEnd"/>
            <w:r w:rsidRPr="00293EE1">
              <w:rPr>
                <w:rFonts w:eastAsiaTheme="minorEastAsia"/>
                <w:sz w:val="20"/>
                <w:szCs w:val="20"/>
                <w:lang w:val="fr-FR" w:eastAsia="en-CA"/>
              </w:rPr>
              <w:t>, Wagner, Gascon, Côté, Brown et Rowe</w:t>
            </w:r>
          </w:p>
        </w:tc>
      </w:tr>
      <w:tr w:rsidR="00F039E0" w:rsidRPr="00B2512D" w:rsidTr="007F57BF">
        <w:tc>
          <w:tcPr>
            <w:tcW w:w="5000" w:type="pct"/>
            <w:gridSpan w:val="4"/>
          </w:tcPr>
          <w:p w:rsidR="00F039E0" w:rsidRPr="00293EE1" w:rsidRDefault="00784366" w:rsidP="007F57BF">
            <w:pPr>
              <w:jc w:val="both"/>
              <w:rPr>
                <w:sz w:val="20"/>
                <w:szCs w:val="20"/>
                <w:lang w:val="fr-CA"/>
              </w:rPr>
            </w:pPr>
            <w:r w:rsidRPr="00293EE1">
              <w:rPr>
                <w:sz w:val="20"/>
                <w:szCs w:val="20"/>
                <w:lang w:val="fr-CA"/>
              </w:rPr>
              <w:t xml:space="preserve">La demande d’autorisation d’appel de l’arrêt de la </w:t>
            </w:r>
            <w:r w:rsidRPr="00293EE1">
              <w:rPr>
                <w:sz w:val="20"/>
                <w:szCs w:val="20"/>
                <w:lang w:val="fr-FR"/>
              </w:rPr>
              <w:t>Cour d’appel de l’Ontario</w:t>
            </w:r>
            <w:r w:rsidRPr="00293EE1">
              <w:rPr>
                <w:sz w:val="20"/>
                <w:szCs w:val="20"/>
                <w:lang w:val="fr-CA"/>
              </w:rPr>
              <w:t xml:space="preserve">, numéro </w:t>
            </w:r>
            <w:r w:rsidRPr="00293EE1">
              <w:rPr>
                <w:sz w:val="20"/>
                <w:szCs w:val="20"/>
                <w:lang w:val="fr-FR"/>
              </w:rPr>
              <w:t>C60843, 2016 ONCA 917</w:t>
            </w:r>
            <w:r w:rsidRPr="00293EE1">
              <w:rPr>
                <w:sz w:val="20"/>
                <w:szCs w:val="20"/>
                <w:lang w:val="fr-CA"/>
              </w:rPr>
              <w:t xml:space="preserve">, daté du </w:t>
            </w:r>
            <w:r w:rsidRPr="00293EE1">
              <w:rPr>
                <w:sz w:val="20"/>
                <w:szCs w:val="20"/>
                <w:lang w:val="fr-FR"/>
              </w:rPr>
              <w:t>6 décembre 2016</w:t>
            </w:r>
            <w:r w:rsidRPr="00293EE1">
              <w:rPr>
                <w:sz w:val="20"/>
                <w:szCs w:val="20"/>
                <w:lang w:val="fr-CA"/>
              </w:rPr>
              <w:t>, est rejetée avec dépens.</w:t>
            </w:r>
          </w:p>
          <w:p w:rsidR="00784366" w:rsidRPr="00293EE1" w:rsidRDefault="00784366" w:rsidP="007F57BF">
            <w:pPr>
              <w:jc w:val="both"/>
              <w:rPr>
                <w:sz w:val="20"/>
                <w:lang w:val="fr-CA"/>
              </w:rPr>
            </w:pPr>
          </w:p>
        </w:tc>
      </w:tr>
      <w:tr w:rsidR="00F039E0" w:rsidRPr="00B2512D" w:rsidTr="007F57BF">
        <w:tc>
          <w:tcPr>
            <w:tcW w:w="5000" w:type="pct"/>
            <w:gridSpan w:val="4"/>
          </w:tcPr>
          <w:p w:rsidR="00F039E0" w:rsidRPr="00293EE1" w:rsidRDefault="00F039E0" w:rsidP="007F57BF">
            <w:pPr>
              <w:jc w:val="both"/>
              <w:rPr>
                <w:sz w:val="20"/>
                <w:lang w:val="fr-CA"/>
              </w:rPr>
            </w:pPr>
            <w:r w:rsidRPr="00293EE1">
              <w:rPr>
                <w:sz w:val="20"/>
                <w:lang w:val="fr-CA"/>
              </w:rPr>
              <w:lastRenderedPageBreak/>
              <w:t>Assurance — Assurance de biens — Avenant valeur à neuf — Garantie de remplacement par un nouvel édifice [</w:t>
            </w:r>
            <w:r w:rsidRPr="00293EE1">
              <w:rPr>
                <w:smallCaps/>
                <w:sz w:val="20"/>
                <w:lang w:val="fr-CA"/>
              </w:rPr>
              <w:t>traduction</w:t>
            </w:r>
            <w:r w:rsidRPr="00293EE1">
              <w:rPr>
                <w:sz w:val="20"/>
                <w:lang w:val="fr-CA"/>
              </w:rPr>
              <w:t>] « de type et de qualité semblables » — Avenant relatif aux actualisations des codes du bâtiment — Garantie couvrant les augmentations du coût de la construction d’un édifice de hauteur, de superficie et de style semblables, et d’occupation semblable, en raison de l’application de règlements de construction — Un assuré est-il tenu de reconstruire un bien détruit avec un nouveau bien « de type et de qualité semblables » pour pouvoir recevoir la « valeur à neuf » sous peine de perdre le droit à son assurance valeur à neuf? — Les pratiques bien établies dans secteur nous éclairent-elles sur l’interprétation des dispositions d’assurance et sur l’intention des parties qui y consentent et, dans l’affirmative, dans quelle mesure?</w:t>
            </w:r>
          </w:p>
        </w:tc>
      </w:tr>
      <w:tr w:rsidR="00F039E0" w:rsidRPr="00B2512D" w:rsidTr="007F57BF">
        <w:tc>
          <w:tcPr>
            <w:tcW w:w="5000" w:type="pct"/>
            <w:gridSpan w:val="4"/>
          </w:tcPr>
          <w:p w:rsidR="00F039E0" w:rsidRPr="00293EE1" w:rsidRDefault="00F039E0" w:rsidP="007F57BF">
            <w:pPr>
              <w:jc w:val="both"/>
              <w:rPr>
                <w:sz w:val="20"/>
                <w:lang w:val="fr-CA"/>
              </w:rPr>
            </w:pPr>
          </w:p>
        </w:tc>
      </w:tr>
      <w:tr w:rsidR="00F039E0" w:rsidRPr="00B2512D" w:rsidTr="007F57BF">
        <w:tc>
          <w:tcPr>
            <w:tcW w:w="5000" w:type="pct"/>
            <w:gridSpan w:val="4"/>
          </w:tcPr>
          <w:p w:rsidR="00F039E0" w:rsidRPr="00293EE1" w:rsidRDefault="00F039E0" w:rsidP="007F57BF">
            <w:pPr>
              <w:jc w:val="both"/>
              <w:rPr>
                <w:sz w:val="20"/>
                <w:lang w:val="fr-CA"/>
              </w:rPr>
            </w:pPr>
            <w:r w:rsidRPr="00293EE1">
              <w:rPr>
                <w:sz w:val="20"/>
                <w:lang w:val="fr-CA"/>
              </w:rPr>
              <w:t>Lorsque l’immeuble à revenu des demandeurs (un ensemble d’édifices à usages multiples d’un, de deux ou de trois étages renfermant 15 logements et 13 espaces commerciaux) a subi des dommages importants dans un incendie, les demandeurs ont décidé de démolir l’emplacement au complet et de construire un condominium de huit étages et demi. Intact Cie d’assurance, l’assureur des édifices a refusé de payer la valeur à neuf au motif que le condominium n’était pas « de type et de qualité semblables », si bien qu’il ne s’agissait pas d’un « remplacement ». Les demandeurs ont commencé la construction, mais ils ont poursuivi Intact pour la valeur à neuf et, en vertu de leur avenant relatif aux règlements de construction, pour un montant équivalent à l’actualisation des codes du bâtiment. Ils ont ensuite présenté une motion en application de la règle 21 des</w:t>
            </w:r>
            <w:r w:rsidRPr="00293EE1">
              <w:rPr>
                <w:i/>
                <w:sz w:val="20"/>
                <w:lang w:val="fr-CA"/>
              </w:rPr>
              <w:t xml:space="preserve"> Règles de procédure civile </w:t>
            </w:r>
            <w:r w:rsidRPr="00293EE1">
              <w:rPr>
                <w:sz w:val="20"/>
                <w:lang w:val="fr-CA"/>
              </w:rPr>
              <w:t>pour qu’il soit statué sur les questions de garantie.</w:t>
            </w:r>
          </w:p>
          <w:p w:rsidR="00F039E0" w:rsidRPr="00293EE1" w:rsidRDefault="00F039E0" w:rsidP="007F57BF">
            <w:pPr>
              <w:jc w:val="both"/>
              <w:rPr>
                <w:sz w:val="20"/>
                <w:lang w:val="fr-CA"/>
              </w:rPr>
            </w:pPr>
          </w:p>
          <w:p w:rsidR="00F039E0" w:rsidRPr="00293EE1" w:rsidRDefault="00F039E0" w:rsidP="007F57BF">
            <w:pPr>
              <w:jc w:val="both"/>
              <w:rPr>
                <w:sz w:val="20"/>
                <w:lang w:val="fr-CA"/>
              </w:rPr>
            </w:pPr>
            <w:r w:rsidRPr="00293EE1">
              <w:rPr>
                <w:sz w:val="20"/>
                <w:lang w:val="fr-CA"/>
              </w:rPr>
              <w:t>La motion en vue d’obtenir un jugement déclarant que les demandeurs avaient droit à la garantie a été rejetée, tout comme l’appel des demandeurs.</w:t>
            </w:r>
          </w:p>
          <w:p w:rsidR="00F039E0" w:rsidRPr="00293EE1" w:rsidRDefault="00F039E0" w:rsidP="007F57BF">
            <w:pPr>
              <w:jc w:val="both"/>
              <w:rPr>
                <w:sz w:val="20"/>
                <w:lang w:val="fr-CA"/>
              </w:rPr>
            </w:pPr>
          </w:p>
        </w:tc>
      </w:tr>
      <w:tr w:rsidR="00F039E0" w:rsidRPr="00B2512D" w:rsidTr="007F57BF">
        <w:tc>
          <w:tcPr>
            <w:tcW w:w="2427" w:type="pct"/>
            <w:gridSpan w:val="2"/>
          </w:tcPr>
          <w:p w:rsidR="00F039E0" w:rsidRPr="00293EE1" w:rsidRDefault="00F039E0" w:rsidP="007F57BF">
            <w:pPr>
              <w:jc w:val="both"/>
              <w:rPr>
                <w:sz w:val="20"/>
                <w:lang w:val="fr-CA"/>
              </w:rPr>
            </w:pPr>
            <w:r w:rsidRPr="00293EE1">
              <w:rPr>
                <w:sz w:val="20"/>
                <w:lang w:val="fr-CA"/>
              </w:rPr>
              <w:t>7 juillet 2016</w:t>
            </w:r>
          </w:p>
          <w:p w:rsidR="00F039E0" w:rsidRPr="00293EE1" w:rsidRDefault="00F039E0" w:rsidP="007F57BF">
            <w:pPr>
              <w:jc w:val="both"/>
              <w:rPr>
                <w:sz w:val="20"/>
                <w:lang w:val="fr-CA"/>
              </w:rPr>
            </w:pPr>
            <w:r w:rsidRPr="00293EE1">
              <w:rPr>
                <w:sz w:val="20"/>
                <w:lang w:val="fr-CA"/>
              </w:rPr>
              <w:t>Cour supérieure de justice de l’Ontario</w:t>
            </w:r>
          </w:p>
          <w:p w:rsidR="00F039E0" w:rsidRPr="00293EE1" w:rsidRDefault="00F039E0" w:rsidP="007F57BF">
            <w:pPr>
              <w:jc w:val="both"/>
              <w:rPr>
                <w:sz w:val="20"/>
                <w:lang w:val="fr-CA"/>
              </w:rPr>
            </w:pPr>
            <w:r w:rsidRPr="00293EE1">
              <w:rPr>
                <w:sz w:val="20"/>
                <w:lang w:val="fr-CA"/>
              </w:rPr>
              <w:t>(Juge Phillips)</w:t>
            </w:r>
          </w:p>
          <w:p w:rsidR="00F039E0" w:rsidRPr="00293EE1" w:rsidRDefault="00B2512D" w:rsidP="007F57BF">
            <w:pPr>
              <w:jc w:val="both"/>
              <w:rPr>
                <w:sz w:val="20"/>
                <w:lang w:val="fr-CA"/>
              </w:rPr>
            </w:pPr>
            <w:hyperlink r:id="rId20" w:history="1">
              <w:r w:rsidR="00F039E0" w:rsidRPr="00293EE1">
                <w:rPr>
                  <w:rStyle w:val="Hyperlink"/>
                  <w:sz w:val="20"/>
                  <w:lang w:val="fr-CA"/>
                </w:rPr>
                <w:t>2014 ONSC 4400</w:t>
              </w:r>
            </w:hyperlink>
          </w:p>
          <w:p w:rsidR="00F039E0" w:rsidRPr="00293EE1" w:rsidRDefault="00F039E0" w:rsidP="007F57BF">
            <w:pPr>
              <w:jc w:val="both"/>
              <w:rPr>
                <w:sz w:val="20"/>
                <w:lang w:val="fr-CA"/>
              </w:rPr>
            </w:pPr>
          </w:p>
        </w:tc>
        <w:tc>
          <w:tcPr>
            <w:tcW w:w="243" w:type="pct"/>
          </w:tcPr>
          <w:p w:rsidR="00F039E0" w:rsidRPr="00293EE1" w:rsidRDefault="00F039E0" w:rsidP="007F57BF">
            <w:pPr>
              <w:jc w:val="both"/>
              <w:rPr>
                <w:sz w:val="20"/>
                <w:lang w:val="fr-CA"/>
              </w:rPr>
            </w:pPr>
          </w:p>
        </w:tc>
        <w:tc>
          <w:tcPr>
            <w:tcW w:w="2330" w:type="pct"/>
          </w:tcPr>
          <w:p w:rsidR="00F039E0" w:rsidRPr="00293EE1" w:rsidRDefault="00F039E0" w:rsidP="007F57BF">
            <w:pPr>
              <w:jc w:val="both"/>
              <w:rPr>
                <w:sz w:val="20"/>
                <w:lang w:val="fr-CA"/>
              </w:rPr>
            </w:pPr>
            <w:r w:rsidRPr="00293EE1">
              <w:rPr>
                <w:sz w:val="20"/>
                <w:lang w:val="fr-CA"/>
              </w:rPr>
              <w:t xml:space="preserve">Rejet de la motion en vue d’obtenir un jugement déclarant que les demandeurs ont droit à la garantie en vertu de </w:t>
            </w:r>
            <w:proofErr w:type="gramStart"/>
            <w:r w:rsidRPr="00293EE1">
              <w:rPr>
                <w:sz w:val="20"/>
                <w:lang w:val="fr-CA"/>
              </w:rPr>
              <w:t>l’avenant</w:t>
            </w:r>
            <w:proofErr w:type="gramEnd"/>
            <w:r w:rsidRPr="00293EE1">
              <w:rPr>
                <w:sz w:val="20"/>
                <w:lang w:val="fr-CA"/>
              </w:rPr>
              <w:t xml:space="preserve"> valeur à neuf et de l’avenant relatif aux règlements de construction dans la police </w:t>
            </w:r>
          </w:p>
          <w:p w:rsidR="00F039E0" w:rsidRPr="00293EE1" w:rsidRDefault="00F039E0" w:rsidP="007F57BF">
            <w:pPr>
              <w:jc w:val="both"/>
              <w:rPr>
                <w:sz w:val="20"/>
                <w:lang w:val="fr-CA"/>
              </w:rPr>
            </w:pPr>
          </w:p>
        </w:tc>
      </w:tr>
      <w:tr w:rsidR="00F039E0" w:rsidRPr="00293EE1" w:rsidTr="007F57BF">
        <w:tc>
          <w:tcPr>
            <w:tcW w:w="2427" w:type="pct"/>
            <w:gridSpan w:val="2"/>
          </w:tcPr>
          <w:p w:rsidR="00F039E0" w:rsidRPr="00293EE1" w:rsidRDefault="00F039E0" w:rsidP="007F57BF">
            <w:pPr>
              <w:jc w:val="both"/>
              <w:rPr>
                <w:sz w:val="20"/>
                <w:lang w:val="fr-CA"/>
              </w:rPr>
            </w:pPr>
            <w:r w:rsidRPr="00293EE1">
              <w:rPr>
                <w:sz w:val="20"/>
                <w:lang w:val="fr-CA"/>
              </w:rPr>
              <w:t>6 décembre 2016</w:t>
            </w:r>
          </w:p>
          <w:p w:rsidR="00F039E0" w:rsidRPr="00293EE1" w:rsidRDefault="00F039E0" w:rsidP="007F57BF">
            <w:pPr>
              <w:jc w:val="both"/>
              <w:rPr>
                <w:sz w:val="20"/>
                <w:lang w:val="fr-CA"/>
              </w:rPr>
            </w:pPr>
            <w:r w:rsidRPr="00293EE1">
              <w:rPr>
                <w:sz w:val="20"/>
                <w:lang w:val="fr-CA"/>
              </w:rPr>
              <w:t xml:space="preserve">Cour d’appel de l’Ontario </w:t>
            </w:r>
          </w:p>
          <w:p w:rsidR="00F039E0" w:rsidRPr="00293EE1" w:rsidRDefault="00F039E0" w:rsidP="007F57BF">
            <w:pPr>
              <w:jc w:val="both"/>
              <w:rPr>
                <w:sz w:val="20"/>
                <w:lang w:val="fr-CA"/>
              </w:rPr>
            </w:pPr>
            <w:r w:rsidRPr="00293EE1">
              <w:rPr>
                <w:sz w:val="20"/>
                <w:lang w:val="fr-CA"/>
              </w:rPr>
              <w:t xml:space="preserve">(Juges </w:t>
            </w:r>
            <w:proofErr w:type="spellStart"/>
            <w:r w:rsidRPr="00293EE1">
              <w:rPr>
                <w:sz w:val="20"/>
                <w:lang w:val="fr-CA"/>
              </w:rPr>
              <w:t>Laskin</w:t>
            </w:r>
            <w:proofErr w:type="spellEnd"/>
            <w:r w:rsidRPr="00293EE1">
              <w:rPr>
                <w:sz w:val="20"/>
                <w:lang w:val="fr-CA"/>
              </w:rPr>
              <w:t xml:space="preserve">, </w:t>
            </w:r>
            <w:proofErr w:type="spellStart"/>
            <w:r w:rsidRPr="00293EE1">
              <w:rPr>
                <w:sz w:val="20"/>
                <w:lang w:val="fr-CA"/>
              </w:rPr>
              <w:t>Pepall</w:t>
            </w:r>
            <w:proofErr w:type="spellEnd"/>
            <w:r w:rsidRPr="00293EE1">
              <w:rPr>
                <w:sz w:val="20"/>
                <w:lang w:val="fr-CA"/>
              </w:rPr>
              <w:t xml:space="preserve"> et Brown)</w:t>
            </w:r>
          </w:p>
          <w:p w:rsidR="00F039E0" w:rsidRPr="00293EE1" w:rsidRDefault="00B2512D" w:rsidP="007F57BF">
            <w:pPr>
              <w:jc w:val="both"/>
              <w:rPr>
                <w:sz w:val="20"/>
                <w:lang w:val="fr-CA"/>
              </w:rPr>
            </w:pPr>
            <w:hyperlink r:id="rId21" w:history="1">
              <w:r w:rsidR="00F039E0" w:rsidRPr="00293EE1">
                <w:rPr>
                  <w:rStyle w:val="Hyperlink"/>
                  <w:sz w:val="20"/>
                  <w:lang w:val="fr-CA"/>
                </w:rPr>
                <w:t>2016 ONCA 917</w:t>
              </w:r>
            </w:hyperlink>
          </w:p>
          <w:p w:rsidR="00F039E0" w:rsidRPr="00293EE1" w:rsidRDefault="00F039E0" w:rsidP="007F57BF">
            <w:pPr>
              <w:jc w:val="both"/>
              <w:rPr>
                <w:sz w:val="20"/>
                <w:lang w:val="fr-CA"/>
              </w:rPr>
            </w:pPr>
          </w:p>
        </w:tc>
        <w:tc>
          <w:tcPr>
            <w:tcW w:w="243" w:type="pct"/>
          </w:tcPr>
          <w:p w:rsidR="00F039E0" w:rsidRPr="00293EE1" w:rsidRDefault="00F039E0" w:rsidP="007F57BF">
            <w:pPr>
              <w:jc w:val="both"/>
              <w:rPr>
                <w:sz w:val="20"/>
                <w:lang w:val="fr-CA"/>
              </w:rPr>
            </w:pPr>
          </w:p>
        </w:tc>
        <w:tc>
          <w:tcPr>
            <w:tcW w:w="2330" w:type="pct"/>
          </w:tcPr>
          <w:p w:rsidR="00F039E0" w:rsidRPr="00293EE1" w:rsidRDefault="00F039E0" w:rsidP="007F57BF">
            <w:pPr>
              <w:jc w:val="both"/>
              <w:rPr>
                <w:sz w:val="20"/>
                <w:lang w:val="fr-CA"/>
              </w:rPr>
            </w:pPr>
            <w:r w:rsidRPr="00293EE1">
              <w:rPr>
                <w:sz w:val="20"/>
                <w:lang w:val="fr-CA"/>
              </w:rPr>
              <w:t>Rejet de l’appel</w:t>
            </w:r>
          </w:p>
          <w:p w:rsidR="00F039E0" w:rsidRPr="00293EE1" w:rsidRDefault="00F039E0" w:rsidP="007F57BF">
            <w:pPr>
              <w:jc w:val="both"/>
              <w:rPr>
                <w:sz w:val="20"/>
                <w:lang w:val="fr-CA"/>
              </w:rPr>
            </w:pPr>
          </w:p>
        </w:tc>
      </w:tr>
      <w:tr w:rsidR="00F039E0" w:rsidRPr="00B2512D" w:rsidTr="007F57BF">
        <w:tc>
          <w:tcPr>
            <w:tcW w:w="2427" w:type="pct"/>
            <w:gridSpan w:val="2"/>
          </w:tcPr>
          <w:p w:rsidR="00F039E0" w:rsidRPr="00293EE1" w:rsidRDefault="00F039E0" w:rsidP="007F57BF">
            <w:pPr>
              <w:jc w:val="both"/>
              <w:rPr>
                <w:sz w:val="20"/>
                <w:lang w:val="fr-CA"/>
              </w:rPr>
            </w:pPr>
            <w:r w:rsidRPr="00293EE1">
              <w:rPr>
                <w:sz w:val="20"/>
                <w:lang w:val="fr-CA"/>
              </w:rPr>
              <w:t>3 février 2017</w:t>
            </w:r>
          </w:p>
          <w:p w:rsidR="00F039E0" w:rsidRPr="00293EE1" w:rsidRDefault="00F039E0" w:rsidP="007F57BF">
            <w:pPr>
              <w:jc w:val="both"/>
              <w:rPr>
                <w:sz w:val="20"/>
                <w:lang w:val="fr-CA"/>
              </w:rPr>
            </w:pPr>
            <w:r w:rsidRPr="00293EE1">
              <w:rPr>
                <w:sz w:val="20"/>
                <w:lang w:val="fr-CA"/>
              </w:rPr>
              <w:t>Cour suprême du Canada</w:t>
            </w:r>
          </w:p>
        </w:tc>
        <w:tc>
          <w:tcPr>
            <w:tcW w:w="243" w:type="pct"/>
          </w:tcPr>
          <w:p w:rsidR="00F039E0" w:rsidRPr="00293EE1" w:rsidRDefault="00F039E0" w:rsidP="007F57BF">
            <w:pPr>
              <w:jc w:val="both"/>
              <w:rPr>
                <w:sz w:val="20"/>
                <w:lang w:val="fr-CA"/>
              </w:rPr>
            </w:pPr>
          </w:p>
        </w:tc>
        <w:tc>
          <w:tcPr>
            <w:tcW w:w="2330" w:type="pct"/>
          </w:tcPr>
          <w:p w:rsidR="00F039E0" w:rsidRPr="00293EE1" w:rsidRDefault="00F039E0" w:rsidP="007F57BF">
            <w:pPr>
              <w:jc w:val="both"/>
              <w:rPr>
                <w:sz w:val="20"/>
                <w:lang w:val="fr-CA"/>
              </w:rPr>
            </w:pPr>
            <w:r w:rsidRPr="00293EE1">
              <w:rPr>
                <w:sz w:val="20"/>
                <w:lang w:val="fr-CA"/>
              </w:rPr>
              <w:t>Dépôt de la demande d’autorisation d’appel</w:t>
            </w:r>
          </w:p>
          <w:p w:rsidR="00F039E0" w:rsidRPr="00293EE1" w:rsidRDefault="00F039E0" w:rsidP="007F57BF">
            <w:pPr>
              <w:jc w:val="both"/>
              <w:rPr>
                <w:sz w:val="20"/>
                <w:lang w:val="fr-CA"/>
              </w:rPr>
            </w:pPr>
          </w:p>
        </w:tc>
      </w:tr>
    </w:tbl>
    <w:p w:rsidR="00D72D79" w:rsidRPr="00293EE1" w:rsidRDefault="00B2512D" w:rsidP="00D72D79">
      <w:pPr>
        <w:jc w:val="both"/>
        <w:rPr>
          <w:rFonts w:cs="Times New Roman"/>
          <w:sz w:val="20"/>
          <w:szCs w:val="20"/>
          <w:lang w:val="fr-CA"/>
        </w:rPr>
      </w:pPr>
      <w:r>
        <w:rPr>
          <w:sz w:val="20"/>
          <w:szCs w:val="20"/>
        </w:rPr>
        <w:pict>
          <v:rect id="_x0000_i1044" style="width:2in;height:1pt" o:hrpct="0" o:hralign="center" o:hrstd="t" o:hrnoshade="t" o:hr="t" fillcolor="black [3213]" stroked="f"/>
        </w:pict>
      </w:r>
    </w:p>
    <w:p w:rsidR="00D72D79" w:rsidRPr="00293EE1" w:rsidRDefault="00D72D79" w:rsidP="00D72D79">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2D79" w:rsidRPr="00293EE1" w:rsidTr="00C92DD5">
        <w:tc>
          <w:tcPr>
            <w:tcW w:w="543" w:type="pct"/>
          </w:tcPr>
          <w:p w:rsidR="00D72D79" w:rsidRPr="00293EE1" w:rsidRDefault="00D72D79" w:rsidP="00C92DD5">
            <w:pPr>
              <w:jc w:val="both"/>
              <w:rPr>
                <w:rFonts w:cs="Times New Roman"/>
                <w:sz w:val="20"/>
                <w:szCs w:val="20"/>
              </w:rPr>
            </w:pPr>
            <w:r w:rsidRPr="00293EE1">
              <w:rPr>
                <w:rStyle w:val="SCCFileNumberChar"/>
                <w:sz w:val="20"/>
                <w:szCs w:val="20"/>
              </w:rPr>
              <w:t>37370</w:t>
            </w:r>
          </w:p>
        </w:tc>
        <w:tc>
          <w:tcPr>
            <w:tcW w:w="4457" w:type="pct"/>
          </w:tcPr>
          <w:p w:rsidR="00D72D79" w:rsidRPr="00293EE1" w:rsidRDefault="00D72D79" w:rsidP="00C92DD5">
            <w:pPr>
              <w:pStyle w:val="SCCLsocParty"/>
              <w:jc w:val="both"/>
              <w:rPr>
                <w:b/>
                <w:sz w:val="20"/>
                <w:szCs w:val="20"/>
              </w:rPr>
            </w:pPr>
            <w:proofErr w:type="spellStart"/>
            <w:r w:rsidRPr="00293EE1">
              <w:rPr>
                <w:b/>
                <w:sz w:val="20"/>
                <w:szCs w:val="20"/>
              </w:rPr>
              <w:t>Krassimir</w:t>
            </w:r>
            <w:proofErr w:type="spellEnd"/>
            <w:r w:rsidRPr="00293EE1">
              <w:rPr>
                <w:b/>
                <w:sz w:val="20"/>
                <w:szCs w:val="20"/>
              </w:rPr>
              <w:t xml:space="preserve"> D. </w:t>
            </w:r>
            <w:proofErr w:type="spellStart"/>
            <w:r w:rsidRPr="00293EE1">
              <w:rPr>
                <w:b/>
                <w:sz w:val="20"/>
                <w:szCs w:val="20"/>
              </w:rPr>
              <w:t>Naydenov</w:t>
            </w:r>
            <w:proofErr w:type="spellEnd"/>
            <w:r w:rsidRPr="00293EE1">
              <w:rPr>
                <w:b/>
                <w:sz w:val="20"/>
                <w:szCs w:val="20"/>
              </w:rPr>
              <w:t xml:space="preserve"> v. Commission des relations du travail, Syndicat du personnel professionnel de l’Université du Québec en Abitibi-Témiscamingue (SPPUQAT), Claude Fortin, Claude-Michel Bouchard, Lina Dallaire, Francine Tremblay and Yves Bergeron</w:t>
            </w:r>
          </w:p>
          <w:p w:rsidR="00D72D79" w:rsidRPr="00293EE1" w:rsidRDefault="00D72D79" w:rsidP="00C92DD5">
            <w:pPr>
              <w:jc w:val="both"/>
              <w:rPr>
                <w:rFonts w:cs="Times New Roman"/>
                <w:sz w:val="20"/>
                <w:szCs w:val="20"/>
              </w:rPr>
            </w:pPr>
            <w:r w:rsidRPr="00293EE1">
              <w:rPr>
                <w:rFonts w:cs="Times New Roman"/>
                <w:sz w:val="20"/>
                <w:szCs w:val="20"/>
              </w:rPr>
              <w:t>(Que.) (Civil) (By Leave)</w:t>
            </w:r>
          </w:p>
        </w:tc>
      </w:tr>
      <w:tr w:rsidR="00D72D79" w:rsidRPr="00293EE1" w:rsidTr="00C92DD5">
        <w:tc>
          <w:tcPr>
            <w:tcW w:w="543" w:type="pct"/>
          </w:tcPr>
          <w:p w:rsidR="00D72D79" w:rsidRPr="00293EE1" w:rsidRDefault="00D72D79" w:rsidP="00C92DD5">
            <w:pPr>
              <w:jc w:val="both"/>
              <w:rPr>
                <w:rStyle w:val="SCCFileNumberChar"/>
                <w:sz w:val="20"/>
                <w:szCs w:val="20"/>
              </w:rPr>
            </w:pPr>
            <w:r w:rsidRPr="00293EE1">
              <w:rPr>
                <w:rStyle w:val="SCCFileNumberChar"/>
                <w:sz w:val="20"/>
                <w:szCs w:val="20"/>
              </w:rPr>
              <w:t>Coram:</w:t>
            </w:r>
          </w:p>
        </w:tc>
        <w:tc>
          <w:tcPr>
            <w:tcW w:w="4457" w:type="pct"/>
          </w:tcPr>
          <w:p w:rsidR="00D72D79" w:rsidRPr="00293EE1" w:rsidRDefault="00AF05A8" w:rsidP="00C92DD5">
            <w:pPr>
              <w:pStyle w:val="SCCLsocParty"/>
              <w:jc w:val="both"/>
              <w:rPr>
                <w:sz w:val="20"/>
                <w:szCs w:val="20"/>
                <w:lang w:val="en-US"/>
              </w:rPr>
            </w:pPr>
            <w:proofErr w:type="spellStart"/>
            <w:r w:rsidRPr="00293EE1">
              <w:rPr>
                <w:sz w:val="20"/>
                <w:szCs w:val="20"/>
                <w:lang w:val="en-US"/>
              </w:rPr>
              <w:t>McLachlin</w:t>
            </w:r>
            <w:proofErr w:type="spellEnd"/>
            <w:r w:rsidRPr="00293EE1">
              <w:rPr>
                <w:sz w:val="20"/>
                <w:szCs w:val="20"/>
                <w:lang w:val="en-US"/>
              </w:rPr>
              <w:t xml:space="preserve"> C.J. and </w:t>
            </w:r>
            <w:proofErr w:type="spellStart"/>
            <w:r w:rsidRPr="00293EE1">
              <w:rPr>
                <w:sz w:val="20"/>
                <w:szCs w:val="20"/>
                <w:lang w:val="en-US"/>
              </w:rPr>
              <w:t>Abella</w:t>
            </w:r>
            <w:proofErr w:type="spellEnd"/>
            <w:r w:rsidRPr="00293EE1">
              <w:rPr>
                <w:sz w:val="20"/>
                <w:szCs w:val="20"/>
                <w:lang w:val="en-US"/>
              </w:rPr>
              <w:t xml:space="preserve">, </w:t>
            </w:r>
            <w:proofErr w:type="spellStart"/>
            <w:r w:rsidRPr="00293EE1">
              <w:rPr>
                <w:sz w:val="20"/>
                <w:szCs w:val="20"/>
                <w:lang w:val="en-US"/>
              </w:rPr>
              <w:t>Moldaver</w:t>
            </w:r>
            <w:proofErr w:type="spellEnd"/>
            <w:r w:rsidRPr="00293EE1">
              <w:rPr>
                <w:sz w:val="20"/>
                <w:szCs w:val="20"/>
                <w:lang w:val="en-US"/>
              </w:rPr>
              <w:t xml:space="preserve">, </w:t>
            </w:r>
            <w:proofErr w:type="spellStart"/>
            <w:r w:rsidRPr="00293EE1">
              <w:rPr>
                <w:sz w:val="20"/>
                <w:szCs w:val="20"/>
                <w:lang w:val="en-US"/>
              </w:rPr>
              <w:t>Karakatsanis</w:t>
            </w:r>
            <w:proofErr w:type="spellEnd"/>
            <w:r w:rsidRPr="00293EE1">
              <w:rPr>
                <w:sz w:val="20"/>
                <w:szCs w:val="20"/>
                <w:lang w:val="en-US"/>
              </w:rPr>
              <w:t xml:space="preserve">, Wagner, </w:t>
            </w:r>
            <w:proofErr w:type="spellStart"/>
            <w:r w:rsidRPr="00293EE1">
              <w:rPr>
                <w:sz w:val="20"/>
                <w:szCs w:val="20"/>
                <w:lang w:val="en-US"/>
              </w:rPr>
              <w:t>Gascon</w:t>
            </w:r>
            <w:proofErr w:type="spellEnd"/>
            <w:r w:rsidRPr="00293EE1">
              <w:rPr>
                <w:sz w:val="20"/>
                <w:szCs w:val="20"/>
                <w:lang w:val="en-US"/>
              </w:rPr>
              <w:t xml:space="preserve">, </w:t>
            </w:r>
            <w:proofErr w:type="spellStart"/>
            <w:r w:rsidRPr="00293EE1">
              <w:rPr>
                <w:sz w:val="20"/>
                <w:szCs w:val="20"/>
                <w:lang w:val="en-US"/>
              </w:rPr>
              <w:t>Côté</w:t>
            </w:r>
            <w:proofErr w:type="spellEnd"/>
            <w:r w:rsidRPr="00293EE1">
              <w:rPr>
                <w:sz w:val="20"/>
                <w:szCs w:val="20"/>
                <w:lang w:val="en-US"/>
              </w:rPr>
              <w:t>, Brown and Rowe JJ.</w:t>
            </w:r>
          </w:p>
        </w:tc>
      </w:tr>
      <w:tr w:rsidR="00D72D79" w:rsidRPr="00293EE1" w:rsidTr="00D72D79">
        <w:tc>
          <w:tcPr>
            <w:tcW w:w="5000" w:type="pct"/>
            <w:gridSpan w:val="2"/>
          </w:tcPr>
          <w:p w:rsidR="00D72D79" w:rsidRPr="00293EE1" w:rsidRDefault="00AF05A8" w:rsidP="00C92DD5">
            <w:pPr>
              <w:pStyle w:val="SCCLsocParty"/>
              <w:jc w:val="both"/>
              <w:rPr>
                <w:sz w:val="20"/>
                <w:szCs w:val="20"/>
                <w:lang w:val="en-US"/>
              </w:rPr>
            </w:pPr>
            <w:r w:rsidRPr="00293EE1">
              <w:rPr>
                <w:sz w:val="20"/>
                <w:szCs w:val="20"/>
                <w:lang w:val="en-US"/>
              </w:rPr>
              <w:t xml:space="preserve">The motion for an extension of time to serve and file the reply and the motion to file a lengthy reply are granted. The application for leave to appeal from the judgment of the Court of Appeal of Quebec (Montréal), Number 500-09-026318-162, 2016 QCCA 1851, dated November 2, 2016, is dismissed with costs to the respondents, the </w:t>
            </w:r>
            <w:proofErr w:type="spellStart"/>
            <w:r w:rsidRPr="00293EE1">
              <w:rPr>
                <w:sz w:val="20"/>
                <w:szCs w:val="20"/>
                <w:lang w:val="en-US"/>
              </w:rPr>
              <w:t>Syndicat</w:t>
            </w:r>
            <w:proofErr w:type="spellEnd"/>
            <w:r w:rsidRPr="00293EE1">
              <w:rPr>
                <w:sz w:val="20"/>
                <w:szCs w:val="20"/>
                <w:lang w:val="en-US"/>
              </w:rPr>
              <w:t xml:space="preserve"> du personnel </w:t>
            </w:r>
            <w:proofErr w:type="spellStart"/>
            <w:r w:rsidRPr="00293EE1">
              <w:rPr>
                <w:sz w:val="20"/>
                <w:szCs w:val="20"/>
                <w:lang w:val="en-US"/>
              </w:rPr>
              <w:t>professionnel</w:t>
            </w:r>
            <w:proofErr w:type="spellEnd"/>
            <w:r w:rsidRPr="00293EE1">
              <w:rPr>
                <w:sz w:val="20"/>
                <w:szCs w:val="20"/>
                <w:lang w:val="en-US"/>
              </w:rPr>
              <w:t xml:space="preserve"> de </w:t>
            </w:r>
            <w:proofErr w:type="spellStart"/>
            <w:r w:rsidRPr="00293EE1">
              <w:rPr>
                <w:sz w:val="20"/>
                <w:szCs w:val="20"/>
                <w:lang w:val="en-US"/>
              </w:rPr>
              <w:t>l’Université</w:t>
            </w:r>
            <w:proofErr w:type="spellEnd"/>
            <w:r w:rsidRPr="00293EE1">
              <w:rPr>
                <w:sz w:val="20"/>
                <w:szCs w:val="20"/>
                <w:lang w:val="en-US"/>
              </w:rPr>
              <w:t xml:space="preserve"> du Québec </w:t>
            </w:r>
            <w:proofErr w:type="spellStart"/>
            <w:r w:rsidRPr="00293EE1">
              <w:rPr>
                <w:sz w:val="20"/>
                <w:szCs w:val="20"/>
                <w:lang w:val="en-US"/>
              </w:rPr>
              <w:t>en</w:t>
            </w:r>
            <w:proofErr w:type="spellEnd"/>
            <w:r w:rsidRPr="00293EE1">
              <w:rPr>
                <w:sz w:val="20"/>
                <w:szCs w:val="20"/>
                <w:lang w:val="en-US"/>
              </w:rPr>
              <w:t xml:space="preserve"> Abitibi-</w:t>
            </w:r>
            <w:proofErr w:type="spellStart"/>
            <w:r w:rsidRPr="00293EE1">
              <w:rPr>
                <w:sz w:val="20"/>
                <w:szCs w:val="20"/>
                <w:lang w:val="en-US"/>
              </w:rPr>
              <w:t>Témiscamingue</w:t>
            </w:r>
            <w:proofErr w:type="spellEnd"/>
            <w:r w:rsidRPr="00293EE1">
              <w:rPr>
                <w:sz w:val="20"/>
                <w:szCs w:val="20"/>
                <w:lang w:val="en-US"/>
              </w:rPr>
              <w:t xml:space="preserve"> (SPPUQAT), Claude Fortin and Claude-Michel Bouchard.</w:t>
            </w:r>
          </w:p>
          <w:p w:rsidR="00AF05A8" w:rsidRPr="00293EE1" w:rsidRDefault="00AF05A8" w:rsidP="00AF05A8">
            <w:pPr>
              <w:rPr>
                <w:lang w:val="en-US"/>
              </w:rPr>
            </w:pPr>
          </w:p>
        </w:tc>
      </w:tr>
    </w:tbl>
    <w:p w:rsidR="00016C13" w:rsidRPr="00293EE1" w:rsidRDefault="00016C13">
      <w:r w:rsidRPr="00293EE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2D79" w:rsidRPr="00293EE1" w:rsidTr="00C92DD5">
        <w:tc>
          <w:tcPr>
            <w:tcW w:w="5000" w:type="pct"/>
            <w:gridSpan w:val="3"/>
          </w:tcPr>
          <w:p w:rsidR="00D72D79" w:rsidRPr="00293EE1" w:rsidRDefault="00D72D79" w:rsidP="00C92DD5">
            <w:pPr>
              <w:jc w:val="both"/>
              <w:rPr>
                <w:rFonts w:cs="Times New Roman"/>
                <w:sz w:val="20"/>
                <w:szCs w:val="20"/>
              </w:rPr>
            </w:pPr>
            <w:r w:rsidRPr="00293EE1">
              <w:rPr>
                <w:rFonts w:cs="Times New Roman"/>
                <w:sz w:val="20"/>
                <w:szCs w:val="20"/>
              </w:rPr>
              <w:lastRenderedPageBreak/>
              <w:t>Labour relations – Civil procedure – Union – Preliminary exceptions to dismiss – Claim for damages dismissed – Abuse of process – Commission des relations du travail – Whether Court of Appeal erred in denying leave to appeal out of time – Whether application for leave to appeal raises questions of public importance.</w:t>
            </w:r>
          </w:p>
          <w:p w:rsidR="00D72D79" w:rsidRPr="00293EE1" w:rsidRDefault="00D72D79" w:rsidP="00C92DD5">
            <w:pPr>
              <w:jc w:val="both"/>
              <w:rPr>
                <w:rFonts w:cs="Times New Roman"/>
                <w:sz w:val="20"/>
                <w:szCs w:val="20"/>
              </w:rPr>
            </w:pPr>
          </w:p>
        </w:tc>
      </w:tr>
      <w:tr w:rsidR="00D72D79" w:rsidRPr="00293EE1" w:rsidTr="00C92DD5">
        <w:tc>
          <w:tcPr>
            <w:tcW w:w="5000" w:type="pct"/>
            <w:gridSpan w:val="3"/>
          </w:tcPr>
          <w:p w:rsidR="00D72D79" w:rsidRPr="00293EE1" w:rsidRDefault="00D72D79" w:rsidP="00C92DD5">
            <w:pPr>
              <w:jc w:val="both"/>
              <w:rPr>
                <w:rFonts w:cs="Times New Roman"/>
                <w:sz w:val="20"/>
                <w:szCs w:val="20"/>
              </w:rPr>
            </w:pPr>
            <w:r w:rsidRPr="00293EE1">
              <w:rPr>
                <w:rFonts w:cs="Times New Roman"/>
                <w:sz w:val="20"/>
                <w:szCs w:val="20"/>
              </w:rPr>
              <w:t xml:space="preserve">A complaint was filed late with the Commission des relations du travail (Commission) by </w:t>
            </w:r>
            <w:proofErr w:type="spellStart"/>
            <w:r w:rsidRPr="00293EE1">
              <w:rPr>
                <w:rFonts w:cs="Times New Roman"/>
                <w:sz w:val="20"/>
                <w:szCs w:val="20"/>
              </w:rPr>
              <w:t>Krassimir</w:t>
            </w:r>
            <w:proofErr w:type="spellEnd"/>
            <w:r w:rsidRPr="00293EE1">
              <w:rPr>
                <w:rFonts w:cs="Times New Roman"/>
                <w:sz w:val="20"/>
                <w:szCs w:val="20"/>
              </w:rPr>
              <w:t xml:space="preserve"> </w:t>
            </w:r>
            <w:proofErr w:type="spellStart"/>
            <w:r w:rsidRPr="00293EE1">
              <w:rPr>
                <w:rFonts w:cs="Times New Roman"/>
                <w:sz w:val="20"/>
                <w:szCs w:val="20"/>
              </w:rPr>
              <w:t>Naydenov</w:t>
            </w:r>
            <w:proofErr w:type="spellEnd"/>
            <w:r w:rsidRPr="00293EE1">
              <w:rPr>
                <w:rFonts w:cs="Times New Roman"/>
                <w:sz w:val="20"/>
                <w:szCs w:val="20"/>
              </w:rPr>
              <w:t xml:space="preserve">, who alleged that the </w:t>
            </w:r>
            <w:proofErr w:type="spellStart"/>
            <w:r w:rsidRPr="00293EE1">
              <w:rPr>
                <w:rFonts w:cs="Times New Roman"/>
                <w:sz w:val="20"/>
                <w:szCs w:val="20"/>
              </w:rPr>
              <w:t>Syndicat</w:t>
            </w:r>
            <w:proofErr w:type="spellEnd"/>
            <w:r w:rsidRPr="00293EE1">
              <w:rPr>
                <w:rFonts w:cs="Times New Roman"/>
                <w:sz w:val="20"/>
                <w:szCs w:val="20"/>
              </w:rPr>
              <w:t xml:space="preserve"> du personnel </w:t>
            </w:r>
            <w:proofErr w:type="spellStart"/>
            <w:r w:rsidRPr="00293EE1">
              <w:rPr>
                <w:rFonts w:cs="Times New Roman"/>
                <w:sz w:val="20"/>
                <w:szCs w:val="20"/>
              </w:rPr>
              <w:t>professionnel</w:t>
            </w:r>
            <w:proofErr w:type="spellEnd"/>
            <w:r w:rsidRPr="00293EE1">
              <w:rPr>
                <w:rFonts w:cs="Times New Roman"/>
                <w:sz w:val="20"/>
                <w:szCs w:val="20"/>
              </w:rPr>
              <w:t xml:space="preserve"> de </w:t>
            </w:r>
            <w:proofErr w:type="spellStart"/>
            <w:r w:rsidRPr="00293EE1">
              <w:rPr>
                <w:rFonts w:cs="Times New Roman"/>
                <w:sz w:val="20"/>
                <w:szCs w:val="20"/>
              </w:rPr>
              <w:t>l’Université</w:t>
            </w:r>
            <w:proofErr w:type="spellEnd"/>
            <w:r w:rsidRPr="00293EE1">
              <w:rPr>
                <w:rFonts w:cs="Times New Roman"/>
                <w:sz w:val="20"/>
                <w:szCs w:val="20"/>
              </w:rPr>
              <w:t xml:space="preserve"> du Québec </w:t>
            </w:r>
            <w:proofErr w:type="spellStart"/>
            <w:r w:rsidRPr="00293EE1">
              <w:rPr>
                <w:rFonts w:cs="Times New Roman"/>
                <w:sz w:val="20"/>
                <w:szCs w:val="20"/>
              </w:rPr>
              <w:t>en</w:t>
            </w:r>
            <w:proofErr w:type="spellEnd"/>
            <w:r w:rsidRPr="00293EE1">
              <w:rPr>
                <w:rFonts w:cs="Times New Roman"/>
                <w:sz w:val="20"/>
                <w:szCs w:val="20"/>
              </w:rPr>
              <w:t xml:space="preserve"> Abitibi</w:t>
            </w:r>
            <w:r w:rsidRPr="00293EE1">
              <w:rPr>
                <w:rFonts w:cs="Times New Roman"/>
                <w:sz w:val="20"/>
                <w:szCs w:val="20"/>
              </w:rPr>
              <w:noBreakHyphen/>
            </w:r>
            <w:proofErr w:type="spellStart"/>
            <w:r w:rsidRPr="00293EE1">
              <w:rPr>
                <w:rFonts w:cs="Times New Roman"/>
                <w:sz w:val="20"/>
                <w:szCs w:val="20"/>
              </w:rPr>
              <w:t>Témiscamingue</w:t>
            </w:r>
            <w:proofErr w:type="spellEnd"/>
            <w:r w:rsidRPr="00293EE1">
              <w:rPr>
                <w:rFonts w:cs="Times New Roman"/>
                <w:sz w:val="20"/>
                <w:szCs w:val="20"/>
              </w:rPr>
              <w:t xml:space="preserve"> had breached its duty of representation by ignoring a complaint he had allegedly made. The </w:t>
            </w:r>
            <w:proofErr w:type="spellStart"/>
            <w:r w:rsidRPr="00293EE1">
              <w:rPr>
                <w:rFonts w:cs="Times New Roman"/>
                <w:sz w:val="20"/>
                <w:szCs w:val="20"/>
              </w:rPr>
              <w:t>Syndicat</w:t>
            </w:r>
            <w:proofErr w:type="spellEnd"/>
            <w:r w:rsidRPr="00293EE1">
              <w:rPr>
                <w:rFonts w:cs="Times New Roman"/>
                <w:sz w:val="20"/>
                <w:szCs w:val="20"/>
              </w:rPr>
              <w:t xml:space="preserve"> brought a motion to dismiss. The Commission dismissed Mr. </w:t>
            </w:r>
            <w:proofErr w:type="spellStart"/>
            <w:r w:rsidRPr="00293EE1">
              <w:rPr>
                <w:rFonts w:cs="Times New Roman"/>
                <w:sz w:val="20"/>
                <w:szCs w:val="20"/>
              </w:rPr>
              <w:t>Naydenov’s</w:t>
            </w:r>
            <w:proofErr w:type="spellEnd"/>
            <w:r w:rsidRPr="00293EE1">
              <w:rPr>
                <w:rFonts w:cs="Times New Roman"/>
                <w:sz w:val="20"/>
                <w:szCs w:val="20"/>
              </w:rPr>
              <w:t xml:space="preserve"> complaint. The Superior Court held that Mr. </w:t>
            </w:r>
            <w:proofErr w:type="spellStart"/>
            <w:r w:rsidRPr="00293EE1">
              <w:rPr>
                <w:rFonts w:cs="Times New Roman"/>
                <w:sz w:val="20"/>
                <w:szCs w:val="20"/>
              </w:rPr>
              <w:t>Naydenov’s</w:t>
            </w:r>
            <w:proofErr w:type="spellEnd"/>
            <w:r w:rsidRPr="00293EE1">
              <w:rPr>
                <w:rFonts w:cs="Times New Roman"/>
                <w:sz w:val="20"/>
                <w:szCs w:val="20"/>
              </w:rPr>
              <w:t xml:space="preserve"> claim was unfounded. The Court of Appeal denied leave to appeal.</w:t>
            </w:r>
          </w:p>
        </w:tc>
      </w:tr>
      <w:tr w:rsidR="00D72D79" w:rsidRPr="00293EE1" w:rsidTr="00C92DD5">
        <w:tc>
          <w:tcPr>
            <w:tcW w:w="5000" w:type="pct"/>
            <w:gridSpan w:val="3"/>
          </w:tcPr>
          <w:p w:rsidR="00D72D79" w:rsidRPr="00293EE1" w:rsidRDefault="00D72D79" w:rsidP="00C92DD5">
            <w:pPr>
              <w:jc w:val="both"/>
              <w:rPr>
                <w:rFonts w:cs="Times New Roman"/>
                <w:sz w:val="20"/>
                <w:szCs w:val="20"/>
              </w:rPr>
            </w:pPr>
          </w:p>
        </w:tc>
      </w:tr>
      <w:tr w:rsidR="00D72D79" w:rsidRPr="00293EE1" w:rsidTr="00C92DD5">
        <w:tc>
          <w:tcPr>
            <w:tcW w:w="2427" w:type="pct"/>
          </w:tcPr>
          <w:p w:rsidR="00D72D79" w:rsidRPr="00293EE1" w:rsidRDefault="00D72D79" w:rsidP="00C92DD5">
            <w:pPr>
              <w:jc w:val="both"/>
              <w:rPr>
                <w:rFonts w:cs="Times New Roman"/>
                <w:sz w:val="20"/>
                <w:szCs w:val="20"/>
                <w:lang w:val="fr-CA"/>
              </w:rPr>
            </w:pPr>
            <w:proofErr w:type="spellStart"/>
            <w:r w:rsidRPr="00293EE1">
              <w:rPr>
                <w:rFonts w:cs="Times New Roman"/>
                <w:sz w:val="20"/>
                <w:szCs w:val="20"/>
                <w:lang w:val="fr-CA"/>
              </w:rPr>
              <w:t>October</w:t>
            </w:r>
            <w:proofErr w:type="spellEnd"/>
            <w:r w:rsidRPr="00293EE1">
              <w:rPr>
                <w:rFonts w:cs="Times New Roman"/>
                <w:sz w:val="20"/>
                <w:szCs w:val="20"/>
                <w:lang w:val="fr-CA"/>
              </w:rPr>
              <w:t xml:space="preserve"> 16, 2015</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Commission des relations du travail</w:t>
            </w:r>
          </w:p>
          <w:p w:rsidR="00D72D79" w:rsidRPr="00293EE1" w:rsidRDefault="00D72D79" w:rsidP="00C92DD5">
            <w:pPr>
              <w:jc w:val="both"/>
              <w:rPr>
                <w:rFonts w:cs="Times New Roman"/>
                <w:sz w:val="20"/>
                <w:szCs w:val="20"/>
              </w:rPr>
            </w:pPr>
            <w:r w:rsidRPr="00293EE1">
              <w:rPr>
                <w:rFonts w:cs="Times New Roman"/>
                <w:sz w:val="20"/>
                <w:szCs w:val="20"/>
              </w:rPr>
              <w:t xml:space="preserve">(Commissioner </w:t>
            </w:r>
            <w:proofErr w:type="spellStart"/>
            <w:r w:rsidRPr="00293EE1">
              <w:rPr>
                <w:rFonts w:cs="Times New Roman"/>
                <w:sz w:val="20"/>
                <w:szCs w:val="20"/>
              </w:rPr>
              <w:t>Bailly</w:t>
            </w:r>
            <w:proofErr w:type="spellEnd"/>
            <w:r w:rsidRPr="00293EE1">
              <w:rPr>
                <w:rFonts w:cs="Times New Roman"/>
                <w:sz w:val="20"/>
                <w:szCs w:val="20"/>
              </w:rPr>
              <w:t>)</w:t>
            </w:r>
          </w:p>
          <w:p w:rsidR="00D72D79" w:rsidRPr="00293EE1" w:rsidRDefault="00D72D79" w:rsidP="00C92DD5">
            <w:pPr>
              <w:jc w:val="both"/>
              <w:rPr>
                <w:rFonts w:cs="Times New Roman"/>
                <w:sz w:val="20"/>
                <w:szCs w:val="20"/>
              </w:rPr>
            </w:pPr>
            <w:r w:rsidRPr="00293EE1">
              <w:rPr>
                <w:rFonts w:cs="Times New Roman"/>
                <w:sz w:val="20"/>
                <w:szCs w:val="20"/>
              </w:rPr>
              <w:t>2015 QCCRT 0541</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Complaint dismissed</w:t>
            </w:r>
          </w:p>
          <w:p w:rsidR="00D72D79" w:rsidRPr="00293EE1" w:rsidRDefault="00D72D79" w:rsidP="00C92DD5">
            <w:pPr>
              <w:jc w:val="both"/>
              <w:rPr>
                <w:rFonts w:cs="Times New Roman"/>
                <w:sz w:val="20"/>
                <w:szCs w:val="20"/>
              </w:rPr>
            </w:pPr>
          </w:p>
        </w:tc>
      </w:tr>
      <w:tr w:rsidR="00D72D79" w:rsidRPr="00293EE1" w:rsidTr="00C92DD5">
        <w:tc>
          <w:tcPr>
            <w:tcW w:w="2427" w:type="pct"/>
          </w:tcPr>
          <w:p w:rsidR="00D72D79" w:rsidRPr="00293EE1" w:rsidRDefault="00D72D79" w:rsidP="00C92DD5">
            <w:pPr>
              <w:jc w:val="both"/>
              <w:rPr>
                <w:rFonts w:cs="Times New Roman"/>
                <w:sz w:val="20"/>
                <w:szCs w:val="20"/>
              </w:rPr>
            </w:pPr>
            <w:r w:rsidRPr="00293EE1">
              <w:rPr>
                <w:rFonts w:cs="Times New Roman"/>
                <w:sz w:val="20"/>
                <w:szCs w:val="20"/>
              </w:rPr>
              <w:t>July 6, 2016</w:t>
            </w:r>
          </w:p>
          <w:p w:rsidR="00D72D79" w:rsidRPr="00293EE1" w:rsidRDefault="00D72D79" w:rsidP="00C92DD5">
            <w:pPr>
              <w:jc w:val="both"/>
              <w:rPr>
                <w:rFonts w:cs="Times New Roman"/>
                <w:sz w:val="20"/>
                <w:szCs w:val="20"/>
              </w:rPr>
            </w:pPr>
            <w:r w:rsidRPr="00293EE1">
              <w:rPr>
                <w:rFonts w:cs="Times New Roman"/>
                <w:sz w:val="20"/>
                <w:szCs w:val="20"/>
              </w:rPr>
              <w:t>Quebec Superior Court</w:t>
            </w:r>
          </w:p>
          <w:p w:rsidR="00D72D79" w:rsidRPr="00293EE1" w:rsidRDefault="00D72D79" w:rsidP="00C92DD5">
            <w:pPr>
              <w:jc w:val="both"/>
              <w:rPr>
                <w:rFonts w:cs="Times New Roman"/>
                <w:sz w:val="20"/>
                <w:szCs w:val="20"/>
              </w:rPr>
            </w:pPr>
            <w:r w:rsidRPr="00293EE1">
              <w:rPr>
                <w:rFonts w:cs="Times New Roman"/>
                <w:sz w:val="20"/>
                <w:szCs w:val="20"/>
              </w:rPr>
              <w:t>(</w:t>
            </w:r>
            <w:proofErr w:type="spellStart"/>
            <w:r w:rsidRPr="00293EE1">
              <w:rPr>
                <w:rFonts w:cs="Times New Roman"/>
                <w:sz w:val="20"/>
                <w:szCs w:val="20"/>
              </w:rPr>
              <w:t>Déziel</w:t>
            </w:r>
            <w:proofErr w:type="spellEnd"/>
            <w:r w:rsidRPr="00293EE1">
              <w:rPr>
                <w:rFonts w:cs="Times New Roman"/>
                <w:sz w:val="20"/>
                <w:szCs w:val="20"/>
              </w:rPr>
              <w:t xml:space="preserve"> J.)</w:t>
            </w:r>
          </w:p>
          <w:p w:rsidR="00D72D79" w:rsidRPr="00293EE1" w:rsidRDefault="00D72D79" w:rsidP="00C92DD5">
            <w:pPr>
              <w:jc w:val="both"/>
              <w:rPr>
                <w:rFonts w:cs="Times New Roman"/>
                <w:sz w:val="20"/>
                <w:szCs w:val="20"/>
              </w:rPr>
            </w:pPr>
            <w:r w:rsidRPr="00293EE1">
              <w:rPr>
                <w:rFonts w:cs="Times New Roman"/>
                <w:sz w:val="20"/>
                <w:szCs w:val="20"/>
              </w:rPr>
              <w:t xml:space="preserve">2016 QCCS 3213 </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Motion to dismiss allowed; claim for damages dismissed</w:t>
            </w:r>
          </w:p>
          <w:p w:rsidR="00D72D79" w:rsidRPr="00293EE1" w:rsidRDefault="00D72D79" w:rsidP="00C92DD5">
            <w:pPr>
              <w:jc w:val="both"/>
              <w:rPr>
                <w:rFonts w:cs="Times New Roman"/>
                <w:sz w:val="20"/>
                <w:szCs w:val="20"/>
              </w:rPr>
            </w:pPr>
          </w:p>
        </w:tc>
      </w:tr>
      <w:tr w:rsidR="00D72D79" w:rsidRPr="00293EE1" w:rsidTr="00C92DD5">
        <w:tc>
          <w:tcPr>
            <w:tcW w:w="2427" w:type="pct"/>
          </w:tcPr>
          <w:p w:rsidR="00D72D79" w:rsidRPr="00293EE1" w:rsidRDefault="00D72D79" w:rsidP="00C92DD5">
            <w:pPr>
              <w:jc w:val="both"/>
              <w:rPr>
                <w:rFonts w:cs="Times New Roman"/>
                <w:sz w:val="20"/>
                <w:szCs w:val="20"/>
              </w:rPr>
            </w:pPr>
            <w:r w:rsidRPr="00293EE1">
              <w:rPr>
                <w:rFonts w:cs="Times New Roman"/>
                <w:sz w:val="20"/>
                <w:szCs w:val="20"/>
              </w:rPr>
              <w:t>November 2, 2016</w:t>
            </w:r>
          </w:p>
          <w:p w:rsidR="00D72D79" w:rsidRPr="00293EE1" w:rsidRDefault="00D72D79" w:rsidP="00C92DD5">
            <w:pPr>
              <w:jc w:val="both"/>
              <w:rPr>
                <w:rFonts w:cs="Times New Roman"/>
                <w:sz w:val="20"/>
                <w:szCs w:val="20"/>
              </w:rPr>
            </w:pPr>
            <w:r w:rsidRPr="00293EE1">
              <w:rPr>
                <w:rFonts w:cs="Times New Roman"/>
                <w:sz w:val="20"/>
                <w:szCs w:val="20"/>
              </w:rPr>
              <w:t>Quebec Court of Appeal (Montréal)</w:t>
            </w:r>
          </w:p>
          <w:p w:rsidR="00D72D79" w:rsidRPr="00293EE1" w:rsidRDefault="00D72D79" w:rsidP="00C92DD5">
            <w:pPr>
              <w:jc w:val="both"/>
              <w:rPr>
                <w:rFonts w:cs="Times New Roman"/>
                <w:sz w:val="20"/>
                <w:szCs w:val="20"/>
              </w:rPr>
            </w:pPr>
            <w:r w:rsidRPr="00293EE1">
              <w:rPr>
                <w:rFonts w:cs="Times New Roman"/>
                <w:sz w:val="20"/>
                <w:szCs w:val="20"/>
              </w:rPr>
              <w:t>(</w:t>
            </w:r>
            <w:proofErr w:type="spellStart"/>
            <w:r w:rsidRPr="00293EE1">
              <w:rPr>
                <w:rFonts w:cs="Times New Roman"/>
                <w:sz w:val="20"/>
                <w:szCs w:val="20"/>
              </w:rPr>
              <w:t>Chamberland</w:t>
            </w:r>
            <w:proofErr w:type="spellEnd"/>
            <w:r w:rsidRPr="00293EE1">
              <w:rPr>
                <w:rFonts w:cs="Times New Roman"/>
                <w:sz w:val="20"/>
                <w:szCs w:val="20"/>
              </w:rPr>
              <w:t xml:space="preserve">, </w:t>
            </w:r>
            <w:proofErr w:type="spellStart"/>
            <w:r w:rsidRPr="00293EE1">
              <w:rPr>
                <w:rFonts w:cs="Times New Roman"/>
                <w:sz w:val="20"/>
                <w:szCs w:val="20"/>
              </w:rPr>
              <w:t>Bélanger</w:t>
            </w:r>
            <w:proofErr w:type="spellEnd"/>
            <w:r w:rsidRPr="00293EE1">
              <w:rPr>
                <w:rFonts w:cs="Times New Roman"/>
                <w:sz w:val="20"/>
                <w:szCs w:val="20"/>
              </w:rPr>
              <w:t xml:space="preserve"> and Hogue JJ.A.)</w:t>
            </w:r>
          </w:p>
          <w:p w:rsidR="00D72D79" w:rsidRPr="00293EE1" w:rsidRDefault="00D72D79" w:rsidP="00C92DD5">
            <w:pPr>
              <w:jc w:val="both"/>
              <w:rPr>
                <w:rFonts w:cs="Times New Roman"/>
                <w:sz w:val="20"/>
                <w:szCs w:val="20"/>
              </w:rPr>
            </w:pPr>
            <w:r w:rsidRPr="00293EE1">
              <w:rPr>
                <w:rFonts w:cs="Times New Roman"/>
                <w:sz w:val="20"/>
                <w:szCs w:val="20"/>
              </w:rPr>
              <w:t>2016 QCCA 1851</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Motion for leave to appeal out of time dismissed</w:t>
            </w:r>
          </w:p>
          <w:p w:rsidR="00D72D79" w:rsidRPr="00293EE1" w:rsidRDefault="00D72D79" w:rsidP="00C92DD5">
            <w:pPr>
              <w:jc w:val="both"/>
              <w:rPr>
                <w:rFonts w:cs="Times New Roman"/>
                <w:sz w:val="20"/>
                <w:szCs w:val="20"/>
              </w:rPr>
            </w:pPr>
          </w:p>
        </w:tc>
      </w:tr>
      <w:tr w:rsidR="00D72D79" w:rsidRPr="00293EE1" w:rsidTr="00C92DD5">
        <w:tc>
          <w:tcPr>
            <w:tcW w:w="2427" w:type="pct"/>
          </w:tcPr>
          <w:p w:rsidR="00D72D79" w:rsidRPr="00293EE1" w:rsidRDefault="00D72D79" w:rsidP="00C92DD5">
            <w:pPr>
              <w:jc w:val="both"/>
              <w:rPr>
                <w:rFonts w:cs="Times New Roman"/>
                <w:sz w:val="20"/>
                <w:szCs w:val="20"/>
              </w:rPr>
            </w:pPr>
            <w:r w:rsidRPr="00293EE1">
              <w:rPr>
                <w:rFonts w:cs="Times New Roman"/>
                <w:sz w:val="20"/>
                <w:szCs w:val="20"/>
              </w:rPr>
              <w:t>December 20, 2016</w:t>
            </w:r>
          </w:p>
          <w:p w:rsidR="00D72D79" w:rsidRPr="00293EE1" w:rsidRDefault="00D72D79" w:rsidP="00C92DD5">
            <w:pPr>
              <w:jc w:val="both"/>
              <w:rPr>
                <w:rFonts w:cs="Times New Roman"/>
                <w:sz w:val="20"/>
                <w:szCs w:val="20"/>
              </w:rPr>
            </w:pPr>
            <w:r w:rsidRPr="00293EE1">
              <w:rPr>
                <w:rFonts w:cs="Times New Roman"/>
                <w:sz w:val="20"/>
                <w:szCs w:val="20"/>
              </w:rPr>
              <w:t>Supreme Court of Canada</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Application for leave to appeal filed</w:t>
            </w:r>
          </w:p>
          <w:p w:rsidR="00D72D79" w:rsidRPr="00293EE1" w:rsidRDefault="00D72D79" w:rsidP="00C92DD5">
            <w:pPr>
              <w:jc w:val="both"/>
              <w:rPr>
                <w:rFonts w:cs="Times New Roman"/>
                <w:sz w:val="20"/>
                <w:szCs w:val="20"/>
              </w:rPr>
            </w:pPr>
          </w:p>
        </w:tc>
      </w:tr>
      <w:tr w:rsidR="00D72D79" w:rsidRPr="00293EE1" w:rsidTr="00C92DD5">
        <w:tc>
          <w:tcPr>
            <w:tcW w:w="2427" w:type="pct"/>
          </w:tcPr>
          <w:p w:rsidR="00D72D79" w:rsidRPr="00293EE1" w:rsidRDefault="00D72D79" w:rsidP="00C92DD5">
            <w:pPr>
              <w:jc w:val="both"/>
              <w:rPr>
                <w:rFonts w:cs="Times New Roman"/>
                <w:sz w:val="20"/>
                <w:szCs w:val="20"/>
              </w:rPr>
            </w:pPr>
            <w:r w:rsidRPr="00293EE1">
              <w:rPr>
                <w:rFonts w:cs="Times New Roman"/>
                <w:sz w:val="20"/>
                <w:szCs w:val="20"/>
              </w:rPr>
              <w:t>March 22, 2017</w:t>
            </w:r>
          </w:p>
          <w:p w:rsidR="00D72D79" w:rsidRPr="00293EE1" w:rsidRDefault="00D72D79" w:rsidP="00C92DD5">
            <w:pPr>
              <w:jc w:val="both"/>
              <w:rPr>
                <w:rFonts w:cs="Times New Roman"/>
                <w:sz w:val="20"/>
                <w:szCs w:val="20"/>
              </w:rPr>
            </w:pPr>
            <w:r w:rsidRPr="00293EE1">
              <w:rPr>
                <w:rFonts w:cs="Times New Roman"/>
                <w:sz w:val="20"/>
                <w:szCs w:val="20"/>
              </w:rPr>
              <w:t>Supreme Court of Canada</w:t>
            </w: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 xml:space="preserve">Motion to extend time to file and serve reply and motion to file lengthy reply memorandum of argument filed </w:t>
            </w:r>
          </w:p>
        </w:tc>
      </w:tr>
    </w:tbl>
    <w:p w:rsidR="00D72D79" w:rsidRPr="00293EE1" w:rsidRDefault="00B2512D" w:rsidP="00D72D79">
      <w:pPr>
        <w:jc w:val="both"/>
        <w:rPr>
          <w:rFonts w:cs="Times New Roman"/>
          <w:sz w:val="20"/>
          <w:szCs w:val="20"/>
        </w:rPr>
      </w:pPr>
      <w:r>
        <w:rPr>
          <w:sz w:val="20"/>
          <w:szCs w:val="20"/>
        </w:rPr>
        <w:pict>
          <v:rect id="_x0000_i1045" style="width:2in;height:1pt" o:hrpct="0" o:hralign="center" o:hrstd="t" o:hrnoshade="t" o:hr="t" fillcolor="black [3213]" stroked="f"/>
        </w:pict>
      </w:r>
    </w:p>
    <w:p w:rsidR="00D72D79" w:rsidRPr="00293EE1" w:rsidRDefault="00D72D79" w:rsidP="00D72D79">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2D79" w:rsidRPr="00293EE1" w:rsidTr="00C92DD5">
        <w:tc>
          <w:tcPr>
            <w:tcW w:w="543" w:type="pct"/>
          </w:tcPr>
          <w:p w:rsidR="00D72D79" w:rsidRPr="00293EE1" w:rsidRDefault="00D72D79" w:rsidP="00C92DD5">
            <w:pPr>
              <w:jc w:val="both"/>
              <w:rPr>
                <w:rFonts w:cs="Times New Roman"/>
                <w:sz w:val="20"/>
                <w:szCs w:val="20"/>
              </w:rPr>
            </w:pPr>
            <w:r w:rsidRPr="00293EE1">
              <w:rPr>
                <w:rStyle w:val="SCCFileNumberChar"/>
                <w:sz w:val="20"/>
                <w:szCs w:val="20"/>
              </w:rPr>
              <w:t>37370</w:t>
            </w:r>
          </w:p>
        </w:tc>
        <w:tc>
          <w:tcPr>
            <w:tcW w:w="4457" w:type="pct"/>
            <w:gridSpan w:val="3"/>
          </w:tcPr>
          <w:p w:rsidR="00D72D79" w:rsidRPr="00293EE1" w:rsidRDefault="00D72D79" w:rsidP="00C92DD5">
            <w:pPr>
              <w:pStyle w:val="SCCLsocParty"/>
              <w:jc w:val="both"/>
              <w:rPr>
                <w:b/>
                <w:sz w:val="20"/>
                <w:szCs w:val="20"/>
              </w:rPr>
            </w:pPr>
            <w:proofErr w:type="spellStart"/>
            <w:r w:rsidRPr="00293EE1">
              <w:rPr>
                <w:b/>
                <w:sz w:val="20"/>
                <w:szCs w:val="20"/>
              </w:rPr>
              <w:t>Krassimir</w:t>
            </w:r>
            <w:proofErr w:type="spellEnd"/>
            <w:r w:rsidRPr="00293EE1">
              <w:rPr>
                <w:b/>
                <w:sz w:val="20"/>
                <w:szCs w:val="20"/>
              </w:rPr>
              <w:t xml:space="preserve"> D. </w:t>
            </w:r>
            <w:proofErr w:type="spellStart"/>
            <w:r w:rsidRPr="00293EE1">
              <w:rPr>
                <w:b/>
                <w:sz w:val="20"/>
                <w:szCs w:val="20"/>
              </w:rPr>
              <w:t>Naydenov</w:t>
            </w:r>
            <w:proofErr w:type="spellEnd"/>
            <w:r w:rsidRPr="00293EE1">
              <w:rPr>
                <w:b/>
                <w:sz w:val="20"/>
                <w:szCs w:val="20"/>
              </w:rPr>
              <w:t xml:space="preserve"> c. Commission des relations du travail, Syndicat du personnel professionnel de l’Université du Québec en Abitibi-Témiscamingue (SPPUQAT), Claude Fortin, Claude-Michel Bouchard, Lina Dallaire, Francine Tremblay et Yves Bergeron</w:t>
            </w:r>
          </w:p>
          <w:p w:rsidR="00D72D79" w:rsidRPr="00293EE1" w:rsidRDefault="00D72D79" w:rsidP="00C92DD5">
            <w:pPr>
              <w:jc w:val="both"/>
              <w:rPr>
                <w:rFonts w:cs="Times New Roman"/>
                <w:sz w:val="20"/>
                <w:szCs w:val="20"/>
              </w:rPr>
            </w:pPr>
            <w:r w:rsidRPr="00293EE1">
              <w:rPr>
                <w:rFonts w:cs="Times New Roman"/>
                <w:sz w:val="20"/>
                <w:szCs w:val="20"/>
              </w:rPr>
              <w:t>(Qc) (</w:t>
            </w:r>
            <w:proofErr w:type="spellStart"/>
            <w:r w:rsidRPr="00293EE1">
              <w:rPr>
                <w:rFonts w:cs="Times New Roman"/>
                <w:sz w:val="20"/>
                <w:szCs w:val="20"/>
              </w:rPr>
              <w:t>Civile</w:t>
            </w:r>
            <w:proofErr w:type="spellEnd"/>
            <w:r w:rsidRPr="00293EE1">
              <w:rPr>
                <w:rFonts w:cs="Times New Roman"/>
                <w:sz w:val="20"/>
                <w:szCs w:val="20"/>
              </w:rPr>
              <w:t>) (</w:t>
            </w:r>
            <w:proofErr w:type="spellStart"/>
            <w:r w:rsidRPr="00293EE1">
              <w:rPr>
                <w:rFonts w:cs="Times New Roman"/>
                <w:sz w:val="20"/>
                <w:szCs w:val="20"/>
              </w:rPr>
              <w:t>Autorisation</w:t>
            </w:r>
            <w:proofErr w:type="spellEnd"/>
            <w:r w:rsidRPr="00293EE1">
              <w:rPr>
                <w:rFonts w:cs="Times New Roman"/>
                <w:sz w:val="20"/>
                <w:szCs w:val="20"/>
              </w:rPr>
              <w:t>)</w:t>
            </w:r>
          </w:p>
        </w:tc>
      </w:tr>
      <w:tr w:rsidR="00D72D79" w:rsidRPr="00B2512D" w:rsidTr="00C92DD5">
        <w:tc>
          <w:tcPr>
            <w:tcW w:w="543" w:type="pct"/>
          </w:tcPr>
          <w:p w:rsidR="00D72D79" w:rsidRPr="00293EE1" w:rsidRDefault="00D72D79" w:rsidP="00C92DD5">
            <w:pPr>
              <w:jc w:val="both"/>
              <w:rPr>
                <w:rStyle w:val="SCCFileNumberChar"/>
                <w:sz w:val="20"/>
                <w:szCs w:val="20"/>
              </w:rPr>
            </w:pPr>
            <w:r w:rsidRPr="00293EE1">
              <w:rPr>
                <w:rStyle w:val="SCCFileNumberChar"/>
                <w:sz w:val="20"/>
                <w:szCs w:val="20"/>
              </w:rPr>
              <w:t>Coram:</w:t>
            </w:r>
          </w:p>
        </w:tc>
        <w:tc>
          <w:tcPr>
            <w:tcW w:w="4457" w:type="pct"/>
            <w:gridSpan w:val="3"/>
          </w:tcPr>
          <w:p w:rsidR="00D72D79" w:rsidRPr="00293EE1" w:rsidRDefault="007C0C8A" w:rsidP="00C92DD5">
            <w:pPr>
              <w:pStyle w:val="SCCLsocParty"/>
              <w:jc w:val="both"/>
              <w:rPr>
                <w:sz w:val="20"/>
                <w:szCs w:val="20"/>
              </w:rPr>
            </w:pPr>
            <w:r w:rsidRPr="00293EE1">
              <w:rPr>
                <w:sz w:val="20"/>
                <w:szCs w:val="20"/>
              </w:rPr>
              <w:t xml:space="preserve">La juge en chef </w:t>
            </w:r>
            <w:proofErr w:type="spellStart"/>
            <w:r w:rsidRPr="00293EE1">
              <w:rPr>
                <w:sz w:val="20"/>
                <w:szCs w:val="20"/>
              </w:rPr>
              <w:t>McLachlin</w:t>
            </w:r>
            <w:proofErr w:type="spellEnd"/>
            <w:r w:rsidRPr="00293EE1">
              <w:rPr>
                <w:sz w:val="20"/>
                <w:szCs w:val="20"/>
              </w:rPr>
              <w:t xml:space="preserve"> et les juges Abella, </w:t>
            </w:r>
            <w:proofErr w:type="spellStart"/>
            <w:r w:rsidRPr="00293EE1">
              <w:rPr>
                <w:sz w:val="20"/>
                <w:szCs w:val="20"/>
              </w:rPr>
              <w:t>Moldaver</w:t>
            </w:r>
            <w:proofErr w:type="spellEnd"/>
            <w:r w:rsidRPr="00293EE1">
              <w:rPr>
                <w:sz w:val="20"/>
                <w:szCs w:val="20"/>
              </w:rPr>
              <w:t xml:space="preserve">, </w:t>
            </w:r>
            <w:proofErr w:type="spellStart"/>
            <w:r w:rsidRPr="00293EE1">
              <w:rPr>
                <w:sz w:val="20"/>
                <w:szCs w:val="20"/>
              </w:rPr>
              <w:t>Karakatsanis</w:t>
            </w:r>
            <w:proofErr w:type="spellEnd"/>
            <w:r w:rsidRPr="00293EE1">
              <w:rPr>
                <w:sz w:val="20"/>
                <w:szCs w:val="20"/>
              </w:rPr>
              <w:t>, Wagner, Gascon, Côté, Brown et Rowe</w:t>
            </w:r>
          </w:p>
        </w:tc>
      </w:tr>
      <w:tr w:rsidR="00D72D79" w:rsidRPr="00B2512D" w:rsidTr="00D72D79">
        <w:tc>
          <w:tcPr>
            <w:tcW w:w="5000" w:type="pct"/>
            <w:gridSpan w:val="4"/>
          </w:tcPr>
          <w:p w:rsidR="00D72D79" w:rsidRPr="00293EE1" w:rsidRDefault="007C0C8A" w:rsidP="00C92DD5">
            <w:pPr>
              <w:pStyle w:val="SCCLsocParty"/>
              <w:jc w:val="both"/>
              <w:rPr>
                <w:sz w:val="20"/>
                <w:szCs w:val="20"/>
                <w:lang w:val="fr-FR"/>
              </w:rPr>
            </w:pPr>
            <w:r w:rsidRPr="00293EE1">
              <w:rPr>
                <w:sz w:val="20"/>
                <w:szCs w:val="20"/>
              </w:rPr>
              <w:t xml:space="preserve">La requête en prorogation du délai de signification et de dépôt de la réplique et la requête pour déposer une réplique volumineuse sont accueillies. La demande d’autorisation d’appel de l’arrêt de la </w:t>
            </w:r>
            <w:r w:rsidRPr="00293EE1">
              <w:rPr>
                <w:sz w:val="20"/>
                <w:szCs w:val="20"/>
                <w:lang w:val="fr-FR"/>
              </w:rPr>
              <w:t>Cour d’appel du Québec (Montréal)</w:t>
            </w:r>
            <w:r w:rsidRPr="00293EE1">
              <w:rPr>
                <w:sz w:val="20"/>
                <w:szCs w:val="20"/>
              </w:rPr>
              <w:t xml:space="preserve">, numéro </w:t>
            </w:r>
            <w:r w:rsidRPr="00293EE1">
              <w:rPr>
                <w:sz w:val="20"/>
                <w:szCs w:val="20"/>
                <w:lang w:val="fr-FR"/>
              </w:rPr>
              <w:t>500-09-026318-162</w:t>
            </w:r>
            <w:r w:rsidRPr="00293EE1">
              <w:rPr>
                <w:sz w:val="20"/>
                <w:szCs w:val="20"/>
              </w:rPr>
              <w:t>,</w:t>
            </w:r>
            <w:r w:rsidRPr="00293EE1">
              <w:rPr>
                <w:sz w:val="20"/>
                <w:szCs w:val="20"/>
                <w:lang w:val="fr-FR"/>
              </w:rPr>
              <w:t xml:space="preserve"> 2016 QCCA 1851, </w:t>
            </w:r>
            <w:r w:rsidRPr="00293EE1">
              <w:rPr>
                <w:sz w:val="20"/>
                <w:szCs w:val="20"/>
              </w:rPr>
              <w:t xml:space="preserve">daté du </w:t>
            </w:r>
            <w:r w:rsidRPr="00293EE1">
              <w:rPr>
                <w:sz w:val="20"/>
                <w:szCs w:val="20"/>
                <w:lang w:val="fr-FR"/>
              </w:rPr>
              <w:t>2 novembre 2016</w:t>
            </w:r>
            <w:r w:rsidRPr="00293EE1">
              <w:rPr>
                <w:sz w:val="20"/>
                <w:szCs w:val="20"/>
              </w:rPr>
              <w:t xml:space="preserve">, est rejetée avec dépens en faveur des intimés, le </w:t>
            </w:r>
            <w:r w:rsidRPr="00293EE1">
              <w:rPr>
                <w:sz w:val="20"/>
                <w:szCs w:val="20"/>
                <w:lang w:val="fr-FR"/>
              </w:rPr>
              <w:t>Syndicat du personnel professionnel de l’Université du Québec en Abitibi-Témiscamingue (SPPUQAT), Claude Fortin et Claude-Michel Bouchard.</w:t>
            </w:r>
          </w:p>
          <w:p w:rsidR="007C0C8A" w:rsidRPr="00293EE1" w:rsidRDefault="007C0C8A" w:rsidP="007C0C8A">
            <w:pPr>
              <w:rPr>
                <w:lang w:val="fr-FR"/>
              </w:rPr>
            </w:pPr>
          </w:p>
        </w:tc>
      </w:tr>
      <w:tr w:rsidR="00D72D79" w:rsidRPr="00B2512D" w:rsidTr="00C92DD5">
        <w:tc>
          <w:tcPr>
            <w:tcW w:w="5000" w:type="pct"/>
            <w:gridSpan w:val="4"/>
          </w:tcPr>
          <w:p w:rsidR="00D72D79" w:rsidRPr="00293EE1" w:rsidRDefault="00D72D79" w:rsidP="00C92DD5">
            <w:pPr>
              <w:jc w:val="both"/>
              <w:rPr>
                <w:rFonts w:cs="Times New Roman"/>
                <w:sz w:val="20"/>
                <w:szCs w:val="20"/>
                <w:lang w:val="fr-CA"/>
              </w:rPr>
            </w:pPr>
            <w:r w:rsidRPr="00293EE1">
              <w:rPr>
                <w:rFonts w:cs="Times New Roman"/>
                <w:sz w:val="20"/>
                <w:szCs w:val="20"/>
                <w:lang w:val="fr-CA"/>
              </w:rPr>
              <w:t>Relations du travail – Procédure civile – Syndicat – Moyens préliminaires en irrecevabilité – Rejet d’une demande en dommages-intérêts – Abus de procédure – Commission des relations du travail – La Cour d’appel a-t-elle commis une erreur en refusant la permission d’appeler hors délai? – La demande d’autorisation d’appel soulève-t-elle des questions d’importance pour le public?</w:t>
            </w:r>
          </w:p>
          <w:p w:rsidR="00D72D79" w:rsidRPr="00293EE1" w:rsidRDefault="00D72D79" w:rsidP="00C92DD5">
            <w:pPr>
              <w:jc w:val="both"/>
              <w:rPr>
                <w:rFonts w:cs="Times New Roman"/>
                <w:sz w:val="20"/>
                <w:szCs w:val="20"/>
                <w:lang w:val="fr-CA"/>
              </w:rPr>
            </w:pPr>
          </w:p>
        </w:tc>
      </w:tr>
      <w:tr w:rsidR="00D72D79" w:rsidRPr="00293EE1" w:rsidTr="00C92DD5">
        <w:tc>
          <w:tcPr>
            <w:tcW w:w="5000" w:type="pct"/>
            <w:gridSpan w:val="4"/>
          </w:tcPr>
          <w:p w:rsidR="00D72D79" w:rsidRPr="00293EE1" w:rsidRDefault="00D72D79" w:rsidP="00C92DD5">
            <w:pPr>
              <w:jc w:val="both"/>
              <w:rPr>
                <w:rFonts w:cs="Times New Roman"/>
                <w:sz w:val="20"/>
                <w:szCs w:val="20"/>
              </w:rPr>
            </w:pPr>
            <w:proofErr w:type="spellStart"/>
            <w:r w:rsidRPr="00293EE1">
              <w:rPr>
                <w:rFonts w:cs="Times New Roman"/>
                <w:sz w:val="20"/>
                <w:szCs w:val="20"/>
                <w:lang w:val="fr-CA"/>
              </w:rPr>
              <w:lastRenderedPageBreak/>
              <w:t>Krassimir</w:t>
            </w:r>
            <w:proofErr w:type="spellEnd"/>
            <w:r w:rsidRPr="00293EE1">
              <w:rPr>
                <w:rFonts w:cs="Times New Roman"/>
                <w:sz w:val="20"/>
                <w:szCs w:val="20"/>
                <w:lang w:val="fr-CA"/>
              </w:rPr>
              <w:t xml:space="preserve"> </w:t>
            </w:r>
            <w:proofErr w:type="spellStart"/>
            <w:r w:rsidRPr="00293EE1">
              <w:rPr>
                <w:rFonts w:cs="Times New Roman"/>
                <w:sz w:val="20"/>
                <w:szCs w:val="20"/>
                <w:lang w:val="fr-CA"/>
              </w:rPr>
              <w:t>Naydenov</w:t>
            </w:r>
            <w:proofErr w:type="spellEnd"/>
            <w:r w:rsidRPr="00293EE1">
              <w:rPr>
                <w:rFonts w:cs="Times New Roman"/>
                <w:sz w:val="20"/>
                <w:szCs w:val="20"/>
                <w:lang w:val="fr-CA"/>
              </w:rPr>
              <w:t xml:space="preserve"> dépose, tardivement, à la Commission des relations du travail (Commission) une plainte selon laquelle il allègue que le Syndicat du personnel professionnel de l’Université du Québec en Abitibi-Témiscamingue a manqué à son devoir de représentation en ignorant une plainte qu’il aurait formulé. Le Syndicat oppose une requête en rejet. La Commission rejette la plainte de M. </w:t>
            </w:r>
            <w:proofErr w:type="spellStart"/>
            <w:r w:rsidRPr="00293EE1">
              <w:rPr>
                <w:rFonts w:cs="Times New Roman"/>
                <w:sz w:val="20"/>
                <w:szCs w:val="20"/>
                <w:lang w:val="fr-CA"/>
              </w:rPr>
              <w:t>Naydenov</w:t>
            </w:r>
            <w:proofErr w:type="spellEnd"/>
            <w:r w:rsidRPr="00293EE1">
              <w:rPr>
                <w:rFonts w:cs="Times New Roman"/>
                <w:sz w:val="20"/>
                <w:szCs w:val="20"/>
                <w:lang w:val="fr-CA"/>
              </w:rPr>
              <w:t>. La Cour supérieure juge que la demande de M. </w:t>
            </w:r>
            <w:proofErr w:type="spellStart"/>
            <w:r w:rsidRPr="00293EE1">
              <w:rPr>
                <w:rFonts w:cs="Times New Roman"/>
                <w:sz w:val="20"/>
                <w:szCs w:val="20"/>
                <w:lang w:val="fr-CA"/>
              </w:rPr>
              <w:t>Naydenov</w:t>
            </w:r>
            <w:proofErr w:type="spellEnd"/>
            <w:r w:rsidRPr="00293EE1">
              <w:rPr>
                <w:rFonts w:cs="Times New Roman"/>
                <w:sz w:val="20"/>
                <w:szCs w:val="20"/>
                <w:lang w:val="fr-CA"/>
              </w:rPr>
              <w:t xml:space="preserve"> est non fondée. </w:t>
            </w:r>
            <w:r w:rsidRPr="00293EE1">
              <w:rPr>
                <w:rFonts w:cs="Times New Roman"/>
                <w:sz w:val="20"/>
                <w:szCs w:val="20"/>
              </w:rPr>
              <w:t xml:space="preserve">La </w:t>
            </w:r>
            <w:proofErr w:type="spellStart"/>
            <w:r w:rsidRPr="00293EE1">
              <w:rPr>
                <w:rFonts w:cs="Times New Roman"/>
                <w:sz w:val="20"/>
                <w:szCs w:val="20"/>
              </w:rPr>
              <w:t>Cour</w:t>
            </w:r>
            <w:proofErr w:type="spellEnd"/>
            <w:r w:rsidRPr="00293EE1">
              <w:rPr>
                <w:rFonts w:cs="Times New Roman"/>
                <w:sz w:val="20"/>
                <w:szCs w:val="20"/>
              </w:rPr>
              <w:t xml:space="preserve"> </w:t>
            </w:r>
            <w:proofErr w:type="spellStart"/>
            <w:r w:rsidRPr="00293EE1">
              <w:rPr>
                <w:rFonts w:cs="Times New Roman"/>
                <w:sz w:val="20"/>
                <w:szCs w:val="20"/>
              </w:rPr>
              <w:t>d’appel</w:t>
            </w:r>
            <w:proofErr w:type="spellEnd"/>
            <w:r w:rsidRPr="00293EE1">
              <w:rPr>
                <w:rFonts w:cs="Times New Roman"/>
                <w:sz w:val="20"/>
                <w:szCs w:val="20"/>
              </w:rPr>
              <w:t xml:space="preserve"> refuse la permission </w:t>
            </w:r>
            <w:proofErr w:type="spellStart"/>
            <w:r w:rsidRPr="00293EE1">
              <w:rPr>
                <w:rFonts w:cs="Times New Roman"/>
                <w:sz w:val="20"/>
                <w:szCs w:val="20"/>
              </w:rPr>
              <w:t>d’appeler</w:t>
            </w:r>
            <w:proofErr w:type="spellEnd"/>
            <w:r w:rsidRPr="00293EE1">
              <w:rPr>
                <w:rFonts w:cs="Times New Roman"/>
                <w:sz w:val="20"/>
                <w:szCs w:val="20"/>
              </w:rPr>
              <w:t>.</w:t>
            </w:r>
          </w:p>
        </w:tc>
      </w:tr>
      <w:tr w:rsidR="00D72D79" w:rsidRPr="00293EE1" w:rsidTr="00C92DD5">
        <w:tc>
          <w:tcPr>
            <w:tcW w:w="5000" w:type="pct"/>
            <w:gridSpan w:val="4"/>
          </w:tcPr>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Le 16 octobre 2015</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Commission des relations du travail</w:t>
            </w:r>
          </w:p>
          <w:p w:rsidR="00D72D79" w:rsidRPr="00293EE1" w:rsidRDefault="00D72D79" w:rsidP="00C92DD5">
            <w:pPr>
              <w:jc w:val="both"/>
              <w:rPr>
                <w:rFonts w:cs="Times New Roman"/>
                <w:sz w:val="20"/>
                <w:szCs w:val="20"/>
              </w:rPr>
            </w:pPr>
            <w:r w:rsidRPr="00293EE1">
              <w:rPr>
                <w:rFonts w:cs="Times New Roman"/>
                <w:sz w:val="20"/>
                <w:szCs w:val="20"/>
              </w:rPr>
              <w:t xml:space="preserve">(Le </w:t>
            </w:r>
            <w:proofErr w:type="spellStart"/>
            <w:r w:rsidRPr="00293EE1">
              <w:rPr>
                <w:rFonts w:cs="Times New Roman"/>
                <w:sz w:val="20"/>
                <w:szCs w:val="20"/>
              </w:rPr>
              <w:t>Commissaire</w:t>
            </w:r>
            <w:proofErr w:type="spellEnd"/>
            <w:r w:rsidRPr="00293EE1">
              <w:rPr>
                <w:rFonts w:cs="Times New Roman"/>
                <w:sz w:val="20"/>
                <w:szCs w:val="20"/>
              </w:rPr>
              <w:t xml:space="preserve"> </w:t>
            </w:r>
            <w:proofErr w:type="spellStart"/>
            <w:r w:rsidRPr="00293EE1">
              <w:rPr>
                <w:rFonts w:cs="Times New Roman"/>
                <w:sz w:val="20"/>
                <w:szCs w:val="20"/>
              </w:rPr>
              <w:t>Bailly</w:t>
            </w:r>
            <w:proofErr w:type="spellEnd"/>
            <w:r w:rsidRPr="00293EE1">
              <w:rPr>
                <w:rFonts w:cs="Times New Roman"/>
                <w:sz w:val="20"/>
                <w:szCs w:val="20"/>
              </w:rPr>
              <w:t>)</w:t>
            </w:r>
          </w:p>
          <w:p w:rsidR="00D72D79" w:rsidRPr="00293EE1" w:rsidRDefault="00D72D79" w:rsidP="00C92DD5">
            <w:pPr>
              <w:jc w:val="both"/>
              <w:rPr>
                <w:rFonts w:cs="Times New Roman"/>
                <w:sz w:val="20"/>
                <w:szCs w:val="20"/>
              </w:rPr>
            </w:pPr>
            <w:r w:rsidRPr="00293EE1">
              <w:rPr>
                <w:rFonts w:cs="Times New Roman"/>
                <w:sz w:val="20"/>
                <w:szCs w:val="20"/>
              </w:rPr>
              <w:t>2015 QCCRT 0541</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proofErr w:type="spellStart"/>
            <w:r w:rsidRPr="00293EE1">
              <w:rPr>
                <w:rFonts w:cs="Times New Roman"/>
                <w:sz w:val="20"/>
                <w:szCs w:val="20"/>
              </w:rPr>
              <w:t>Plainte</w:t>
            </w:r>
            <w:proofErr w:type="spellEnd"/>
            <w:r w:rsidRPr="00293EE1">
              <w:rPr>
                <w:rFonts w:cs="Times New Roman"/>
                <w:sz w:val="20"/>
                <w:szCs w:val="20"/>
              </w:rPr>
              <w:t xml:space="preserve"> </w:t>
            </w:r>
            <w:proofErr w:type="spellStart"/>
            <w:r w:rsidRPr="00293EE1">
              <w:rPr>
                <w:rFonts w:cs="Times New Roman"/>
                <w:sz w:val="20"/>
                <w:szCs w:val="20"/>
              </w:rPr>
              <w:t>rejetée</w:t>
            </w:r>
            <w:proofErr w:type="spellEnd"/>
          </w:p>
          <w:p w:rsidR="00D72D79" w:rsidRPr="00293EE1" w:rsidRDefault="00D72D79" w:rsidP="00C92DD5">
            <w:pPr>
              <w:jc w:val="both"/>
              <w:rPr>
                <w:rFonts w:cs="Times New Roman"/>
                <w:sz w:val="20"/>
                <w:szCs w:val="20"/>
              </w:rPr>
            </w:pP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Le 6 juillet 2016</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supérieure du Québec</w:t>
            </w:r>
          </w:p>
          <w:p w:rsidR="00D72D79" w:rsidRPr="00293EE1" w:rsidRDefault="00D72D79" w:rsidP="00C92DD5">
            <w:pPr>
              <w:jc w:val="both"/>
              <w:rPr>
                <w:rFonts w:cs="Times New Roman"/>
                <w:sz w:val="20"/>
                <w:szCs w:val="20"/>
              </w:rPr>
            </w:pPr>
            <w:r w:rsidRPr="00293EE1">
              <w:rPr>
                <w:rFonts w:cs="Times New Roman"/>
                <w:sz w:val="20"/>
                <w:szCs w:val="20"/>
              </w:rPr>
              <w:t xml:space="preserve">(Le </w:t>
            </w:r>
            <w:proofErr w:type="spellStart"/>
            <w:r w:rsidRPr="00293EE1">
              <w:rPr>
                <w:rFonts w:cs="Times New Roman"/>
                <w:sz w:val="20"/>
                <w:szCs w:val="20"/>
              </w:rPr>
              <w:t>juge</w:t>
            </w:r>
            <w:proofErr w:type="spellEnd"/>
            <w:r w:rsidRPr="00293EE1">
              <w:rPr>
                <w:rFonts w:cs="Times New Roman"/>
                <w:sz w:val="20"/>
                <w:szCs w:val="20"/>
              </w:rPr>
              <w:t xml:space="preserve"> </w:t>
            </w:r>
            <w:proofErr w:type="spellStart"/>
            <w:r w:rsidRPr="00293EE1">
              <w:rPr>
                <w:rFonts w:cs="Times New Roman"/>
                <w:sz w:val="20"/>
                <w:szCs w:val="20"/>
              </w:rPr>
              <w:t>Déziel</w:t>
            </w:r>
            <w:proofErr w:type="spellEnd"/>
            <w:r w:rsidRPr="00293EE1">
              <w:rPr>
                <w:rFonts w:cs="Times New Roman"/>
                <w:sz w:val="20"/>
                <w:szCs w:val="20"/>
              </w:rPr>
              <w:t>)</w:t>
            </w:r>
          </w:p>
          <w:p w:rsidR="00D72D79" w:rsidRPr="00293EE1" w:rsidRDefault="00D72D79" w:rsidP="00C92DD5">
            <w:pPr>
              <w:jc w:val="both"/>
              <w:rPr>
                <w:rFonts w:cs="Times New Roman"/>
                <w:sz w:val="20"/>
                <w:szCs w:val="20"/>
              </w:rPr>
            </w:pPr>
            <w:r w:rsidRPr="00293EE1">
              <w:rPr>
                <w:rFonts w:cs="Times New Roman"/>
                <w:sz w:val="20"/>
                <w:szCs w:val="20"/>
              </w:rPr>
              <w:t xml:space="preserve">2016 QCCS 3213 </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Requête en irrecevabilité accueillie; demande en dommages-intérêts rejetée</w:t>
            </w:r>
          </w:p>
          <w:p w:rsidR="00D72D79" w:rsidRPr="00293EE1" w:rsidRDefault="00D72D79" w:rsidP="00C92DD5">
            <w:pPr>
              <w:jc w:val="both"/>
              <w:rPr>
                <w:rFonts w:cs="Times New Roman"/>
                <w:sz w:val="20"/>
                <w:szCs w:val="20"/>
                <w:lang w:val="fr-CA"/>
              </w:rPr>
            </w:pP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Le 2 novembre 2016</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d’appel du Québec (Montréal)</w:t>
            </w: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(Les juges Chamberland, Bélanger et </w:t>
            </w:r>
            <w:proofErr w:type="spellStart"/>
            <w:r w:rsidRPr="00293EE1">
              <w:rPr>
                <w:rFonts w:cs="Times New Roman"/>
                <w:sz w:val="20"/>
                <w:szCs w:val="20"/>
                <w:lang w:val="fr-CA"/>
              </w:rPr>
              <w:t>Hogue</w:t>
            </w:r>
            <w:proofErr w:type="spellEnd"/>
            <w:r w:rsidRPr="00293EE1">
              <w:rPr>
                <w:rFonts w:cs="Times New Roman"/>
                <w:sz w:val="20"/>
                <w:szCs w:val="20"/>
                <w:lang w:val="fr-CA"/>
              </w:rPr>
              <w:t>)</w:t>
            </w:r>
          </w:p>
          <w:p w:rsidR="00D72D79" w:rsidRPr="00293EE1" w:rsidRDefault="00D72D79" w:rsidP="00C92DD5">
            <w:pPr>
              <w:jc w:val="both"/>
              <w:rPr>
                <w:rFonts w:cs="Times New Roman"/>
                <w:sz w:val="20"/>
                <w:szCs w:val="20"/>
              </w:rPr>
            </w:pPr>
            <w:r w:rsidRPr="00293EE1">
              <w:rPr>
                <w:rFonts w:cs="Times New Roman"/>
                <w:sz w:val="20"/>
                <w:szCs w:val="20"/>
              </w:rPr>
              <w:t>2016 QCCA 1851</w:t>
            </w:r>
          </w:p>
          <w:p w:rsidR="00D72D79" w:rsidRPr="00293EE1" w:rsidRDefault="00D72D79" w:rsidP="00C92DD5">
            <w:pPr>
              <w:jc w:val="both"/>
              <w:rPr>
                <w:rFonts w:cs="Times New Roman"/>
                <w:sz w:val="20"/>
                <w:szCs w:val="20"/>
                <w:lang w:val="fr-FR"/>
              </w:rPr>
            </w:pPr>
          </w:p>
        </w:tc>
        <w:tc>
          <w:tcPr>
            <w:tcW w:w="243" w:type="pct"/>
          </w:tcPr>
          <w:p w:rsidR="00D72D79" w:rsidRPr="00293EE1" w:rsidRDefault="00D72D79" w:rsidP="00C92DD5">
            <w:pPr>
              <w:jc w:val="both"/>
              <w:rPr>
                <w:rFonts w:cs="Times New Roman"/>
                <w:sz w:val="20"/>
                <w:szCs w:val="20"/>
                <w:lang w:val="fr-FR"/>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Requête pour permission d’appeler hors délai rejetée</w:t>
            </w:r>
          </w:p>
          <w:p w:rsidR="00D72D79" w:rsidRPr="00293EE1" w:rsidRDefault="00D72D79" w:rsidP="00C92DD5">
            <w:pPr>
              <w:jc w:val="both"/>
              <w:rPr>
                <w:rFonts w:cs="Times New Roman"/>
                <w:sz w:val="20"/>
                <w:szCs w:val="20"/>
                <w:lang w:val="fr-CA"/>
              </w:rPr>
            </w:pPr>
          </w:p>
        </w:tc>
      </w:tr>
      <w:tr w:rsidR="00D72D79" w:rsidRPr="00293EE1"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Le 20 décembre 2016</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suprême du Canada</w:t>
            </w:r>
          </w:p>
          <w:p w:rsidR="00D72D79" w:rsidRPr="00293EE1" w:rsidRDefault="00D72D79" w:rsidP="00C92DD5">
            <w:pPr>
              <w:jc w:val="both"/>
              <w:rPr>
                <w:rFonts w:cs="Times New Roman"/>
                <w:sz w:val="20"/>
                <w:szCs w:val="20"/>
                <w:lang w:val="fr-FR"/>
              </w:rPr>
            </w:pPr>
          </w:p>
        </w:tc>
        <w:tc>
          <w:tcPr>
            <w:tcW w:w="243" w:type="pct"/>
          </w:tcPr>
          <w:p w:rsidR="00D72D79" w:rsidRPr="00293EE1" w:rsidRDefault="00D72D79" w:rsidP="00C92DD5">
            <w:pPr>
              <w:jc w:val="both"/>
              <w:rPr>
                <w:rFonts w:cs="Times New Roman"/>
                <w:sz w:val="20"/>
                <w:szCs w:val="20"/>
                <w:lang w:val="fr-FR"/>
              </w:rPr>
            </w:pPr>
          </w:p>
        </w:tc>
        <w:tc>
          <w:tcPr>
            <w:tcW w:w="2330" w:type="pct"/>
          </w:tcPr>
          <w:p w:rsidR="00D72D79" w:rsidRPr="00293EE1" w:rsidRDefault="00D72D79" w:rsidP="00C92DD5">
            <w:pPr>
              <w:jc w:val="both"/>
              <w:rPr>
                <w:rFonts w:cs="Times New Roman"/>
                <w:sz w:val="20"/>
                <w:szCs w:val="20"/>
              </w:rPr>
            </w:pPr>
            <w:proofErr w:type="spellStart"/>
            <w:r w:rsidRPr="00293EE1">
              <w:rPr>
                <w:rFonts w:cs="Times New Roman"/>
                <w:sz w:val="20"/>
                <w:szCs w:val="20"/>
              </w:rPr>
              <w:t>Demande</w:t>
            </w:r>
            <w:proofErr w:type="spellEnd"/>
            <w:r w:rsidRPr="00293EE1">
              <w:rPr>
                <w:rFonts w:cs="Times New Roman"/>
                <w:sz w:val="20"/>
                <w:szCs w:val="20"/>
              </w:rPr>
              <w:t xml:space="preserve"> </w:t>
            </w:r>
            <w:proofErr w:type="spellStart"/>
            <w:r w:rsidRPr="00293EE1">
              <w:rPr>
                <w:rFonts w:cs="Times New Roman"/>
                <w:sz w:val="20"/>
                <w:szCs w:val="20"/>
              </w:rPr>
              <w:t>d'autorisation</w:t>
            </w:r>
            <w:proofErr w:type="spellEnd"/>
            <w:r w:rsidRPr="00293EE1">
              <w:rPr>
                <w:rFonts w:cs="Times New Roman"/>
                <w:sz w:val="20"/>
                <w:szCs w:val="20"/>
              </w:rPr>
              <w:t xml:space="preserve"> </w:t>
            </w:r>
            <w:proofErr w:type="spellStart"/>
            <w:r w:rsidRPr="00293EE1">
              <w:rPr>
                <w:rFonts w:cs="Times New Roman"/>
                <w:sz w:val="20"/>
                <w:szCs w:val="20"/>
              </w:rPr>
              <w:t>d'appel</w:t>
            </w:r>
            <w:proofErr w:type="spellEnd"/>
            <w:r w:rsidRPr="00293EE1">
              <w:rPr>
                <w:rFonts w:cs="Times New Roman"/>
                <w:sz w:val="20"/>
                <w:szCs w:val="20"/>
              </w:rPr>
              <w:t xml:space="preserve"> </w:t>
            </w:r>
            <w:proofErr w:type="spellStart"/>
            <w:r w:rsidRPr="00293EE1">
              <w:rPr>
                <w:rFonts w:cs="Times New Roman"/>
                <w:sz w:val="20"/>
                <w:szCs w:val="20"/>
              </w:rPr>
              <w:t>déposée</w:t>
            </w:r>
            <w:proofErr w:type="spellEnd"/>
          </w:p>
          <w:p w:rsidR="00D72D79" w:rsidRPr="00293EE1" w:rsidRDefault="00D72D79" w:rsidP="00C92DD5">
            <w:pPr>
              <w:jc w:val="both"/>
              <w:rPr>
                <w:rFonts w:cs="Times New Roman"/>
                <w:sz w:val="20"/>
                <w:szCs w:val="20"/>
              </w:rPr>
            </w:pP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Le 22 mars 2017</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suprême du Canada</w:t>
            </w:r>
          </w:p>
        </w:tc>
        <w:tc>
          <w:tcPr>
            <w:tcW w:w="243" w:type="pct"/>
          </w:tcPr>
          <w:p w:rsidR="00D72D79" w:rsidRPr="00293EE1" w:rsidRDefault="00D72D79" w:rsidP="00C92DD5">
            <w:pPr>
              <w:jc w:val="both"/>
              <w:rPr>
                <w:rFonts w:cs="Times New Roman"/>
                <w:sz w:val="20"/>
                <w:szCs w:val="20"/>
                <w:lang w:val="fr-FR"/>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Requête en prorogation de délai pour déposer et signifier une réplique et requête pour déposer un mémoire de réplique volumineux déposées </w:t>
            </w:r>
          </w:p>
        </w:tc>
      </w:tr>
    </w:tbl>
    <w:p w:rsidR="00D72D79" w:rsidRPr="00293EE1" w:rsidRDefault="00B2512D" w:rsidP="00D72D79">
      <w:pPr>
        <w:jc w:val="both"/>
        <w:rPr>
          <w:rFonts w:cs="Times New Roman"/>
          <w:sz w:val="20"/>
          <w:szCs w:val="20"/>
          <w:lang w:val="fr-CA"/>
        </w:rPr>
      </w:pPr>
      <w:r>
        <w:rPr>
          <w:sz w:val="20"/>
          <w:szCs w:val="20"/>
        </w:rPr>
        <w:pict>
          <v:rect id="_x0000_i1046" style="width:2in;height:1pt" o:hrpct="0" o:hralign="center" o:hrstd="t" o:hrnoshade="t" o:hr="t" fillcolor="black [3213]" stroked="f"/>
        </w:pict>
      </w:r>
    </w:p>
    <w:p w:rsidR="00D72D79" w:rsidRPr="00293EE1" w:rsidRDefault="00D72D79" w:rsidP="00D72D79">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2D79" w:rsidRPr="00293EE1" w:rsidTr="00C92DD5">
        <w:tc>
          <w:tcPr>
            <w:tcW w:w="543" w:type="pct"/>
          </w:tcPr>
          <w:p w:rsidR="00D72D79" w:rsidRPr="00293EE1" w:rsidRDefault="00D72D79" w:rsidP="00C92DD5">
            <w:pPr>
              <w:jc w:val="both"/>
              <w:rPr>
                <w:rFonts w:cs="Times New Roman"/>
                <w:sz w:val="20"/>
                <w:szCs w:val="20"/>
              </w:rPr>
            </w:pPr>
            <w:r w:rsidRPr="00293EE1">
              <w:rPr>
                <w:rStyle w:val="SCCFileNumberChar"/>
                <w:sz w:val="20"/>
                <w:szCs w:val="20"/>
              </w:rPr>
              <w:t>37447</w:t>
            </w:r>
          </w:p>
        </w:tc>
        <w:tc>
          <w:tcPr>
            <w:tcW w:w="4457" w:type="pct"/>
            <w:gridSpan w:val="3"/>
          </w:tcPr>
          <w:p w:rsidR="00D72D79" w:rsidRPr="00293EE1" w:rsidRDefault="00D72D79" w:rsidP="005D7CC3">
            <w:pPr>
              <w:pStyle w:val="SCCLsocParty"/>
              <w:jc w:val="both"/>
              <w:rPr>
                <w:sz w:val="20"/>
                <w:szCs w:val="20"/>
                <w:lang w:val="en-US"/>
              </w:rPr>
            </w:pPr>
            <w:r w:rsidRPr="00293EE1">
              <w:rPr>
                <w:b/>
                <w:sz w:val="20"/>
                <w:szCs w:val="20"/>
                <w:lang w:val="en-US"/>
              </w:rPr>
              <w:t xml:space="preserve">SEIU-West v. Cypress Regional Health Authority, Five Hills Regional Health Authority, Heartland Regional Health Authority, Saskatoon Regional Health Authority and Saskatchewan Association of Health Organizations </w:t>
            </w:r>
            <w:r w:rsidRPr="00293EE1">
              <w:rPr>
                <w:sz w:val="20"/>
                <w:szCs w:val="20"/>
                <w:lang w:val="en-US"/>
              </w:rPr>
              <w:t xml:space="preserve">- </w:t>
            </w:r>
            <w:r w:rsidRPr="00293EE1">
              <w:rPr>
                <w:b/>
                <w:sz w:val="20"/>
                <w:szCs w:val="20"/>
                <w:lang w:val="en-US"/>
              </w:rPr>
              <w:t>and between - Saskatchewan Government and General Employees</w:t>
            </w:r>
            <w:r w:rsidR="005D7CC3" w:rsidRPr="00293EE1">
              <w:rPr>
                <w:b/>
                <w:sz w:val="20"/>
                <w:szCs w:val="20"/>
                <w:lang w:val="en-US"/>
              </w:rPr>
              <w:t>’</w:t>
            </w:r>
            <w:r w:rsidRPr="00293EE1">
              <w:rPr>
                <w:b/>
                <w:sz w:val="20"/>
                <w:szCs w:val="20"/>
                <w:lang w:val="en-US"/>
              </w:rPr>
              <w:t xml:space="preserve"> Union v. Saskatchewan Health Care Association, Keewatin </w:t>
            </w:r>
            <w:proofErr w:type="spellStart"/>
            <w:r w:rsidRPr="00293EE1">
              <w:rPr>
                <w:b/>
                <w:sz w:val="20"/>
                <w:szCs w:val="20"/>
                <w:lang w:val="en-US"/>
              </w:rPr>
              <w:t>Yatthe</w:t>
            </w:r>
            <w:proofErr w:type="spellEnd"/>
            <w:r w:rsidRPr="00293EE1">
              <w:rPr>
                <w:b/>
                <w:sz w:val="20"/>
                <w:szCs w:val="20"/>
                <w:lang w:val="en-US"/>
              </w:rPr>
              <w:t xml:space="preserve"> Regional Authority, </w:t>
            </w:r>
            <w:proofErr w:type="spellStart"/>
            <w:r w:rsidRPr="00293EE1">
              <w:rPr>
                <w:b/>
                <w:sz w:val="20"/>
                <w:szCs w:val="20"/>
                <w:lang w:val="en-US"/>
              </w:rPr>
              <w:t>Mamawetan</w:t>
            </w:r>
            <w:proofErr w:type="spellEnd"/>
            <w:r w:rsidRPr="00293EE1">
              <w:rPr>
                <w:b/>
                <w:sz w:val="20"/>
                <w:szCs w:val="20"/>
                <w:lang w:val="en-US"/>
              </w:rPr>
              <w:t xml:space="preserve"> Churchill River Health Authority and Kelsey Trail Health Authority, Government of Saskatchewan (Ministry of Health) - and - Saskatchewan </w:t>
            </w:r>
            <w:proofErr w:type="spellStart"/>
            <w:r w:rsidRPr="00293EE1">
              <w:rPr>
                <w:b/>
                <w:sz w:val="20"/>
                <w:szCs w:val="20"/>
                <w:lang w:val="en-US"/>
              </w:rPr>
              <w:t>Labour</w:t>
            </w:r>
            <w:proofErr w:type="spellEnd"/>
            <w:r w:rsidRPr="00293EE1">
              <w:rPr>
                <w:b/>
                <w:sz w:val="20"/>
                <w:szCs w:val="20"/>
                <w:lang w:val="en-US"/>
              </w:rPr>
              <w:t xml:space="preserve"> Relations Board, Canadian Union of Public Employees </w:t>
            </w:r>
            <w:r w:rsidRPr="00293EE1">
              <w:rPr>
                <w:sz w:val="20"/>
                <w:szCs w:val="20"/>
                <w:lang w:val="en-US"/>
              </w:rPr>
              <w:t>(Sask.) (Civil) (By Leave)</w:t>
            </w:r>
          </w:p>
        </w:tc>
      </w:tr>
      <w:tr w:rsidR="00D72D79" w:rsidRPr="00293EE1" w:rsidTr="00C92DD5">
        <w:tc>
          <w:tcPr>
            <w:tcW w:w="543" w:type="pct"/>
          </w:tcPr>
          <w:p w:rsidR="00D72D79" w:rsidRPr="00293EE1" w:rsidRDefault="00D72D79" w:rsidP="00C92DD5">
            <w:pPr>
              <w:jc w:val="both"/>
              <w:rPr>
                <w:rStyle w:val="SCCFileNumberChar"/>
                <w:sz w:val="20"/>
                <w:szCs w:val="20"/>
              </w:rPr>
            </w:pPr>
            <w:r w:rsidRPr="00293EE1">
              <w:rPr>
                <w:rStyle w:val="SCCFileNumberChar"/>
                <w:sz w:val="20"/>
                <w:szCs w:val="20"/>
              </w:rPr>
              <w:t>Coram:</w:t>
            </w:r>
          </w:p>
        </w:tc>
        <w:tc>
          <w:tcPr>
            <w:tcW w:w="4457" w:type="pct"/>
            <w:gridSpan w:val="3"/>
          </w:tcPr>
          <w:p w:rsidR="00D72D79" w:rsidRPr="00293EE1" w:rsidRDefault="009B6D55" w:rsidP="00D72D79">
            <w:pPr>
              <w:pStyle w:val="SCCLsocParty"/>
              <w:jc w:val="both"/>
              <w:rPr>
                <w:sz w:val="20"/>
                <w:szCs w:val="20"/>
                <w:lang w:val="en-US"/>
              </w:rPr>
            </w:pPr>
            <w:proofErr w:type="spellStart"/>
            <w:r w:rsidRPr="00293EE1">
              <w:rPr>
                <w:sz w:val="20"/>
                <w:szCs w:val="20"/>
                <w:lang w:val="en-US"/>
              </w:rPr>
              <w:t>McLachlin</w:t>
            </w:r>
            <w:proofErr w:type="spellEnd"/>
            <w:r w:rsidRPr="00293EE1">
              <w:rPr>
                <w:sz w:val="20"/>
                <w:szCs w:val="20"/>
                <w:lang w:val="en-US"/>
              </w:rPr>
              <w:t xml:space="preserve"> C.J. and </w:t>
            </w:r>
            <w:proofErr w:type="spellStart"/>
            <w:r w:rsidRPr="00293EE1">
              <w:rPr>
                <w:sz w:val="20"/>
                <w:szCs w:val="20"/>
                <w:lang w:val="en-US"/>
              </w:rPr>
              <w:t>Abella</w:t>
            </w:r>
            <w:proofErr w:type="spellEnd"/>
            <w:r w:rsidRPr="00293EE1">
              <w:rPr>
                <w:sz w:val="20"/>
                <w:szCs w:val="20"/>
                <w:lang w:val="en-US"/>
              </w:rPr>
              <w:t xml:space="preserve">, </w:t>
            </w:r>
            <w:proofErr w:type="spellStart"/>
            <w:r w:rsidRPr="00293EE1">
              <w:rPr>
                <w:sz w:val="20"/>
                <w:szCs w:val="20"/>
                <w:lang w:val="en-US"/>
              </w:rPr>
              <w:t>Moldaver</w:t>
            </w:r>
            <w:proofErr w:type="spellEnd"/>
            <w:r w:rsidRPr="00293EE1">
              <w:rPr>
                <w:sz w:val="20"/>
                <w:szCs w:val="20"/>
                <w:lang w:val="en-US"/>
              </w:rPr>
              <w:t xml:space="preserve">, </w:t>
            </w:r>
            <w:proofErr w:type="spellStart"/>
            <w:r w:rsidRPr="00293EE1">
              <w:rPr>
                <w:sz w:val="20"/>
                <w:szCs w:val="20"/>
                <w:lang w:val="en-US"/>
              </w:rPr>
              <w:t>Karakatsanis</w:t>
            </w:r>
            <w:proofErr w:type="spellEnd"/>
            <w:r w:rsidRPr="00293EE1">
              <w:rPr>
                <w:sz w:val="20"/>
                <w:szCs w:val="20"/>
                <w:lang w:val="en-US"/>
              </w:rPr>
              <w:t xml:space="preserve">, Wagner, </w:t>
            </w:r>
            <w:proofErr w:type="spellStart"/>
            <w:r w:rsidRPr="00293EE1">
              <w:rPr>
                <w:sz w:val="20"/>
                <w:szCs w:val="20"/>
                <w:lang w:val="en-US"/>
              </w:rPr>
              <w:t>Gascon</w:t>
            </w:r>
            <w:proofErr w:type="spellEnd"/>
            <w:r w:rsidRPr="00293EE1">
              <w:rPr>
                <w:sz w:val="20"/>
                <w:szCs w:val="20"/>
                <w:lang w:val="en-US"/>
              </w:rPr>
              <w:t xml:space="preserve">, </w:t>
            </w:r>
            <w:proofErr w:type="spellStart"/>
            <w:r w:rsidRPr="00293EE1">
              <w:rPr>
                <w:sz w:val="20"/>
                <w:szCs w:val="20"/>
                <w:lang w:val="en-US"/>
              </w:rPr>
              <w:t>Côté</w:t>
            </w:r>
            <w:proofErr w:type="spellEnd"/>
            <w:r w:rsidRPr="00293EE1">
              <w:rPr>
                <w:sz w:val="20"/>
                <w:szCs w:val="20"/>
                <w:lang w:val="en-US"/>
              </w:rPr>
              <w:t>, Brown and Rowe JJ.</w:t>
            </w:r>
          </w:p>
        </w:tc>
      </w:tr>
      <w:tr w:rsidR="00D72D79" w:rsidRPr="00293EE1" w:rsidTr="00D72D79">
        <w:tc>
          <w:tcPr>
            <w:tcW w:w="5000" w:type="pct"/>
            <w:gridSpan w:val="4"/>
          </w:tcPr>
          <w:p w:rsidR="00D72D79" w:rsidRPr="00293EE1" w:rsidRDefault="009B6D55" w:rsidP="00D72D79">
            <w:pPr>
              <w:pStyle w:val="SCCLsocParty"/>
              <w:jc w:val="both"/>
              <w:rPr>
                <w:sz w:val="20"/>
                <w:szCs w:val="20"/>
                <w:lang w:val="en-US"/>
              </w:rPr>
            </w:pPr>
            <w:r w:rsidRPr="00293EE1">
              <w:rPr>
                <w:sz w:val="20"/>
                <w:szCs w:val="20"/>
                <w:lang w:val="en-US"/>
              </w:rPr>
              <w:t>The applications for leave to appeal from the judgment of the Court of Appeal for Saskatchewan, Number CACV2757, 2016 SKCA 161, dated December 12, 2016, are dismissed with costs.</w:t>
            </w:r>
          </w:p>
          <w:p w:rsidR="009B6D55" w:rsidRPr="00293EE1" w:rsidRDefault="009B6D55" w:rsidP="009B6D55">
            <w:pPr>
              <w:rPr>
                <w:lang w:val="en-US"/>
              </w:rPr>
            </w:pPr>
          </w:p>
        </w:tc>
      </w:tr>
      <w:tr w:rsidR="00D72D79" w:rsidRPr="00293EE1" w:rsidTr="00C92DD5">
        <w:tc>
          <w:tcPr>
            <w:tcW w:w="5000" w:type="pct"/>
            <w:gridSpan w:val="4"/>
          </w:tcPr>
          <w:p w:rsidR="00D72D79" w:rsidRPr="00293EE1" w:rsidRDefault="00D72D79" w:rsidP="00C92DD5">
            <w:pPr>
              <w:jc w:val="both"/>
              <w:rPr>
                <w:rFonts w:cs="Times New Roman"/>
                <w:sz w:val="20"/>
                <w:szCs w:val="20"/>
              </w:rPr>
            </w:pPr>
            <w:r w:rsidRPr="00293EE1">
              <w:rPr>
                <w:rFonts w:cs="Times New Roman"/>
                <w:sz w:val="20"/>
                <w:szCs w:val="20"/>
              </w:rPr>
              <w:t xml:space="preserve">Labour Relations – Collective Bargaining – Administrative law – Judicial review – Whether a Labour Relations tribunal’s decision in respect of allegations of intimidation and direct bargaining during collective bargaining is reasonable if the tribunal rejects the presumption of power imbalance in the workplace and/or fails to recognize a union’s status as exclusive bargaining agent – What employer communications to employees are permissible in light of the </w:t>
            </w:r>
            <w:r w:rsidRPr="00293EE1">
              <w:rPr>
                <w:rFonts w:cs="Times New Roman"/>
                <w:i/>
                <w:sz w:val="20"/>
                <w:szCs w:val="20"/>
              </w:rPr>
              <w:t>Trade Union Act</w:t>
            </w:r>
            <w:r w:rsidRPr="00293EE1">
              <w:rPr>
                <w:rFonts w:cs="Times New Roman"/>
                <w:sz w:val="20"/>
                <w:szCs w:val="20"/>
              </w:rPr>
              <w:t xml:space="preserve">, RSS 1978, c. T-17, relevant jurisprudence and </w:t>
            </w:r>
            <w:r w:rsidRPr="00293EE1">
              <w:rPr>
                <w:rFonts w:cs="Times New Roman"/>
                <w:i/>
                <w:sz w:val="20"/>
                <w:szCs w:val="20"/>
              </w:rPr>
              <w:t>Charter</w:t>
            </w:r>
            <w:r w:rsidRPr="00293EE1">
              <w:rPr>
                <w:rFonts w:cs="Times New Roman"/>
                <w:sz w:val="20"/>
                <w:szCs w:val="20"/>
              </w:rPr>
              <w:t xml:space="preserve"> values – Deference owed to tribunal’s decision – When do employer communications to employees breach s. 11(1) (a) of the </w:t>
            </w:r>
            <w:r w:rsidRPr="00293EE1">
              <w:rPr>
                <w:rFonts w:cs="Times New Roman"/>
                <w:i/>
                <w:sz w:val="20"/>
                <w:szCs w:val="20"/>
              </w:rPr>
              <w:t>Trade Union Act</w:t>
            </w:r>
            <w:r w:rsidRPr="00293EE1">
              <w:rPr>
                <w:rFonts w:cs="Times New Roman"/>
                <w:sz w:val="20"/>
                <w:szCs w:val="20"/>
              </w:rPr>
              <w:t xml:space="preserve"> – Whether Court of Appeal erred with respect to tribunal’s decision regarding communications?</w:t>
            </w:r>
          </w:p>
        </w:tc>
      </w:tr>
      <w:tr w:rsidR="00D72D79" w:rsidRPr="00293EE1" w:rsidTr="00C92DD5">
        <w:tc>
          <w:tcPr>
            <w:tcW w:w="5000" w:type="pct"/>
            <w:gridSpan w:val="4"/>
          </w:tcPr>
          <w:p w:rsidR="00D72D79" w:rsidRPr="00293EE1" w:rsidRDefault="00D72D79" w:rsidP="00C92DD5">
            <w:pPr>
              <w:jc w:val="both"/>
              <w:rPr>
                <w:rFonts w:cs="Times New Roman"/>
                <w:sz w:val="20"/>
                <w:szCs w:val="20"/>
              </w:rPr>
            </w:pPr>
          </w:p>
        </w:tc>
      </w:tr>
      <w:tr w:rsidR="00D72D79" w:rsidRPr="00293EE1" w:rsidTr="00C92DD5">
        <w:tc>
          <w:tcPr>
            <w:tcW w:w="5000" w:type="pct"/>
            <w:gridSpan w:val="4"/>
          </w:tcPr>
          <w:p w:rsidR="00D72D79" w:rsidRPr="00293EE1" w:rsidRDefault="00D72D79" w:rsidP="00C92DD5">
            <w:pPr>
              <w:jc w:val="both"/>
              <w:rPr>
                <w:rFonts w:cs="Times New Roman"/>
                <w:sz w:val="20"/>
                <w:szCs w:val="20"/>
              </w:rPr>
            </w:pPr>
            <w:r w:rsidRPr="00293EE1">
              <w:rPr>
                <w:rFonts w:cs="Times New Roman"/>
                <w:sz w:val="20"/>
                <w:szCs w:val="20"/>
              </w:rPr>
              <w:lastRenderedPageBreak/>
              <w:t xml:space="preserve">The Saskatchewan Association of Health Organizations represented provincial Regional Health Authorities in collective bargaining that began in 2008. SEIU-West and the Saskatchewan Government and General Employees’ Union represented some employees. An amendment in 2008 to the </w:t>
            </w:r>
            <w:r w:rsidRPr="00293EE1">
              <w:rPr>
                <w:rFonts w:cs="Times New Roman"/>
                <w:i/>
                <w:sz w:val="20"/>
                <w:szCs w:val="20"/>
              </w:rPr>
              <w:t>Trade Union Act</w:t>
            </w:r>
            <w:r w:rsidRPr="00293EE1">
              <w:rPr>
                <w:rFonts w:cs="Times New Roman"/>
                <w:sz w:val="20"/>
                <w:szCs w:val="20"/>
              </w:rPr>
              <w:t xml:space="preserve">, RSS 1978, c. T-17, introduced into that Act words stating that “nothing in this </w:t>
            </w:r>
            <w:hyperlink r:id="rId22" w:history="1">
              <w:r w:rsidRPr="00293EE1">
                <w:rPr>
                  <w:rFonts w:cs="Times New Roman"/>
                  <w:sz w:val="20"/>
                  <w:szCs w:val="20"/>
                </w:rPr>
                <w:t>Act</w:t>
              </w:r>
            </w:hyperlink>
            <w:r w:rsidRPr="00293EE1">
              <w:rPr>
                <w:rFonts w:cs="Times New Roman"/>
                <w:sz w:val="20"/>
                <w:szCs w:val="20"/>
              </w:rPr>
              <w:t xml:space="preserve"> precludes an employer from communicating facts and its opinions to its employees”. During bargaining, the Saskatchewan Association of Health Organizations issued communications. The unions filed unfair labour practice applications. The Labour Relations Board held that the association distributed inaccurate information about a retroactive pay issue in breach of the Act but otherwise dismissed the applications. It issued an order enjoining the association and the Regional Health Authorities from further violating the Act. The unions applied for judicial review.</w:t>
            </w:r>
          </w:p>
          <w:p w:rsidR="00D72D79" w:rsidRPr="00293EE1" w:rsidRDefault="00D72D79" w:rsidP="00C92DD5">
            <w:pPr>
              <w:jc w:val="both"/>
              <w:rPr>
                <w:rFonts w:cs="Times New Roman"/>
                <w:sz w:val="20"/>
                <w:szCs w:val="20"/>
              </w:rPr>
            </w:pPr>
          </w:p>
        </w:tc>
      </w:tr>
      <w:tr w:rsidR="00D72D79" w:rsidRPr="00293EE1" w:rsidTr="00C92DD5">
        <w:trPr>
          <w:trHeight w:val="1206"/>
        </w:trPr>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July 17, 2015</w:t>
            </w:r>
          </w:p>
          <w:p w:rsidR="00D72D79" w:rsidRPr="00293EE1" w:rsidRDefault="00D72D79" w:rsidP="00C92DD5">
            <w:pPr>
              <w:jc w:val="both"/>
              <w:rPr>
                <w:rFonts w:cs="Times New Roman"/>
                <w:sz w:val="20"/>
                <w:szCs w:val="20"/>
              </w:rPr>
            </w:pPr>
            <w:r w:rsidRPr="00293EE1">
              <w:rPr>
                <w:rFonts w:cs="Times New Roman"/>
                <w:sz w:val="20"/>
                <w:szCs w:val="20"/>
              </w:rPr>
              <w:t>Court of Queen’s Bench of Saskatchewan</w:t>
            </w:r>
          </w:p>
          <w:p w:rsidR="00D72D79" w:rsidRPr="00293EE1" w:rsidRDefault="00D72D79" w:rsidP="00C92DD5">
            <w:pPr>
              <w:jc w:val="both"/>
              <w:rPr>
                <w:rFonts w:cs="Times New Roman"/>
                <w:sz w:val="20"/>
                <w:szCs w:val="20"/>
              </w:rPr>
            </w:pPr>
            <w:r w:rsidRPr="00293EE1">
              <w:rPr>
                <w:rFonts w:cs="Times New Roman"/>
                <w:sz w:val="20"/>
                <w:szCs w:val="20"/>
              </w:rPr>
              <w:t>(Laing J.)</w:t>
            </w:r>
          </w:p>
          <w:p w:rsidR="00D72D79" w:rsidRPr="00293EE1" w:rsidRDefault="00B2512D" w:rsidP="00C92DD5">
            <w:pPr>
              <w:jc w:val="both"/>
              <w:rPr>
                <w:rFonts w:cs="Times New Roman"/>
                <w:sz w:val="20"/>
                <w:szCs w:val="20"/>
              </w:rPr>
            </w:pPr>
            <w:hyperlink r:id="rId23" w:history="1">
              <w:r w:rsidR="00D72D79" w:rsidRPr="00293EE1">
                <w:rPr>
                  <w:rStyle w:val="Hyperlink"/>
                  <w:rFonts w:cs="Times New Roman"/>
                  <w:sz w:val="20"/>
                  <w:szCs w:val="20"/>
                </w:rPr>
                <w:t>2015 SKQB 222</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 xml:space="preserve">Applications for judicial review allowed in part </w:t>
            </w:r>
          </w:p>
          <w:p w:rsidR="00D72D79" w:rsidRPr="00293EE1" w:rsidRDefault="00D72D79" w:rsidP="00C92DD5">
            <w:pPr>
              <w:jc w:val="both"/>
              <w:rPr>
                <w:rFonts w:cs="Times New Roman"/>
                <w:sz w:val="20"/>
                <w:szCs w:val="20"/>
              </w:rPr>
            </w:pPr>
          </w:p>
        </w:tc>
      </w:tr>
      <w:tr w:rsidR="00D72D79" w:rsidRPr="00293EE1" w:rsidTr="00C92DD5">
        <w:trPr>
          <w:trHeight w:val="1251"/>
        </w:trPr>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December 12, 2016</w:t>
            </w:r>
          </w:p>
          <w:p w:rsidR="00D72D79" w:rsidRPr="00293EE1" w:rsidRDefault="00D72D79" w:rsidP="00C92DD5">
            <w:pPr>
              <w:jc w:val="both"/>
              <w:rPr>
                <w:rFonts w:cs="Times New Roman"/>
                <w:sz w:val="20"/>
                <w:szCs w:val="20"/>
              </w:rPr>
            </w:pPr>
            <w:r w:rsidRPr="00293EE1">
              <w:rPr>
                <w:rFonts w:cs="Times New Roman"/>
                <w:sz w:val="20"/>
                <w:szCs w:val="20"/>
              </w:rPr>
              <w:t>Court of Appeal for Saskatchewan</w:t>
            </w:r>
          </w:p>
          <w:p w:rsidR="00D72D79" w:rsidRPr="00293EE1" w:rsidRDefault="00D72D79" w:rsidP="00C92DD5">
            <w:pPr>
              <w:jc w:val="both"/>
              <w:rPr>
                <w:rFonts w:cs="Times New Roman"/>
                <w:sz w:val="20"/>
                <w:szCs w:val="20"/>
              </w:rPr>
            </w:pPr>
            <w:r w:rsidRPr="00293EE1">
              <w:rPr>
                <w:rFonts w:cs="Times New Roman"/>
                <w:sz w:val="20"/>
                <w:szCs w:val="20"/>
              </w:rPr>
              <w:t xml:space="preserve">(Richards, </w:t>
            </w:r>
            <w:proofErr w:type="spellStart"/>
            <w:r w:rsidRPr="00293EE1">
              <w:rPr>
                <w:rFonts w:cs="Times New Roman"/>
                <w:sz w:val="20"/>
                <w:szCs w:val="20"/>
              </w:rPr>
              <w:t>Ottenbreit</w:t>
            </w:r>
            <w:proofErr w:type="spellEnd"/>
            <w:r w:rsidRPr="00293EE1">
              <w:rPr>
                <w:rFonts w:cs="Times New Roman"/>
                <w:sz w:val="20"/>
                <w:szCs w:val="20"/>
              </w:rPr>
              <w:t>, Ryan-</w:t>
            </w:r>
            <w:proofErr w:type="spellStart"/>
            <w:r w:rsidRPr="00293EE1">
              <w:rPr>
                <w:rFonts w:cs="Times New Roman"/>
                <w:sz w:val="20"/>
                <w:szCs w:val="20"/>
              </w:rPr>
              <w:t>Froslie</w:t>
            </w:r>
            <w:proofErr w:type="spellEnd"/>
            <w:r w:rsidRPr="00293EE1">
              <w:rPr>
                <w:rFonts w:cs="Times New Roman"/>
                <w:sz w:val="20"/>
                <w:szCs w:val="20"/>
              </w:rPr>
              <w:t xml:space="preserve"> JJ.A.)</w:t>
            </w:r>
          </w:p>
          <w:p w:rsidR="00D72D79" w:rsidRPr="00293EE1" w:rsidRDefault="00D72D79" w:rsidP="00C92DD5">
            <w:pPr>
              <w:jc w:val="both"/>
              <w:rPr>
                <w:rFonts w:cs="Times New Roman"/>
                <w:sz w:val="20"/>
                <w:szCs w:val="20"/>
              </w:rPr>
            </w:pPr>
            <w:r w:rsidRPr="00293EE1">
              <w:rPr>
                <w:rFonts w:cs="Times New Roman"/>
                <w:sz w:val="20"/>
                <w:szCs w:val="20"/>
              </w:rPr>
              <w:t xml:space="preserve">CACV2757; </w:t>
            </w:r>
            <w:hyperlink r:id="rId24" w:history="1">
              <w:r w:rsidRPr="00293EE1">
                <w:rPr>
                  <w:rStyle w:val="Hyperlink"/>
                  <w:rFonts w:cs="Times New Roman"/>
                  <w:sz w:val="20"/>
                  <w:szCs w:val="20"/>
                </w:rPr>
                <w:t>2016 SKCA 161</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Appeals allowed in part</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February 10, 2017</w:t>
            </w:r>
          </w:p>
          <w:p w:rsidR="00D72D79" w:rsidRPr="00293EE1" w:rsidRDefault="00D72D79" w:rsidP="00C92DD5">
            <w:pPr>
              <w:jc w:val="both"/>
              <w:rPr>
                <w:rFonts w:cs="Times New Roman"/>
                <w:sz w:val="20"/>
                <w:szCs w:val="20"/>
              </w:rPr>
            </w:pPr>
            <w:r w:rsidRPr="00293EE1">
              <w:rPr>
                <w:rFonts w:cs="Times New Roman"/>
                <w:sz w:val="20"/>
                <w:szCs w:val="20"/>
              </w:rPr>
              <w:t>Supreme Court of Canada</w:t>
            </w: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Applications for leave to appeal filed</w:t>
            </w:r>
          </w:p>
          <w:p w:rsidR="00D72D79" w:rsidRPr="00293EE1" w:rsidRDefault="00D72D79" w:rsidP="00C92DD5">
            <w:pPr>
              <w:jc w:val="both"/>
              <w:rPr>
                <w:rFonts w:cs="Times New Roman"/>
                <w:sz w:val="20"/>
                <w:szCs w:val="20"/>
              </w:rPr>
            </w:pPr>
          </w:p>
        </w:tc>
      </w:tr>
    </w:tbl>
    <w:p w:rsidR="00D72D79" w:rsidRPr="00293EE1" w:rsidRDefault="00B2512D" w:rsidP="00D72D79">
      <w:pPr>
        <w:jc w:val="both"/>
        <w:rPr>
          <w:rFonts w:cs="Times New Roman"/>
          <w:sz w:val="20"/>
          <w:szCs w:val="20"/>
        </w:rPr>
      </w:pPr>
      <w:r>
        <w:rPr>
          <w:sz w:val="20"/>
          <w:szCs w:val="20"/>
        </w:rPr>
        <w:pict>
          <v:rect id="_x0000_i1047" style="width:2in;height:1pt" o:hrpct="0" o:hralign="center" o:hrstd="t" o:hrnoshade="t" o:hr="t" fillcolor="black [3213]" stroked="f"/>
        </w:pict>
      </w:r>
    </w:p>
    <w:p w:rsidR="00D72D79" w:rsidRPr="00293EE1" w:rsidRDefault="00D72D79" w:rsidP="00D72D79">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2D79" w:rsidRPr="00293EE1" w:rsidTr="00C92DD5">
        <w:tc>
          <w:tcPr>
            <w:tcW w:w="543" w:type="pct"/>
          </w:tcPr>
          <w:p w:rsidR="00D72D79" w:rsidRPr="00293EE1" w:rsidRDefault="00D72D79" w:rsidP="00C92DD5">
            <w:pPr>
              <w:jc w:val="both"/>
              <w:rPr>
                <w:rFonts w:cs="Times New Roman"/>
                <w:sz w:val="20"/>
                <w:szCs w:val="20"/>
                <w:lang w:val="fr-CA"/>
              </w:rPr>
            </w:pPr>
            <w:r w:rsidRPr="00293EE1">
              <w:rPr>
                <w:rStyle w:val="SCCFileNumberChar"/>
                <w:sz w:val="20"/>
                <w:szCs w:val="20"/>
                <w:lang w:val="fr-CA"/>
              </w:rPr>
              <w:t>37447</w:t>
            </w:r>
          </w:p>
        </w:tc>
        <w:tc>
          <w:tcPr>
            <w:tcW w:w="4457" w:type="pct"/>
          </w:tcPr>
          <w:p w:rsidR="00D72D79" w:rsidRPr="00293EE1" w:rsidRDefault="00D72D79" w:rsidP="004C47AF">
            <w:pPr>
              <w:pStyle w:val="SCCLsocParty"/>
              <w:jc w:val="both"/>
              <w:rPr>
                <w:sz w:val="20"/>
                <w:szCs w:val="20"/>
                <w:lang w:val="en-US"/>
              </w:rPr>
            </w:pPr>
            <w:r w:rsidRPr="00293EE1">
              <w:rPr>
                <w:b/>
                <w:sz w:val="20"/>
                <w:szCs w:val="20"/>
                <w:lang w:val="en-US"/>
              </w:rPr>
              <w:t>SEIU-West c. Cypress Regional Health Authority, Five Hills Regional Health Authority, Heartland Regional Health Authority, Saskatoon Regional Health Authority et Saskatchewan Association of Health Organizations - et entre - Saskatchewan Government and General Employees</w:t>
            </w:r>
            <w:r w:rsidR="004C47AF" w:rsidRPr="00293EE1">
              <w:rPr>
                <w:b/>
                <w:sz w:val="20"/>
                <w:szCs w:val="20"/>
                <w:lang w:val="en-US"/>
              </w:rPr>
              <w:t>’</w:t>
            </w:r>
            <w:r w:rsidRPr="00293EE1">
              <w:rPr>
                <w:b/>
                <w:sz w:val="20"/>
                <w:szCs w:val="20"/>
                <w:lang w:val="en-US"/>
              </w:rPr>
              <w:t xml:space="preserve"> Union c. Saskatchewan Health Care Association, Keewatin </w:t>
            </w:r>
            <w:proofErr w:type="spellStart"/>
            <w:r w:rsidRPr="00293EE1">
              <w:rPr>
                <w:b/>
                <w:sz w:val="20"/>
                <w:szCs w:val="20"/>
                <w:lang w:val="en-US"/>
              </w:rPr>
              <w:t>Yatthe</w:t>
            </w:r>
            <w:proofErr w:type="spellEnd"/>
            <w:r w:rsidRPr="00293EE1">
              <w:rPr>
                <w:b/>
                <w:sz w:val="20"/>
                <w:szCs w:val="20"/>
                <w:lang w:val="en-US"/>
              </w:rPr>
              <w:t xml:space="preserve"> Regional Authority, </w:t>
            </w:r>
            <w:proofErr w:type="spellStart"/>
            <w:r w:rsidRPr="00293EE1">
              <w:rPr>
                <w:b/>
                <w:sz w:val="20"/>
                <w:szCs w:val="20"/>
                <w:lang w:val="en-US"/>
              </w:rPr>
              <w:t>Mamawetan</w:t>
            </w:r>
            <w:proofErr w:type="spellEnd"/>
            <w:r w:rsidRPr="00293EE1">
              <w:rPr>
                <w:b/>
                <w:sz w:val="20"/>
                <w:szCs w:val="20"/>
                <w:lang w:val="en-US"/>
              </w:rPr>
              <w:t xml:space="preserve"> Churchill River Health Authority et Kelsey Trail Health Authority, </w:t>
            </w:r>
            <w:proofErr w:type="spellStart"/>
            <w:r w:rsidRPr="00293EE1">
              <w:rPr>
                <w:b/>
                <w:sz w:val="20"/>
                <w:szCs w:val="20"/>
                <w:lang w:val="en-US"/>
              </w:rPr>
              <w:t>gouvernement</w:t>
            </w:r>
            <w:proofErr w:type="spellEnd"/>
            <w:r w:rsidRPr="00293EE1">
              <w:rPr>
                <w:b/>
                <w:sz w:val="20"/>
                <w:szCs w:val="20"/>
                <w:lang w:val="en-US"/>
              </w:rPr>
              <w:t xml:space="preserve"> de la Saskatchewan (Ministry of Health) - et - Saskatchewan </w:t>
            </w:r>
            <w:proofErr w:type="spellStart"/>
            <w:r w:rsidRPr="00293EE1">
              <w:rPr>
                <w:b/>
                <w:sz w:val="20"/>
                <w:szCs w:val="20"/>
                <w:lang w:val="en-US"/>
              </w:rPr>
              <w:t>Labour</w:t>
            </w:r>
            <w:proofErr w:type="spellEnd"/>
            <w:r w:rsidRPr="00293EE1">
              <w:rPr>
                <w:b/>
                <w:sz w:val="20"/>
                <w:szCs w:val="20"/>
                <w:lang w:val="en-US"/>
              </w:rPr>
              <w:t xml:space="preserve"> Relations Board, </w:t>
            </w:r>
            <w:proofErr w:type="spellStart"/>
            <w:r w:rsidRPr="00293EE1">
              <w:rPr>
                <w:b/>
                <w:sz w:val="20"/>
                <w:szCs w:val="20"/>
                <w:lang w:val="en-US"/>
              </w:rPr>
              <w:t>Syndicat</w:t>
            </w:r>
            <w:proofErr w:type="spellEnd"/>
            <w:r w:rsidRPr="00293EE1">
              <w:rPr>
                <w:b/>
                <w:sz w:val="20"/>
                <w:szCs w:val="20"/>
                <w:lang w:val="en-US"/>
              </w:rPr>
              <w:t xml:space="preserve"> </w:t>
            </w:r>
            <w:proofErr w:type="spellStart"/>
            <w:r w:rsidRPr="00293EE1">
              <w:rPr>
                <w:b/>
                <w:sz w:val="20"/>
                <w:szCs w:val="20"/>
                <w:lang w:val="en-US"/>
              </w:rPr>
              <w:t>canadien</w:t>
            </w:r>
            <w:proofErr w:type="spellEnd"/>
            <w:r w:rsidRPr="00293EE1">
              <w:rPr>
                <w:b/>
                <w:sz w:val="20"/>
                <w:szCs w:val="20"/>
                <w:lang w:val="en-US"/>
              </w:rPr>
              <w:t xml:space="preserve"> de la </w:t>
            </w:r>
            <w:proofErr w:type="spellStart"/>
            <w:r w:rsidRPr="00293EE1">
              <w:rPr>
                <w:b/>
                <w:sz w:val="20"/>
                <w:szCs w:val="20"/>
                <w:lang w:val="en-US"/>
              </w:rPr>
              <w:t>fonction</w:t>
            </w:r>
            <w:proofErr w:type="spellEnd"/>
            <w:r w:rsidRPr="00293EE1">
              <w:rPr>
                <w:b/>
                <w:sz w:val="20"/>
                <w:szCs w:val="20"/>
                <w:lang w:val="en-US"/>
              </w:rPr>
              <w:t xml:space="preserve"> </w:t>
            </w:r>
            <w:proofErr w:type="spellStart"/>
            <w:r w:rsidRPr="00293EE1">
              <w:rPr>
                <w:b/>
                <w:sz w:val="20"/>
                <w:szCs w:val="20"/>
                <w:lang w:val="en-US"/>
              </w:rPr>
              <w:t>publique</w:t>
            </w:r>
            <w:proofErr w:type="spellEnd"/>
            <w:r w:rsidRPr="00293EE1">
              <w:rPr>
                <w:b/>
                <w:sz w:val="20"/>
                <w:szCs w:val="20"/>
                <w:lang w:val="en-US"/>
              </w:rPr>
              <w:t xml:space="preserve"> </w:t>
            </w:r>
            <w:r w:rsidRPr="00293EE1">
              <w:rPr>
                <w:sz w:val="20"/>
                <w:szCs w:val="20"/>
                <w:lang w:val="en-US"/>
              </w:rPr>
              <w:t>(Sask.) (</w:t>
            </w:r>
            <w:proofErr w:type="spellStart"/>
            <w:r w:rsidRPr="00293EE1">
              <w:rPr>
                <w:sz w:val="20"/>
                <w:szCs w:val="20"/>
                <w:lang w:val="en-US"/>
              </w:rPr>
              <w:t>Civile</w:t>
            </w:r>
            <w:proofErr w:type="spellEnd"/>
            <w:r w:rsidRPr="00293EE1">
              <w:rPr>
                <w:sz w:val="20"/>
                <w:szCs w:val="20"/>
                <w:lang w:val="en-US"/>
              </w:rPr>
              <w:t xml:space="preserve">) (Sur </w:t>
            </w:r>
            <w:proofErr w:type="spellStart"/>
            <w:r w:rsidRPr="00293EE1">
              <w:rPr>
                <w:sz w:val="20"/>
                <w:szCs w:val="20"/>
                <w:lang w:val="en-US"/>
              </w:rPr>
              <w:t>autorisation</w:t>
            </w:r>
            <w:proofErr w:type="spellEnd"/>
            <w:r w:rsidRPr="00293EE1">
              <w:rPr>
                <w:sz w:val="20"/>
                <w:szCs w:val="20"/>
                <w:lang w:val="en-US"/>
              </w:rPr>
              <w:t>)</w:t>
            </w:r>
          </w:p>
        </w:tc>
      </w:tr>
      <w:tr w:rsidR="00D72D79" w:rsidRPr="00B2512D" w:rsidTr="00C92DD5">
        <w:tc>
          <w:tcPr>
            <w:tcW w:w="543" w:type="pct"/>
          </w:tcPr>
          <w:p w:rsidR="00D72D79" w:rsidRPr="00293EE1" w:rsidRDefault="00D72D79" w:rsidP="00C92DD5">
            <w:pPr>
              <w:jc w:val="both"/>
              <w:rPr>
                <w:rStyle w:val="SCCFileNumberChar"/>
                <w:sz w:val="20"/>
                <w:szCs w:val="20"/>
                <w:lang w:val="fr-CA"/>
              </w:rPr>
            </w:pPr>
            <w:r w:rsidRPr="00293EE1">
              <w:rPr>
                <w:rStyle w:val="SCCFileNumberChar"/>
                <w:sz w:val="20"/>
                <w:szCs w:val="20"/>
                <w:lang w:val="fr-CA"/>
              </w:rPr>
              <w:t>Coram :</w:t>
            </w:r>
          </w:p>
        </w:tc>
        <w:tc>
          <w:tcPr>
            <w:tcW w:w="4457" w:type="pct"/>
          </w:tcPr>
          <w:p w:rsidR="00D72D79" w:rsidRPr="00293EE1" w:rsidRDefault="009B6D55" w:rsidP="00D72D79">
            <w:pPr>
              <w:pStyle w:val="SCCLsocParty"/>
              <w:jc w:val="both"/>
              <w:rPr>
                <w:sz w:val="20"/>
                <w:szCs w:val="20"/>
              </w:rPr>
            </w:pPr>
            <w:r w:rsidRPr="00293EE1">
              <w:rPr>
                <w:sz w:val="20"/>
                <w:szCs w:val="20"/>
                <w:lang w:val="fr-FR"/>
              </w:rPr>
              <w:t xml:space="preserve">La juge en chef </w:t>
            </w:r>
            <w:proofErr w:type="spellStart"/>
            <w:r w:rsidRPr="00293EE1">
              <w:rPr>
                <w:sz w:val="20"/>
                <w:szCs w:val="20"/>
                <w:lang w:val="fr-FR"/>
              </w:rPr>
              <w:t>McLachlin</w:t>
            </w:r>
            <w:proofErr w:type="spellEnd"/>
            <w:r w:rsidRPr="00293EE1">
              <w:rPr>
                <w:sz w:val="20"/>
                <w:szCs w:val="20"/>
                <w:lang w:val="fr-FR"/>
              </w:rPr>
              <w:t xml:space="preserve"> et les juges Abella, </w:t>
            </w:r>
            <w:proofErr w:type="spellStart"/>
            <w:r w:rsidRPr="00293EE1">
              <w:rPr>
                <w:sz w:val="20"/>
                <w:szCs w:val="20"/>
                <w:lang w:val="fr-FR"/>
              </w:rPr>
              <w:t>Moldaver</w:t>
            </w:r>
            <w:proofErr w:type="spellEnd"/>
            <w:r w:rsidRPr="00293EE1">
              <w:rPr>
                <w:sz w:val="20"/>
                <w:szCs w:val="20"/>
                <w:lang w:val="fr-FR"/>
              </w:rPr>
              <w:t xml:space="preserve">, </w:t>
            </w:r>
            <w:proofErr w:type="spellStart"/>
            <w:r w:rsidRPr="00293EE1">
              <w:rPr>
                <w:sz w:val="20"/>
                <w:szCs w:val="20"/>
                <w:lang w:val="fr-FR"/>
              </w:rPr>
              <w:t>Karakatsanis</w:t>
            </w:r>
            <w:proofErr w:type="spellEnd"/>
            <w:r w:rsidRPr="00293EE1">
              <w:rPr>
                <w:sz w:val="20"/>
                <w:szCs w:val="20"/>
                <w:lang w:val="fr-FR"/>
              </w:rPr>
              <w:t>, Wagner, Gascon, Côté, Brown et Rowe</w:t>
            </w:r>
          </w:p>
        </w:tc>
      </w:tr>
      <w:tr w:rsidR="00D72D79" w:rsidRPr="00B2512D" w:rsidTr="00D72D79">
        <w:tc>
          <w:tcPr>
            <w:tcW w:w="5000" w:type="pct"/>
            <w:gridSpan w:val="2"/>
          </w:tcPr>
          <w:p w:rsidR="00D72D79" w:rsidRPr="00293EE1" w:rsidRDefault="009B6D55" w:rsidP="00D72D79">
            <w:pPr>
              <w:pStyle w:val="SCCLsocParty"/>
              <w:jc w:val="both"/>
              <w:rPr>
                <w:sz w:val="20"/>
                <w:szCs w:val="20"/>
              </w:rPr>
            </w:pPr>
            <w:r w:rsidRPr="00293EE1">
              <w:rPr>
                <w:sz w:val="20"/>
                <w:szCs w:val="20"/>
              </w:rPr>
              <w:t xml:space="preserve">Les demandes d’autorisation d’appel de l’arrêt de la </w:t>
            </w:r>
            <w:r w:rsidRPr="00293EE1">
              <w:rPr>
                <w:sz w:val="20"/>
                <w:szCs w:val="20"/>
                <w:lang w:val="fr-FR"/>
              </w:rPr>
              <w:t>Cour d’appel de la Saskatchewan</w:t>
            </w:r>
            <w:r w:rsidRPr="00293EE1">
              <w:rPr>
                <w:sz w:val="20"/>
                <w:szCs w:val="20"/>
              </w:rPr>
              <w:t xml:space="preserve">, numéro </w:t>
            </w:r>
            <w:r w:rsidRPr="00293EE1">
              <w:rPr>
                <w:sz w:val="20"/>
                <w:szCs w:val="20"/>
                <w:lang w:val="fr-FR"/>
              </w:rPr>
              <w:t>CACV2757, 2016 SKCA 161</w:t>
            </w:r>
            <w:r w:rsidRPr="00293EE1">
              <w:rPr>
                <w:sz w:val="20"/>
                <w:szCs w:val="20"/>
              </w:rPr>
              <w:t xml:space="preserve">, daté du </w:t>
            </w:r>
            <w:r w:rsidRPr="00293EE1">
              <w:rPr>
                <w:sz w:val="20"/>
                <w:szCs w:val="20"/>
                <w:lang w:val="fr-FR"/>
              </w:rPr>
              <w:t>12 décembre 2016</w:t>
            </w:r>
            <w:r w:rsidRPr="00293EE1">
              <w:rPr>
                <w:sz w:val="20"/>
                <w:szCs w:val="20"/>
              </w:rPr>
              <w:t>, sont rejetées avec dépens.</w:t>
            </w:r>
          </w:p>
          <w:p w:rsidR="009B6D55" w:rsidRPr="00293EE1" w:rsidRDefault="009B6D55" w:rsidP="009B6D55">
            <w:pPr>
              <w:rPr>
                <w:lang w:val="fr-CA"/>
              </w:rPr>
            </w:pPr>
          </w:p>
        </w:tc>
      </w:tr>
      <w:tr w:rsidR="00D72D79" w:rsidRPr="00B2512D" w:rsidTr="00C92DD5">
        <w:tc>
          <w:tcPr>
            <w:tcW w:w="5000"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Relations du travail – Négociations collectives – Droit administratif – Contrôle judiciaire – La décision d’un tribunal des relations du travail à l’égard d’allégations d’intimidation et de négociations directes pendant des négociations collectives est-elle raisonnable si le tribunal rejette la présomption de déséquilibre des pouvoirs en milieu de travail ou s’il omet de reconnaître le statut du syndicat en tant qu’agent négociateur exclusif? – Quelles communications de l’employeur avec ses salariés sont acceptables au regard de la </w:t>
            </w:r>
            <w:r w:rsidRPr="00293EE1">
              <w:rPr>
                <w:rFonts w:cs="Times New Roman"/>
                <w:i/>
                <w:sz w:val="20"/>
                <w:szCs w:val="20"/>
                <w:lang w:val="fr-CA"/>
              </w:rPr>
              <w:t xml:space="preserve">Trade Union </w:t>
            </w:r>
            <w:proofErr w:type="spellStart"/>
            <w:r w:rsidRPr="00293EE1">
              <w:rPr>
                <w:rFonts w:cs="Times New Roman"/>
                <w:i/>
                <w:sz w:val="20"/>
                <w:szCs w:val="20"/>
                <w:lang w:val="fr-CA"/>
              </w:rPr>
              <w:t>Act</w:t>
            </w:r>
            <w:proofErr w:type="spellEnd"/>
            <w:r w:rsidRPr="00293EE1">
              <w:rPr>
                <w:rFonts w:cs="Times New Roman"/>
                <w:sz w:val="20"/>
                <w:szCs w:val="20"/>
                <w:lang w:val="fr-CA"/>
              </w:rPr>
              <w:t xml:space="preserve">, RSS 1978, ch. T-17, de la jurisprudence pertinente et des valeurs consacrées par la </w:t>
            </w:r>
            <w:r w:rsidRPr="00293EE1">
              <w:rPr>
                <w:rFonts w:cs="Times New Roman"/>
                <w:i/>
                <w:sz w:val="20"/>
                <w:szCs w:val="20"/>
                <w:lang w:val="fr-CA"/>
              </w:rPr>
              <w:t>Charte</w:t>
            </w:r>
            <w:r w:rsidRPr="00293EE1">
              <w:rPr>
                <w:rFonts w:cs="Times New Roman"/>
                <w:sz w:val="20"/>
                <w:szCs w:val="20"/>
                <w:lang w:val="fr-CA"/>
              </w:rPr>
              <w:t xml:space="preserve">? – Déférence due à la décision du tribunal administratif – Dans quelles situations les communications de l’employeur avec ses salariés contreviennent-elles à l’al. 11(1) a) de la </w:t>
            </w:r>
            <w:r w:rsidRPr="00293EE1">
              <w:rPr>
                <w:rFonts w:cs="Times New Roman"/>
                <w:i/>
                <w:sz w:val="20"/>
                <w:szCs w:val="20"/>
                <w:lang w:val="fr-CA"/>
              </w:rPr>
              <w:t xml:space="preserve">Trade Union </w:t>
            </w:r>
            <w:proofErr w:type="spellStart"/>
            <w:r w:rsidRPr="00293EE1">
              <w:rPr>
                <w:rFonts w:cs="Times New Roman"/>
                <w:i/>
                <w:sz w:val="20"/>
                <w:szCs w:val="20"/>
                <w:lang w:val="fr-CA"/>
              </w:rPr>
              <w:t>Act</w:t>
            </w:r>
            <w:proofErr w:type="spellEnd"/>
            <w:r w:rsidRPr="00293EE1">
              <w:rPr>
                <w:rFonts w:cs="Times New Roman"/>
                <w:sz w:val="20"/>
                <w:szCs w:val="20"/>
                <w:lang w:val="fr-CA"/>
              </w:rPr>
              <w:t>? – La Cour d’appel a-t-elle commis une erreur à l’égard de la décision du tribunal administratif portant sur les communications?</w:t>
            </w:r>
          </w:p>
        </w:tc>
      </w:tr>
      <w:tr w:rsidR="00D72D79" w:rsidRPr="00B2512D" w:rsidTr="00C92DD5">
        <w:tc>
          <w:tcPr>
            <w:tcW w:w="5000" w:type="pct"/>
            <w:gridSpan w:val="2"/>
          </w:tcPr>
          <w:p w:rsidR="00D72D79" w:rsidRPr="00293EE1" w:rsidRDefault="00D72D79" w:rsidP="00C92DD5">
            <w:pPr>
              <w:jc w:val="both"/>
              <w:rPr>
                <w:rFonts w:cs="Times New Roman"/>
                <w:sz w:val="20"/>
                <w:szCs w:val="20"/>
                <w:lang w:val="fr-CA"/>
              </w:rPr>
            </w:pPr>
          </w:p>
        </w:tc>
      </w:tr>
    </w:tbl>
    <w:p w:rsidR="00016C13" w:rsidRPr="00293EE1" w:rsidRDefault="00016C13">
      <w:pPr>
        <w:rPr>
          <w:lang w:val="fr-CA"/>
        </w:rPr>
      </w:pPr>
      <w:r w:rsidRPr="00293EE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2D79" w:rsidRPr="00293EE1" w:rsidTr="00C92DD5">
        <w:tc>
          <w:tcPr>
            <w:tcW w:w="5000" w:type="pct"/>
            <w:gridSpan w:val="3"/>
          </w:tcPr>
          <w:p w:rsidR="00D72D79" w:rsidRPr="00293EE1" w:rsidRDefault="00D72D79" w:rsidP="00C92DD5">
            <w:pPr>
              <w:jc w:val="both"/>
              <w:rPr>
                <w:rFonts w:cs="Times New Roman"/>
                <w:sz w:val="20"/>
                <w:szCs w:val="20"/>
                <w:lang w:val="fr-CA"/>
              </w:rPr>
            </w:pPr>
            <w:r w:rsidRPr="00293EE1">
              <w:rPr>
                <w:rFonts w:cs="Times New Roman"/>
                <w:sz w:val="20"/>
                <w:szCs w:val="20"/>
                <w:lang w:val="fr-CA"/>
              </w:rPr>
              <w:lastRenderedPageBreak/>
              <w:t xml:space="preserve">La Saskatchewan Association of </w:t>
            </w:r>
            <w:proofErr w:type="spellStart"/>
            <w:r w:rsidRPr="00293EE1">
              <w:rPr>
                <w:rFonts w:cs="Times New Roman"/>
                <w:sz w:val="20"/>
                <w:szCs w:val="20"/>
                <w:lang w:val="fr-CA"/>
              </w:rPr>
              <w:t>Health</w:t>
            </w:r>
            <w:proofErr w:type="spellEnd"/>
            <w:r w:rsidRPr="00293EE1">
              <w:rPr>
                <w:rFonts w:cs="Times New Roman"/>
                <w:sz w:val="20"/>
                <w:szCs w:val="20"/>
                <w:lang w:val="fr-CA"/>
              </w:rPr>
              <w:t xml:space="preserve"> </w:t>
            </w:r>
            <w:proofErr w:type="spellStart"/>
            <w:r w:rsidRPr="00293EE1">
              <w:rPr>
                <w:rFonts w:cs="Times New Roman"/>
                <w:sz w:val="20"/>
                <w:szCs w:val="20"/>
                <w:lang w:val="fr-CA"/>
              </w:rPr>
              <w:t>Organizations</w:t>
            </w:r>
            <w:proofErr w:type="spellEnd"/>
            <w:r w:rsidRPr="00293EE1">
              <w:rPr>
                <w:rFonts w:cs="Times New Roman"/>
                <w:sz w:val="20"/>
                <w:szCs w:val="20"/>
                <w:lang w:val="fr-CA"/>
              </w:rPr>
              <w:t xml:space="preserve"> représentait les régies régionales de la santé de la province dans une négociation collective qui a commencé en 2008. SEIU-West et le Saskatchewan </w:t>
            </w:r>
            <w:proofErr w:type="spellStart"/>
            <w:r w:rsidRPr="00293EE1">
              <w:rPr>
                <w:rFonts w:cs="Times New Roman"/>
                <w:sz w:val="20"/>
                <w:szCs w:val="20"/>
                <w:lang w:val="fr-CA"/>
              </w:rPr>
              <w:t>Government</w:t>
            </w:r>
            <w:proofErr w:type="spellEnd"/>
            <w:r w:rsidRPr="00293EE1">
              <w:rPr>
                <w:rFonts w:cs="Times New Roman"/>
                <w:sz w:val="20"/>
                <w:szCs w:val="20"/>
                <w:lang w:val="fr-CA"/>
              </w:rPr>
              <w:t xml:space="preserve"> and General </w:t>
            </w:r>
            <w:proofErr w:type="spellStart"/>
            <w:r w:rsidRPr="00293EE1">
              <w:rPr>
                <w:rFonts w:cs="Times New Roman"/>
                <w:sz w:val="20"/>
                <w:szCs w:val="20"/>
                <w:lang w:val="fr-CA"/>
              </w:rPr>
              <w:t>Employees</w:t>
            </w:r>
            <w:proofErr w:type="spellEnd"/>
            <w:r w:rsidRPr="00293EE1">
              <w:rPr>
                <w:rFonts w:cs="Times New Roman"/>
                <w:sz w:val="20"/>
                <w:szCs w:val="20"/>
                <w:lang w:val="fr-CA"/>
              </w:rPr>
              <w:t xml:space="preserve">’ Union représentaient quelques employés. Une modification apportée en 2008 à la </w:t>
            </w:r>
            <w:r w:rsidRPr="00293EE1">
              <w:rPr>
                <w:rFonts w:cs="Times New Roman"/>
                <w:i/>
                <w:sz w:val="20"/>
                <w:szCs w:val="20"/>
                <w:lang w:val="fr-CA"/>
              </w:rPr>
              <w:t xml:space="preserve">Trade Union </w:t>
            </w:r>
            <w:proofErr w:type="spellStart"/>
            <w:r w:rsidRPr="00293EE1">
              <w:rPr>
                <w:rFonts w:cs="Times New Roman"/>
                <w:i/>
                <w:sz w:val="20"/>
                <w:szCs w:val="20"/>
                <w:lang w:val="fr-CA"/>
              </w:rPr>
              <w:t>Act</w:t>
            </w:r>
            <w:proofErr w:type="spellEnd"/>
            <w:r w:rsidRPr="00293EE1">
              <w:rPr>
                <w:rFonts w:cs="Times New Roman"/>
                <w:sz w:val="20"/>
                <w:szCs w:val="20"/>
                <w:lang w:val="fr-CA"/>
              </w:rPr>
              <w:t>, RSS 1978, ch. T-17, a introduit dans cette loi une disposition prévoyant que [</w:t>
            </w:r>
            <w:r w:rsidRPr="00293EE1">
              <w:rPr>
                <w:rFonts w:cs="Times New Roman"/>
                <w:smallCaps/>
                <w:sz w:val="20"/>
                <w:szCs w:val="20"/>
                <w:lang w:val="fr-CA"/>
              </w:rPr>
              <w:t>traduction</w:t>
            </w:r>
            <w:r w:rsidRPr="00293EE1">
              <w:rPr>
                <w:rFonts w:cs="Times New Roman"/>
                <w:sz w:val="20"/>
                <w:szCs w:val="20"/>
                <w:lang w:val="fr-CA"/>
              </w:rPr>
              <w:t xml:space="preserve">] « la présente loi n’a pour effet d’empêcher un employeur de communiquer des faits et ses opinions à ses salariés ». Pendant la négociation, la Saskatchewan Association of </w:t>
            </w:r>
            <w:proofErr w:type="spellStart"/>
            <w:r w:rsidRPr="00293EE1">
              <w:rPr>
                <w:rFonts w:cs="Times New Roman"/>
                <w:sz w:val="20"/>
                <w:szCs w:val="20"/>
                <w:lang w:val="fr-CA"/>
              </w:rPr>
              <w:t>Health</w:t>
            </w:r>
            <w:proofErr w:type="spellEnd"/>
            <w:r w:rsidRPr="00293EE1">
              <w:rPr>
                <w:rFonts w:cs="Times New Roman"/>
                <w:sz w:val="20"/>
                <w:szCs w:val="20"/>
                <w:lang w:val="fr-CA"/>
              </w:rPr>
              <w:t xml:space="preserve"> </w:t>
            </w:r>
            <w:proofErr w:type="spellStart"/>
            <w:r w:rsidRPr="00293EE1">
              <w:rPr>
                <w:rFonts w:cs="Times New Roman"/>
                <w:sz w:val="20"/>
                <w:szCs w:val="20"/>
                <w:lang w:val="fr-CA"/>
              </w:rPr>
              <w:t>Organizations</w:t>
            </w:r>
            <w:proofErr w:type="spellEnd"/>
            <w:r w:rsidRPr="00293EE1">
              <w:rPr>
                <w:rFonts w:cs="Times New Roman"/>
                <w:sz w:val="20"/>
                <w:szCs w:val="20"/>
                <w:lang w:val="fr-CA"/>
              </w:rPr>
              <w:t xml:space="preserve"> a émis des communications. Les syndicats ont déposé des plaintes de pratiques déloyales de travail. La Labour Relations </w:t>
            </w:r>
            <w:proofErr w:type="spellStart"/>
            <w:r w:rsidRPr="00293EE1">
              <w:rPr>
                <w:rFonts w:cs="Times New Roman"/>
                <w:sz w:val="20"/>
                <w:szCs w:val="20"/>
                <w:lang w:val="fr-CA"/>
              </w:rPr>
              <w:t>Board</w:t>
            </w:r>
            <w:proofErr w:type="spellEnd"/>
            <w:r w:rsidRPr="00293EE1">
              <w:rPr>
                <w:rFonts w:cs="Times New Roman"/>
                <w:sz w:val="20"/>
                <w:szCs w:val="20"/>
                <w:lang w:val="fr-CA"/>
              </w:rPr>
              <w:t xml:space="preserve"> a statué que les associations distribuaient des renseignements inexacts sur la question de la rémunération avec effet rétroactif en contravention de la loi, mais a rejeté les plaintes par ailleurs. Elle a prononcé une ordonnance interdisant à l’association et aux régies régionales de la santé de continuer à contrevenir à la loi. Les syndicats ont demandé le contrôle judiciaire.</w:t>
            </w:r>
          </w:p>
          <w:p w:rsidR="00D72D79" w:rsidRPr="00293EE1" w:rsidRDefault="00D72D79" w:rsidP="00C92DD5">
            <w:pPr>
              <w:jc w:val="both"/>
              <w:rPr>
                <w:rFonts w:cs="Times New Roman"/>
                <w:sz w:val="20"/>
                <w:szCs w:val="20"/>
                <w:lang w:val="fr-CA"/>
              </w:rPr>
            </w:pPr>
          </w:p>
        </w:tc>
      </w:tr>
      <w:tr w:rsidR="00D72D79" w:rsidRPr="00B2512D" w:rsidTr="00C92DD5">
        <w:trPr>
          <w:trHeight w:val="1116"/>
        </w:trPr>
        <w:tc>
          <w:tcPr>
            <w:tcW w:w="2427"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17 juillet 2015</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du Banc de la Reine de la Saskatchewan</w:t>
            </w:r>
          </w:p>
          <w:p w:rsidR="00D72D79" w:rsidRPr="00293EE1" w:rsidRDefault="00D72D79" w:rsidP="00C92DD5">
            <w:pPr>
              <w:jc w:val="both"/>
              <w:rPr>
                <w:rFonts w:cs="Times New Roman"/>
                <w:sz w:val="20"/>
                <w:szCs w:val="20"/>
                <w:lang w:val="fr-CA"/>
              </w:rPr>
            </w:pPr>
            <w:r w:rsidRPr="00293EE1">
              <w:rPr>
                <w:rFonts w:cs="Times New Roman"/>
                <w:sz w:val="20"/>
                <w:szCs w:val="20"/>
                <w:lang w:val="fr-CA"/>
              </w:rPr>
              <w:t>(Juge Laing)</w:t>
            </w:r>
          </w:p>
          <w:p w:rsidR="00D72D79" w:rsidRPr="00293EE1" w:rsidRDefault="00B2512D" w:rsidP="00C92DD5">
            <w:pPr>
              <w:jc w:val="both"/>
              <w:rPr>
                <w:rFonts w:cs="Times New Roman"/>
                <w:sz w:val="20"/>
                <w:szCs w:val="20"/>
                <w:lang w:val="fr-CA"/>
              </w:rPr>
            </w:pPr>
            <w:hyperlink r:id="rId25" w:history="1">
              <w:r w:rsidR="00D72D79" w:rsidRPr="00293EE1">
                <w:rPr>
                  <w:rStyle w:val="Hyperlink"/>
                  <w:rFonts w:cs="Times New Roman"/>
                  <w:sz w:val="20"/>
                  <w:szCs w:val="20"/>
                  <w:lang w:val="fr-CA"/>
                </w:rPr>
                <w:t>2015 SKQB 222</w:t>
              </w:r>
            </w:hyperlink>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Jugement accueillant en partie les demandes de contrôle judiciaire  </w:t>
            </w:r>
          </w:p>
          <w:p w:rsidR="00D72D79" w:rsidRPr="00293EE1" w:rsidRDefault="00D72D79" w:rsidP="00C92DD5">
            <w:pPr>
              <w:jc w:val="both"/>
              <w:rPr>
                <w:rFonts w:cs="Times New Roman"/>
                <w:sz w:val="20"/>
                <w:szCs w:val="20"/>
                <w:lang w:val="fr-CA"/>
              </w:rPr>
            </w:pPr>
          </w:p>
        </w:tc>
      </w:tr>
      <w:tr w:rsidR="00D72D79" w:rsidRPr="00B2512D" w:rsidTr="00C92DD5">
        <w:trPr>
          <w:trHeight w:val="1161"/>
        </w:trPr>
        <w:tc>
          <w:tcPr>
            <w:tcW w:w="2427"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12 décembre 2016</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d’appel de la Saskatchewan</w:t>
            </w: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(Juges Richards, </w:t>
            </w:r>
            <w:proofErr w:type="spellStart"/>
            <w:r w:rsidRPr="00293EE1">
              <w:rPr>
                <w:rFonts w:cs="Times New Roman"/>
                <w:sz w:val="20"/>
                <w:szCs w:val="20"/>
                <w:lang w:val="fr-CA"/>
              </w:rPr>
              <w:t>Ottenbreit</w:t>
            </w:r>
            <w:proofErr w:type="spellEnd"/>
            <w:r w:rsidRPr="00293EE1">
              <w:rPr>
                <w:rFonts w:cs="Times New Roman"/>
                <w:sz w:val="20"/>
                <w:szCs w:val="20"/>
                <w:lang w:val="fr-CA"/>
              </w:rPr>
              <w:t xml:space="preserve"> et Ryan-</w:t>
            </w:r>
            <w:proofErr w:type="spellStart"/>
            <w:r w:rsidRPr="00293EE1">
              <w:rPr>
                <w:rFonts w:cs="Times New Roman"/>
                <w:sz w:val="20"/>
                <w:szCs w:val="20"/>
                <w:lang w:val="fr-CA"/>
              </w:rPr>
              <w:t>Froslie</w:t>
            </w:r>
            <w:proofErr w:type="spellEnd"/>
            <w:r w:rsidRPr="00293EE1">
              <w:rPr>
                <w:rFonts w:cs="Times New Roman"/>
                <w:sz w:val="20"/>
                <w:szCs w:val="20"/>
                <w:lang w:val="fr-CA"/>
              </w:rPr>
              <w:t>)</w:t>
            </w: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CACV2757; </w:t>
            </w:r>
            <w:hyperlink r:id="rId26" w:history="1">
              <w:r w:rsidRPr="00293EE1">
                <w:rPr>
                  <w:rStyle w:val="Hyperlink"/>
                  <w:rFonts w:cs="Times New Roman"/>
                  <w:sz w:val="20"/>
                  <w:szCs w:val="20"/>
                  <w:lang w:val="fr-CA"/>
                </w:rPr>
                <w:t>2016 SKCA 161</w:t>
              </w:r>
            </w:hyperlink>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Arrêt accueillant les appels en partie</w:t>
            </w:r>
          </w:p>
        </w:tc>
      </w:tr>
      <w:tr w:rsidR="00D72D79" w:rsidRPr="00293EE1" w:rsidTr="00C92DD5">
        <w:tc>
          <w:tcPr>
            <w:tcW w:w="2427"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10 février 2017</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suprême du Canada</w:t>
            </w: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Dépôt des demandes d’autorisation d’appel</w:t>
            </w:r>
          </w:p>
          <w:p w:rsidR="00D72D79" w:rsidRPr="00293EE1" w:rsidRDefault="00D72D79" w:rsidP="00C92DD5">
            <w:pPr>
              <w:jc w:val="both"/>
              <w:rPr>
                <w:rFonts w:cs="Times New Roman"/>
                <w:sz w:val="20"/>
                <w:szCs w:val="20"/>
                <w:lang w:val="fr-CA"/>
              </w:rPr>
            </w:pPr>
          </w:p>
        </w:tc>
      </w:tr>
    </w:tbl>
    <w:p w:rsidR="00D72D79" w:rsidRPr="00293EE1" w:rsidRDefault="00B2512D" w:rsidP="00D72D79">
      <w:pPr>
        <w:jc w:val="both"/>
        <w:rPr>
          <w:rFonts w:cs="Times New Roman"/>
          <w:sz w:val="20"/>
          <w:szCs w:val="20"/>
          <w:lang w:val="fr-CA"/>
        </w:rPr>
      </w:pPr>
      <w:r>
        <w:rPr>
          <w:sz w:val="20"/>
          <w:szCs w:val="20"/>
        </w:rPr>
        <w:pict>
          <v:rect id="_x0000_i1048" style="width:2in;height:1pt" o:hrpct="0" o:hralign="center" o:hrstd="t" o:hrnoshade="t" o:hr="t" fillcolor="black [3213]" stroked="f"/>
        </w:pict>
      </w:r>
    </w:p>
    <w:p w:rsidR="00D72D79" w:rsidRPr="00293EE1" w:rsidRDefault="00D72D79" w:rsidP="00D72D79">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2D79" w:rsidRPr="00293EE1" w:rsidTr="00C92DD5">
        <w:tc>
          <w:tcPr>
            <w:tcW w:w="543" w:type="pct"/>
          </w:tcPr>
          <w:p w:rsidR="00D72D79" w:rsidRPr="00293EE1" w:rsidRDefault="00D72D79" w:rsidP="00C92DD5">
            <w:pPr>
              <w:jc w:val="both"/>
              <w:rPr>
                <w:rFonts w:cs="Times New Roman"/>
                <w:sz w:val="20"/>
                <w:szCs w:val="20"/>
              </w:rPr>
            </w:pPr>
            <w:r w:rsidRPr="00293EE1">
              <w:rPr>
                <w:rStyle w:val="SCCFileNumberChar"/>
                <w:sz w:val="20"/>
                <w:szCs w:val="20"/>
              </w:rPr>
              <w:t>37437</w:t>
            </w:r>
          </w:p>
        </w:tc>
        <w:tc>
          <w:tcPr>
            <w:tcW w:w="4457" w:type="pct"/>
            <w:gridSpan w:val="3"/>
          </w:tcPr>
          <w:p w:rsidR="00D72D79" w:rsidRPr="00293EE1" w:rsidRDefault="00D72D79" w:rsidP="00C92DD5">
            <w:pPr>
              <w:pStyle w:val="SCCLsocParty"/>
              <w:jc w:val="both"/>
              <w:rPr>
                <w:b/>
                <w:sz w:val="20"/>
                <w:szCs w:val="20"/>
                <w:lang w:val="en-US"/>
              </w:rPr>
            </w:pPr>
            <w:r w:rsidRPr="00293EE1">
              <w:rPr>
                <w:b/>
                <w:sz w:val="20"/>
                <w:szCs w:val="20"/>
                <w:lang w:val="en-US"/>
              </w:rPr>
              <w:t xml:space="preserve">Henry </w:t>
            </w:r>
            <w:proofErr w:type="spellStart"/>
            <w:r w:rsidRPr="00293EE1">
              <w:rPr>
                <w:b/>
                <w:sz w:val="20"/>
                <w:szCs w:val="20"/>
                <w:lang w:val="en-US"/>
              </w:rPr>
              <w:t>Majebi</w:t>
            </w:r>
            <w:proofErr w:type="spellEnd"/>
            <w:r w:rsidRPr="00293EE1">
              <w:rPr>
                <w:b/>
                <w:sz w:val="20"/>
                <w:szCs w:val="20"/>
                <w:lang w:val="en-US"/>
              </w:rPr>
              <w:t xml:space="preserve">, Daisy </w:t>
            </w:r>
            <w:proofErr w:type="spellStart"/>
            <w:r w:rsidRPr="00293EE1">
              <w:rPr>
                <w:b/>
                <w:sz w:val="20"/>
                <w:szCs w:val="20"/>
                <w:lang w:val="en-US"/>
              </w:rPr>
              <w:t>Oyieamed</w:t>
            </w:r>
            <w:proofErr w:type="spellEnd"/>
            <w:r w:rsidRPr="00293EE1">
              <w:rPr>
                <w:b/>
                <w:sz w:val="20"/>
                <w:szCs w:val="20"/>
                <w:lang w:val="en-US"/>
              </w:rPr>
              <w:t xml:space="preserve"> </w:t>
            </w:r>
            <w:proofErr w:type="spellStart"/>
            <w:r w:rsidRPr="00293EE1">
              <w:rPr>
                <w:b/>
                <w:sz w:val="20"/>
                <w:szCs w:val="20"/>
                <w:lang w:val="en-US"/>
              </w:rPr>
              <w:t>Sulemajebi</w:t>
            </w:r>
            <w:proofErr w:type="spellEnd"/>
            <w:r w:rsidRPr="00293EE1">
              <w:rPr>
                <w:b/>
                <w:sz w:val="20"/>
                <w:szCs w:val="20"/>
                <w:lang w:val="en-US"/>
              </w:rPr>
              <w:t xml:space="preserve">, Marian </w:t>
            </w:r>
            <w:proofErr w:type="spellStart"/>
            <w:r w:rsidRPr="00293EE1">
              <w:rPr>
                <w:b/>
                <w:sz w:val="20"/>
                <w:szCs w:val="20"/>
                <w:lang w:val="en-US"/>
              </w:rPr>
              <w:t>Omonigho</w:t>
            </w:r>
            <w:proofErr w:type="spellEnd"/>
            <w:r w:rsidRPr="00293EE1">
              <w:rPr>
                <w:b/>
                <w:sz w:val="20"/>
                <w:szCs w:val="20"/>
                <w:lang w:val="en-US"/>
              </w:rPr>
              <w:t xml:space="preserve"> </w:t>
            </w:r>
            <w:proofErr w:type="spellStart"/>
            <w:r w:rsidRPr="00293EE1">
              <w:rPr>
                <w:b/>
                <w:sz w:val="20"/>
                <w:szCs w:val="20"/>
                <w:lang w:val="en-US"/>
              </w:rPr>
              <w:t>Sulemajebi</w:t>
            </w:r>
            <w:proofErr w:type="spellEnd"/>
            <w:r w:rsidRPr="00293EE1">
              <w:rPr>
                <w:b/>
                <w:sz w:val="20"/>
                <w:szCs w:val="20"/>
                <w:lang w:val="en-US"/>
              </w:rPr>
              <w:t xml:space="preserve">, Chantel </w:t>
            </w:r>
            <w:proofErr w:type="spellStart"/>
            <w:r w:rsidRPr="00293EE1">
              <w:rPr>
                <w:b/>
                <w:sz w:val="20"/>
                <w:szCs w:val="20"/>
                <w:lang w:val="en-US"/>
              </w:rPr>
              <w:t>Rechia</w:t>
            </w:r>
            <w:proofErr w:type="spellEnd"/>
            <w:r w:rsidRPr="00293EE1">
              <w:rPr>
                <w:b/>
                <w:sz w:val="20"/>
                <w:szCs w:val="20"/>
                <w:lang w:val="en-US"/>
              </w:rPr>
              <w:t xml:space="preserve"> </w:t>
            </w:r>
            <w:proofErr w:type="spellStart"/>
            <w:r w:rsidRPr="00293EE1">
              <w:rPr>
                <w:b/>
                <w:sz w:val="20"/>
                <w:szCs w:val="20"/>
                <w:lang w:val="en-US"/>
              </w:rPr>
              <w:t>Sulemajebi</w:t>
            </w:r>
            <w:proofErr w:type="spellEnd"/>
            <w:r w:rsidRPr="00293EE1">
              <w:rPr>
                <w:b/>
                <w:sz w:val="20"/>
                <w:szCs w:val="20"/>
                <w:lang w:val="en-US"/>
              </w:rPr>
              <w:t xml:space="preserve"> v. Minister of Citizenship and Immigration</w:t>
            </w:r>
          </w:p>
          <w:p w:rsidR="00D72D79" w:rsidRPr="00293EE1" w:rsidRDefault="00D72D79" w:rsidP="00C92DD5">
            <w:pPr>
              <w:jc w:val="both"/>
              <w:rPr>
                <w:rFonts w:cs="Times New Roman"/>
                <w:sz w:val="20"/>
                <w:szCs w:val="20"/>
              </w:rPr>
            </w:pPr>
            <w:r w:rsidRPr="00293EE1">
              <w:rPr>
                <w:rFonts w:cs="Times New Roman"/>
                <w:sz w:val="20"/>
                <w:szCs w:val="20"/>
              </w:rPr>
              <w:t>(F.C.) (Civil) (By Leave)</w:t>
            </w:r>
          </w:p>
        </w:tc>
      </w:tr>
      <w:tr w:rsidR="00D72D79" w:rsidRPr="00293EE1" w:rsidTr="00C92DD5">
        <w:tc>
          <w:tcPr>
            <w:tcW w:w="543" w:type="pct"/>
          </w:tcPr>
          <w:p w:rsidR="00D72D79" w:rsidRPr="00293EE1" w:rsidRDefault="00D72D79" w:rsidP="00C92DD5">
            <w:pPr>
              <w:jc w:val="both"/>
              <w:rPr>
                <w:rStyle w:val="SCCFileNumberChar"/>
                <w:sz w:val="20"/>
                <w:szCs w:val="20"/>
              </w:rPr>
            </w:pPr>
            <w:r w:rsidRPr="00293EE1">
              <w:rPr>
                <w:rStyle w:val="SCCFileNumberChar"/>
                <w:sz w:val="20"/>
                <w:szCs w:val="20"/>
              </w:rPr>
              <w:t>Coram:</w:t>
            </w:r>
          </w:p>
        </w:tc>
        <w:tc>
          <w:tcPr>
            <w:tcW w:w="4457" w:type="pct"/>
            <w:gridSpan w:val="3"/>
          </w:tcPr>
          <w:p w:rsidR="00D72D79" w:rsidRPr="00293EE1" w:rsidRDefault="00A44FD6" w:rsidP="00C92DD5">
            <w:pPr>
              <w:pStyle w:val="SCCLsocParty"/>
              <w:jc w:val="both"/>
              <w:rPr>
                <w:sz w:val="20"/>
                <w:szCs w:val="20"/>
                <w:lang w:val="en-US"/>
              </w:rPr>
            </w:pPr>
            <w:proofErr w:type="spellStart"/>
            <w:r w:rsidRPr="00293EE1">
              <w:rPr>
                <w:sz w:val="20"/>
                <w:szCs w:val="20"/>
                <w:lang w:val="en-US"/>
              </w:rPr>
              <w:t>McLachlin</w:t>
            </w:r>
            <w:proofErr w:type="spellEnd"/>
            <w:r w:rsidRPr="00293EE1">
              <w:rPr>
                <w:sz w:val="20"/>
                <w:szCs w:val="20"/>
                <w:lang w:val="en-US"/>
              </w:rPr>
              <w:t xml:space="preserve"> C.J. and </w:t>
            </w:r>
            <w:proofErr w:type="spellStart"/>
            <w:r w:rsidRPr="00293EE1">
              <w:rPr>
                <w:sz w:val="20"/>
                <w:szCs w:val="20"/>
                <w:lang w:val="en-US"/>
              </w:rPr>
              <w:t>Abella</w:t>
            </w:r>
            <w:proofErr w:type="spellEnd"/>
            <w:r w:rsidRPr="00293EE1">
              <w:rPr>
                <w:sz w:val="20"/>
                <w:szCs w:val="20"/>
                <w:lang w:val="en-US"/>
              </w:rPr>
              <w:t xml:space="preserve">, </w:t>
            </w:r>
            <w:proofErr w:type="spellStart"/>
            <w:r w:rsidRPr="00293EE1">
              <w:rPr>
                <w:sz w:val="20"/>
                <w:szCs w:val="20"/>
                <w:lang w:val="en-US"/>
              </w:rPr>
              <w:t>Moldaver</w:t>
            </w:r>
            <w:proofErr w:type="spellEnd"/>
            <w:r w:rsidRPr="00293EE1">
              <w:rPr>
                <w:sz w:val="20"/>
                <w:szCs w:val="20"/>
                <w:lang w:val="en-US"/>
              </w:rPr>
              <w:t xml:space="preserve">, </w:t>
            </w:r>
            <w:proofErr w:type="spellStart"/>
            <w:r w:rsidRPr="00293EE1">
              <w:rPr>
                <w:sz w:val="20"/>
                <w:szCs w:val="20"/>
                <w:lang w:val="en-US"/>
              </w:rPr>
              <w:t>Karakatsanis</w:t>
            </w:r>
            <w:proofErr w:type="spellEnd"/>
            <w:r w:rsidRPr="00293EE1">
              <w:rPr>
                <w:sz w:val="20"/>
                <w:szCs w:val="20"/>
                <w:lang w:val="en-US"/>
              </w:rPr>
              <w:t xml:space="preserve">, Wagner, </w:t>
            </w:r>
            <w:proofErr w:type="spellStart"/>
            <w:r w:rsidRPr="00293EE1">
              <w:rPr>
                <w:sz w:val="20"/>
                <w:szCs w:val="20"/>
                <w:lang w:val="en-US"/>
              </w:rPr>
              <w:t>Gascon</w:t>
            </w:r>
            <w:proofErr w:type="spellEnd"/>
            <w:r w:rsidRPr="00293EE1">
              <w:rPr>
                <w:sz w:val="20"/>
                <w:szCs w:val="20"/>
                <w:lang w:val="en-US"/>
              </w:rPr>
              <w:t xml:space="preserve">, </w:t>
            </w:r>
            <w:proofErr w:type="spellStart"/>
            <w:r w:rsidRPr="00293EE1">
              <w:rPr>
                <w:sz w:val="20"/>
                <w:szCs w:val="20"/>
                <w:lang w:val="en-US"/>
              </w:rPr>
              <w:t>Côté</w:t>
            </w:r>
            <w:proofErr w:type="spellEnd"/>
            <w:r w:rsidRPr="00293EE1">
              <w:rPr>
                <w:sz w:val="20"/>
                <w:szCs w:val="20"/>
                <w:lang w:val="en-US"/>
              </w:rPr>
              <w:t>, Brown and Rowe JJ.</w:t>
            </w:r>
          </w:p>
        </w:tc>
      </w:tr>
      <w:tr w:rsidR="00D72D79" w:rsidRPr="00293EE1" w:rsidTr="00D72D79">
        <w:tc>
          <w:tcPr>
            <w:tcW w:w="5000" w:type="pct"/>
            <w:gridSpan w:val="4"/>
          </w:tcPr>
          <w:p w:rsidR="00D72D79" w:rsidRPr="00293EE1" w:rsidRDefault="00A44FD6" w:rsidP="00C92DD5">
            <w:pPr>
              <w:pStyle w:val="SCCLsocParty"/>
              <w:jc w:val="both"/>
              <w:rPr>
                <w:sz w:val="20"/>
                <w:szCs w:val="20"/>
                <w:lang w:val="en-US"/>
              </w:rPr>
            </w:pPr>
            <w:r w:rsidRPr="00293EE1">
              <w:rPr>
                <w:sz w:val="20"/>
                <w:szCs w:val="20"/>
                <w:lang w:val="en-US"/>
              </w:rPr>
              <w:t>The motion for an extension of time to serve and file the application for leave to appeal is granted. The application for leave to appeal from the judgment of the Federal Court of Appeal, Number A-52-16, 2016 FCA 274, dated November 9, 2016, is dismissed.</w:t>
            </w:r>
          </w:p>
          <w:p w:rsidR="00A44FD6" w:rsidRPr="00293EE1" w:rsidRDefault="00A44FD6" w:rsidP="00A44FD6">
            <w:pPr>
              <w:rPr>
                <w:lang w:val="en-US"/>
              </w:rPr>
            </w:pPr>
          </w:p>
        </w:tc>
      </w:tr>
      <w:tr w:rsidR="00D72D79" w:rsidRPr="00293EE1" w:rsidTr="00C92DD5">
        <w:tc>
          <w:tcPr>
            <w:tcW w:w="5000" w:type="pct"/>
            <w:gridSpan w:val="4"/>
          </w:tcPr>
          <w:p w:rsidR="00D72D79" w:rsidRPr="00293EE1" w:rsidRDefault="00D72D79" w:rsidP="00C92DD5">
            <w:pPr>
              <w:jc w:val="both"/>
              <w:rPr>
                <w:rFonts w:cs="Times New Roman"/>
                <w:sz w:val="20"/>
                <w:szCs w:val="20"/>
              </w:rPr>
            </w:pPr>
            <w:r w:rsidRPr="00293EE1">
              <w:rPr>
                <w:rFonts w:cs="Times New Roman"/>
                <w:sz w:val="20"/>
                <w:szCs w:val="20"/>
              </w:rPr>
              <w:t>Immigration – Convention refugee – Exclusion – Date upon which claimant’s status is considered – Standard of review – Whether the Federal Court of Appeal erred in its interpretation of Article 1E of the Convention – Whether the Federal Court of Appeal erred in its approach to the role of the Refugee Appeal Division when applying Article 1E of the Convention – Whether the Federal Court of Appeal erred in its assessment of the standard of review applicable when interpreting an international treaty.</w:t>
            </w:r>
          </w:p>
        </w:tc>
      </w:tr>
      <w:tr w:rsidR="00D72D79" w:rsidRPr="00293EE1" w:rsidTr="00C92DD5">
        <w:tc>
          <w:tcPr>
            <w:tcW w:w="5000" w:type="pct"/>
            <w:gridSpan w:val="4"/>
          </w:tcPr>
          <w:p w:rsidR="00D72D79" w:rsidRPr="00293EE1" w:rsidRDefault="00D72D79" w:rsidP="00C92DD5">
            <w:pPr>
              <w:jc w:val="both"/>
              <w:rPr>
                <w:rFonts w:cs="Times New Roman"/>
                <w:sz w:val="20"/>
                <w:szCs w:val="20"/>
              </w:rPr>
            </w:pPr>
          </w:p>
        </w:tc>
      </w:tr>
      <w:tr w:rsidR="00D72D79" w:rsidRPr="00293EE1" w:rsidTr="00C92DD5">
        <w:tc>
          <w:tcPr>
            <w:tcW w:w="5000" w:type="pct"/>
            <w:gridSpan w:val="4"/>
          </w:tcPr>
          <w:p w:rsidR="00D72D79" w:rsidRPr="00293EE1" w:rsidRDefault="00D72D79" w:rsidP="00C92DD5">
            <w:pPr>
              <w:jc w:val="both"/>
              <w:rPr>
                <w:rFonts w:cs="Times New Roman"/>
                <w:sz w:val="20"/>
                <w:szCs w:val="20"/>
              </w:rPr>
            </w:pPr>
            <w:r w:rsidRPr="00293EE1">
              <w:rPr>
                <w:rFonts w:cs="Times New Roman"/>
                <w:sz w:val="20"/>
                <w:szCs w:val="20"/>
              </w:rPr>
              <w:t>In 1993, Mr. </w:t>
            </w:r>
            <w:proofErr w:type="spellStart"/>
            <w:r w:rsidRPr="00293EE1">
              <w:rPr>
                <w:rFonts w:cs="Times New Roman"/>
                <w:sz w:val="20"/>
                <w:szCs w:val="20"/>
              </w:rPr>
              <w:t>Majebi</w:t>
            </w:r>
            <w:proofErr w:type="spellEnd"/>
            <w:r w:rsidRPr="00293EE1">
              <w:rPr>
                <w:rFonts w:cs="Times New Roman"/>
                <w:sz w:val="20"/>
                <w:szCs w:val="20"/>
              </w:rPr>
              <w:t>, a citizen of Nigeria, moved from Nigeria to Italy, where he met his wife, Ms. </w:t>
            </w:r>
            <w:proofErr w:type="spellStart"/>
            <w:r w:rsidRPr="00293EE1">
              <w:rPr>
                <w:rFonts w:cs="Times New Roman"/>
                <w:sz w:val="20"/>
                <w:szCs w:val="20"/>
              </w:rPr>
              <w:t>Okolo</w:t>
            </w:r>
            <w:proofErr w:type="spellEnd"/>
            <w:r w:rsidRPr="00293EE1">
              <w:rPr>
                <w:rFonts w:cs="Times New Roman"/>
                <w:sz w:val="20"/>
                <w:szCs w:val="20"/>
              </w:rPr>
              <w:t xml:space="preserve">. Their three children were born in Italy and the United Kingdom, but are citizens of Nigeria and no other country. The family arrived in Canada via the United States, and claimed refugee protection on the grounds that they fear persecution in Nigeria and Italy. On June 25, 2014, the Refugee Protection Division denied refugee status on the grounds that they had residency status substantially similar to that of Italian nationals: s. 98 of the </w:t>
            </w:r>
            <w:r w:rsidRPr="00293EE1">
              <w:rPr>
                <w:rFonts w:cs="Times New Roman"/>
                <w:i/>
                <w:sz w:val="20"/>
                <w:szCs w:val="20"/>
              </w:rPr>
              <w:t>Immigration and Refugee Protection Act</w:t>
            </w:r>
            <w:r w:rsidRPr="00293EE1">
              <w:rPr>
                <w:rFonts w:cs="Times New Roman"/>
                <w:sz w:val="20"/>
                <w:szCs w:val="20"/>
              </w:rPr>
              <w:t xml:space="preserve">, S.C. 2001, c. 27, and Article 1E of the </w:t>
            </w:r>
            <w:r w:rsidRPr="00293EE1">
              <w:rPr>
                <w:rFonts w:cs="Times New Roman"/>
                <w:i/>
                <w:sz w:val="20"/>
                <w:szCs w:val="20"/>
              </w:rPr>
              <w:t>United Nations Convention Relating to the Status of Refugees</w:t>
            </w:r>
            <w:r w:rsidRPr="00293EE1">
              <w:rPr>
                <w:rFonts w:cs="Times New Roman"/>
                <w:sz w:val="20"/>
                <w:szCs w:val="20"/>
              </w:rPr>
              <w:t xml:space="preserve">, Can. T.S. 1969, </w:t>
            </w:r>
            <w:proofErr w:type="gramStart"/>
            <w:r w:rsidRPr="00293EE1">
              <w:rPr>
                <w:rFonts w:cs="Times New Roman"/>
                <w:sz w:val="20"/>
                <w:szCs w:val="20"/>
              </w:rPr>
              <w:t>No</w:t>
            </w:r>
            <w:proofErr w:type="gramEnd"/>
            <w:r w:rsidRPr="00293EE1">
              <w:rPr>
                <w:rFonts w:cs="Times New Roman"/>
                <w:sz w:val="20"/>
                <w:szCs w:val="20"/>
              </w:rPr>
              <w:t>. 6. They all appealed to the Refugee Appeal Division, arguing that their residency had been incorrectly assessed at the time of the hearing. In support, they sought to adduce new evidence, including evidence that, between the hearing and the decision, Mr. </w:t>
            </w:r>
            <w:proofErr w:type="spellStart"/>
            <w:r w:rsidRPr="00293EE1">
              <w:rPr>
                <w:rFonts w:cs="Times New Roman"/>
                <w:sz w:val="20"/>
                <w:szCs w:val="20"/>
              </w:rPr>
              <w:t>Majebi</w:t>
            </w:r>
            <w:proofErr w:type="spellEnd"/>
            <w:r w:rsidRPr="00293EE1">
              <w:rPr>
                <w:rFonts w:cs="Times New Roman"/>
                <w:sz w:val="20"/>
                <w:szCs w:val="20"/>
              </w:rPr>
              <w:t xml:space="preserve"> had lost his permanent resident status in Italy because he had been absent from Italy for 12 consecutive months, and that the children’s temporary resident permits, which were predicated on their parents’ status, had also been lost.</w:t>
            </w:r>
          </w:p>
          <w:p w:rsidR="00D72D79" w:rsidRPr="00293EE1" w:rsidRDefault="00D72D79" w:rsidP="00C92DD5">
            <w:pPr>
              <w:jc w:val="both"/>
              <w:rPr>
                <w:rFonts w:cs="Times New Roman"/>
                <w:sz w:val="20"/>
                <w:szCs w:val="20"/>
              </w:rPr>
            </w:pPr>
          </w:p>
          <w:p w:rsidR="00D72D79" w:rsidRPr="00293EE1" w:rsidRDefault="00D72D79" w:rsidP="00C92DD5">
            <w:pPr>
              <w:jc w:val="both"/>
              <w:rPr>
                <w:rFonts w:cs="Times New Roman"/>
                <w:sz w:val="20"/>
                <w:szCs w:val="20"/>
              </w:rPr>
            </w:pPr>
            <w:r w:rsidRPr="00293EE1">
              <w:rPr>
                <w:rFonts w:cs="Times New Roman"/>
                <w:sz w:val="20"/>
                <w:szCs w:val="20"/>
              </w:rPr>
              <w:t>The Appeal Division refused to admit the new evidence on the grounds that it either repeated evidence already in the record or had been available well before the claim was decided. It allowed Ms. </w:t>
            </w:r>
            <w:proofErr w:type="spellStart"/>
            <w:r w:rsidRPr="00293EE1">
              <w:rPr>
                <w:rFonts w:cs="Times New Roman"/>
                <w:sz w:val="20"/>
                <w:szCs w:val="20"/>
              </w:rPr>
              <w:t>Okolo’s</w:t>
            </w:r>
            <w:proofErr w:type="spellEnd"/>
            <w:r w:rsidRPr="00293EE1">
              <w:rPr>
                <w:rFonts w:cs="Times New Roman"/>
                <w:sz w:val="20"/>
                <w:szCs w:val="20"/>
              </w:rPr>
              <w:t xml:space="preserve"> appeal, but dismissed the appeal concerning Mr. </w:t>
            </w:r>
            <w:proofErr w:type="spellStart"/>
            <w:r w:rsidRPr="00293EE1">
              <w:rPr>
                <w:rFonts w:cs="Times New Roman"/>
                <w:sz w:val="20"/>
                <w:szCs w:val="20"/>
              </w:rPr>
              <w:t>Majebi</w:t>
            </w:r>
            <w:proofErr w:type="spellEnd"/>
            <w:r w:rsidRPr="00293EE1">
              <w:rPr>
                <w:rFonts w:cs="Times New Roman"/>
                <w:sz w:val="20"/>
                <w:szCs w:val="20"/>
              </w:rPr>
              <w:t xml:space="preserve"> and the children on the grounds that their status was substantially similar to that of Italian nationals at the time of the Refugee Protection Division’s decision. Mr. </w:t>
            </w:r>
            <w:proofErr w:type="spellStart"/>
            <w:r w:rsidRPr="00293EE1">
              <w:rPr>
                <w:rFonts w:cs="Times New Roman"/>
                <w:sz w:val="20"/>
                <w:szCs w:val="20"/>
              </w:rPr>
              <w:t>Majebi</w:t>
            </w:r>
            <w:proofErr w:type="spellEnd"/>
            <w:r w:rsidRPr="00293EE1">
              <w:rPr>
                <w:rFonts w:cs="Times New Roman"/>
                <w:sz w:val="20"/>
                <w:szCs w:val="20"/>
              </w:rPr>
              <w:t xml:space="preserve"> and the children applied for judicial review. The Federal Court dismissed Mr. </w:t>
            </w:r>
            <w:proofErr w:type="spellStart"/>
            <w:r w:rsidRPr="00293EE1">
              <w:rPr>
                <w:rFonts w:cs="Times New Roman"/>
                <w:sz w:val="20"/>
                <w:szCs w:val="20"/>
              </w:rPr>
              <w:t>Majebi’s</w:t>
            </w:r>
            <w:proofErr w:type="spellEnd"/>
            <w:r w:rsidRPr="00293EE1">
              <w:rPr>
                <w:rFonts w:cs="Times New Roman"/>
                <w:sz w:val="20"/>
                <w:szCs w:val="20"/>
              </w:rPr>
              <w:t xml:space="preserve"> application, but certified questions for appeal. The Federal Court of Appeal dismissed Mr. </w:t>
            </w:r>
            <w:proofErr w:type="spellStart"/>
            <w:r w:rsidRPr="00293EE1">
              <w:rPr>
                <w:rFonts w:cs="Times New Roman"/>
                <w:sz w:val="20"/>
                <w:szCs w:val="20"/>
              </w:rPr>
              <w:t>Majebi’s</w:t>
            </w:r>
            <w:proofErr w:type="spellEnd"/>
            <w:r w:rsidRPr="00293EE1">
              <w:rPr>
                <w:rFonts w:cs="Times New Roman"/>
                <w:sz w:val="20"/>
                <w:szCs w:val="20"/>
              </w:rPr>
              <w:t xml:space="preserve"> further appeal.</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lastRenderedPageBreak/>
              <w:t>January 7, 2016</w:t>
            </w:r>
          </w:p>
          <w:p w:rsidR="00D72D79" w:rsidRPr="00293EE1" w:rsidRDefault="00D72D79" w:rsidP="00C92DD5">
            <w:pPr>
              <w:jc w:val="both"/>
              <w:rPr>
                <w:rFonts w:cs="Times New Roman"/>
                <w:sz w:val="20"/>
                <w:szCs w:val="20"/>
              </w:rPr>
            </w:pPr>
            <w:r w:rsidRPr="00293EE1">
              <w:rPr>
                <w:rFonts w:cs="Times New Roman"/>
                <w:sz w:val="20"/>
                <w:szCs w:val="20"/>
              </w:rPr>
              <w:t>Federal Court</w:t>
            </w:r>
          </w:p>
          <w:p w:rsidR="00D72D79" w:rsidRPr="00293EE1" w:rsidRDefault="00D72D79" w:rsidP="00C92DD5">
            <w:pPr>
              <w:jc w:val="both"/>
              <w:rPr>
                <w:rFonts w:cs="Times New Roman"/>
                <w:sz w:val="20"/>
                <w:szCs w:val="20"/>
              </w:rPr>
            </w:pPr>
            <w:r w:rsidRPr="00293EE1">
              <w:rPr>
                <w:rFonts w:cs="Times New Roman"/>
                <w:sz w:val="20"/>
                <w:szCs w:val="20"/>
              </w:rPr>
              <w:t>(Fothergill J.)</w:t>
            </w:r>
          </w:p>
          <w:p w:rsidR="00D72D79" w:rsidRPr="00293EE1" w:rsidRDefault="00B2512D" w:rsidP="00C92DD5">
            <w:pPr>
              <w:jc w:val="both"/>
              <w:rPr>
                <w:rFonts w:cs="Times New Roman"/>
                <w:sz w:val="20"/>
                <w:szCs w:val="20"/>
              </w:rPr>
            </w:pPr>
            <w:hyperlink r:id="rId27" w:history="1">
              <w:r w:rsidR="00D72D79" w:rsidRPr="00293EE1">
                <w:rPr>
                  <w:rStyle w:val="Hyperlink"/>
                  <w:rFonts w:cs="Times New Roman"/>
                  <w:sz w:val="20"/>
                  <w:szCs w:val="20"/>
                </w:rPr>
                <w:t>2016 FC 14</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Application for judicial review dismissed; questions certified for appeal</w:t>
            </w:r>
          </w:p>
        </w:tc>
      </w:tr>
      <w:tr w:rsidR="00D72D79" w:rsidRPr="00293EE1" w:rsidTr="00C92DD5">
        <w:trPr>
          <w:trHeight w:val="1345"/>
        </w:trPr>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November 9, 2016</w:t>
            </w:r>
          </w:p>
          <w:p w:rsidR="00D72D79" w:rsidRPr="00293EE1" w:rsidRDefault="00D72D79" w:rsidP="00C92DD5">
            <w:pPr>
              <w:jc w:val="both"/>
              <w:rPr>
                <w:rFonts w:cs="Times New Roman"/>
                <w:sz w:val="20"/>
                <w:szCs w:val="20"/>
              </w:rPr>
            </w:pPr>
            <w:r w:rsidRPr="00293EE1">
              <w:rPr>
                <w:rFonts w:cs="Times New Roman"/>
                <w:sz w:val="20"/>
                <w:szCs w:val="20"/>
              </w:rPr>
              <w:t>Federal Court of Appeal</w:t>
            </w:r>
          </w:p>
          <w:p w:rsidR="00D72D79" w:rsidRPr="00293EE1" w:rsidRDefault="00D72D79" w:rsidP="00C92DD5">
            <w:pPr>
              <w:jc w:val="both"/>
              <w:rPr>
                <w:rFonts w:cs="Times New Roman"/>
                <w:sz w:val="20"/>
                <w:szCs w:val="20"/>
              </w:rPr>
            </w:pPr>
            <w:r w:rsidRPr="00293EE1">
              <w:rPr>
                <w:rFonts w:cs="Times New Roman"/>
                <w:sz w:val="20"/>
                <w:szCs w:val="20"/>
              </w:rPr>
              <w:t>(Dawson, Near, Woods J.A.)</w:t>
            </w:r>
          </w:p>
          <w:p w:rsidR="00D72D79" w:rsidRPr="00293EE1" w:rsidRDefault="00B2512D" w:rsidP="00C92DD5">
            <w:pPr>
              <w:jc w:val="both"/>
              <w:rPr>
                <w:rFonts w:cs="Times New Roman"/>
                <w:sz w:val="20"/>
                <w:szCs w:val="20"/>
              </w:rPr>
            </w:pPr>
            <w:hyperlink r:id="rId28" w:history="1">
              <w:r w:rsidR="00D72D79" w:rsidRPr="00293EE1">
                <w:rPr>
                  <w:rStyle w:val="Hyperlink"/>
                  <w:rFonts w:cs="Times New Roman"/>
                  <w:sz w:val="20"/>
                  <w:szCs w:val="20"/>
                </w:rPr>
                <w:t>2016 FCA 274</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Appeal dismissed</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February 3, 2017</w:t>
            </w:r>
          </w:p>
          <w:p w:rsidR="00D72D79" w:rsidRPr="00293EE1" w:rsidRDefault="00D72D79" w:rsidP="00C92DD5">
            <w:pPr>
              <w:jc w:val="both"/>
              <w:rPr>
                <w:rFonts w:cs="Times New Roman"/>
                <w:sz w:val="20"/>
                <w:szCs w:val="20"/>
              </w:rPr>
            </w:pPr>
            <w:r w:rsidRPr="00293EE1">
              <w:rPr>
                <w:rFonts w:cs="Times New Roman"/>
                <w:sz w:val="20"/>
                <w:szCs w:val="20"/>
              </w:rPr>
              <w:t>Supreme Court of Canada</w:t>
            </w: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Motion to extend time to serve and file  application for leave and</w:t>
            </w:r>
          </w:p>
          <w:p w:rsidR="00D72D79" w:rsidRPr="00293EE1" w:rsidRDefault="00D72D79" w:rsidP="00C92DD5">
            <w:pPr>
              <w:jc w:val="both"/>
              <w:rPr>
                <w:rFonts w:cs="Times New Roman"/>
                <w:sz w:val="20"/>
                <w:szCs w:val="20"/>
              </w:rPr>
            </w:pPr>
            <w:r w:rsidRPr="00293EE1">
              <w:rPr>
                <w:rFonts w:cs="Times New Roman"/>
                <w:sz w:val="20"/>
                <w:szCs w:val="20"/>
              </w:rPr>
              <w:t>Application for leave to appeal filed</w:t>
            </w:r>
          </w:p>
        </w:tc>
      </w:tr>
    </w:tbl>
    <w:p w:rsidR="00D72D79" w:rsidRPr="00293EE1" w:rsidRDefault="00B2512D" w:rsidP="00D72D79">
      <w:pPr>
        <w:jc w:val="both"/>
        <w:rPr>
          <w:rFonts w:cs="Times New Roman"/>
          <w:sz w:val="20"/>
          <w:szCs w:val="20"/>
        </w:rPr>
      </w:pPr>
      <w:r>
        <w:rPr>
          <w:sz w:val="20"/>
          <w:szCs w:val="20"/>
        </w:rPr>
        <w:pict>
          <v:rect id="_x0000_i1049" style="width:2in;height:1pt" o:hrpct="0" o:hralign="center" o:hrstd="t" o:hrnoshade="t" o:hr="t" fillcolor="black [3213]" stroked="f"/>
        </w:pict>
      </w:r>
    </w:p>
    <w:p w:rsidR="00D72D79" w:rsidRPr="00293EE1" w:rsidRDefault="00D72D79" w:rsidP="00D72D79">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2D79" w:rsidRPr="00B2512D" w:rsidTr="00C92DD5">
        <w:tc>
          <w:tcPr>
            <w:tcW w:w="543" w:type="pct"/>
          </w:tcPr>
          <w:p w:rsidR="00D72D79" w:rsidRPr="00293EE1" w:rsidRDefault="00D72D79" w:rsidP="00C92DD5">
            <w:pPr>
              <w:jc w:val="both"/>
              <w:rPr>
                <w:rFonts w:cs="Times New Roman"/>
                <w:sz w:val="20"/>
                <w:szCs w:val="20"/>
                <w:lang w:val="fr-CA"/>
              </w:rPr>
            </w:pPr>
            <w:r w:rsidRPr="00293EE1">
              <w:rPr>
                <w:rStyle w:val="SCCFileNumberChar"/>
                <w:sz w:val="20"/>
                <w:szCs w:val="20"/>
                <w:lang w:val="fr-CA"/>
              </w:rPr>
              <w:t>37437</w:t>
            </w:r>
          </w:p>
        </w:tc>
        <w:tc>
          <w:tcPr>
            <w:tcW w:w="4457" w:type="pct"/>
          </w:tcPr>
          <w:p w:rsidR="00D72D79" w:rsidRPr="00293EE1" w:rsidRDefault="00D72D79" w:rsidP="00C92DD5">
            <w:pPr>
              <w:pStyle w:val="SCCLsocParty"/>
              <w:jc w:val="both"/>
              <w:rPr>
                <w:b/>
                <w:sz w:val="20"/>
                <w:szCs w:val="20"/>
              </w:rPr>
            </w:pPr>
            <w:r w:rsidRPr="00293EE1">
              <w:rPr>
                <w:b/>
                <w:sz w:val="20"/>
                <w:szCs w:val="20"/>
              </w:rPr>
              <w:t xml:space="preserve">Henry </w:t>
            </w:r>
            <w:proofErr w:type="spellStart"/>
            <w:r w:rsidRPr="00293EE1">
              <w:rPr>
                <w:b/>
                <w:sz w:val="20"/>
                <w:szCs w:val="20"/>
              </w:rPr>
              <w:t>Majebi</w:t>
            </w:r>
            <w:proofErr w:type="spellEnd"/>
            <w:r w:rsidRPr="00293EE1">
              <w:rPr>
                <w:b/>
                <w:sz w:val="20"/>
                <w:szCs w:val="20"/>
              </w:rPr>
              <w:t xml:space="preserve">, Daisy </w:t>
            </w:r>
            <w:proofErr w:type="spellStart"/>
            <w:r w:rsidRPr="00293EE1">
              <w:rPr>
                <w:b/>
                <w:sz w:val="20"/>
                <w:szCs w:val="20"/>
              </w:rPr>
              <w:t>Oyieamed</w:t>
            </w:r>
            <w:proofErr w:type="spellEnd"/>
            <w:r w:rsidRPr="00293EE1">
              <w:rPr>
                <w:b/>
                <w:sz w:val="20"/>
                <w:szCs w:val="20"/>
              </w:rPr>
              <w:t xml:space="preserve"> </w:t>
            </w:r>
            <w:proofErr w:type="spellStart"/>
            <w:r w:rsidRPr="00293EE1">
              <w:rPr>
                <w:b/>
                <w:sz w:val="20"/>
                <w:szCs w:val="20"/>
              </w:rPr>
              <w:t>Sulemajebi</w:t>
            </w:r>
            <w:proofErr w:type="spellEnd"/>
            <w:r w:rsidRPr="00293EE1">
              <w:rPr>
                <w:b/>
                <w:sz w:val="20"/>
                <w:szCs w:val="20"/>
              </w:rPr>
              <w:t xml:space="preserve">, Marian </w:t>
            </w:r>
            <w:proofErr w:type="spellStart"/>
            <w:r w:rsidRPr="00293EE1">
              <w:rPr>
                <w:b/>
                <w:sz w:val="20"/>
                <w:szCs w:val="20"/>
              </w:rPr>
              <w:t>Omonigho</w:t>
            </w:r>
            <w:proofErr w:type="spellEnd"/>
            <w:r w:rsidRPr="00293EE1">
              <w:rPr>
                <w:b/>
                <w:sz w:val="20"/>
                <w:szCs w:val="20"/>
              </w:rPr>
              <w:t xml:space="preserve"> </w:t>
            </w:r>
            <w:proofErr w:type="spellStart"/>
            <w:r w:rsidRPr="00293EE1">
              <w:rPr>
                <w:b/>
                <w:sz w:val="20"/>
                <w:szCs w:val="20"/>
              </w:rPr>
              <w:t>Sulemajebi</w:t>
            </w:r>
            <w:proofErr w:type="spellEnd"/>
            <w:r w:rsidRPr="00293EE1">
              <w:rPr>
                <w:b/>
                <w:sz w:val="20"/>
                <w:szCs w:val="20"/>
              </w:rPr>
              <w:t xml:space="preserve">, </w:t>
            </w:r>
            <w:proofErr w:type="spellStart"/>
            <w:r w:rsidRPr="00293EE1">
              <w:rPr>
                <w:b/>
                <w:sz w:val="20"/>
                <w:szCs w:val="20"/>
              </w:rPr>
              <w:t>Chantel</w:t>
            </w:r>
            <w:proofErr w:type="spellEnd"/>
            <w:r w:rsidRPr="00293EE1">
              <w:rPr>
                <w:b/>
                <w:sz w:val="20"/>
                <w:szCs w:val="20"/>
              </w:rPr>
              <w:t xml:space="preserve"> </w:t>
            </w:r>
            <w:proofErr w:type="spellStart"/>
            <w:r w:rsidRPr="00293EE1">
              <w:rPr>
                <w:b/>
                <w:sz w:val="20"/>
                <w:szCs w:val="20"/>
              </w:rPr>
              <w:t>Rechia</w:t>
            </w:r>
            <w:proofErr w:type="spellEnd"/>
            <w:r w:rsidRPr="00293EE1">
              <w:rPr>
                <w:b/>
                <w:sz w:val="20"/>
                <w:szCs w:val="20"/>
              </w:rPr>
              <w:t xml:space="preserve"> </w:t>
            </w:r>
            <w:proofErr w:type="spellStart"/>
            <w:r w:rsidRPr="00293EE1">
              <w:rPr>
                <w:b/>
                <w:sz w:val="20"/>
                <w:szCs w:val="20"/>
              </w:rPr>
              <w:t>Sulemajebi</w:t>
            </w:r>
            <w:proofErr w:type="spellEnd"/>
            <w:r w:rsidRPr="00293EE1">
              <w:rPr>
                <w:b/>
                <w:sz w:val="20"/>
                <w:szCs w:val="20"/>
              </w:rPr>
              <w:t xml:space="preserve"> c. Ministre de la Citoyenneté et de l’Immigration</w:t>
            </w:r>
          </w:p>
          <w:p w:rsidR="00D72D79" w:rsidRPr="00293EE1" w:rsidRDefault="00D72D79" w:rsidP="00C92DD5">
            <w:pPr>
              <w:jc w:val="both"/>
              <w:rPr>
                <w:rFonts w:cs="Times New Roman"/>
                <w:sz w:val="20"/>
                <w:szCs w:val="20"/>
                <w:lang w:val="fr-CA"/>
              </w:rPr>
            </w:pPr>
            <w:r w:rsidRPr="00293EE1">
              <w:rPr>
                <w:rFonts w:cs="Times New Roman"/>
                <w:sz w:val="20"/>
                <w:szCs w:val="20"/>
                <w:lang w:val="fr-CA"/>
              </w:rPr>
              <w:t>(C.F.) (Civile) (Sur autorisation)</w:t>
            </w:r>
          </w:p>
        </w:tc>
      </w:tr>
      <w:tr w:rsidR="00D72D79" w:rsidRPr="00B2512D" w:rsidTr="00C92DD5">
        <w:tc>
          <w:tcPr>
            <w:tcW w:w="543" w:type="pct"/>
          </w:tcPr>
          <w:p w:rsidR="00D72D79" w:rsidRPr="00293EE1" w:rsidRDefault="00D72D79" w:rsidP="00C92DD5">
            <w:pPr>
              <w:jc w:val="both"/>
              <w:rPr>
                <w:rStyle w:val="SCCFileNumberChar"/>
                <w:sz w:val="20"/>
                <w:szCs w:val="20"/>
                <w:lang w:val="fr-CA"/>
              </w:rPr>
            </w:pPr>
            <w:r w:rsidRPr="00293EE1">
              <w:rPr>
                <w:rStyle w:val="SCCFileNumberChar"/>
                <w:sz w:val="20"/>
                <w:szCs w:val="20"/>
                <w:lang w:val="fr-CA"/>
              </w:rPr>
              <w:t>Coram :</w:t>
            </w:r>
          </w:p>
        </w:tc>
        <w:tc>
          <w:tcPr>
            <w:tcW w:w="4457" w:type="pct"/>
          </w:tcPr>
          <w:p w:rsidR="00D72D79" w:rsidRPr="00293EE1" w:rsidRDefault="00A44FD6" w:rsidP="00C92DD5">
            <w:pPr>
              <w:pStyle w:val="SCCLsocParty"/>
              <w:jc w:val="both"/>
              <w:rPr>
                <w:sz w:val="20"/>
                <w:szCs w:val="20"/>
              </w:rPr>
            </w:pPr>
            <w:r w:rsidRPr="00293EE1">
              <w:rPr>
                <w:sz w:val="20"/>
                <w:szCs w:val="20"/>
                <w:lang w:val="fr-FR"/>
              </w:rPr>
              <w:t xml:space="preserve">La juge en chef </w:t>
            </w:r>
            <w:proofErr w:type="spellStart"/>
            <w:r w:rsidRPr="00293EE1">
              <w:rPr>
                <w:sz w:val="20"/>
                <w:szCs w:val="20"/>
                <w:lang w:val="fr-FR"/>
              </w:rPr>
              <w:t>McLachlin</w:t>
            </w:r>
            <w:proofErr w:type="spellEnd"/>
            <w:r w:rsidRPr="00293EE1">
              <w:rPr>
                <w:sz w:val="20"/>
                <w:szCs w:val="20"/>
                <w:lang w:val="fr-FR"/>
              </w:rPr>
              <w:t xml:space="preserve"> et les juges Abella, </w:t>
            </w:r>
            <w:proofErr w:type="spellStart"/>
            <w:r w:rsidRPr="00293EE1">
              <w:rPr>
                <w:sz w:val="20"/>
                <w:szCs w:val="20"/>
                <w:lang w:val="fr-FR"/>
              </w:rPr>
              <w:t>Moldaver</w:t>
            </w:r>
            <w:proofErr w:type="spellEnd"/>
            <w:r w:rsidRPr="00293EE1">
              <w:rPr>
                <w:sz w:val="20"/>
                <w:szCs w:val="20"/>
                <w:lang w:val="fr-FR"/>
              </w:rPr>
              <w:t xml:space="preserve">, </w:t>
            </w:r>
            <w:proofErr w:type="spellStart"/>
            <w:r w:rsidRPr="00293EE1">
              <w:rPr>
                <w:sz w:val="20"/>
                <w:szCs w:val="20"/>
                <w:lang w:val="fr-FR"/>
              </w:rPr>
              <w:t>Karakatsanis</w:t>
            </w:r>
            <w:proofErr w:type="spellEnd"/>
            <w:r w:rsidRPr="00293EE1">
              <w:rPr>
                <w:sz w:val="20"/>
                <w:szCs w:val="20"/>
                <w:lang w:val="fr-FR"/>
              </w:rPr>
              <w:t>, Wagner, Gascon, Côté, Brown et Rowe</w:t>
            </w:r>
          </w:p>
        </w:tc>
      </w:tr>
      <w:tr w:rsidR="00D72D79" w:rsidRPr="00B2512D" w:rsidTr="00D72D79">
        <w:tc>
          <w:tcPr>
            <w:tcW w:w="5000" w:type="pct"/>
            <w:gridSpan w:val="2"/>
          </w:tcPr>
          <w:p w:rsidR="00D72D79" w:rsidRPr="00293EE1" w:rsidRDefault="00A44FD6" w:rsidP="00C92DD5">
            <w:pPr>
              <w:pStyle w:val="SCCLsocParty"/>
              <w:jc w:val="both"/>
              <w:rPr>
                <w:sz w:val="20"/>
                <w:szCs w:val="20"/>
              </w:rPr>
            </w:pPr>
            <w:r w:rsidRPr="00293EE1">
              <w:rPr>
                <w:sz w:val="20"/>
                <w:szCs w:val="20"/>
              </w:rPr>
              <w:t xml:space="preserve">La requête en prorogation du délai de signification et de dépôt de la demande d’autorisation d’appel est accueillie. La demande d’autorisation d’appel de l’arrêt de la </w:t>
            </w:r>
            <w:r w:rsidRPr="00293EE1">
              <w:rPr>
                <w:sz w:val="20"/>
                <w:szCs w:val="20"/>
                <w:lang w:val="fr-FR"/>
              </w:rPr>
              <w:t>Cour d’appel fédérale</w:t>
            </w:r>
            <w:r w:rsidRPr="00293EE1">
              <w:rPr>
                <w:sz w:val="20"/>
                <w:szCs w:val="20"/>
              </w:rPr>
              <w:t xml:space="preserve">, numéro </w:t>
            </w:r>
            <w:r w:rsidRPr="00293EE1">
              <w:rPr>
                <w:sz w:val="20"/>
                <w:szCs w:val="20"/>
                <w:lang w:val="fr-FR"/>
              </w:rPr>
              <w:t>A-52-16, 2016 FCA 274</w:t>
            </w:r>
            <w:r w:rsidRPr="00293EE1">
              <w:rPr>
                <w:sz w:val="20"/>
                <w:szCs w:val="20"/>
              </w:rPr>
              <w:t xml:space="preserve">, daté du </w:t>
            </w:r>
            <w:r w:rsidRPr="00293EE1">
              <w:rPr>
                <w:sz w:val="20"/>
                <w:szCs w:val="20"/>
                <w:lang w:val="fr-FR"/>
              </w:rPr>
              <w:t>9 novembre 2016</w:t>
            </w:r>
            <w:r w:rsidRPr="00293EE1">
              <w:rPr>
                <w:sz w:val="20"/>
                <w:szCs w:val="20"/>
              </w:rPr>
              <w:t>, est rejetée.</w:t>
            </w:r>
          </w:p>
          <w:p w:rsidR="00A44FD6" w:rsidRPr="00293EE1" w:rsidRDefault="00A44FD6" w:rsidP="00A44FD6">
            <w:pPr>
              <w:rPr>
                <w:lang w:val="fr-CA"/>
              </w:rPr>
            </w:pPr>
          </w:p>
        </w:tc>
      </w:tr>
      <w:tr w:rsidR="00D72D79" w:rsidRPr="00B2512D" w:rsidTr="00C92DD5">
        <w:tc>
          <w:tcPr>
            <w:tcW w:w="5000"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Immigration – Réfugié au sens de la Convention – Exclusion – Date à laquelle le statut du demandeur est examiné – Norme de contrôle – La Cour d’appel </w:t>
            </w:r>
            <w:proofErr w:type="gramStart"/>
            <w:r w:rsidRPr="00293EE1">
              <w:rPr>
                <w:rFonts w:cs="Times New Roman"/>
                <w:sz w:val="20"/>
                <w:szCs w:val="20"/>
                <w:lang w:val="fr-CA"/>
              </w:rPr>
              <w:t>fédérale</w:t>
            </w:r>
            <w:proofErr w:type="gramEnd"/>
            <w:r w:rsidRPr="00293EE1">
              <w:rPr>
                <w:rFonts w:cs="Times New Roman"/>
                <w:sz w:val="20"/>
                <w:szCs w:val="20"/>
                <w:lang w:val="fr-CA"/>
              </w:rPr>
              <w:t xml:space="preserve"> a-t-elle commis une erreur dans son interprétation de la section E de l’article premier de la Convention? – La Cour d’appel </w:t>
            </w:r>
            <w:proofErr w:type="gramStart"/>
            <w:r w:rsidRPr="00293EE1">
              <w:rPr>
                <w:rFonts w:cs="Times New Roman"/>
                <w:sz w:val="20"/>
                <w:szCs w:val="20"/>
                <w:lang w:val="fr-CA"/>
              </w:rPr>
              <w:t>fédérale</w:t>
            </w:r>
            <w:proofErr w:type="gramEnd"/>
            <w:r w:rsidRPr="00293EE1">
              <w:rPr>
                <w:rFonts w:cs="Times New Roman"/>
                <w:sz w:val="20"/>
                <w:szCs w:val="20"/>
                <w:lang w:val="fr-CA"/>
              </w:rPr>
              <w:t xml:space="preserve"> a-t-elle commis une erreur dans sa manière d’aborder le rôle de la Section d’appel des réfugiés lorsqu’il s’agit d’interpréter la section E de l’article premier de la Convention? – La Cour d’appel </w:t>
            </w:r>
            <w:proofErr w:type="gramStart"/>
            <w:r w:rsidRPr="00293EE1">
              <w:rPr>
                <w:rFonts w:cs="Times New Roman"/>
                <w:sz w:val="20"/>
                <w:szCs w:val="20"/>
                <w:lang w:val="fr-CA"/>
              </w:rPr>
              <w:t>fédérale</w:t>
            </w:r>
            <w:proofErr w:type="gramEnd"/>
            <w:r w:rsidRPr="00293EE1">
              <w:rPr>
                <w:rFonts w:cs="Times New Roman"/>
                <w:sz w:val="20"/>
                <w:szCs w:val="20"/>
                <w:lang w:val="fr-CA"/>
              </w:rPr>
              <w:t xml:space="preserve"> a-t-elle commis une erreur dans son appréciation de la norme de contrôle applicable lorsqu’il s’agit d’interpréter un traité international?</w:t>
            </w:r>
          </w:p>
        </w:tc>
      </w:tr>
      <w:tr w:rsidR="00D72D79" w:rsidRPr="00B2512D" w:rsidTr="00C92DD5">
        <w:tc>
          <w:tcPr>
            <w:tcW w:w="5000" w:type="pct"/>
            <w:gridSpan w:val="2"/>
          </w:tcPr>
          <w:p w:rsidR="00D72D79" w:rsidRPr="00293EE1" w:rsidRDefault="00D72D79" w:rsidP="00C92DD5">
            <w:pPr>
              <w:jc w:val="both"/>
              <w:rPr>
                <w:rFonts w:cs="Times New Roman"/>
                <w:sz w:val="20"/>
                <w:szCs w:val="20"/>
                <w:lang w:val="fr-CA"/>
              </w:rPr>
            </w:pPr>
          </w:p>
        </w:tc>
      </w:tr>
    </w:tbl>
    <w:p w:rsidR="00016C13" w:rsidRPr="00293EE1" w:rsidRDefault="00016C13">
      <w:pPr>
        <w:rPr>
          <w:lang w:val="fr-CA"/>
        </w:rPr>
      </w:pPr>
      <w:r w:rsidRPr="00293EE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2D79" w:rsidRPr="00B2512D" w:rsidTr="00C92DD5">
        <w:tc>
          <w:tcPr>
            <w:tcW w:w="5000" w:type="pct"/>
            <w:gridSpan w:val="3"/>
          </w:tcPr>
          <w:p w:rsidR="00D72D79" w:rsidRPr="00293EE1" w:rsidRDefault="00D72D79" w:rsidP="00C92DD5">
            <w:pPr>
              <w:jc w:val="both"/>
              <w:rPr>
                <w:rFonts w:cs="Times New Roman"/>
                <w:sz w:val="20"/>
                <w:szCs w:val="20"/>
                <w:lang w:val="fr-CA"/>
              </w:rPr>
            </w:pPr>
            <w:r w:rsidRPr="00293EE1">
              <w:rPr>
                <w:rFonts w:cs="Times New Roman"/>
                <w:sz w:val="20"/>
                <w:szCs w:val="20"/>
                <w:lang w:val="fr-CA"/>
              </w:rPr>
              <w:lastRenderedPageBreak/>
              <w:t>En 1993, M. </w:t>
            </w:r>
            <w:proofErr w:type="spellStart"/>
            <w:r w:rsidRPr="00293EE1">
              <w:rPr>
                <w:rFonts w:cs="Times New Roman"/>
                <w:sz w:val="20"/>
                <w:szCs w:val="20"/>
                <w:lang w:val="fr-CA"/>
              </w:rPr>
              <w:t>Majebi</w:t>
            </w:r>
            <w:proofErr w:type="spellEnd"/>
            <w:r w:rsidRPr="00293EE1">
              <w:rPr>
                <w:rFonts w:cs="Times New Roman"/>
                <w:sz w:val="20"/>
                <w:szCs w:val="20"/>
                <w:lang w:val="fr-CA"/>
              </w:rPr>
              <w:t>, un citoyen du Nigéria, a quitté le Nigéria pour l’Italie, où il a rencontré sa conjointe, Mme </w:t>
            </w:r>
            <w:proofErr w:type="spellStart"/>
            <w:r w:rsidRPr="00293EE1">
              <w:rPr>
                <w:rFonts w:cs="Times New Roman"/>
                <w:sz w:val="20"/>
                <w:szCs w:val="20"/>
                <w:lang w:val="fr-CA"/>
              </w:rPr>
              <w:t>Okolo</w:t>
            </w:r>
            <w:proofErr w:type="spellEnd"/>
            <w:r w:rsidRPr="00293EE1">
              <w:rPr>
                <w:rFonts w:cs="Times New Roman"/>
                <w:sz w:val="20"/>
                <w:szCs w:val="20"/>
                <w:lang w:val="fr-CA"/>
              </w:rPr>
              <w:t xml:space="preserve">. Leurs trois enfants sont nés en Italie et au Royaume-Uni, mais ils sont citoyens du Nigéria et de nul autre pays. La famille est arrivée au Canada en provenance des États-Unis, et ils ont demandé l’asile, disant craindre d’être persécutés aussi bien au Nigéria qu’en Italie. Le 25 juin 2014, la Section de protection des réfugiés leur a refusé le statut de réfugiés, concluant qu’ils avaient un statut de résidents permanents essentiellement semblable à celui des ressortissants de l’Italie : art. 98 de la </w:t>
            </w:r>
            <w:r w:rsidRPr="00293EE1">
              <w:rPr>
                <w:rFonts w:cs="Times New Roman"/>
                <w:i/>
                <w:sz w:val="20"/>
                <w:szCs w:val="20"/>
                <w:lang w:val="fr-CA"/>
              </w:rPr>
              <w:t>Loi sur l’immigration et la protection des réfugiés</w:t>
            </w:r>
            <w:r w:rsidRPr="00293EE1">
              <w:rPr>
                <w:rFonts w:cs="Times New Roman"/>
                <w:sz w:val="20"/>
                <w:szCs w:val="20"/>
                <w:lang w:val="fr-CA"/>
              </w:rPr>
              <w:t xml:space="preserve">, L.C. 2001, ch. 27, et section E de l’article premier de la </w:t>
            </w:r>
            <w:r w:rsidRPr="00293EE1">
              <w:rPr>
                <w:rFonts w:cs="Times New Roman"/>
                <w:i/>
                <w:iCs/>
                <w:sz w:val="20"/>
                <w:szCs w:val="20"/>
                <w:lang w:val="fr-CA"/>
              </w:rPr>
              <w:t>Convention des Nations Unies relative au statut des réfugiés</w:t>
            </w:r>
            <w:r w:rsidRPr="00293EE1">
              <w:rPr>
                <w:rFonts w:cs="Times New Roman"/>
                <w:sz w:val="20"/>
                <w:szCs w:val="20"/>
                <w:lang w:val="fr-CA"/>
              </w:rPr>
              <w:t>, RT Can 1969, n</w:t>
            </w:r>
            <w:r w:rsidRPr="00293EE1">
              <w:rPr>
                <w:rFonts w:cs="Times New Roman"/>
                <w:sz w:val="20"/>
                <w:szCs w:val="20"/>
                <w:vertAlign w:val="superscript"/>
                <w:lang w:val="fr-CA"/>
              </w:rPr>
              <w:t>o</w:t>
            </w:r>
            <w:r w:rsidRPr="00293EE1">
              <w:rPr>
                <w:rFonts w:cs="Times New Roman"/>
                <w:sz w:val="20"/>
                <w:szCs w:val="20"/>
                <w:lang w:val="fr-CA"/>
              </w:rPr>
              <w:t> 6. Ils ont tous interjeté appel à Section d’appel des réfugiés, plaidant que leur statut de résidents avait été incorrectement apprécié à la date de l'audience. Au soutien de leur appel, ils ont tenté de produire de nouveaux éléments de preuve, y compris une preuve selon laquelle M. </w:t>
            </w:r>
            <w:proofErr w:type="spellStart"/>
            <w:r w:rsidRPr="00293EE1">
              <w:rPr>
                <w:rFonts w:cs="Times New Roman"/>
                <w:sz w:val="20"/>
                <w:szCs w:val="20"/>
                <w:lang w:val="fr-CA"/>
              </w:rPr>
              <w:t>Majebi</w:t>
            </w:r>
            <w:proofErr w:type="spellEnd"/>
            <w:r w:rsidRPr="00293EE1">
              <w:rPr>
                <w:rFonts w:cs="Times New Roman"/>
                <w:sz w:val="20"/>
                <w:szCs w:val="20"/>
                <w:lang w:val="fr-CA"/>
              </w:rPr>
              <w:t>, entre l’audience et la décision, avait perdu son statut de résident permanent en Italie parce qu’il avait absent de l’Italie pendant 12 mois consécutifs et que les permis de résidents temporaires des enfants, qui dépendaient du statut de leurs parents, avaient également été retirés.</w:t>
            </w:r>
          </w:p>
          <w:p w:rsidR="00D72D79" w:rsidRPr="00293EE1" w:rsidRDefault="00D72D79" w:rsidP="00C92DD5">
            <w:pPr>
              <w:jc w:val="both"/>
              <w:rPr>
                <w:rFonts w:cs="Times New Roman"/>
                <w:sz w:val="20"/>
                <w:szCs w:val="20"/>
                <w:lang w:val="fr-CA"/>
              </w:rPr>
            </w:pPr>
          </w:p>
          <w:p w:rsidR="00D72D79" w:rsidRPr="00293EE1" w:rsidRDefault="00D72D79" w:rsidP="00C92DD5">
            <w:pPr>
              <w:jc w:val="both"/>
              <w:rPr>
                <w:rFonts w:cs="Times New Roman"/>
                <w:sz w:val="20"/>
                <w:szCs w:val="20"/>
                <w:lang w:val="fr-CA"/>
              </w:rPr>
            </w:pPr>
            <w:r w:rsidRPr="00293EE1">
              <w:rPr>
                <w:rFonts w:cs="Times New Roman"/>
                <w:sz w:val="20"/>
                <w:szCs w:val="20"/>
                <w:lang w:val="fr-CA"/>
              </w:rPr>
              <w:t>La Section d’appel a refusé d’admettre les nouveaux éléments de preuve, concluant qu’il s’agissait d’éléments déjà au dossier ou qui avaient été disponibles bien avant que la demande a été tranchée. La Section d’appel a accueilli l’appel de Mme </w:t>
            </w:r>
            <w:proofErr w:type="spellStart"/>
            <w:r w:rsidRPr="00293EE1">
              <w:rPr>
                <w:rFonts w:cs="Times New Roman"/>
                <w:sz w:val="20"/>
                <w:szCs w:val="20"/>
                <w:lang w:val="fr-CA"/>
              </w:rPr>
              <w:t>Okolo</w:t>
            </w:r>
            <w:proofErr w:type="spellEnd"/>
            <w:r w:rsidRPr="00293EE1">
              <w:rPr>
                <w:rFonts w:cs="Times New Roman"/>
                <w:sz w:val="20"/>
                <w:szCs w:val="20"/>
                <w:lang w:val="fr-CA"/>
              </w:rPr>
              <w:t>, mais a rejeté l’appel concernant M. </w:t>
            </w:r>
            <w:proofErr w:type="spellStart"/>
            <w:r w:rsidRPr="00293EE1">
              <w:rPr>
                <w:rFonts w:cs="Times New Roman"/>
                <w:sz w:val="20"/>
                <w:szCs w:val="20"/>
                <w:lang w:val="fr-CA"/>
              </w:rPr>
              <w:t>Majebi</w:t>
            </w:r>
            <w:proofErr w:type="spellEnd"/>
            <w:r w:rsidRPr="00293EE1">
              <w:rPr>
                <w:rFonts w:cs="Times New Roman"/>
                <w:sz w:val="20"/>
                <w:szCs w:val="20"/>
                <w:lang w:val="fr-CA"/>
              </w:rPr>
              <w:t xml:space="preserve"> et les enfants, concluant que leur statut était essentiellement semblable à celui des ressortissants de l’Italie à la date de la décision de la Section de protection des réfugiés. Monsieur </w:t>
            </w:r>
            <w:proofErr w:type="spellStart"/>
            <w:r w:rsidRPr="00293EE1">
              <w:rPr>
                <w:rFonts w:cs="Times New Roman"/>
                <w:sz w:val="20"/>
                <w:szCs w:val="20"/>
                <w:lang w:val="fr-CA"/>
              </w:rPr>
              <w:t>Majebi</w:t>
            </w:r>
            <w:proofErr w:type="spellEnd"/>
            <w:r w:rsidRPr="00293EE1">
              <w:rPr>
                <w:rFonts w:cs="Times New Roman"/>
                <w:sz w:val="20"/>
                <w:szCs w:val="20"/>
                <w:lang w:val="fr-CA"/>
              </w:rPr>
              <w:t xml:space="preserve"> et les enfants ont demandé le contrôle judiciaire. La Cour fédérale a rejeté la requête de M. </w:t>
            </w:r>
            <w:proofErr w:type="spellStart"/>
            <w:r w:rsidRPr="00293EE1">
              <w:rPr>
                <w:rFonts w:cs="Times New Roman"/>
                <w:sz w:val="20"/>
                <w:szCs w:val="20"/>
                <w:lang w:val="fr-CA"/>
              </w:rPr>
              <w:t>Majebi</w:t>
            </w:r>
            <w:proofErr w:type="spellEnd"/>
            <w:r w:rsidRPr="00293EE1">
              <w:rPr>
                <w:rFonts w:cs="Times New Roman"/>
                <w:sz w:val="20"/>
                <w:szCs w:val="20"/>
                <w:lang w:val="fr-CA"/>
              </w:rPr>
              <w:t>, mais a certifié des questions en vue d’un appel. La Cour d’appel fédérale a rejeté l’appel subséquent de M. </w:t>
            </w:r>
            <w:proofErr w:type="spellStart"/>
            <w:r w:rsidRPr="00293EE1">
              <w:rPr>
                <w:rFonts w:cs="Times New Roman"/>
                <w:sz w:val="20"/>
                <w:szCs w:val="20"/>
                <w:lang w:val="fr-CA"/>
              </w:rPr>
              <w:t>Majebi</w:t>
            </w:r>
            <w:proofErr w:type="spellEnd"/>
            <w:r w:rsidRPr="00293EE1">
              <w:rPr>
                <w:rFonts w:cs="Times New Roman"/>
                <w:sz w:val="20"/>
                <w:szCs w:val="20"/>
                <w:lang w:val="fr-CA"/>
              </w:rPr>
              <w:t>.</w:t>
            </w:r>
          </w:p>
          <w:p w:rsidR="00D72D79" w:rsidRPr="00293EE1" w:rsidRDefault="00D72D79" w:rsidP="00C92DD5">
            <w:pPr>
              <w:jc w:val="both"/>
              <w:rPr>
                <w:rFonts w:cs="Times New Roman"/>
                <w:sz w:val="20"/>
                <w:szCs w:val="20"/>
                <w:lang w:val="fr-CA"/>
              </w:rPr>
            </w:pPr>
          </w:p>
        </w:tc>
      </w:tr>
      <w:tr w:rsidR="00D72D79" w:rsidRPr="00B2512D" w:rsidTr="00C92DD5">
        <w:tc>
          <w:tcPr>
            <w:tcW w:w="2427"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7 janvier 2016</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fédérale</w:t>
            </w: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(Juge </w:t>
            </w:r>
            <w:proofErr w:type="spellStart"/>
            <w:r w:rsidRPr="00293EE1">
              <w:rPr>
                <w:rFonts w:cs="Times New Roman"/>
                <w:sz w:val="20"/>
                <w:szCs w:val="20"/>
                <w:lang w:val="fr-CA"/>
              </w:rPr>
              <w:t>Fothergill</w:t>
            </w:r>
            <w:proofErr w:type="spellEnd"/>
            <w:r w:rsidRPr="00293EE1">
              <w:rPr>
                <w:rFonts w:cs="Times New Roman"/>
                <w:sz w:val="20"/>
                <w:szCs w:val="20"/>
                <w:lang w:val="fr-CA"/>
              </w:rPr>
              <w:t>)</w:t>
            </w:r>
          </w:p>
          <w:p w:rsidR="00D72D79" w:rsidRPr="00293EE1" w:rsidRDefault="00B2512D" w:rsidP="00C92DD5">
            <w:pPr>
              <w:jc w:val="both"/>
              <w:rPr>
                <w:rFonts w:cs="Times New Roman"/>
                <w:sz w:val="20"/>
                <w:szCs w:val="20"/>
                <w:lang w:val="fr-CA"/>
              </w:rPr>
            </w:pPr>
            <w:hyperlink r:id="rId29" w:history="1">
              <w:r w:rsidR="00D72D79" w:rsidRPr="00293EE1">
                <w:rPr>
                  <w:rStyle w:val="Hyperlink"/>
                  <w:rFonts w:cs="Times New Roman"/>
                  <w:sz w:val="20"/>
                  <w:szCs w:val="20"/>
                  <w:lang w:val="fr-CA"/>
                </w:rPr>
                <w:t>2016 FC 14</w:t>
              </w:r>
            </w:hyperlink>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Rejet de la demande de contrôle judiciaire; certification de questions en vue de l’appel</w:t>
            </w:r>
          </w:p>
        </w:tc>
      </w:tr>
      <w:tr w:rsidR="00D72D79" w:rsidRPr="00293EE1" w:rsidTr="00C92DD5">
        <w:trPr>
          <w:trHeight w:val="1345"/>
        </w:trPr>
        <w:tc>
          <w:tcPr>
            <w:tcW w:w="2427"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9 novembre 2016</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d’appel fédérale</w:t>
            </w:r>
          </w:p>
          <w:p w:rsidR="00D72D79" w:rsidRPr="00293EE1" w:rsidRDefault="00D72D79" w:rsidP="00C92DD5">
            <w:pPr>
              <w:jc w:val="both"/>
              <w:rPr>
                <w:rFonts w:cs="Times New Roman"/>
                <w:sz w:val="20"/>
                <w:szCs w:val="20"/>
                <w:lang w:val="fr-CA"/>
              </w:rPr>
            </w:pPr>
            <w:r w:rsidRPr="00293EE1">
              <w:rPr>
                <w:rFonts w:cs="Times New Roman"/>
                <w:sz w:val="20"/>
                <w:szCs w:val="20"/>
                <w:lang w:val="fr-CA"/>
              </w:rPr>
              <w:t>(Juges Dawson, Near et Woods)</w:t>
            </w:r>
          </w:p>
          <w:p w:rsidR="00D72D79" w:rsidRPr="00293EE1" w:rsidRDefault="00B2512D" w:rsidP="00C92DD5">
            <w:pPr>
              <w:jc w:val="both"/>
              <w:rPr>
                <w:rFonts w:cs="Times New Roman"/>
                <w:sz w:val="20"/>
                <w:szCs w:val="20"/>
                <w:lang w:val="fr-CA"/>
              </w:rPr>
            </w:pPr>
            <w:hyperlink r:id="rId30" w:history="1">
              <w:r w:rsidR="00D72D79" w:rsidRPr="00293EE1">
                <w:rPr>
                  <w:rStyle w:val="Hyperlink"/>
                  <w:rFonts w:cs="Times New Roman"/>
                  <w:sz w:val="20"/>
                  <w:szCs w:val="20"/>
                  <w:lang w:val="fr-CA"/>
                </w:rPr>
                <w:t>2016 FCA 274</w:t>
              </w:r>
            </w:hyperlink>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Rejet de l’appel</w:t>
            </w:r>
          </w:p>
          <w:p w:rsidR="00D72D79" w:rsidRPr="00293EE1" w:rsidRDefault="00D72D79" w:rsidP="00C92DD5">
            <w:pPr>
              <w:jc w:val="both"/>
              <w:rPr>
                <w:rFonts w:cs="Times New Roman"/>
                <w:sz w:val="20"/>
                <w:szCs w:val="20"/>
                <w:lang w:val="fr-CA"/>
              </w:rPr>
            </w:pPr>
          </w:p>
        </w:tc>
      </w:tr>
      <w:tr w:rsidR="00D72D79" w:rsidRPr="00B2512D" w:rsidTr="00C92DD5">
        <w:tc>
          <w:tcPr>
            <w:tcW w:w="2427"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3 février 2017</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suprême du Canada</w:t>
            </w: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Dépôt de la requête en prorogation du délai de signification et de dépôt de la demande d’autorisation et de la demande d’autorisation d’appel</w:t>
            </w:r>
          </w:p>
        </w:tc>
      </w:tr>
    </w:tbl>
    <w:p w:rsidR="00D72D79" w:rsidRPr="00293EE1" w:rsidRDefault="00B2512D" w:rsidP="00D72D79">
      <w:pPr>
        <w:jc w:val="both"/>
        <w:rPr>
          <w:rFonts w:cs="Times New Roman"/>
          <w:sz w:val="20"/>
          <w:szCs w:val="20"/>
          <w:lang w:val="fr-CA"/>
        </w:rPr>
      </w:pPr>
      <w:r>
        <w:rPr>
          <w:sz w:val="20"/>
          <w:szCs w:val="20"/>
        </w:rPr>
        <w:pict>
          <v:rect id="_x0000_i1050" style="width:2in;height:1pt" o:hrpct="0" o:hralign="center" o:hrstd="t" o:hrnoshade="t" o:hr="t" fillcolor="black [3213]" stroked="f"/>
        </w:pict>
      </w:r>
    </w:p>
    <w:p w:rsidR="00D72D79" w:rsidRPr="00293EE1" w:rsidRDefault="00D72D79" w:rsidP="00D72D79">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2D79" w:rsidRPr="00293EE1" w:rsidTr="00C92DD5">
        <w:tc>
          <w:tcPr>
            <w:tcW w:w="543" w:type="pct"/>
          </w:tcPr>
          <w:p w:rsidR="00D72D79" w:rsidRPr="00293EE1" w:rsidRDefault="00D72D79" w:rsidP="00C92DD5">
            <w:pPr>
              <w:jc w:val="both"/>
              <w:rPr>
                <w:rFonts w:cs="Times New Roman"/>
                <w:sz w:val="20"/>
                <w:szCs w:val="20"/>
              </w:rPr>
            </w:pPr>
            <w:r w:rsidRPr="00293EE1">
              <w:rPr>
                <w:rStyle w:val="SCCFileNumberChar"/>
                <w:sz w:val="20"/>
                <w:szCs w:val="20"/>
              </w:rPr>
              <w:t>37438</w:t>
            </w:r>
          </w:p>
        </w:tc>
        <w:tc>
          <w:tcPr>
            <w:tcW w:w="4457" w:type="pct"/>
            <w:gridSpan w:val="3"/>
          </w:tcPr>
          <w:p w:rsidR="00D72D79" w:rsidRPr="00293EE1" w:rsidRDefault="00D72D79" w:rsidP="00C92DD5">
            <w:pPr>
              <w:pStyle w:val="SCCLsocParty"/>
              <w:jc w:val="both"/>
              <w:rPr>
                <w:b/>
                <w:sz w:val="20"/>
                <w:szCs w:val="20"/>
                <w:lang w:val="en-US"/>
              </w:rPr>
            </w:pPr>
            <w:r w:rsidRPr="00293EE1">
              <w:rPr>
                <w:b/>
                <w:sz w:val="20"/>
                <w:szCs w:val="20"/>
                <w:lang w:val="en-US"/>
              </w:rPr>
              <w:t xml:space="preserve">Lanny K. McDonald v. Brookfield Asset Management Inc., Brookfield Special Situation Partners Ltd. and </w:t>
            </w:r>
            <w:proofErr w:type="spellStart"/>
            <w:r w:rsidRPr="00293EE1">
              <w:rPr>
                <w:b/>
                <w:sz w:val="20"/>
                <w:szCs w:val="20"/>
                <w:lang w:val="en-US"/>
              </w:rPr>
              <w:t>Hammerstone</w:t>
            </w:r>
            <w:proofErr w:type="spellEnd"/>
            <w:r w:rsidRPr="00293EE1">
              <w:rPr>
                <w:b/>
                <w:sz w:val="20"/>
                <w:szCs w:val="20"/>
                <w:lang w:val="en-US"/>
              </w:rPr>
              <w:t xml:space="preserve"> Corporation</w:t>
            </w:r>
          </w:p>
          <w:p w:rsidR="00D72D79" w:rsidRPr="00293EE1" w:rsidRDefault="00D72D79" w:rsidP="00C92DD5">
            <w:pPr>
              <w:jc w:val="both"/>
              <w:rPr>
                <w:rFonts w:cs="Times New Roman"/>
                <w:sz w:val="20"/>
                <w:szCs w:val="20"/>
              </w:rPr>
            </w:pPr>
            <w:r w:rsidRPr="00293EE1">
              <w:rPr>
                <w:rFonts w:cs="Times New Roman"/>
                <w:sz w:val="20"/>
                <w:szCs w:val="20"/>
              </w:rPr>
              <w:t>(Alta.) (Civil) (By Leave)</w:t>
            </w:r>
          </w:p>
        </w:tc>
      </w:tr>
      <w:tr w:rsidR="00D72D79" w:rsidRPr="00293EE1" w:rsidTr="00C92DD5">
        <w:tc>
          <w:tcPr>
            <w:tcW w:w="543" w:type="pct"/>
          </w:tcPr>
          <w:p w:rsidR="00D72D79" w:rsidRPr="00293EE1" w:rsidRDefault="00D72D79" w:rsidP="00C92DD5">
            <w:pPr>
              <w:jc w:val="both"/>
              <w:rPr>
                <w:rStyle w:val="SCCFileNumberChar"/>
                <w:sz w:val="20"/>
                <w:szCs w:val="20"/>
              </w:rPr>
            </w:pPr>
            <w:r w:rsidRPr="00293EE1">
              <w:rPr>
                <w:rStyle w:val="SCCFileNumberChar"/>
                <w:sz w:val="20"/>
                <w:szCs w:val="20"/>
              </w:rPr>
              <w:t>Coram:</w:t>
            </w:r>
          </w:p>
        </w:tc>
        <w:tc>
          <w:tcPr>
            <w:tcW w:w="4457" w:type="pct"/>
            <w:gridSpan w:val="3"/>
          </w:tcPr>
          <w:p w:rsidR="00D72D79" w:rsidRPr="00293EE1" w:rsidRDefault="00FD3F6C" w:rsidP="00C92DD5">
            <w:pPr>
              <w:pStyle w:val="SCCLsocParty"/>
              <w:jc w:val="both"/>
              <w:rPr>
                <w:sz w:val="20"/>
                <w:szCs w:val="20"/>
                <w:lang w:val="en-US"/>
              </w:rPr>
            </w:pPr>
            <w:proofErr w:type="spellStart"/>
            <w:r w:rsidRPr="00293EE1">
              <w:rPr>
                <w:sz w:val="20"/>
                <w:szCs w:val="20"/>
                <w:lang w:val="en-US"/>
              </w:rPr>
              <w:t>McLachlin</w:t>
            </w:r>
            <w:proofErr w:type="spellEnd"/>
            <w:r w:rsidRPr="00293EE1">
              <w:rPr>
                <w:sz w:val="20"/>
                <w:szCs w:val="20"/>
                <w:lang w:val="en-US"/>
              </w:rPr>
              <w:t xml:space="preserve"> C.J. and </w:t>
            </w:r>
            <w:proofErr w:type="spellStart"/>
            <w:r w:rsidRPr="00293EE1">
              <w:rPr>
                <w:sz w:val="20"/>
                <w:szCs w:val="20"/>
                <w:lang w:val="en-US"/>
              </w:rPr>
              <w:t>Abella</w:t>
            </w:r>
            <w:proofErr w:type="spellEnd"/>
            <w:r w:rsidRPr="00293EE1">
              <w:rPr>
                <w:sz w:val="20"/>
                <w:szCs w:val="20"/>
                <w:lang w:val="en-US"/>
              </w:rPr>
              <w:t xml:space="preserve">, </w:t>
            </w:r>
            <w:proofErr w:type="spellStart"/>
            <w:r w:rsidRPr="00293EE1">
              <w:rPr>
                <w:sz w:val="20"/>
                <w:szCs w:val="20"/>
                <w:lang w:val="en-US"/>
              </w:rPr>
              <w:t>Moldaver</w:t>
            </w:r>
            <w:proofErr w:type="spellEnd"/>
            <w:r w:rsidRPr="00293EE1">
              <w:rPr>
                <w:sz w:val="20"/>
                <w:szCs w:val="20"/>
                <w:lang w:val="en-US"/>
              </w:rPr>
              <w:t xml:space="preserve">, </w:t>
            </w:r>
            <w:proofErr w:type="spellStart"/>
            <w:r w:rsidRPr="00293EE1">
              <w:rPr>
                <w:sz w:val="20"/>
                <w:szCs w:val="20"/>
                <w:lang w:val="en-US"/>
              </w:rPr>
              <w:t>Karakatsanis</w:t>
            </w:r>
            <w:proofErr w:type="spellEnd"/>
            <w:r w:rsidRPr="00293EE1">
              <w:rPr>
                <w:sz w:val="20"/>
                <w:szCs w:val="20"/>
                <w:lang w:val="en-US"/>
              </w:rPr>
              <w:t xml:space="preserve">, Wagner, </w:t>
            </w:r>
            <w:proofErr w:type="spellStart"/>
            <w:r w:rsidRPr="00293EE1">
              <w:rPr>
                <w:sz w:val="20"/>
                <w:szCs w:val="20"/>
                <w:lang w:val="en-US"/>
              </w:rPr>
              <w:t>Gascon</w:t>
            </w:r>
            <w:proofErr w:type="spellEnd"/>
            <w:r w:rsidRPr="00293EE1">
              <w:rPr>
                <w:sz w:val="20"/>
                <w:szCs w:val="20"/>
                <w:lang w:val="en-US"/>
              </w:rPr>
              <w:t xml:space="preserve">, </w:t>
            </w:r>
            <w:proofErr w:type="spellStart"/>
            <w:r w:rsidRPr="00293EE1">
              <w:rPr>
                <w:sz w:val="20"/>
                <w:szCs w:val="20"/>
                <w:lang w:val="en-US"/>
              </w:rPr>
              <w:t>Côté</w:t>
            </w:r>
            <w:proofErr w:type="spellEnd"/>
            <w:r w:rsidRPr="00293EE1">
              <w:rPr>
                <w:sz w:val="20"/>
                <w:szCs w:val="20"/>
                <w:lang w:val="en-US"/>
              </w:rPr>
              <w:t>, Brown and Rowe JJ.</w:t>
            </w:r>
          </w:p>
        </w:tc>
      </w:tr>
      <w:tr w:rsidR="00D72D79" w:rsidRPr="00293EE1" w:rsidTr="00D72D79">
        <w:tc>
          <w:tcPr>
            <w:tcW w:w="5000" w:type="pct"/>
            <w:gridSpan w:val="4"/>
          </w:tcPr>
          <w:p w:rsidR="00D72D79" w:rsidRPr="00293EE1" w:rsidRDefault="00FD3F6C" w:rsidP="00C92DD5">
            <w:pPr>
              <w:pStyle w:val="SCCLsocParty"/>
              <w:jc w:val="both"/>
              <w:rPr>
                <w:sz w:val="20"/>
                <w:szCs w:val="20"/>
                <w:lang w:val="en-US"/>
              </w:rPr>
            </w:pPr>
            <w:r w:rsidRPr="00293EE1">
              <w:rPr>
                <w:sz w:val="20"/>
                <w:szCs w:val="20"/>
                <w:lang w:val="en-US"/>
              </w:rPr>
              <w:t>The motion for an order of certiorari is dismissed. The motion to adduce new evidence is dismissed with costs. The application for leave to appeal from the judgment of the Court of Appeal of Alberta (Calgary), Number 1501-0131-AC, 2016 ABCA 375, dated December 5, 2016, is dismissed with costs.</w:t>
            </w:r>
          </w:p>
          <w:p w:rsidR="00FD3F6C" w:rsidRPr="00293EE1" w:rsidRDefault="00FD3F6C" w:rsidP="00FD3F6C">
            <w:pPr>
              <w:rPr>
                <w:lang w:val="en-US"/>
              </w:rPr>
            </w:pPr>
          </w:p>
        </w:tc>
      </w:tr>
      <w:tr w:rsidR="00D72D79" w:rsidRPr="00293EE1" w:rsidTr="00C92DD5">
        <w:tc>
          <w:tcPr>
            <w:tcW w:w="5000" w:type="pct"/>
            <w:gridSpan w:val="4"/>
          </w:tcPr>
          <w:p w:rsidR="00D72D79" w:rsidRPr="00293EE1" w:rsidRDefault="00D72D79" w:rsidP="00C92DD5">
            <w:pPr>
              <w:jc w:val="both"/>
              <w:rPr>
                <w:rFonts w:cs="Times New Roman"/>
                <w:sz w:val="20"/>
                <w:szCs w:val="20"/>
              </w:rPr>
            </w:pPr>
            <w:r w:rsidRPr="00293EE1">
              <w:rPr>
                <w:rFonts w:cs="Times New Roman"/>
                <w:sz w:val="20"/>
                <w:szCs w:val="20"/>
              </w:rPr>
              <w:t xml:space="preserve">Judgments and orders — Summary judgment — Commercial law — Corporations — Oppression — Definition of complainant — Administrative law — Appeals — Standard of review — Courts — Enforcement of orders — Whether Mr. McDonald qualifies as a complaint — Whether the facts support oppression — Whether the Court of Appeal breached </w:t>
            </w:r>
            <w:r w:rsidRPr="00293EE1">
              <w:rPr>
                <w:rFonts w:cs="Times New Roman"/>
                <w:i/>
                <w:sz w:val="20"/>
                <w:szCs w:val="20"/>
              </w:rPr>
              <w:t>stare decisis</w:t>
            </w:r>
            <w:r w:rsidRPr="00293EE1">
              <w:rPr>
                <w:rFonts w:cs="Times New Roman"/>
                <w:sz w:val="20"/>
                <w:szCs w:val="20"/>
              </w:rPr>
              <w:t xml:space="preserve"> — Whether the Court of Appeal committed palpable and overriding error.</w:t>
            </w:r>
          </w:p>
        </w:tc>
      </w:tr>
      <w:tr w:rsidR="00D72D79" w:rsidRPr="00293EE1" w:rsidTr="00C92DD5">
        <w:tc>
          <w:tcPr>
            <w:tcW w:w="5000" w:type="pct"/>
            <w:gridSpan w:val="4"/>
          </w:tcPr>
          <w:p w:rsidR="00D72D79" w:rsidRPr="00293EE1" w:rsidRDefault="00D72D79" w:rsidP="00C92DD5">
            <w:pPr>
              <w:jc w:val="both"/>
              <w:rPr>
                <w:rFonts w:cs="Times New Roman"/>
                <w:sz w:val="20"/>
                <w:szCs w:val="20"/>
              </w:rPr>
            </w:pPr>
          </w:p>
        </w:tc>
      </w:tr>
      <w:tr w:rsidR="00D72D79" w:rsidRPr="00293EE1" w:rsidTr="00C92DD5">
        <w:tc>
          <w:tcPr>
            <w:tcW w:w="5000" w:type="pct"/>
            <w:gridSpan w:val="4"/>
          </w:tcPr>
          <w:p w:rsidR="00D72D79" w:rsidRPr="00293EE1" w:rsidRDefault="00D72D79" w:rsidP="00C92DD5">
            <w:pPr>
              <w:jc w:val="both"/>
              <w:rPr>
                <w:rFonts w:cs="Times New Roman"/>
                <w:sz w:val="20"/>
                <w:szCs w:val="20"/>
              </w:rPr>
            </w:pPr>
            <w:r w:rsidRPr="00293EE1">
              <w:rPr>
                <w:rFonts w:cs="Times New Roman"/>
                <w:sz w:val="20"/>
                <w:szCs w:val="20"/>
              </w:rPr>
              <w:lastRenderedPageBreak/>
              <w:t xml:space="preserve">Birch Mountain Resources Limited was a publicly traded company focussed on developing a limestone quarry. However, it had financial trouble from the outset, and eventually lost the quarry in receivership proceedings despite the involvement of Brookfield Asset Management Inc., Brookfield Special Situations Partners Ltd. and </w:t>
            </w:r>
            <w:proofErr w:type="spellStart"/>
            <w:r w:rsidRPr="00293EE1">
              <w:rPr>
                <w:rFonts w:cs="Times New Roman"/>
                <w:sz w:val="20"/>
                <w:szCs w:val="20"/>
              </w:rPr>
              <w:t>Hammerstone</w:t>
            </w:r>
            <w:proofErr w:type="spellEnd"/>
            <w:r w:rsidRPr="00293EE1">
              <w:rPr>
                <w:rFonts w:cs="Times New Roman"/>
                <w:sz w:val="20"/>
                <w:szCs w:val="20"/>
              </w:rPr>
              <w:t xml:space="preserve"> Corporation (collectively, the “Brookfield parties”). The Brookfield parties provide capital and financial and operating experience to companies which have both business potential and business challenges, with a view to eventual profit. After the receivership proceedings were brought to a close, the shareholders attempted to start an action in Ontario. That action was stayed as having no real and substantial connection to Ontario (</w:t>
            </w:r>
            <w:r w:rsidRPr="00293EE1">
              <w:rPr>
                <w:rFonts w:cs="Times New Roman"/>
                <w:i/>
                <w:sz w:val="20"/>
                <w:szCs w:val="20"/>
              </w:rPr>
              <w:t>Bond v. Brookfield Asset Management Inc.</w:t>
            </w:r>
            <w:r w:rsidRPr="00293EE1">
              <w:rPr>
                <w:rFonts w:cs="Times New Roman"/>
                <w:sz w:val="20"/>
                <w:szCs w:val="20"/>
              </w:rPr>
              <w:t>, 2011 ONSC 2529, aff’d 2011 ONCA 730), but was continued in Alberta with Mr. McDonald, a director and shareholder of Birch Mountain, as the potential representative plaintiff in a potential class action. Before an application could be heard to certify a class proceeding, a motion for summary dismissal was brought by the Brookfield parties. The demise of Birch Mountain can be traced to a number of financial transactions and events, including the default on interest payments on convertible debentures issued to certain of the Brookfield parties.</w:t>
            </w:r>
          </w:p>
          <w:p w:rsidR="00D72D79" w:rsidRPr="00293EE1" w:rsidRDefault="00D72D79" w:rsidP="00C92DD5">
            <w:pPr>
              <w:jc w:val="both"/>
              <w:rPr>
                <w:rFonts w:cs="Times New Roman"/>
                <w:sz w:val="20"/>
                <w:szCs w:val="20"/>
              </w:rPr>
            </w:pPr>
          </w:p>
          <w:p w:rsidR="00D72D79" w:rsidRPr="00293EE1" w:rsidRDefault="00D72D79" w:rsidP="00C92DD5">
            <w:pPr>
              <w:jc w:val="both"/>
              <w:rPr>
                <w:rFonts w:cs="Times New Roman"/>
                <w:sz w:val="20"/>
                <w:szCs w:val="20"/>
              </w:rPr>
            </w:pPr>
            <w:proofErr w:type="spellStart"/>
            <w:r w:rsidRPr="00293EE1">
              <w:rPr>
                <w:rFonts w:cs="Times New Roman"/>
                <w:sz w:val="20"/>
                <w:szCs w:val="20"/>
              </w:rPr>
              <w:t>Strekaf</w:t>
            </w:r>
            <w:proofErr w:type="spellEnd"/>
            <w:r w:rsidRPr="00293EE1">
              <w:rPr>
                <w:rFonts w:cs="Times New Roman"/>
                <w:sz w:val="20"/>
                <w:szCs w:val="20"/>
              </w:rPr>
              <w:t> J. dismissed the action finding that Mr. McDonald had not presented sufficient evidence to substantiate any of his claims. The Court of Appeal dismissed an application to submit new evidence and Mr. McDonald’s appeal.</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April 30, 2015</w:t>
            </w:r>
          </w:p>
          <w:p w:rsidR="00D72D79" w:rsidRPr="00293EE1" w:rsidRDefault="00D72D79" w:rsidP="00C92DD5">
            <w:pPr>
              <w:jc w:val="both"/>
              <w:rPr>
                <w:rFonts w:cs="Times New Roman"/>
                <w:sz w:val="20"/>
                <w:szCs w:val="20"/>
              </w:rPr>
            </w:pPr>
            <w:r w:rsidRPr="00293EE1">
              <w:rPr>
                <w:rFonts w:cs="Times New Roman"/>
                <w:sz w:val="20"/>
                <w:szCs w:val="20"/>
              </w:rPr>
              <w:t>Court of Queen’s Bench of Alberta</w:t>
            </w:r>
          </w:p>
          <w:p w:rsidR="00D72D79" w:rsidRPr="00293EE1" w:rsidRDefault="00D72D79" w:rsidP="00C92DD5">
            <w:pPr>
              <w:jc w:val="both"/>
              <w:rPr>
                <w:rFonts w:cs="Times New Roman"/>
                <w:sz w:val="20"/>
                <w:szCs w:val="20"/>
              </w:rPr>
            </w:pPr>
            <w:r w:rsidRPr="00293EE1">
              <w:rPr>
                <w:rFonts w:cs="Times New Roman"/>
                <w:sz w:val="20"/>
                <w:szCs w:val="20"/>
              </w:rPr>
              <w:t>(</w:t>
            </w:r>
            <w:proofErr w:type="spellStart"/>
            <w:r w:rsidRPr="00293EE1">
              <w:rPr>
                <w:rFonts w:cs="Times New Roman"/>
                <w:sz w:val="20"/>
                <w:szCs w:val="20"/>
              </w:rPr>
              <w:t>Strekaf</w:t>
            </w:r>
            <w:proofErr w:type="spellEnd"/>
            <w:r w:rsidRPr="00293EE1">
              <w:rPr>
                <w:rFonts w:cs="Times New Roman"/>
                <w:sz w:val="20"/>
                <w:szCs w:val="20"/>
              </w:rPr>
              <w:t xml:space="preserve"> J.)</w:t>
            </w:r>
          </w:p>
          <w:p w:rsidR="00D72D79" w:rsidRPr="00293EE1" w:rsidRDefault="00D72D79" w:rsidP="00C92DD5">
            <w:pPr>
              <w:jc w:val="both"/>
              <w:rPr>
                <w:rFonts w:cs="Times New Roman"/>
                <w:sz w:val="20"/>
                <w:szCs w:val="20"/>
              </w:rPr>
            </w:pPr>
            <w:r w:rsidRPr="00293EE1">
              <w:rPr>
                <w:rFonts w:cs="Times New Roman"/>
                <w:sz w:val="20"/>
                <w:szCs w:val="20"/>
              </w:rPr>
              <w:t>2015 ABQB 281</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tabs>
                <w:tab w:val="left" w:pos="1575"/>
              </w:tabs>
              <w:jc w:val="both"/>
              <w:rPr>
                <w:rFonts w:cs="Times New Roman"/>
                <w:sz w:val="20"/>
                <w:szCs w:val="20"/>
              </w:rPr>
            </w:pPr>
            <w:r w:rsidRPr="00293EE1">
              <w:rPr>
                <w:rFonts w:cs="Times New Roman"/>
                <w:sz w:val="20"/>
                <w:szCs w:val="20"/>
              </w:rPr>
              <w:t>Application for summary judgment granted; action dismissed</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December 5, 2016</w:t>
            </w:r>
          </w:p>
          <w:p w:rsidR="00D72D79" w:rsidRPr="00293EE1" w:rsidRDefault="00D72D79" w:rsidP="00C92DD5">
            <w:pPr>
              <w:jc w:val="both"/>
              <w:rPr>
                <w:rFonts w:cs="Times New Roman"/>
                <w:sz w:val="20"/>
                <w:szCs w:val="20"/>
              </w:rPr>
            </w:pPr>
            <w:r w:rsidRPr="00293EE1">
              <w:rPr>
                <w:rFonts w:cs="Times New Roman"/>
                <w:sz w:val="20"/>
                <w:szCs w:val="20"/>
              </w:rPr>
              <w:t>Court of Appeal of Alberta (Calgary)</w:t>
            </w:r>
          </w:p>
          <w:p w:rsidR="00D72D79" w:rsidRPr="00293EE1" w:rsidRDefault="00D72D79" w:rsidP="00C92DD5">
            <w:pPr>
              <w:jc w:val="both"/>
              <w:rPr>
                <w:rFonts w:cs="Times New Roman"/>
                <w:sz w:val="20"/>
                <w:szCs w:val="20"/>
              </w:rPr>
            </w:pPr>
            <w:r w:rsidRPr="00293EE1">
              <w:rPr>
                <w:rFonts w:cs="Times New Roman"/>
                <w:sz w:val="20"/>
                <w:szCs w:val="20"/>
              </w:rPr>
              <w:t xml:space="preserve">(Fraser, </w:t>
            </w:r>
            <w:proofErr w:type="spellStart"/>
            <w:r w:rsidRPr="00293EE1">
              <w:rPr>
                <w:rFonts w:cs="Times New Roman"/>
                <w:sz w:val="20"/>
                <w:szCs w:val="20"/>
              </w:rPr>
              <w:t>Slatter</w:t>
            </w:r>
            <w:proofErr w:type="spellEnd"/>
            <w:r w:rsidRPr="00293EE1">
              <w:rPr>
                <w:rFonts w:cs="Times New Roman"/>
                <w:sz w:val="20"/>
                <w:szCs w:val="20"/>
              </w:rPr>
              <w:t xml:space="preserve">, </w:t>
            </w:r>
            <w:proofErr w:type="spellStart"/>
            <w:r w:rsidRPr="00293EE1">
              <w:rPr>
                <w:rFonts w:cs="Times New Roman"/>
                <w:sz w:val="20"/>
                <w:szCs w:val="20"/>
              </w:rPr>
              <w:t>O’Ferrall</w:t>
            </w:r>
            <w:proofErr w:type="spellEnd"/>
            <w:r w:rsidRPr="00293EE1">
              <w:rPr>
                <w:rFonts w:cs="Times New Roman"/>
                <w:sz w:val="20"/>
                <w:szCs w:val="20"/>
              </w:rPr>
              <w:t xml:space="preserve"> JJ.A.)</w:t>
            </w:r>
          </w:p>
          <w:p w:rsidR="00D72D79" w:rsidRPr="00293EE1" w:rsidRDefault="00D72D79" w:rsidP="00C92DD5">
            <w:pPr>
              <w:jc w:val="both"/>
              <w:rPr>
                <w:rFonts w:cs="Times New Roman"/>
                <w:sz w:val="20"/>
                <w:szCs w:val="20"/>
              </w:rPr>
            </w:pPr>
            <w:r w:rsidRPr="00293EE1">
              <w:rPr>
                <w:rFonts w:cs="Times New Roman"/>
                <w:sz w:val="20"/>
                <w:szCs w:val="20"/>
              </w:rPr>
              <w:t>2016 ABCA 375</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Application to admit fresh evidence dismissed; appeal dismissed</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February 3, 2017</w:t>
            </w:r>
          </w:p>
          <w:p w:rsidR="00D72D79" w:rsidRPr="00293EE1" w:rsidRDefault="00D72D79" w:rsidP="00C92DD5">
            <w:pPr>
              <w:jc w:val="both"/>
              <w:rPr>
                <w:rFonts w:cs="Times New Roman"/>
                <w:sz w:val="20"/>
                <w:szCs w:val="20"/>
              </w:rPr>
            </w:pPr>
            <w:r w:rsidRPr="00293EE1">
              <w:rPr>
                <w:rFonts w:cs="Times New Roman"/>
                <w:sz w:val="20"/>
                <w:szCs w:val="20"/>
              </w:rPr>
              <w:t>Supreme Court of Canada</w:t>
            </w: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Application for leave to appeal filed</w:t>
            </w:r>
          </w:p>
          <w:p w:rsidR="00D72D79" w:rsidRPr="00293EE1" w:rsidRDefault="00D72D79" w:rsidP="00C92DD5">
            <w:pPr>
              <w:jc w:val="both"/>
              <w:rPr>
                <w:rFonts w:cs="Times New Roman"/>
                <w:sz w:val="20"/>
                <w:szCs w:val="20"/>
              </w:rPr>
            </w:pPr>
          </w:p>
        </w:tc>
      </w:tr>
    </w:tbl>
    <w:p w:rsidR="00D72D79" w:rsidRPr="00293EE1" w:rsidRDefault="00B2512D" w:rsidP="00D72D79">
      <w:pPr>
        <w:jc w:val="both"/>
        <w:rPr>
          <w:rFonts w:cs="Times New Roman"/>
          <w:sz w:val="20"/>
          <w:szCs w:val="20"/>
        </w:rPr>
      </w:pPr>
      <w:r>
        <w:rPr>
          <w:sz w:val="20"/>
          <w:szCs w:val="20"/>
        </w:rPr>
        <w:pict>
          <v:rect id="_x0000_i1051" style="width:2in;height:1pt" o:hrpct="0" o:hralign="center" o:hrstd="t" o:hrnoshade="t" o:hr="t" fillcolor="black [3213]" stroked="f"/>
        </w:pict>
      </w:r>
    </w:p>
    <w:p w:rsidR="00D72D79" w:rsidRPr="00293EE1" w:rsidRDefault="00D72D79" w:rsidP="00D72D79">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2D79" w:rsidRPr="00293EE1" w:rsidTr="00C92DD5">
        <w:tc>
          <w:tcPr>
            <w:tcW w:w="543" w:type="pct"/>
          </w:tcPr>
          <w:p w:rsidR="00D72D79" w:rsidRPr="00293EE1" w:rsidRDefault="00D72D79" w:rsidP="00C92DD5">
            <w:pPr>
              <w:jc w:val="both"/>
              <w:rPr>
                <w:rFonts w:cs="Times New Roman"/>
                <w:sz w:val="20"/>
                <w:szCs w:val="20"/>
                <w:lang w:val="fr-CA"/>
              </w:rPr>
            </w:pPr>
            <w:r w:rsidRPr="00293EE1">
              <w:rPr>
                <w:rStyle w:val="SCCFileNumberChar"/>
                <w:sz w:val="20"/>
                <w:szCs w:val="20"/>
                <w:lang w:val="fr-CA"/>
              </w:rPr>
              <w:t>37438</w:t>
            </w:r>
          </w:p>
        </w:tc>
        <w:tc>
          <w:tcPr>
            <w:tcW w:w="4457" w:type="pct"/>
          </w:tcPr>
          <w:p w:rsidR="00D72D79" w:rsidRPr="00293EE1" w:rsidRDefault="00D72D79" w:rsidP="00C92DD5">
            <w:pPr>
              <w:pStyle w:val="SCCLsocParty"/>
              <w:jc w:val="both"/>
              <w:rPr>
                <w:b/>
                <w:sz w:val="20"/>
                <w:szCs w:val="20"/>
                <w:lang w:val="en-US"/>
              </w:rPr>
            </w:pPr>
            <w:r w:rsidRPr="00293EE1">
              <w:rPr>
                <w:b/>
                <w:sz w:val="20"/>
                <w:szCs w:val="20"/>
                <w:lang w:val="en-US"/>
              </w:rPr>
              <w:t xml:space="preserve">Lanny K. McDonald c. Brookfield Asset Management Inc., Brookfield Special Situation Partners Ltd. et </w:t>
            </w:r>
            <w:proofErr w:type="spellStart"/>
            <w:r w:rsidRPr="00293EE1">
              <w:rPr>
                <w:b/>
                <w:sz w:val="20"/>
                <w:szCs w:val="20"/>
                <w:lang w:val="en-US"/>
              </w:rPr>
              <w:t>Hammerstone</w:t>
            </w:r>
            <w:proofErr w:type="spellEnd"/>
            <w:r w:rsidRPr="00293EE1">
              <w:rPr>
                <w:b/>
                <w:sz w:val="20"/>
                <w:szCs w:val="20"/>
                <w:lang w:val="en-US"/>
              </w:rPr>
              <w:t xml:space="preserve"> Corporation</w:t>
            </w:r>
          </w:p>
          <w:p w:rsidR="00D72D79" w:rsidRPr="00293EE1" w:rsidRDefault="00D72D79" w:rsidP="00C92DD5">
            <w:pPr>
              <w:jc w:val="both"/>
              <w:rPr>
                <w:rFonts w:cs="Times New Roman"/>
                <w:sz w:val="20"/>
                <w:szCs w:val="20"/>
                <w:lang w:val="fr-CA"/>
              </w:rPr>
            </w:pPr>
            <w:r w:rsidRPr="00293EE1">
              <w:rPr>
                <w:rFonts w:cs="Times New Roman"/>
                <w:sz w:val="20"/>
                <w:szCs w:val="20"/>
                <w:lang w:val="fr-CA"/>
              </w:rPr>
              <w:t>(</w:t>
            </w:r>
            <w:proofErr w:type="spellStart"/>
            <w:r w:rsidRPr="00293EE1">
              <w:rPr>
                <w:rFonts w:cs="Times New Roman"/>
                <w:sz w:val="20"/>
                <w:szCs w:val="20"/>
                <w:lang w:val="fr-CA"/>
              </w:rPr>
              <w:t>Alb</w:t>
            </w:r>
            <w:proofErr w:type="spellEnd"/>
            <w:r w:rsidRPr="00293EE1">
              <w:rPr>
                <w:rFonts w:cs="Times New Roman"/>
                <w:sz w:val="20"/>
                <w:szCs w:val="20"/>
                <w:lang w:val="fr-CA"/>
              </w:rPr>
              <w:t>.) (Civile) (Sur autorisation)</w:t>
            </w:r>
          </w:p>
        </w:tc>
      </w:tr>
      <w:tr w:rsidR="00D72D79" w:rsidRPr="00B2512D" w:rsidTr="00C92DD5">
        <w:tc>
          <w:tcPr>
            <w:tcW w:w="543" w:type="pct"/>
          </w:tcPr>
          <w:p w:rsidR="00D72D79" w:rsidRPr="00293EE1" w:rsidRDefault="00D72D79" w:rsidP="00C92DD5">
            <w:pPr>
              <w:jc w:val="both"/>
              <w:rPr>
                <w:rStyle w:val="SCCFileNumberChar"/>
                <w:sz w:val="20"/>
                <w:szCs w:val="20"/>
                <w:lang w:val="fr-CA"/>
              </w:rPr>
            </w:pPr>
            <w:r w:rsidRPr="00293EE1">
              <w:rPr>
                <w:rStyle w:val="SCCFileNumberChar"/>
                <w:sz w:val="20"/>
                <w:szCs w:val="20"/>
                <w:lang w:val="fr-CA"/>
              </w:rPr>
              <w:t>Coram :</w:t>
            </w:r>
          </w:p>
        </w:tc>
        <w:tc>
          <w:tcPr>
            <w:tcW w:w="4457" w:type="pct"/>
          </w:tcPr>
          <w:p w:rsidR="00D72D79" w:rsidRPr="00293EE1" w:rsidRDefault="00FD3F6C" w:rsidP="00C92DD5">
            <w:pPr>
              <w:pStyle w:val="SCCLsocParty"/>
              <w:jc w:val="both"/>
              <w:rPr>
                <w:sz w:val="20"/>
                <w:szCs w:val="20"/>
              </w:rPr>
            </w:pPr>
            <w:r w:rsidRPr="00293EE1">
              <w:rPr>
                <w:sz w:val="20"/>
                <w:szCs w:val="20"/>
                <w:lang w:val="fr-FR"/>
              </w:rPr>
              <w:t xml:space="preserve">La juge en chef </w:t>
            </w:r>
            <w:proofErr w:type="spellStart"/>
            <w:r w:rsidRPr="00293EE1">
              <w:rPr>
                <w:sz w:val="20"/>
                <w:szCs w:val="20"/>
                <w:lang w:val="fr-FR"/>
              </w:rPr>
              <w:t>McLachlin</w:t>
            </w:r>
            <w:proofErr w:type="spellEnd"/>
            <w:r w:rsidRPr="00293EE1">
              <w:rPr>
                <w:sz w:val="20"/>
                <w:szCs w:val="20"/>
                <w:lang w:val="fr-FR"/>
              </w:rPr>
              <w:t xml:space="preserve"> et les juges Abella, </w:t>
            </w:r>
            <w:proofErr w:type="spellStart"/>
            <w:r w:rsidRPr="00293EE1">
              <w:rPr>
                <w:sz w:val="20"/>
                <w:szCs w:val="20"/>
                <w:lang w:val="fr-FR"/>
              </w:rPr>
              <w:t>Moldaver</w:t>
            </w:r>
            <w:proofErr w:type="spellEnd"/>
            <w:r w:rsidRPr="00293EE1">
              <w:rPr>
                <w:sz w:val="20"/>
                <w:szCs w:val="20"/>
                <w:lang w:val="fr-FR"/>
              </w:rPr>
              <w:t xml:space="preserve">, </w:t>
            </w:r>
            <w:proofErr w:type="spellStart"/>
            <w:r w:rsidRPr="00293EE1">
              <w:rPr>
                <w:sz w:val="20"/>
                <w:szCs w:val="20"/>
                <w:lang w:val="fr-FR"/>
              </w:rPr>
              <w:t>Karakatsanis</w:t>
            </w:r>
            <w:proofErr w:type="spellEnd"/>
            <w:r w:rsidRPr="00293EE1">
              <w:rPr>
                <w:sz w:val="20"/>
                <w:szCs w:val="20"/>
                <w:lang w:val="fr-FR"/>
              </w:rPr>
              <w:t>, Wagner, Gascon, Côté, Brown et Rowe</w:t>
            </w:r>
          </w:p>
        </w:tc>
      </w:tr>
      <w:tr w:rsidR="00D72D79" w:rsidRPr="00B2512D" w:rsidTr="00D72D79">
        <w:tc>
          <w:tcPr>
            <w:tcW w:w="5000" w:type="pct"/>
            <w:gridSpan w:val="2"/>
          </w:tcPr>
          <w:p w:rsidR="00D72D79" w:rsidRPr="00293EE1" w:rsidRDefault="00FD3F6C" w:rsidP="00C92DD5">
            <w:pPr>
              <w:pStyle w:val="SCCLsocParty"/>
              <w:jc w:val="both"/>
              <w:rPr>
                <w:sz w:val="20"/>
                <w:szCs w:val="20"/>
              </w:rPr>
            </w:pPr>
            <w:r w:rsidRPr="00293EE1">
              <w:rPr>
                <w:sz w:val="20"/>
                <w:szCs w:val="20"/>
              </w:rPr>
              <w:t xml:space="preserve">La requête en </w:t>
            </w:r>
            <w:proofErr w:type="spellStart"/>
            <w:r w:rsidRPr="00293EE1">
              <w:rPr>
                <w:sz w:val="20"/>
                <w:szCs w:val="20"/>
              </w:rPr>
              <w:t>certiorari</w:t>
            </w:r>
            <w:proofErr w:type="spellEnd"/>
            <w:r w:rsidRPr="00293EE1">
              <w:rPr>
                <w:sz w:val="20"/>
                <w:szCs w:val="20"/>
              </w:rPr>
              <w:t xml:space="preserve"> est rejetée. La requête sollicitant l’autorisation de présenter une nouvelle preuve est rejetée avec dépens. La demande d’autorisation d’appel de l’arrêt de la </w:t>
            </w:r>
            <w:r w:rsidRPr="00293EE1">
              <w:rPr>
                <w:sz w:val="20"/>
                <w:szCs w:val="20"/>
                <w:lang w:val="fr-FR"/>
              </w:rPr>
              <w:t>Cour d’appel de l’Alberta (Calgary)</w:t>
            </w:r>
            <w:r w:rsidRPr="00293EE1">
              <w:rPr>
                <w:sz w:val="20"/>
                <w:szCs w:val="20"/>
              </w:rPr>
              <w:t xml:space="preserve">, numéro </w:t>
            </w:r>
            <w:r w:rsidRPr="00293EE1">
              <w:rPr>
                <w:sz w:val="20"/>
                <w:szCs w:val="20"/>
                <w:lang w:val="fr-FR"/>
              </w:rPr>
              <w:t>1501-0131-AC, 2016 ABCA 375</w:t>
            </w:r>
            <w:r w:rsidRPr="00293EE1">
              <w:rPr>
                <w:sz w:val="20"/>
                <w:szCs w:val="20"/>
              </w:rPr>
              <w:t xml:space="preserve">, daté du </w:t>
            </w:r>
            <w:r w:rsidRPr="00293EE1">
              <w:rPr>
                <w:sz w:val="20"/>
                <w:szCs w:val="20"/>
                <w:lang w:val="fr-FR"/>
              </w:rPr>
              <w:t>5 décembre 2016</w:t>
            </w:r>
            <w:r w:rsidRPr="00293EE1">
              <w:rPr>
                <w:sz w:val="20"/>
                <w:szCs w:val="20"/>
              </w:rPr>
              <w:t>, est rejetée avec dépens.</w:t>
            </w:r>
          </w:p>
          <w:p w:rsidR="00FD3F6C" w:rsidRPr="00293EE1" w:rsidRDefault="00FD3F6C" w:rsidP="00FD3F6C">
            <w:pPr>
              <w:rPr>
                <w:lang w:val="fr-CA"/>
              </w:rPr>
            </w:pPr>
          </w:p>
        </w:tc>
      </w:tr>
      <w:tr w:rsidR="00D72D79" w:rsidRPr="00B2512D" w:rsidTr="00C92DD5">
        <w:tc>
          <w:tcPr>
            <w:tcW w:w="5000"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Jugements et ordonnances — Jugement sommaire — Droit commercial — Sociétés par actions — Abus — Définition de « plaignant » — Droit administratif — Appels — Norme de contrôle — Tribunaux — Exécution d’ordonnances — Monsieur McDonald est-il un «  plaignant »? — Les faits permettent-ils de conclure qu’il y a eu abus? — La Cour d’appel a-t-elle violé le principe de l’autorité du précédent? — La Cour d’appel a-t-elle commis une erreur manifeste et dominante?</w:t>
            </w:r>
          </w:p>
        </w:tc>
      </w:tr>
      <w:tr w:rsidR="00D72D79" w:rsidRPr="00B2512D" w:rsidTr="00C92DD5">
        <w:tc>
          <w:tcPr>
            <w:tcW w:w="5000" w:type="pct"/>
            <w:gridSpan w:val="2"/>
          </w:tcPr>
          <w:p w:rsidR="00D72D79" w:rsidRPr="00293EE1" w:rsidRDefault="00D72D79" w:rsidP="00C92DD5">
            <w:pPr>
              <w:jc w:val="both"/>
              <w:rPr>
                <w:rFonts w:cs="Times New Roman"/>
                <w:sz w:val="20"/>
                <w:szCs w:val="20"/>
                <w:lang w:val="fr-CA"/>
              </w:rPr>
            </w:pPr>
          </w:p>
        </w:tc>
      </w:tr>
    </w:tbl>
    <w:p w:rsidR="00016C13" w:rsidRPr="00293EE1" w:rsidRDefault="00016C13">
      <w:pPr>
        <w:rPr>
          <w:lang w:val="fr-CA"/>
        </w:rPr>
      </w:pPr>
      <w:r w:rsidRPr="00293EE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2D79" w:rsidRPr="00B2512D" w:rsidTr="00C92DD5">
        <w:tc>
          <w:tcPr>
            <w:tcW w:w="5000" w:type="pct"/>
            <w:gridSpan w:val="3"/>
          </w:tcPr>
          <w:p w:rsidR="00D72D79" w:rsidRPr="00293EE1" w:rsidRDefault="00D72D79" w:rsidP="00C92DD5">
            <w:pPr>
              <w:jc w:val="both"/>
              <w:rPr>
                <w:rFonts w:cs="Times New Roman"/>
                <w:sz w:val="20"/>
                <w:szCs w:val="20"/>
                <w:lang w:val="fr-CA"/>
              </w:rPr>
            </w:pPr>
            <w:proofErr w:type="spellStart"/>
            <w:r w:rsidRPr="00293EE1">
              <w:rPr>
                <w:rFonts w:cs="Times New Roman"/>
                <w:sz w:val="20"/>
                <w:szCs w:val="20"/>
                <w:lang w:val="fr-CA"/>
              </w:rPr>
              <w:lastRenderedPageBreak/>
              <w:t>Birch</w:t>
            </w:r>
            <w:proofErr w:type="spellEnd"/>
            <w:r w:rsidRPr="00293EE1">
              <w:rPr>
                <w:rFonts w:cs="Times New Roman"/>
                <w:sz w:val="20"/>
                <w:szCs w:val="20"/>
                <w:lang w:val="fr-CA"/>
              </w:rPr>
              <w:t xml:space="preserve"> </w:t>
            </w:r>
            <w:proofErr w:type="spellStart"/>
            <w:r w:rsidRPr="00293EE1">
              <w:rPr>
                <w:rFonts w:cs="Times New Roman"/>
                <w:sz w:val="20"/>
                <w:szCs w:val="20"/>
                <w:lang w:val="fr-CA"/>
              </w:rPr>
              <w:t>Mountain</w:t>
            </w:r>
            <w:proofErr w:type="spellEnd"/>
            <w:r w:rsidRPr="00293EE1">
              <w:rPr>
                <w:rFonts w:cs="Times New Roman"/>
                <w:sz w:val="20"/>
                <w:szCs w:val="20"/>
                <w:lang w:val="fr-CA"/>
              </w:rPr>
              <w:t xml:space="preserve"> </w:t>
            </w:r>
            <w:proofErr w:type="spellStart"/>
            <w:r w:rsidRPr="00293EE1">
              <w:rPr>
                <w:rFonts w:cs="Times New Roman"/>
                <w:sz w:val="20"/>
                <w:szCs w:val="20"/>
                <w:lang w:val="fr-CA"/>
              </w:rPr>
              <w:t>Resources</w:t>
            </w:r>
            <w:proofErr w:type="spellEnd"/>
            <w:r w:rsidRPr="00293EE1">
              <w:rPr>
                <w:rFonts w:cs="Times New Roman"/>
                <w:sz w:val="20"/>
                <w:szCs w:val="20"/>
                <w:lang w:val="fr-CA"/>
              </w:rPr>
              <w:t xml:space="preserve"> Limited était une société cotée en bourse dont l’activité consistait principalement à mettre en valeur une carrière de calcaire. Toutefois, la société a connu des difficultés financières dès le départ et elle a fini par perdre la carrière dans le cadre d’une procédure de mise sous séquestre, malgré l’intervention de </w:t>
            </w:r>
            <w:proofErr w:type="spellStart"/>
            <w:r w:rsidRPr="00293EE1">
              <w:rPr>
                <w:rFonts w:cs="Times New Roman"/>
                <w:sz w:val="20"/>
                <w:szCs w:val="20"/>
                <w:lang w:val="fr-CA"/>
              </w:rPr>
              <w:t>Brookfield</w:t>
            </w:r>
            <w:proofErr w:type="spellEnd"/>
            <w:r w:rsidRPr="00293EE1">
              <w:rPr>
                <w:rFonts w:cs="Times New Roman"/>
                <w:sz w:val="20"/>
                <w:szCs w:val="20"/>
                <w:lang w:val="fr-CA"/>
              </w:rPr>
              <w:t xml:space="preserve"> </w:t>
            </w:r>
            <w:proofErr w:type="spellStart"/>
            <w:r w:rsidRPr="00293EE1">
              <w:rPr>
                <w:rFonts w:cs="Times New Roman"/>
                <w:sz w:val="20"/>
                <w:szCs w:val="20"/>
                <w:lang w:val="fr-CA"/>
              </w:rPr>
              <w:t>Asset</w:t>
            </w:r>
            <w:proofErr w:type="spellEnd"/>
            <w:r w:rsidRPr="00293EE1">
              <w:rPr>
                <w:rFonts w:cs="Times New Roman"/>
                <w:sz w:val="20"/>
                <w:szCs w:val="20"/>
                <w:lang w:val="fr-CA"/>
              </w:rPr>
              <w:t xml:space="preserve"> Management Inc., </w:t>
            </w:r>
            <w:proofErr w:type="spellStart"/>
            <w:r w:rsidRPr="00293EE1">
              <w:rPr>
                <w:rFonts w:cs="Times New Roman"/>
                <w:sz w:val="20"/>
                <w:szCs w:val="20"/>
                <w:lang w:val="fr-CA"/>
              </w:rPr>
              <w:t>Brookfield</w:t>
            </w:r>
            <w:proofErr w:type="spellEnd"/>
            <w:r w:rsidRPr="00293EE1">
              <w:rPr>
                <w:rFonts w:cs="Times New Roman"/>
                <w:sz w:val="20"/>
                <w:szCs w:val="20"/>
                <w:lang w:val="fr-CA"/>
              </w:rPr>
              <w:t xml:space="preserve"> </w:t>
            </w:r>
            <w:proofErr w:type="spellStart"/>
            <w:r w:rsidRPr="00293EE1">
              <w:rPr>
                <w:rFonts w:cs="Times New Roman"/>
                <w:sz w:val="20"/>
                <w:szCs w:val="20"/>
                <w:lang w:val="fr-CA"/>
              </w:rPr>
              <w:t>Special</w:t>
            </w:r>
            <w:proofErr w:type="spellEnd"/>
            <w:r w:rsidRPr="00293EE1">
              <w:rPr>
                <w:rFonts w:cs="Times New Roman"/>
                <w:sz w:val="20"/>
                <w:szCs w:val="20"/>
                <w:lang w:val="fr-CA"/>
              </w:rPr>
              <w:t xml:space="preserve"> Situations </w:t>
            </w:r>
            <w:proofErr w:type="spellStart"/>
            <w:r w:rsidRPr="00293EE1">
              <w:rPr>
                <w:rFonts w:cs="Times New Roman"/>
                <w:sz w:val="20"/>
                <w:szCs w:val="20"/>
                <w:lang w:val="fr-CA"/>
              </w:rPr>
              <w:t>Partners</w:t>
            </w:r>
            <w:proofErr w:type="spellEnd"/>
            <w:r w:rsidRPr="00293EE1">
              <w:rPr>
                <w:rFonts w:cs="Times New Roman"/>
                <w:sz w:val="20"/>
                <w:szCs w:val="20"/>
                <w:lang w:val="fr-CA"/>
              </w:rPr>
              <w:t xml:space="preserve"> Ltd. et </w:t>
            </w:r>
            <w:proofErr w:type="spellStart"/>
            <w:r w:rsidRPr="00293EE1">
              <w:rPr>
                <w:rFonts w:cs="Times New Roman"/>
                <w:sz w:val="20"/>
                <w:szCs w:val="20"/>
                <w:lang w:val="fr-CA"/>
              </w:rPr>
              <w:t>Hammerstone</w:t>
            </w:r>
            <w:proofErr w:type="spellEnd"/>
            <w:r w:rsidRPr="00293EE1">
              <w:rPr>
                <w:rFonts w:cs="Times New Roman"/>
                <w:sz w:val="20"/>
                <w:szCs w:val="20"/>
                <w:lang w:val="fr-CA"/>
              </w:rPr>
              <w:t xml:space="preserve"> Corporation (collectivement, les « parties </w:t>
            </w:r>
            <w:proofErr w:type="spellStart"/>
            <w:r w:rsidRPr="00293EE1">
              <w:rPr>
                <w:rFonts w:cs="Times New Roman"/>
                <w:sz w:val="20"/>
                <w:szCs w:val="20"/>
                <w:lang w:val="fr-CA"/>
              </w:rPr>
              <w:t>Brookfield</w:t>
            </w:r>
            <w:proofErr w:type="spellEnd"/>
            <w:r w:rsidRPr="00293EE1">
              <w:rPr>
                <w:rFonts w:cs="Times New Roman"/>
                <w:sz w:val="20"/>
                <w:szCs w:val="20"/>
                <w:lang w:val="fr-CA"/>
              </w:rPr>
              <w:t xml:space="preserve"> »). Les parties </w:t>
            </w:r>
            <w:proofErr w:type="spellStart"/>
            <w:r w:rsidRPr="00293EE1">
              <w:rPr>
                <w:rFonts w:cs="Times New Roman"/>
                <w:sz w:val="20"/>
                <w:szCs w:val="20"/>
                <w:lang w:val="fr-CA"/>
              </w:rPr>
              <w:t>Brookfield</w:t>
            </w:r>
            <w:proofErr w:type="spellEnd"/>
            <w:r w:rsidRPr="00293EE1">
              <w:rPr>
                <w:rFonts w:cs="Times New Roman"/>
                <w:sz w:val="20"/>
                <w:szCs w:val="20"/>
                <w:lang w:val="fr-CA"/>
              </w:rPr>
              <w:t xml:space="preserve"> fournissent du capital et de l’expérience de financement et d’exploitation aux sociétés qui ont un potentiel commercial, mais qui sont en difficulté, en vue de tirer un bénéfice éventuel. Au terme de la procédure de mise sous séquestre, les actionnaires ont tenté d’introduire une action en Ontario. Cette action a été suspendue, faute de lien réel et substantiel avec l’Ontario (</w:t>
            </w:r>
            <w:r w:rsidRPr="00293EE1">
              <w:rPr>
                <w:rFonts w:cs="Times New Roman"/>
                <w:i/>
                <w:sz w:val="20"/>
                <w:szCs w:val="20"/>
                <w:lang w:val="fr-CA"/>
              </w:rPr>
              <w:t xml:space="preserve">Bond c. </w:t>
            </w:r>
            <w:proofErr w:type="spellStart"/>
            <w:r w:rsidRPr="00293EE1">
              <w:rPr>
                <w:rFonts w:cs="Times New Roman"/>
                <w:i/>
                <w:sz w:val="20"/>
                <w:szCs w:val="20"/>
                <w:lang w:val="fr-CA"/>
              </w:rPr>
              <w:t>Brookfield</w:t>
            </w:r>
            <w:proofErr w:type="spellEnd"/>
            <w:r w:rsidRPr="00293EE1">
              <w:rPr>
                <w:rFonts w:cs="Times New Roman"/>
                <w:i/>
                <w:sz w:val="20"/>
                <w:szCs w:val="20"/>
                <w:lang w:val="fr-CA"/>
              </w:rPr>
              <w:t xml:space="preserve"> </w:t>
            </w:r>
            <w:proofErr w:type="spellStart"/>
            <w:r w:rsidRPr="00293EE1">
              <w:rPr>
                <w:rFonts w:cs="Times New Roman"/>
                <w:i/>
                <w:sz w:val="20"/>
                <w:szCs w:val="20"/>
                <w:lang w:val="fr-CA"/>
              </w:rPr>
              <w:t>Asset</w:t>
            </w:r>
            <w:proofErr w:type="spellEnd"/>
            <w:r w:rsidRPr="00293EE1">
              <w:rPr>
                <w:rFonts w:cs="Times New Roman"/>
                <w:i/>
                <w:sz w:val="20"/>
                <w:szCs w:val="20"/>
                <w:lang w:val="fr-CA"/>
              </w:rPr>
              <w:t xml:space="preserve"> Management Inc.</w:t>
            </w:r>
            <w:r w:rsidRPr="00293EE1">
              <w:rPr>
                <w:rFonts w:cs="Times New Roman"/>
                <w:sz w:val="20"/>
                <w:szCs w:val="20"/>
                <w:lang w:val="fr-CA"/>
              </w:rPr>
              <w:t xml:space="preserve">, 2011 ONSC 2529, </w:t>
            </w:r>
            <w:proofErr w:type="spellStart"/>
            <w:r w:rsidRPr="00293EE1">
              <w:rPr>
                <w:rFonts w:cs="Times New Roman"/>
                <w:sz w:val="20"/>
                <w:szCs w:val="20"/>
                <w:lang w:val="fr-CA"/>
              </w:rPr>
              <w:t>conf</w:t>
            </w:r>
            <w:proofErr w:type="spellEnd"/>
            <w:r w:rsidRPr="00293EE1">
              <w:rPr>
                <w:rFonts w:cs="Times New Roman"/>
                <w:sz w:val="20"/>
                <w:szCs w:val="20"/>
                <w:lang w:val="fr-CA"/>
              </w:rPr>
              <w:t xml:space="preserve">. par 2011 ONCA 730), mais a été poursuivie en Alberta, M. McDonald, un administrateur et actionnaire de </w:t>
            </w:r>
            <w:proofErr w:type="spellStart"/>
            <w:r w:rsidRPr="00293EE1">
              <w:rPr>
                <w:rFonts w:cs="Times New Roman"/>
                <w:sz w:val="20"/>
                <w:szCs w:val="20"/>
                <w:lang w:val="fr-CA"/>
              </w:rPr>
              <w:t>Birch</w:t>
            </w:r>
            <w:proofErr w:type="spellEnd"/>
            <w:r w:rsidRPr="00293EE1">
              <w:rPr>
                <w:rFonts w:cs="Times New Roman"/>
                <w:sz w:val="20"/>
                <w:szCs w:val="20"/>
                <w:lang w:val="fr-CA"/>
              </w:rPr>
              <w:t xml:space="preserve"> </w:t>
            </w:r>
            <w:proofErr w:type="spellStart"/>
            <w:r w:rsidRPr="00293EE1">
              <w:rPr>
                <w:rFonts w:cs="Times New Roman"/>
                <w:sz w:val="20"/>
                <w:szCs w:val="20"/>
                <w:lang w:val="fr-CA"/>
              </w:rPr>
              <w:t>Mountain</w:t>
            </w:r>
            <w:proofErr w:type="spellEnd"/>
            <w:r w:rsidRPr="00293EE1">
              <w:rPr>
                <w:rFonts w:cs="Times New Roman"/>
                <w:sz w:val="20"/>
                <w:szCs w:val="20"/>
                <w:lang w:val="fr-CA"/>
              </w:rPr>
              <w:t xml:space="preserve">, agissant comme représentant éventuel des demandeurs dans un éventuel recours collectif. Avant l’audition de la demande pour faire certifier l’action comme recours collectif, les parties </w:t>
            </w:r>
            <w:proofErr w:type="spellStart"/>
            <w:r w:rsidRPr="00293EE1">
              <w:rPr>
                <w:rFonts w:cs="Times New Roman"/>
                <w:sz w:val="20"/>
                <w:szCs w:val="20"/>
                <w:lang w:val="fr-CA"/>
              </w:rPr>
              <w:t>Brookfield</w:t>
            </w:r>
            <w:proofErr w:type="spellEnd"/>
            <w:r w:rsidRPr="00293EE1">
              <w:rPr>
                <w:rFonts w:cs="Times New Roman"/>
                <w:sz w:val="20"/>
                <w:szCs w:val="20"/>
                <w:lang w:val="fr-CA"/>
              </w:rPr>
              <w:t xml:space="preserve"> ont présenté une requête en rejet sommaire. La disparition de </w:t>
            </w:r>
            <w:proofErr w:type="spellStart"/>
            <w:r w:rsidRPr="00293EE1">
              <w:rPr>
                <w:rFonts w:cs="Times New Roman"/>
                <w:sz w:val="20"/>
                <w:szCs w:val="20"/>
                <w:lang w:val="fr-CA"/>
              </w:rPr>
              <w:t>Birch</w:t>
            </w:r>
            <w:proofErr w:type="spellEnd"/>
            <w:r w:rsidRPr="00293EE1">
              <w:rPr>
                <w:rFonts w:cs="Times New Roman"/>
                <w:sz w:val="20"/>
                <w:szCs w:val="20"/>
                <w:lang w:val="fr-CA"/>
              </w:rPr>
              <w:t xml:space="preserve"> </w:t>
            </w:r>
            <w:proofErr w:type="spellStart"/>
            <w:r w:rsidRPr="00293EE1">
              <w:rPr>
                <w:rFonts w:cs="Times New Roman"/>
                <w:sz w:val="20"/>
                <w:szCs w:val="20"/>
                <w:lang w:val="fr-CA"/>
              </w:rPr>
              <w:t>Mountain</w:t>
            </w:r>
            <w:proofErr w:type="spellEnd"/>
            <w:r w:rsidRPr="00293EE1">
              <w:rPr>
                <w:rFonts w:cs="Times New Roman"/>
                <w:sz w:val="20"/>
                <w:szCs w:val="20"/>
                <w:lang w:val="fr-CA"/>
              </w:rPr>
              <w:t xml:space="preserve"> peut être liée à un certain nombre d’opérations financières et d’événements, y compris le non-paiement d’intérêts sur des débentures convertibles émises à certaines parties </w:t>
            </w:r>
            <w:proofErr w:type="spellStart"/>
            <w:r w:rsidRPr="00293EE1">
              <w:rPr>
                <w:rFonts w:cs="Times New Roman"/>
                <w:sz w:val="20"/>
                <w:szCs w:val="20"/>
                <w:lang w:val="fr-CA"/>
              </w:rPr>
              <w:t>Brookfield</w:t>
            </w:r>
            <w:proofErr w:type="spellEnd"/>
            <w:r w:rsidRPr="00293EE1">
              <w:rPr>
                <w:rFonts w:cs="Times New Roman"/>
                <w:sz w:val="20"/>
                <w:szCs w:val="20"/>
                <w:lang w:val="fr-CA"/>
              </w:rPr>
              <w:t>.</w:t>
            </w:r>
          </w:p>
          <w:p w:rsidR="00D72D79" w:rsidRPr="00293EE1" w:rsidRDefault="00D72D79" w:rsidP="00C92DD5">
            <w:pPr>
              <w:jc w:val="both"/>
              <w:rPr>
                <w:rFonts w:cs="Times New Roman"/>
                <w:sz w:val="20"/>
                <w:szCs w:val="20"/>
                <w:lang w:val="fr-CA"/>
              </w:rPr>
            </w:pP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La juge </w:t>
            </w:r>
            <w:proofErr w:type="spellStart"/>
            <w:r w:rsidRPr="00293EE1">
              <w:rPr>
                <w:rFonts w:cs="Times New Roman"/>
                <w:sz w:val="20"/>
                <w:szCs w:val="20"/>
                <w:lang w:val="fr-CA"/>
              </w:rPr>
              <w:t>Strekaf</w:t>
            </w:r>
            <w:proofErr w:type="spellEnd"/>
            <w:r w:rsidRPr="00293EE1">
              <w:rPr>
                <w:rFonts w:cs="Times New Roman"/>
                <w:sz w:val="20"/>
                <w:szCs w:val="20"/>
                <w:lang w:val="fr-CA"/>
              </w:rPr>
              <w:t> a rejeté l’action, concluant que M. McDonald n’avait pas présenté de preuve suffisante au soutien de ses allégations. La Cour d’appel a rejeté une demande en vue de présenter de nouveaux éléments de preuve et l’appel de  M. McDonald.</w:t>
            </w:r>
          </w:p>
          <w:p w:rsidR="00D72D79" w:rsidRPr="00293EE1" w:rsidRDefault="00D72D79" w:rsidP="00C92DD5">
            <w:pPr>
              <w:jc w:val="both"/>
              <w:rPr>
                <w:rFonts w:cs="Times New Roman"/>
                <w:sz w:val="20"/>
                <w:szCs w:val="20"/>
                <w:lang w:val="fr-CA"/>
              </w:rPr>
            </w:pPr>
          </w:p>
        </w:tc>
      </w:tr>
      <w:tr w:rsidR="00D72D79" w:rsidRPr="00B2512D" w:rsidTr="00C92DD5">
        <w:tc>
          <w:tcPr>
            <w:tcW w:w="2427"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30 avril 2015</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du Banc de la Reine de l’Alberta</w:t>
            </w: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(Juge </w:t>
            </w:r>
            <w:proofErr w:type="spellStart"/>
            <w:r w:rsidRPr="00293EE1">
              <w:rPr>
                <w:rFonts w:cs="Times New Roman"/>
                <w:sz w:val="20"/>
                <w:szCs w:val="20"/>
                <w:lang w:val="fr-CA"/>
              </w:rPr>
              <w:t>Strekaf</w:t>
            </w:r>
            <w:proofErr w:type="spellEnd"/>
            <w:r w:rsidRPr="00293EE1">
              <w:rPr>
                <w:rFonts w:cs="Times New Roman"/>
                <w:sz w:val="20"/>
                <w:szCs w:val="20"/>
                <w:lang w:val="fr-CA"/>
              </w:rPr>
              <w:t>)</w:t>
            </w:r>
          </w:p>
          <w:p w:rsidR="00D72D79" w:rsidRPr="00293EE1" w:rsidRDefault="00D72D79" w:rsidP="00C92DD5">
            <w:pPr>
              <w:jc w:val="both"/>
              <w:rPr>
                <w:rFonts w:cs="Times New Roman"/>
                <w:sz w:val="20"/>
                <w:szCs w:val="20"/>
                <w:lang w:val="fr-CA"/>
              </w:rPr>
            </w:pPr>
            <w:r w:rsidRPr="00293EE1">
              <w:rPr>
                <w:rFonts w:cs="Times New Roman"/>
                <w:sz w:val="20"/>
                <w:szCs w:val="20"/>
                <w:lang w:val="fr-CA"/>
              </w:rPr>
              <w:t>2015 ABQB 281</w:t>
            </w:r>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tabs>
                <w:tab w:val="left" w:pos="1575"/>
              </w:tabs>
              <w:jc w:val="both"/>
              <w:rPr>
                <w:rFonts w:cs="Times New Roman"/>
                <w:sz w:val="20"/>
                <w:szCs w:val="20"/>
                <w:lang w:val="fr-CA"/>
              </w:rPr>
            </w:pPr>
            <w:r w:rsidRPr="00293EE1">
              <w:rPr>
                <w:rFonts w:cs="Times New Roman"/>
                <w:sz w:val="20"/>
                <w:szCs w:val="20"/>
                <w:lang w:val="fr-CA"/>
              </w:rPr>
              <w:t>Jugement accueillant la demande de jugement sommaire; rejet de l’action</w:t>
            </w:r>
          </w:p>
          <w:p w:rsidR="00D72D79" w:rsidRPr="00293EE1" w:rsidRDefault="00D72D79" w:rsidP="00C92DD5">
            <w:pPr>
              <w:jc w:val="both"/>
              <w:rPr>
                <w:rFonts w:cs="Times New Roman"/>
                <w:sz w:val="20"/>
                <w:szCs w:val="20"/>
                <w:lang w:val="fr-CA"/>
              </w:rPr>
            </w:pPr>
          </w:p>
        </w:tc>
      </w:tr>
      <w:tr w:rsidR="00D72D79" w:rsidRPr="00B2512D" w:rsidTr="00C92DD5">
        <w:tc>
          <w:tcPr>
            <w:tcW w:w="2427"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5 décembre 2016</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d’appel de l’Alberta (Calgary)</w:t>
            </w: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(Juges Fraser, </w:t>
            </w:r>
            <w:proofErr w:type="spellStart"/>
            <w:r w:rsidRPr="00293EE1">
              <w:rPr>
                <w:rFonts w:cs="Times New Roman"/>
                <w:sz w:val="20"/>
                <w:szCs w:val="20"/>
                <w:lang w:val="fr-CA"/>
              </w:rPr>
              <w:t>Slatter</w:t>
            </w:r>
            <w:proofErr w:type="spellEnd"/>
            <w:r w:rsidRPr="00293EE1">
              <w:rPr>
                <w:rFonts w:cs="Times New Roman"/>
                <w:sz w:val="20"/>
                <w:szCs w:val="20"/>
                <w:lang w:val="fr-CA"/>
              </w:rPr>
              <w:t xml:space="preserve"> et </w:t>
            </w:r>
            <w:proofErr w:type="spellStart"/>
            <w:r w:rsidRPr="00293EE1">
              <w:rPr>
                <w:rFonts w:cs="Times New Roman"/>
                <w:sz w:val="20"/>
                <w:szCs w:val="20"/>
                <w:lang w:val="fr-CA"/>
              </w:rPr>
              <w:t>O’Ferrall</w:t>
            </w:r>
            <w:proofErr w:type="spellEnd"/>
            <w:r w:rsidRPr="00293EE1">
              <w:rPr>
                <w:rFonts w:cs="Times New Roman"/>
                <w:sz w:val="20"/>
                <w:szCs w:val="20"/>
                <w:lang w:val="fr-CA"/>
              </w:rPr>
              <w:t>)</w:t>
            </w:r>
          </w:p>
          <w:p w:rsidR="00D72D79" w:rsidRPr="00293EE1" w:rsidRDefault="00D72D79" w:rsidP="00C92DD5">
            <w:pPr>
              <w:jc w:val="both"/>
              <w:rPr>
                <w:rFonts w:cs="Times New Roman"/>
                <w:sz w:val="20"/>
                <w:szCs w:val="20"/>
                <w:lang w:val="fr-CA"/>
              </w:rPr>
            </w:pPr>
            <w:r w:rsidRPr="00293EE1">
              <w:rPr>
                <w:rFonts w:cs="Times New Roman"/>
                <w:sz w:val="20"/>
                <w:szCs w:val="20"/>
                <w:lang w:val="fr-CA"/>
              </w:rPr>
              <w:t>2016 ABCA 375</w:t>
            </w:r>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Rejet de la demande d’admettre de nouveaux éléments de preuve; rejet de l’appel</w:t>
            </w:r>
          </w:p>
          <w:p w:rsidR="00D72D79" w:rsidRPr="00293EE1" w:rsidRDefault="00D72D79" w:rsidP="00C92DD5">
            <w:pPr>
              <w:jc w:val="both"/>
              <w:rPr>
                <w:rFonts w:cs="Times New Roman"/>
                <w:sz w:val="20"/>
                <w:szCs w:val="20"/>
                <w:lang w:val="fr-CA"/>
              </w:rPr>
            </w:pPr>
          </w:p>
        </w:tc>
      </w:tr>
      <w:tr w:rsidR="00D72D79" w:rsidRPr="00B2512D" w:rsidTr="00C92DD5">
        <w:tc>
          <w:tcPr>
            <w:tcW w:w="2427"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3 février 2017</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suprême du Canada</w:t>
            </w: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Dépôt de la demande d’autorisation d’appel</w:t>
            </w:r>
          </w:p>
        </w:tc>
      </w:tr>
    </w:tbl>
    <w:p w:rsidR="00D72D79" w:rsidRPr="00293EE1" w:rsidRDefault="00B2512D" w:rsidP="00D72D79">
      <w:pPr>
        <w:jc w:val="both"/>
        <w:rPr>
          <w:rFonts w:cs="Times New Roman"/>
          <w:sz w:val="20"/>
          <w:szCs w:val="20"/>
          <w:lang w:val="fr-CA"/>
        </w:rPr>
      </w:pPr>
      <w:r>
        <w:rPr>
          <w:sz w:val="20"/>
          <w:szCs w:val="20"/>
        </w:rPr>
        <w:pict>
          <v:rect id="_x0000_i1052" style="width:2in;height:1pt" o:hrpct="0" o:hralign="center" o:hrstd="t" o:hrnoshade="t" o:hr="t" fillcolor="black [3213]" stroked="f"/>
        </w:pict>
      </w:r>
    </w:p>
    <w:p w:rsidR="00D72D79" w:rsidRPr="00293EE1" w:rsidRDefault="00D72D79" w:rsidP="00D72D79">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2D79" w:rsidRPr="00293EE1" w:rsidTr="00C92DD5">
        <w:tc>
          <w:tcPr>
            <w:tcW w:w="543" w:type="pct"/>
          </w:tcPr>
          <w:p w:rsidR="00D72D79" w:rsidRPr="00293EE1" w:rsidRDefault="00D72D79" w:rsidP="00C92DD5">
            <w:pPr>
              <w:jc w:val="both"/>
              <w:rPr>
                <w:rFonts w:cs="Times New Roman"/>
                <w:sz w:val="20"/>
                <w:szCs w:val="20"/>
              </w:rPr>
            </w:pPr>
            <w:r w:rsidRPr="00293EE1">
              <w:rPr>
                <w:rStyle w:val="SCCFileNumberChar"/>
                <w:sz w:val="20"/>
                <w:szCs w:val="20"/>
              </w:rPr>
              <w:t>37376</w:t>
            </w:r>
          </w:p>
        </w:tc>
        <w:tc>
          <w:tcPr>
            <w:tcW w:w="4457" w:type="pct"/>
          </w:tcPr>
          <w:p w:rsidR="00D72D79" w:rsidRPr="00293EE1" w:rsidRDefault="00D72D79" w:rsidP="00C92DD5">
            <w:pPr>
              <w:pStyle w:val="SCCLsocParty"/>
              <w:jc w:val="both"/>
              <w:rPr>
                <w:b/>
                <w:sz w:val="20"/>
                <w:szCs w:val="20"/>
                <w:lang w:val="en-US"/>
              </w:rPr>
            </w:pPr>
            <w:r w:rsidRPr="00293EE1">
              <w:rPr>
                <w:b/>
                <w:sz w:val="20"/>
                <w:szCs w:val="20"/>
                <w:lang w:val="en-US"/>
              </w:rPr>
              <w:t xml:space="preserve">Steven </w:t>
            </w:r>
            <w:proofErr w:type="spellStart"/>
            <w:r w:rsidRPr="00293EE1">
              <w:rPr>
                <w:b/>
                <w:sz w:val="20"/>
                <w:szCs w:val="20"/>
                <w:lang w:val="en-US"/>
              </w:rPr>
              <w:t>Nowack</w:t>
            </w:r>
            <w:proofErr w:type="spellEnd"/>
            <w:r w:rsidRPr="00293EE1">
              <w:rPr>
                <w:b/>
                <w:sz w:val="20"/>
                <w:szCs w:val="20"/>
                <w:lang w:val="en-US"/>
              </w:rPr>
              <w:t xml:space="preserve"> v. 2363523 Ontario Inc.</w:t>
            </w:r>
          </w:p>
          <w:p w:rsidR="00D72D79" w:rsidRPr="00293EE1" w:rsidRDefault="00D72D79" w:rsidP="00C92DD5">
            <w:pPr>
              <w:jc w:val="both"/>
              <w:rPr>
                <w:rFonts w:cs="Times New Roman"/>
                <w:sz w:val="20"/>
                <w:szCs w:val="20"/>
              </w:rPr>
            </w:pPr>
            <w:r w:rsidRPr="00293EE1">
              <w:rPr>
                <w:rFonts w:cs="Times New Roman"/>
                <w:sz w:val="20"/>
                <w:szCs w:val="20"/>
              </w:rPr>
              <w:t>(Ont.) (Civil) (By Leave)</w:t>
            </w:r>
          </w:p>
        </w:tc>
      </w:tr>
      <w:tr w:rsidR="00D72D79" w:rsidRPr="00293EE1" w:rsidTr="00C92DD5">
        <w:tc>
          <w:tcPr>
            <w:tcW w:w="543" w:type="pct"/>
          </w:tcPr>
          <w:p w:rsidR="00D72D79" w:rsidRPr="00293EE1" w:rsidRDefault="00D72D79" w:rsidP="00C92DD5">
            <w:pPr>
              <w:jc w:val="both"/>
              <w:rPr>
                <w:rStyle w:val="SCCFileNumberChar"/>
                <w:sz w:val="20"/>
                <w:szCs w:val="20"/>
              </w:rPr>
            </w:pPr>
            <w:r w:rsidRPr="00293EE1">
              <w:rPr>
                <w:rStyle w:val="SCCFileNumberChar"/>
                <w:sz w:val="20"/>
                <w:szCs w:val="20"/>
              </w:rPr>
              <w:t>Coram:</w:t>
            </w:r>
          </w:p>
        </w:tc>
        <w:tc>
          <w:tcPr>
            <w:tcW w:w="4457" w:type="pct"/>
          </w:tcPr>
          <w:p w:rsidR="00D72D79" w:rsidRPr="00293EE1" w:rsidRDefault="00B21312" w:rsidP="00C92DD5">
            <w:pPr>
              <w:pStyle w:val="SCCLsocParty"/>
              <w:jc w:val="both"/>
              <w:rPr>
                <w:sz w:val="20"/>
                <w:szCs w:val="20"/>
                <w:lang w:val="en-US"/>
              </w:rPr>
            </w:pPr>
            <w:proofErr w:type="spellStart"/>
            <w:r w:rsidRPr="00293EE1">
              <w:rPr>
                <w:sz w:val="20"/>
                <w:szCs w:val="20"/>
                <w:lang w:val="en-US"/>
              </w:rPr>
              <w:t>McLachlin</w:t>
            </w:r>
            <w:proofErr w:type="spellEnd"/>
            <w:r w:rsidRPr="00293EE1">
              <w:rPr>
                <w:sz w:val="20"/>
                <w:szCs w:val="20"/>
                <w:lang w:val="en-US"/>
              </w:rPr>
              <w:t xml:space="preserve"> C.J. and </w:t>
            </w:r>
            <w:proofErr w:type="spellStart"/>
            <w:r w:rsidRPr="00293EE1">
              <w:rPr>
                <w:sz w:val="20"/>
                <w:szCs w:val="20"/>
                <w:lang w:val="en-US"/>
              </w:rPr>
              <w:t>Abella</w:t>
            </w:r>
            <w:proofErr w:type="spellEnd"/>
            <w:r w:rsidRPr="00293EE1">
              <w:rPr>
                <w:sz w:val="20"/>
                <w:szCs w:val="20"/>
                <w:lang w:val="en-US"/>
              </w:rPr>
              <w:t xml:space="preserve">, </w:t>
            </w:r>
            <w:proofErr w:type="spellStart"/>
            <w:r w:rsidRPr="00293EE1">
              <w:rPr>
                <w:sz w:val="20"/>
                <w:szCs w:val="20"/>
                <w:lang w:val="en-US"/>
              </w:rPr>
              <w:t>Moldaver</w:t>
            </w:r>
            <w:proofErr w:type="spellEnd"/>
            <w:r w:rsidRPr="00293EE1">
              <w:rPr>
                <w:sz w:val="20"/>
                <w:szCs w:val="20"/>
                <w:lang w:val="en-US"/>
              </w:rPr>
              <w:t xml:space="preserve">, </w:t>
            </w:r>
            <w:proofErr w:type="spellStart"/>
            <w:r w:rsidRPr="00293EE1">
              <w:rPr>
                <w:sz w:val="20"/>
                <w:szCs w:val="20"/>
                <w:lang w:val="en-US"/>
              </w:rPr>
              <w:t>Karakatsanis</w:t>
            </w:r>
            <w:proofErr w:type="spellEnd"/>
            <w:r w:rsidRPr="00293EE1">
              <w:rPr>
                <w:sz w:val="20"/>
                <w:szCs w:val="20"/>
                <w:lang w:val="en-US"/>
              </w:rPr>
              <w:t xml:space="preserve">, Wagner, </w:t>
            </w:r>
            <w:proofErr w:type="spellStart"/>
            <w:r w:rsidRPr="00293EE1">
              <w:rPr>
                <w:sz w:val="20"/>
                <w:szCs w:val="20"/>
                <w:lang w:val="en-US"/>
              </w:rPr>
              <w:t>Gascon</w:t>
            </w:r>
            <w:proofErr w:type="spellEnd"/>
            <w:r w:rsidRPr="00293EE1">
              <w:rPr>
                <w:sz w:val="20"/>
                <w:szCs w:val="20"/>
                <w:lang w:val="en-US"/>
              </w:rPr>
              <w:t xml:space="preserve">, </w:t>
            </w:r>
            <w:proofErr w:type="spellStart"/>
            <w:r w:rsidRPr="00293EE1">
              <w:rPr>
                <w:sz w:val="20"/>
                <w:szCs w:val="20"/>
                <w:lang w:val="en-US"/>
              </w:rPr>
              <w:t>Côté</w:t>
            </w:r>
            <w:proofErr w:type="spellEnd"/>
            <w:r w:rsidRPr="00293EE1">
              <w:rPr>
                <w:sz w:val="20"/>
                <w:szCs w:val="20"/>
                <w:lang w:val="en-US"/>
              </w:rPr>
              <w:t>, Brown and Rowe JJ.</w:t>
            </w:r>
          </w:p>
        </w:tc>
      </w:tr>
      <w:tr w:rsidR="00D72D79" w:rsidRPr="00293EE1" w:rsidTr="00D72D79">
        <w:tc>
          <w:tcPr>
            <w:tcW w:w="5000" w:type="pct"/>
            <w:gridSpan w:val="2"/>
          </w:tcPr>
          <w:p w:rsidR="00D72D79" w:rsidRPr="00293EE1" w:rsidRDefault="00B21312" w:rsidP="00C92DD5">
            <w:pPr>
              <w:pStyle w:val="SCCLsocParty"/>
              <w:jc w:val="both"/>
              <w:rPr>
                <w:sz w:val="20"/>
                <w:szCs w:val="20"/>
                <w:lang w:val="en-US"/>
              </w:rPr>
            </w:pPr>
            <w:r w:rsidRPr="00293EE1">
              <w:rPr>
                <w:sz w:val="20"/>
                <w:szCs w:val="20"/>
                <w:lang w:val="en-US"/>
              </w:rPr>
              <w:t>The application for leave to appeal from the judgment of the Court of Appeal for Ontario, Number C62035, 2016 ONCA 951, dated December 16, 2016, is dismissed with costs.</w:t>
            </w:r>
          </w:p>
          <w:p w:rsidR="00B21312" w:rsidRPr="00293EE1" w:rsidRDefault="00B21312" w:rsidP="00B21312">
            <w:pPr>
              <w:rPr>
                <w:lang w:val="en-US"/>
              </w:rPr>
            </w:pPr>
          </w:p>
        </w:tc>
      </w:tr>
      <w:tr w:rsidR="00D72D79" w:rsidRPr="00293EE1" w:rsidTr="00C92DD5">
        <w:tc>
          <w:tcPr>
            <w:tcW w:w="5000" w:type="pct"/>
            <w:gridSpan w:val="2"/>
          </w:tcPr>
          <w:p w:rsidR="00D72D79" w:rsidRPr="00293EE1" w:rsidRDefault="00D72D79" w:rsidP="00C92DD5">
            <w:pPr>
              <w:jc w:val="both"/>
              <w:rPr>
                <w:rFonts w:cs="Times New Roman"/>
                <w:sz w:val="20"/>
                <w:szCs w:val="20"/>
              </w:rPr>
            </w:pPr>
            <w:r w:rsidRPr="00293EE1">
              <w:rPr>
                <w:rFonts w:cs="Times New Roman"/>
                <w:i/>
                <w:sz w:val="20"/>
                <w:szCs w:val="20"/>
              </w:rPr>
              <w:t>Charter of Rights and Freedoms</w:t>
            </w:r>
            <w:r w:rsidRPr="00293EE1">
              <w:rPr>
                <w:rFonts w:cs="Times New Roman"/>
                <w:sz w:val="20"/>
                <w:szCs w:val="20"/>
              </w:rPr>
              <w:t xml:space="preserve"> – Principles of fundamental Justice – Presumption of innocence – Right to full answer and defence – Civil procedure – Contempt of court – Bias – Apprehension of bias – Onus and standard of proof – Appellate review – Whether </w:t>
            </w:r>
            <w:proofErr w:type="spellStart"/>
            <w:r w:rsidRPr="00293EE1">
              <w:rPr>
                <w:rFonts w:cs="Times New Roman"/>
                <w:i/>
                <w:sz w:val="20"/>
                <w:szCs w:val="20"/>
              </w:rPr>
              <w:t>mens</w:t>
            </w:r>
            <w:proofErr w:type="spellEnd"/>
            <w:r w:rsidRPr="00293EE1">
              <w:rPr>
                <w:rFonts w:cs="Times New Roman"/>
                <w:i/>
                <w:sz w:val="20"/>
                <w:szCs w:val="20"/>
              </w:rPr>
              <w:t xml:space="preserve"> rea</w:t>
            </w:r>
            <w:r w:rsidRPr="00293EE1">
              <w:rPr>
                <w:rFonts w:cs="Times New Roman"/>
                <w:sz w:val="20"/>
                <w:szCs w:val="20"/>
              </w:rPr>
              <w:t xml:space="preserve"> of civil contempt requires proof of intent to not comply – Whether Court of Appeal could rely on supplemental reasons for conviction given in reasons for sentence to conclude motions judge applied proper burden of proof upon conviction – Whether presumption of innocence required motions judge not to decide or to appear to have decided the motion prior to the hearing – Whether there was a reasonable apprehension of bias – Whether there was an incorrect reversal of the onus of proof?</w:t>
            </w:r>
          </w:p>
        </w:tc>
      </w:tr>
      <w:tr w:rsidR="00D72D79" w:rsidRPr="00293EE1" w:rsidTr="00C92DD5">
        <w:tc>
          <w:tcPr>
            <w:tcW w:w="5000" w:type="pct"/>
            <w:gridSpan w:val="2"/>
          </w:tcPr>
          <w:p w:rsidR="00D72D79" w:rsidRPr="00293EE1" w:rsidRDefault="00D72D79" w:rsidP="00C92DD5">
            <w:pPr>
              <w:jc w:val="both"/>
              <w:rPr>
                <w:rFonts w:cs="Times New Roman"/>
                <w:sz w:val="20"/>
                <w:szCs w:val="20"/>
              </w:rPr>
            </w:pPr>
          </w:p>
        </w:tc>
      </w:tr>
    </w:tbl>
    <w:p w:rsidR="00016C13" w:rsidRPr="00293EE1" w:rsidRDefault="00016C13">
      <w:r w:rsidRPr="00293EE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2D79" w:rsidRPr="00293EE1" w:rsidTr="00C92DD5">
        <w:tc>
          <w:tcPr>
            <w:tcW w:w="5000" w:type="pct"/>
            <w:gridSpan w:val="3"/>
          </w:tcPr>
          <w:p w:rsidR="00D72D79" w:rsidRPr="00293EE1" w:rsidRDefault="00D72D79" w:rsidP="00C92DD5">
            <w:pPr>
              <w:jc w:val="both"/>
              <w:rPr>
                <w:rFonts w:cs="Times New Roman"/>
                <w:sz w:val="20"/>
                <w:szCs w:val="20"/>
              </w:rPr>
            </w:pPr>
            <w:r w:rsidRPr="00293EE1">
              <w:rPr>
                <w:rFonts w:cs="Times New Roman"/>
                <w:sz w:val="20"/>
                <w:szCs w:val="20"/>
              </w:rPr>
              <w:lastRenderedPageBreak/>
              <w:t>On September 16, 2015, 2363523 Ontario Inc. obtained default judgment against Mr. </w:t>
            </w:r>
            <w:proofErr w:type="spellStart"/>
            <w:r w:rsidRPr="00293EE1">
              <w:rPr>
                <w:rFonts w:cs="Times New Roman"/>
                <w:sz w:val="20"/>
                <w:szCs w:val="20"/>
              </w:rPr>
              <w:t>Nowack</w:t>
            </w:r>
            <w:proofErr w:type="spellEnd"/>
            <w:r w:rsidRPr="00293EE1">
              <w:rPr>
                <w:rFonts w:cs="Times New Roman"/>
                <w:sz w:val="20"/>
                <w:szCs w:val="20"/>
              </w:rPr>
              <w:t xml:space="preserve"> for $3,000,000 for fraud, conversion, and breach of fiduciary duty. The judgment ordered Mr. </w:t>
            </w:r>
            <w:proofErr w:type="spellStart"/>
            <w:r w:rsidRPr="00293EE1">
              <w:rPr>
                <w:rFonts w:cs="Times New Roman"/>
                <w:sz w:val="20"/>
                <w:szCs w:val="20"/>
              </w:rPr>
              <w:t>Nowack</w:t>
            </w:r>
            <w:proofErr w:type="spellEnd"/>
            <w:r w:rsidRPr="00293EE1">
              <w:rPr>
                <w:rFonts w:cs="Times New Roman"/>
                <w:sz w:val="20"/>
                <w:szCs w:val="20"/>
              </w:rPr>
              <w:t xml:space="preserve"> to provide an accounting within 30 days. Mr. </w:t>
            </w:r>
            <w:proofErr w:type="spellStart"/>
            <w:r w:rsidRPr="00293EE1">
              <w:rPr>
                <w:rFonts w:cs="Times New Roman"/>
                <w:sz w:val="20"/>
                <w:szCs w:val="20"/>
              </w:rPr>
              <w:t>Nowack</w:t>
            </w:r>
            <w:proofErr w:type="spellEnd"/>
            <w:r w:rsidRPr="00293EE1">
              <w:rPr>
                <w:rFonts w:cs="Times New Roman"/>
                <w:sz w:val="20"/>
                <w:szCs w:val="20"/>
              </w:rPr>
              <w:t xml:space="preserve"> gave undertakings in subsequent proceedings. On November 26, 2015, 2363523 Ontario Inc. brought a motion for contempt arguing that Mr. </w:t>
            </w:r>
            <w:proofErr w:type="spellStart"/>
            <w:r w:rsidRPr="00293EE1">
              <w:rPr>
                <w:rFonts w:cs="Times New Roman"/>
                <w:sz w:val="20"/>
                <w:szCs w:val="20"/>
              </w:rPr>
              <w:t>Nowack</w:t>
            </w:r>
            <w:proofErr w:type="spellEnd"/>
            <w:r w:rsidRPr="00293EE1">
              <w:rPr>
                <w:rFonts w:cs="Times New Roman"/>
                <w:sz w:val="20"/>
                <w:szCs w:val="20"/>
              </w:rPr>
              <w:t xml:space="preserve"> had failed to comply with the judgment and the undertakings. Mr. </w:t>
            </w:r>
            <w:proofErr w:type="spellStart"/>
            <w:r w:rsidRPr="00293EE1">
              <w:rPr>
                <w:rFonts w:cs="Times New Roman"/>
                <w:sz w:val="20"/>
                <w:szCs w:val="20"/>
              </w:rPr>
              <w:t>Nowack</w:t>
            </w:r>
            <w:proofErr w:type="spellEnd"/>
            <w:r w:rsidRPr="00293EE1">
              <w:rPr>
                <w:rFonts w:cs="Times New Roman"/>
                <w:sz w:val="20"/>
                <w:szCs w:val="20"/>
              </w:rPr>
              <w:t xml:space="preserve"> was ordered to attend a judgment debtor examination and to comply with the judgment and undertakings. He did not answer the undertakings nor did he provide the required accounting. The matter returned before the motions judge who found Mr. </w:t>
            </w:r>
            <w:proofErr w:type="spellStart"/>
            <w:r w:rsidRPr="00293EE1">
              <w:rPr>
                <w:rFonts w:cs="Times New Roman"/>
                <w:sz w:val="20"/>
                <w:szCs w:val="20"/>
              </w:rPr>
              <w:t>Nowack</w:t>
            </w:r>
            <w:proofErr w:type="spellEnd"/>
            <w:r w:rsidRPr="00293EE1">
              <w:rPr>
                <w:rFonts w:cs="Times New Roman"/>
                <w:sz w:val="20"/>
                <w:szCs w:val="20"/>
              </w:rPr>
              <w:t xml:space="preserve"> in contempt of court. Upon sentencing, he found Mr. </w:t>
            </w:r>
            <w:proofErr w:type="spellStart"/>
            <w:r w:rsidRPr="00293EE1">
              <w:rPr>
                <w:rFonts w:cs="Times New Roman"/>
                <w:sz w:val="20"/>
                <w:szCs w:val="20"/>
              </w:rPr>
              <w:t>Nowack</w:t>
            </w:r>
            <w:proofErr w:type="spellEnd"/>
            <w:r w:rsidRPr="00293EE1">
              <w:rPr>
                <w:rFonts w:cs="Times New Roman"/>
                <w:sz w:val="20"/>
                <w:szCs w:val="20"/>
              </w:rPr>
              <w:t xml:space="preserve"> had failed to purge the contempt and he sentenced Mr. </w:t>
            </w:r>
            <w:proofErr w:type="spellStart"/>
            <w:r w:rsidRPr="00293EE1">
              <w:rPr>
                <w:rFonts w:cs="Times New Roman"/>
                <w:sz w:val="20"/>
                <w:szCs w:val="20"/>
              </w:rPr>
              <w:t>Nowack</w:t>
            </w:r>
            <w:proofErr w:type="spellEnd"/>
            <w:r w:rsidRPr="00293EE1">
              <w:rPr>
                <w:rFonts w:cs="Times New Roman"/>
                <w:sz w:val="20"/>
                <w:szCs w:val="20"/>
              </w:rPr>
              <w:t xml:space="preserve"> to 30 days in custody.</w:t>
            </w:r>
          </w:p>
          <w:p w:rsidR="00D72D79" w:rsidRPr="00293EE1" w:rsidRDefault="00D72D79" w:rsidP="00C92DD5">
            <w:pPr>
              <w:jc w:val="both"/>
              <w:rPr>
                <w:rFonts w:cs="Times New Roman"/>
                <w:sz w:val="20"/>
                <w:szCs w:val="20"/>
              </w:rPr>
            </w:pPr>
          </w:p>
        </w:tc>
      </w:tr>
      <w:tr w:rsidR="00D72D79" w:rsidRPr="00293EE1" w:rsidTr="00C92DD5">
        <w:tc>
          <w:tcPr>
            <w:tcW w:w="2427" w:type="pct"/>
          </w:tcPr>
          <w:p w:rsidR="00D72D79" w:rsidRPr="00293EE1" w:rsidRDefault="00D72D79" w:rsidP="00C92DD5">
            <w:pPr>
              <w:jc w:val="both"/>
              <w:rPr>
                <w:rFonts w:cs="Times New Roman"/>
                <w:sz w:val="20"/>
                <w:szCs w:val="20"/>
              </w:rPr>
            </w:pPr>
            <w:r w:rsidRPr="00293EE1">
              <w:rPr>
                <w:rFonts w:cs="Times New Roman"/>
                <w:sz w:val="20"/>
                <w:szCs w:val="20"/>
              </w:rPr>
              <w:t xml:space="preserve">September 16, 2015 </w:t>
            </w:r>
          </w:p>
          <w:p w:rsidR="00D72D79" w:rsidRPr="00293EE1" w:rsidRDefault="00D72D79" w:rsidP="00C92DD5">
            <w:pPr>
              <w:jc w:val="both"/>
              <w:rPr>
                <w:rFonts w:cs="Times New Roman"/>
                <w:sz w:val="20"/>
                <w:szCs w:val="20"/>
              </w:rPr>
            </w:pPr>
            <w:r w:rsidRPr="00293EE1">
              <w:rPr>
                <w:rFonts w:cs="Times New Roman"/>
                <w:sz w:val="20"/>
                <w:szCs w:val="20"/>
              </w:rPr>
              <w:t>Ontario Superior Court of Justice</w:t>
            </w:r>
          </w:p>
          <w:p w:rsidR="00D72D79" w:rsidRPr="00293EE1" w:rsidRDefault="00D72D79" w:rsidP="00C92DD5">
            <w:pPr>
              <w:jc w:val="both"/>
              <w:rPr>
                <w:rFonts w:cs="Times New Roman"/>
                <w:sz w:val="20"/>
                <w:szCs w:val="20"/>
              </w:rPr>
            </w:pPr>
            <w:r w:rsidRPr="00293EE1">
              <w:rPr>
                <w:rFonts w:cs="Times New Roman"/>
                <w:sz w:val="20"/>
                <w:szCs w:val="20"/>
              </w:rPr>
              <w:t>(Diamond J.)(unreported)</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spacing w:after="240"/>
              <w:jc w:val="both"/>
              <w:rPr>
                <w:rFonts w:cs="Times New Roman"/>
                <w:sz w:val="20"/>
                <w:szCs w:val="20"/>
              </w:rPr>
            </w:pPr>
            <w:r w:rsidRPr="00293EE1">
              <w:rPr>
                <w:rFonts w:cs="Times New Roman"/>
                <w:sz w:val="20"/>
                <w:szCs w:val="20"/>
              </w:rPr>
              <w:t>Mr. </w:t>
            </w:r>
            <w:proofErr w:type="spellStart"/>
            <w:r w:rsidRPr="00293EE1">
              <w:rPr>
                <w:rFonts w:cs="Times New Roman"/>
                <w:sz w:val="20"/>
                <w:szCs w:val="20"/>
              </w:rPr>
              <w:t>Nowack</w:t>
            </w:r>
            <w:proofErr w:type="spellEnd"/>
            <w:r w:rsidRPr="00293EE1">
              <w:rPr>
                <w:rFonts w:cs="Times New Roman"/>
                <w:sz w:val="20"/>
                <w:szCs w:val="20"/>
              </w:rPr>
              <w:t xml:space="preserve"> ordered to pay $3 million in damages plus interest and costs and to provide an accounting to 2363523 Ontario Inc. within 30 days</w:t>
            </w:r>
          </w:p>
        </w:tc>
      </w:tr>
      <w:tr w:rsidR="00D72D79" w:rsidRPr="00293EE1" w:rsidTr="00C92DD5">
        <w:tc>
          <w:tcPr>
            <w:tcW w:w="2427" w:type="pct"/>
          </w:tcPr>
          <w:p w:rsidR="00D72D79" w:rsidRPr="00293EE1" w:rsidRDefault="00D72D79" w:rsidP="00C92DD5">
            <w:pPr>
              <w:jc w:val="both"/>
              <w:rPr>
                <w:rFonts w:cs="Times New Roman"/>
                <w:sz w:val="20"/>
                <w:szCs w:val="20"/>
              </w:rPr>
            </w:pPr>
            <w:r w:rsidRPr="00293EE1">
              <w:rPr>
                <w:rFonts w:cs="Times New Roman"/>
                <w:sz w:val="20"/>
                <w:szCs w:val="20"/>
              </w:rPr>
              <w:t>January 8, 2016</w:t>
            </w:r>
          </w:p>
          <w:p w:rsidR="00D72D79" w:rsidRPr="00293EE1" w:rsidRDefault="00D72D79" w:rsidP="00C92DD5">
            <w:pPr>
              <w:jc w:val="both"/>
              <w:rPr>
                <w:rFonts w:cs="Times New Roman"/>
                <w:sz w:val="20"/>
                <w:szCs w:val="20"/>
              </w:rPr>
            </w:pPr>
            <w:r w:rsidRPr="00293EE1">
              <w:rPr>
                <w:rFonts w:cs="Times New Roman"/>
                <w:sz w:val="20"/>
                <w:szCs w:val="20"/>
              </w:rPr>
              <w:t>Ontario Superior Court of Justice</w:t>
            </w:r>
          </w:p>
          <w:p w:rsidR="00D72D79" w:rsidRPr="00293EE1" w:rsidRDefault="00D72D79" w:rsidP="00C92DD5">
            <w:pPr>
              <w:jc w:val="both"/>
              <w:rPr>
                <w:rFonts w:cs="Times New Roman"/>
                <w:sz w:val="20"/>
                <w:szCs w:val="20"/>
              </w:rPr>
            </w:pPr>
            <w:r w:rsidRPr="00293EE1">
              <w:rPr>
                <w:rFonts w:cs="Times New Roman"/>
                <w:sz w:val="20"/>
                <w:szCs w:val="20"/>
              </w:rPr>
              <w:t>(</w:t>
            </w:r>
            <w:proofErr w:type="spellStart"/>
            <w:r w:rsidRPr="00293EE1">
              <w:rPr>
                <w:rFonts w:cs="Times New Roman"/>
                <w:sz w:val="20"/>
                <w:szCs w:val="20"/>
              </w:rPr>
              <w:t>Dunphy</w:t>
            </w:r>
            <w:proofErr w:type="spellEnd"/>
            <w:r w:rsidRPr="00293EE1">
              <w:rPr>
                <w:rFonts w:cs="Times New Roman"/>
                <w:sz w:val="20"/>
                <w:szCs w:val="20"/>
              </w:rPr>
              <w:t xml:space="preserve"> J.)(unreported)</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Applicant found in contempt of court</w:t>
            </w:r>
          </w:p>
        </w:tc>
      </w:tr>
      <w:tr w:rsidR="00D72D79" w:rsidRPr="00293EE1" w:rsidTr="00C92DD5">
        <w:tc>
          <w:tcPr>
            <w:tcW w:w="2427" w:type="pct"/>
          </w:tcPr>
          <w:p w:rsidR="00D72D79" w:rsidRPr="00293EE1" w:rsidRDefault="00D72D79" w:rsidP="00C92DD5">
            <w:pPr>
              <w:jc w:val="both"/>
              <w:rPr>
                <w:rFonts w:cs="Times New Roman"/>
                <w:sz w:val="20"/>
                <w:szCs w:val="20"/>
              </w:rPr>
            </w:pPr>
            <w:r w:rsidRPr="00293EE1">
              <w:rPr>
                <w:rFonts w:cs="Times New Roman"/>
                <w:sz w:val="20"/>
                <w:szCs w:val="20"/>
              </w:rPr>
              <w:t>April 18, 2016</w:t>
            </w:r>
          </w:p>
          <w:p w:rsidR="00D72D79" w:rsidRPr="00293EE1" w:rsidRDefault="00D72D79" w:rsidP="00C92DD5">
            <w:pPr>
              <w:jc w:val="both"/>
              <w:rPr>
                <w:rFonts w:cs="Times New Roman"/>
                <w:sz w:val="20"/>
                <w:szCs w:val="20"/>
              </w:rPr>
            </w:pPr>
            <w:r w:rsidRPr="00293EE1">
              <w:rPr>
                <w:rFonts w:cs="Times New Roman"/>
                <w:sz w:val="20"/>
                <w:szCs w:val="20"/>
              </w:rPr>
              <w:t>Ontario Superior Court of Justice</w:t>
            </w:r>
          </w:p>
          <w:p w:rsidR="00D72D79" w:rsidRPr="00293EE1" w:rsidRDefault="00D72D79" w:rsidP="00C92DD5">
            <w:pPr>
              <w:jc w:val="both"/>
              <w:rPr>
                <w:rFonts w:cs="Times New Roman"/>
                <w:sz w:val="20"/>
                <w:szCs w:val="20"/>
              </w:rPr>
            </w:pPr>
            <w:r w:rsidRPr="00293EE1">
              <w:rPr>
                <w:rFonts w:cs="Times New Roman"/>
                <w:sz w:val="20"/>
                <w:szCs w:val="20"/>
              </w:rPr>
              <w:t>(</w:t>
            </w:r>
            <w:proofErr w:type="spellStart"/>
            <w:r w:rsidRPr="00293EE1">
              <w:rPr>
                <w:rFonts w:cs="Times New Roman"/>
                <w:sz w:val="20"/>
                <w:szCs w:val="20"/>
              </w:rPr>
              <w:t>Dunphy</w:t>
            </w:r>
            <w:proofErr w:type="spellEnd"/>
            <w:r w:rsidRPr="00293EE1">
              <w:rPr>
                <w:rFonts w:cs="Times New Roman"/>
                <w:sz w:val="20"/>
                <w:szCs w:val="20"/>
              </w:rPr>
              <w:t xml:space="preserve"> J.)</w:t>
            </w:r>
          </w:p>
          <w:p w:rsidR="00D72D79" w:rsidRPr="00293EE1" w:rsidRDefault="00B2512D" w:rsidP="00C92DD5">
            <w:pPr>
              <w:jc w:val="both"/>
              <w:rPr>
                <w:rFonts w:cs="Times New Roman"/>
                <w:sz w:val="20"/>
                <w:szCs w:val="20"/>
              </w:rPr>
            </w:pPr>
            <w:hyperlink r:id="rId31" w:history="1">
              <w:r w:rsidR="00D72D79" w:rsidRPr="00293EE1">
                <w:rPr>
                  <w:rStyle w:val="Hyperlink"/>
                  <w:rFonts w:cs="Times New Roman"/>
                  <w:sz w:val="20"/>
                  <w:szCs w:val="20"/>
                </w:rPr>
                <w:t>2016 ONSC 2518</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Applicant found not to have purged contempt and sentenced to 30 days in prison</w:t>
            </w:r>
          </w:p>
        </w:tc>
      </w:tr>
      <w:tr w:rsidR="00D72D79" w:rsidRPr="00293EE1" w:rsidTr="00C92DD5">
        <w:tc>
          <w:tcPr>
            <w:tcW w:w="2427" w:type="pct"/>
          </w:tcPr>
          <w:p w:rsidR="00D72D79" w:rsidRPr="00293EE1" w:rsidRDefault="00D72D79" w:rsidP="00C92DD5">
            <w:pPr>
              <w:jc w:val="both"/>
              <w:rPr>
                <w:rFonts w:cs="Times New Roman"/>
                <w:sz w:val="20"/>
                <w:szCs w:val="20"/>
              </w:rPr>
            </w:pPr>
            <w:r w:rsidRPr="00293EE1">
              <w:rPr>
                <w:rFonts w:cs="Times New Roman"/>
                <w:sz w:val="20"/>
                <w:szCs w:val="20"/>
              </w:rPr>
              <w:t>December 16, 2016</w:t>
            </w:r>
          </w:p>
          <w:p w:rsidR="00D72D79" w:rsidRPr="00293EE1" w:rsidRDefault="00D72D79" w:rsidP="00C92DD5">
            <w:pPr>
              <w:jc w:val="both"/>
              <w:rPr>
                <w:rFonts w:cs="Times New Roman"/>
                <w:sz w:val="20"/>
                <w:szCs w:val="20"/>
              </w:rPr>
            </w:pPr>
            <w:r w:rsidRPr="00293EE1">
              <w:rPr>
                <w:rFonts w:cs="Times New Roman"/>
                <w:sz w:val="20"/>
                <w:szCs w:val="20"/>
              </w:rPr>
              <w:t>Court of Appeal for Ontario</w:t>
            </w:r>
          </w:p>
          <w:p w:rsidR="00D72D79" w:rsidRPr="00293EE1" w:rsidRDefault="00D72D79" w:rsidP="00C92DD5">
            <w:pPr>
              <w:jc w:val="both"/>
              <w:rPr>
                <w:rFonts w:cs="Times New Roman"/>
                <w:sz w:val="20"/>
                <w:szCs w:val="20"/>
              </w:rPr>
            </w:pPr>
            <w:r w:rsidRPr="00293EE1">
              <w:rPr>
                <w:rFonts w:cs="Times New Roman"/>
                <w:sz w:val="20"/>
                <w:szCs w:val="20"/>
              </w:rPr>
              <w:t xml:space="preserve">(Strathy, </w:t>
            </w:r>
            <w:proofErr w:type="spellStart"/>
            <w:r w:rsidRPr="00293EE1">
              <w:rPr>
                <w:rFonts w:cs="Times New Roman"/>
                <w:sz w:val="20"/>
                <w:szCs w:val="20"/>
              </w:rPr>
              <w:t>LaForme</w:t>
            </w:r>
            <w:proofErr w:type="spellEnd"/>
            <w:r w:rsidRPr="00293EE1">
              <w:rPr>
                <w:rFonts w:cs="Times New Roman"/>
                <w:sz w:val="20"/>
                <w:szCs w:val="20"/>
              </w:rPr>
              <w:t xml:space="preserve">, van </w:t>
            </w:r>
            <w:proofErr w:type="spellStart"/>
            <w:r w:rsidRPr="00293EE1">
              <w:rPr>
                <w:rFonts w:cs="Times New Roman"/>
                <w:sz w:val="20"/>
                <w:szCs w:val="20"/>
              </w:rPr>
              <w:t>Rensburg</w:t>
            </w:r>
            <w:proofErr w:type="spellEnd"/>
            <w:r w:rsidRPr="00293EE1">
              <w:rPr>
                <w:rFonts w:cs="Times New Roman"/>
                <w:sz w:val="20"/>
                <w:szCs w:val="20"/>
              </w:rPr>
              <w:t xml:space="preserve"> JJ.A.)</w:t>
            </w:r>
          </w:p>
          <w:p w:rsidR="00D72D79" w:rsidRPr="00293EE1" w:rsidRDefault="00D72D79" w:rsidP="00C92DD5">
            <w:pPr>
              <w:jc w:val="both"/>
              <w:rPr>
                <w:rFonts w:cs="Times New Roman"/>
                <w:sz w:val="20"/>
                <w:szCs w:val="20"/>
              </w:rPr>
            </w:pPr>
            <w:r w:rsidRPr="00293EE1">
              <w:rPr>
                <w:rFonts w:cs="Times New Roman"/>
                <w:sz w:val="20"/>
                <w:szCs w:val="20"/>
              </w:rPr>
              <w:t xml:space="preserve">C62035; </w:t>
            </w:r>
            <w:hyperlink r:id="rId32" w:history="1">
              <w:r w:rsidRPr="00293EE1">
                <w:rPr>
                  <w:rStyle w:val="Hyperlink"/>
                  <w:rFonts w:cs="Times New Roman"/>
                  <w:sz w:val="20"/>
                  <w:szCs w:val="20"/>
                </w:rPr>
                <w:t>2016 ONCA 951</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Appeal dismissed</w:t>
            </w:r>
          </w:p>
        </w:tc>
      </w:tr>
      <w:tr w:rsidR="00D72D79" w:rsidRPr="00293EE1" w:rsidTr="00C92DD5">
        <w:tc>
          <w:tcPr>
            <w:tcW w:w="2427" w:type="pct"/>
          </w:tcPr>
          <w:p w:rsidR="00D72D79" w:rsidRPr="00293EE1" w:rsidRDefault="00D72D79" w:rsidP="00C92DD5">
            <w:pPr>
              <w:jc w:val="both"/>
              <w:rPr>
                <w:rFonts w:cs="Times New Roman"/>
                <w:sz w:val="20"/>
                <w:szCs w:val="20"/>
              </w:rPr>
            </w:pPr>
            <w:r w:rsidRPr="00293EE1">
              <w:rPr>
                <w:rFonts w:cs="Times New Roman"/>
                <w:sz w:val="20"/>
                <w:szCs w:val="20"/>
              </w:rPr>
              <w:t>February 14, 2017</w:t>
            </w:r>
          </w:p>
          <w:p w:rsidR="00D72D79" w:rsidRPr="00293EE1" w:rsidRDefault="00D72D79" w:rsidP="00C92DD5">
            <w:pPr>
              <w:jc w:val="both"/>
              <w:rPr>
                <w:rFonts w:cs="Times New Roman"/>
                <w:sz w:val="20"/>
                <w:szCs w:val="20"/>
              </w:rPr>
            </w:pPr>
            <w:r w:rsidRPr="00293EE1">
              <w:rPr>
                <w:rFonts w:cs="Times New Roman"/>
                <w:sz w:val="20"/>
                <w:szCs w:val="20"/>
              </w:rPr>
              <w:t>Supreme Court of Canada</w:t>
            </w: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Application for leave to appeal filed</w:t>
            </w:r>
          </w:p>
          <w:p w:rsidR="00D72D79" w:rsidRPr="00293EE1" w:rsidRDefault="00D72D79" w:rsidP="00C92DD5">
            <w:pPr>
              <w:jc w:val="both"/>
              <w:rPr>
                <w:rFonts w:cs="Times New Roman"/>
                <w:sz w:val="20"/>
                <w:szCs w:val="20"/>
              </w:rPr>
            </w:pPr>
          </w:p>
        </w:tc>
      </w:tr>
    </w:tbl>
    <w:p w:rsidR="00D72D79" w:rsidRPr="00293EE1" w:rsidRDefault="00B2512D" w:rsidP="00D72D79">
      <w:pPr>
        <w:jc w:val="both"/>
        <w:rPr>
          <w:rFonts w:cs="Times New Roman"/>
          <w:sz w:val="20"/>
          <w:szCs w:val="20"/>
        </w:rPr>
      </w:pPr>
      <w:r>
        <w:rPr>
          <w:sz w:val="20"/>
          <w:szCs w:val="20"/>
        </w:rPr>
        <w:pict>
          <v:rect id="_x0000_i1053" style="width:2in;height:1pt" o:hrpct="0" o:hralign="center" o:hrstd="t" o:hrnoshade="t" o:hr="t" fillcolor="black [3213]" stroked="f"/>
        </w:pict>
      </w:r>
    </w:p>
    <w:p w:rsidR="00D72D79" w:rsidRPr="00293EE1" w:rsidRDefault="00D72D79" w:rsidP="00D72D79">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2D79" w:rsidRPr="00293EE1" w:rsidTr="00C92DD5">
        <w:tc>
          <w:tcPr>
            <w:tcW w:w="543" w:type="pct"/>
          </w:tcPr>
          <w:p w:rsidR="00D72D79" w:rsidRPr="00293EE1" w:rsidRDefault="00D72D79" w:rsidP="00C92DD5">
            <w:pPr>
              <w:jc w:val="both"/>
              <w:rPr>
                <w:rFonts w:cs="Times New Roman"/>
                <w:sz w:val="20"/>
                <w:szCs w:val="20"/>
                <w:lang w:val="fr-CA"/>
              </w:rPr>
            </w:pPr>
            <w:r w:rsidRPr="00293EE1">
              <w:rPr>
                <w:rStyle w:val="SCCFileNumberChar"/>
                <w:sz w:val="20"/>
                <w:szCs w:val="20"/>
                <w:lang w:val="fr-CA"/>
              </w:rPr>
              <w:t>37376</w:t>
            </w:r>
          </w:p>
        </w:tc>
        <w:tc>
          <w:tcPr>
            <w:tcW w:w="4457" w:type="pct"/>
          </w:tcPr>
          <w:p w:rsidR="00D72D79" w:rsidRPr="00293EE1" w:rsidRDefault="00D72D79" w:rsidP="00C92DD5">
            <w:pPr>
              <w:pStyle w:val="SCCLsocParty"/>
              <w:jc w:val="both"/>
              <w:rPr>
                <w:b/>
                <w:sz w:val="20"/>
                <w:szCs w:val="20"/>
                <w:lang w:val="en-US"/>
              </w:rPr>
            </w:pPr>
            <w:r w:rsidRPr="00293EE1">
              <w:rPr>
                <w:b/>
                <w:sz w:val="20"/>
                <w:szCs w:val="20"/>
                <w:lang w:val="en-US"/>
              </w:rPr>
              <w:t xml:space="preserve">Steven </w:t>
            </w:r>
            <w:proofErr w:type="spellStart"/>
            <w:r w:rsidRPr="00293EE1">
              <w:rPr>
                <w:b/>
                <w:sz w:val="20"/>
                <w:szCs w:val="20"/>
                <w:lang w:val="en-US"/>
              </w:rPr>
              <w:t>Nowack</w:t>
            </w:r>
            <w:proofErr w:type="spellEnd"/>
            <w:r w:rsidRPr="00293EE1">
              <w:rPr>
                <w:b/>
                <w:sz w:val="20"/>
                <w:szCs w:val="20"/>
                <w:lang w:val="en-US"/>
              </w:rPr>
              <w:t xml:space="preserve"> c. 2363523 Ontario Inc.</w:t>
            </w:r>
          </w:p>
          <w:p w:rsidR="00D72D79" w:rsidRPr="00293EE1" w:rsidRDefault="00D72D79" w:rsidP="00C92DD5">
            <w:pPr>
              <w:jc w:val="both"/>
              <w:rPr>
                <w:rFonts w:cs="Times New Roman"/>
                <w:sz w:val="20"/>
                <w:szCs w:val="20"/>
                <w:lang w:val="fr-CA"/>
              </w:rPr>
            </w:pPr>
            <w:r w:rsidRPr="00293EE1">
              <w:rPr>
                <w:rFonts w:cs="Times New Roman"/>
                <w:sz w:val="20"/>
                <w:szCs w:val="20"/>
                <w:lang w:val="fr-CA"/>
              </w:rPr>
              <w:t>(Ont.) (Civile) (Sur autorisation)</w:t>
            </w:r>
          </w:p>
        </w:tc>
      </w:tr>
      <w:tr w:rsidR="00D72D79" w:rsidRPr="00B2512D" w:rsidTr="00C92DD5">
        <w:tc>
          <w:tcPr>
            <w:tcW w:w="543" w:type="pct"/>
          </w:tcPr>
          <w:p w:rsidR="00D72D79" w:rsidRPr="00293EE1" w:rsidRDefault="00D72D79" w:rsidP="00C92DD5">
            <w:pPr>
              <w:jc w:val="both"/>
              <w:rPr>
                <w:rStyle w:val="SCCFileNumberChar"/>
                <w:sz w:val="20"/>
                <w:szCs w:val="20"/>
                <w:lang w:val="fr-CA"/>
              </w:rPr>
            </w:pPr>
            <w:r w:rsidRPr="00293EE1">
              <w:rPr>
                <w:rStyle w:val="SCCFileNumberChar"/>
                <w:sz w:val="20"/>
                <w:szCs w:val="20"/>
                <w:lang w:val="fr-CA"/>
              </w:rPr>
              <w:t>Coram :</w:t>
            </w:r>
          </w:p>
        </w:tc>
        <w:tc>
          <w:tcPr>
            <w:tcW w:w="4457" w:type="pct"/>
          </w:tcPr>
          <w:p w:rsidR="00D72D79" w:rsidRPr="00293EE1" w:rsidRDefault="00B21312" w:rsidP="00B21312">
            <w:pPr>
              <w:pStyle w:val="SCCLsocParty"/>
              <w:jc w:val="both"/>
              <w:rPr>
                <w:sz w:val="20"/>
                <w:szCs w:val="20"/>
              </w:rPr>
            </w:pPr>
            <w:r w:rsidRPr="00293EE1">
              <w:rPr>
                <w:sz w:val="20"/>
                <w:szCs w:val="20"/>
                <w:lang w:val="fr-FR"/>
              </w:rPr>
              <w:t xml:space="preserve">La juge en chef </w:t>
            </w:r>
            <w:proofErr w:type="spellStart"/>
            <w:r w:rsidRPr="00293EE1">
              <w:rPr>
                <w:sz w:val="20"/>
                <w:szCs w:val="20"/>
                <w:lang w:val="fr-FR"/>
              </w:rPr>
              <w:t>McLachlin</w:t>
            </w:r>
            <w:proofErr w:type="spellEnd"/>
            <w:r w:rsidRPr="00293EE1">
              <w:rPr>
                <w:sz w:val="20"/>
                <w:szCs w:val="20"/>
                <w:lang w:val="fr-FR"/>
              </w:rPr>
              <w:t xml:space="preserve"> et les juges Abella, </w:t>
            </w:r>
            <w:proofErr w:type="spellStart"/>
            <w:r w:rsidRPr="00293EE1">
              <w:rPr>
                <w:sz w:val="20"/>
                <w:szCs w:val="20"/>
                <w:lang w:val="fr-FR"/>
              </w:rPr>
              <w:t>Moldaver</w:t>
            </w:r>
            <w:proofErr w:type="spellEnd"/>
            <w:r w:rsidRPr="00293EE1">
              <w:rPr>
                <w:sz w:val="20"/>
                <w:szCs w:val="20"/>
                <w:lang w:val="fr-FR"/>
              </w:rPr>
              <w:t xml:space="preserve">, </w:t>
            </w:r>
            <w:proofErr w:type="spellStart"/>
            <w:r w:rsidRPr="00293EE1">
              <w:rPr>
                <w:sz w:val="20"/>
                <w:szCs w:val="20"/>
                <w:lang w:val="fr-FR"/>
              </w:rPr>
              <w:t>Karakatsanis</w:t>
            </w:r>
            <w:proofErr w:type="spellEnd"/>
            <w:r w:rsidRPr="00293EE1">
              <w:rPr>
                <w:sz w:val="20"/>
                <w:szCs w:val="20"/>
                <w:lang w:val="fr-FR"/>
              </w:rPr>
              <w:t>, Wagner, Gascon, Côté, Brown et Rowe</w:t>
            </w:r>
          </w:p>
        </w:tc>
      </w:tr>
      <w:tr w:rsidR="00D72D79" w:rsidRPr="00B2512D" w:rsidTr="00D72D79">
        <w:tc>
          <w:tcPr>
            <w:tcW w:w="5000" w:type="pct"/>
            <w:gridSpan w:val="2"/>
          </w:tcPr>
          <w:p w:rsidR="00D72D79" w:rsidRPr="00293EE1" w:rsidRDefault="00B21312" w:rsidP="00C92DD5">
            <w:pPr>
              <w:pStyle w:val="SCCLsocParty"/>
              <w:jc w:val="both"/>
              <w:rPr>
                <w:sz w:val="20"/>
                <w:szCs w:val="20"/>
              </w:rPr>
            </w:pPr>
            <w:r w:rsidRPr="00293EE1">
              <w:rPr>
                <w:sz w:val="20"/>
                <w:szCs w:val="20"/>
              </w:rPr>
              <w:t xml:space="preserve">La demande d’autorisation d’appel de l’arrêt de la </w:t>
            </w:r>
            <w:r w:rsidRPr="00293EE1">
              <w:rPr>
                <w:sz w:val="20"/>
                <w:szCs w:val="20"/>
                <w:lang w:val="fr-FR"/>
              </w:rPr>
              <w:t>Cour d’appel de l’Ontario</w:t>
            </w:r>
            <w:r w:rsidRPr="00293EE1">
              <w:rPr>
                <w:sz w:val="20"/>
                <w:szCs w:val="20"/>
              </w:rPr>
              <w:t xml:space="preserve">, numéro </w:t>
            </w:r>
            <w:r w:rsidRPr="00293EE1">
              <w:rPr>
                <w:sz w:val="20"/>
                <w:szCs w:val="20"/>
                <w:lang w:val="fr-FR"/>
              </w:rPr>
              <w:t>C62035, 2016 ONCA 951</w:t>
            </w:r>
            <w:r w:rsidRPr="00293EE1">
              <w:rPr>
                <w:sz w:val="20"/>
                <w:szCs w:val="20"/>
              </w:rPr>
              <w:t xml:space="preserve">, daté du </w:t>
            </w:r>
            <w:r w:rsidRPr="00293EE1">
              <w:rPr>
                <w:sz w:val="20"/>
                <w:szCs w:val="20"/>
                <w:lang w:val="fr-FR"/>
              </w:rPr>
              <w:t>16 décembre 2016</w:t>
            </w:r>
            <w:r w:rsidRPr="00293EE1">
              <w:rPr>
                <w:sz w:val="20"/>
                <w:szCs w:val="20"/>
              </w:rPr>
              <w:t>, est rejetée avec dépens.</w:t>
            </w:r>
          </w:p>
          <w:p w:rsidR="00B21312" w:rsidRPr="00293EE1" w:rsidRDefault="00B21312" w:rsidP="00B21312">
            <w:pPr>
              <w:rPr>
                <w:lang w:val="fr-CA"/>
              </w:rPr>
            </w:pPr>
          </w:p>
        </w:tc>
      </w:tr>
      <w:tr w:rsidR="00D72D79" w:rsidRPr="00B2512D" w:rsidTr="00C92DD5">
        <w:tc>
          <w:tcPr>
            <w:tcW w:w="5000" w:type="pct"/>
            <w:gridSpan w:val="2"/>
          </w:tcPr>
          <w:p w:rsidR="00D72D79" w:rsidRPr="00293EE1" w:rsidRDefault="00D72D79" w:rsidP="00C92DD5">
            <w:pPr>
              <w:jc w:val="both"/>
              <w:rPr>
                <w:rFonts w:cs="Times New Roman"/>
                <w:sz w:val="20"/>
                <w:szCs w:val="20"/>
                <w:lang w:val="fr-CA"/>
              </w:rPr>
            </w:pPr>
            <w:r w:rsidRPr="00293EE1">
              <w:rPr>
                <w:rFonts w:cs="Times New Roman"/>
                <w:i/>
                <w:sz w:val="20"/>
                <w:szCs w:val="20"/>
                <w:lang w:val="fr-CA"/>
              </w:rPr>
              <w:t>Charte des droits et libertés</w:t>
            </w:r>
            <w:r w:rsidRPr="00293EE1">
              <w:rPr>
                <w:rFonts w:cs="Times New Roman"/>
                <w:sz w:val="20"/>
                <w:szCs w:val="20"/>
                <w:lang w:val="fr-CA"/>
              </w:rPr>
              <w:t xml:space="preserve"> – Principes de justice fondamentale – Présomption d’innocence – Droit à une défense pleine et entière – Procédure civile – Outrage au tribunal – Partialité – Crainte de partialité – Charge et norme de preuve – Examen en appel – Pour établir la </w:t>
            </w:r>
            <w:r w:rsidRPr="00293EE1">
              <w:rPr>
                <w:rFonts w:cs="Times New Roman"/>
                <w:i/>
                <w:sz w:val="20"/>
                <w:szCs w:val="20"/>
                <w:lang w:val="fr-CA"/>
              </w:rPr>
              <w:t xml:space="preserve">mens </w:t>
            </w:r>
            <w:proofErr w:type="spellStart"/>
            <w:r w:rsidRPr="00293EE1">
              <w:rPr>
                <w:rFonts w:cs="Times New Roman"/>
                <w:i/>
                <w:sz w:val="20"/>
                <w:szCs w:val="20"/>
                <w:lang w:val="fr-CA"/>
              </w:rPr>
              <w:t>rea</w:t>
            </w:r>
            <w:proofErr w:type="spellEnd"/>
            <w:r w:rsidRPr="00293EE1">
              <w:rPr>
                <w:rFonts w:cs="Times New Roman"/>
                <w:sz w:val="20"/>
                <w:szCs w:val="20"/>
                <w:lang w:val="fr-CA"/>
              </w:rPr>
              <w:t xml:space="preserve"> de l’outrage au tribunal en matière civile, faut-il faire la preuve de l’intention de ne pas se conformer? – La Cour d’appel pouvait-elle s’appuyer sur les motifs complémentaires de la déclaration de culpabilité donnés dans les motifs de la détermination de la peine pour conclure que le juge de première instance avait appliqué le bon fardeau de la preuve en prononçant la déclaration de culpabilité? – La présomption d’innocence obligeait-elle le juge de première instance à ne pas trancher ou à ne pas paraître avoir tranché la requête avant l’audience? – Y avait-il crainte raisonnable de partialité? – Y </w:t>
            </w:r>
            <w:proofErr w:type="spellStart"/>
            <w:r w:rsidRPr="00293EE1">
              <w:rPr>
                <w:rFonts w:cs="Times New Roman"/>
                <w:sz w:val="20"/>
                <w:szCs w:val="20"/>
                <w:lang w:val="fr-CA"/>
              </w:rPr>
              <w:t>a-t-il</w:t>
            </w:r>
            <w:proofErr w:type="spellEnd"/>
            <w:r w:rsidRPr="00293EE1">
              <w:rPr>
                <w:rFonts w:cs="Times New Roman"/>
                <w:sz w:val="20"/>
                <w:szCs w:val="20"/>
                <w:lang w:val="fr-CA"/>
              </w:rPr>
              <w:t xml:space="preserve"> eu renversement erroné de la charge de la preuve?</w:t>
            </w:r>
          </w:p>
        </w:tc>
      </w:tr>
      <w:tr w:rsidR="00D72D79" w:rsidRPr="00B2512D" w:rsidTr="00C92DD5">
        <w:tc>
          <w:tcPr>
            <w:tcW w:w="5000" w:type="pct"/>
            <w:gridSpan w:val="2"/>
          </w:tcPr>
          <w:p w:rsidR="00D72D79" w:rsidRPr="00293EE1" w:rsidRDefault="00D72D79" w:rsidP="00C92DD5">
            <w:pPr>
              <w:jc w:val="both"/>
              <w:rPr>
                <w:rFonts w:cs="Times New Roman"/>
                <w:sz w:val="20"/>
                <w:szCs w:val="20"/>
                <w:lang w:val="fr-CA"/>
              </w:rPr>
            </w:pPr>
          </w:p>
        </w:tc>
      </w:tr>
    </w:tbl>
    <w:p w:rsidR="00016C13" w:rsidRPr="00293EE1" w:rsidRDefault="00016C13">
      <w:pPr>
        <w:rPr>
          <w:lang w:val="fr-CA"/>
        </w:rPr>
      </w:pPr>
      <w:r w:rsidRPr="00293EE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2D79" w:rsidRPr="00B2512D" w:rsidTr="00C92DD5">
        <w:tc>
          <w:tcPr>
            <w:tcW w:w="5000" w:type="pct"/>
            <w:gridSpan w:val="3"/>
          </w:tcPr>
          <w:p w:rsidR="00D72D79" w:rsidRPr="00293EE1" w:rsidRDefault="00D72D79" w:rsidP="00C92DD5">
            <w:pPr>
              <w:jc w:val="both"/>
              <w:rPr>
                <w:rFonts w:cs="Times New Roman"/>
                <w:sz w:val="20"/>
                <w:szCs w:val="20"/>
                <w:lang w:val="fr-CA"/>
              </w:rPr>
            </w:pPr>
            <w:r w:rsidRPr="00293EE1">
              <w:rPr>
                <w:rFonts w:cs="Times New Roman"/>
                <w:sz w:val="20"/>
                <w:szCs w:val="20"/>
                <w:lang w:val="fr-CA"/>
              </w:rPr>
              <w:lastRenderedPageBreak/>
              <w:t xml:space="preserve">Le 16 septembre 2015, 2363523 Ontario Inc. </w:t>
            </w:r>
            <w:proofErr w:type="gramStart"/>
            <w:r w:rsidRPr="00293EE1">
              <w:rPr>
                <w:rFonts w:cs="Times New Roman"/>
                <w:sz w:val="20"/>
                <w:szCs w:val="20"/>
                <w:lang w:val="fr-CA"/>
              </w:rPr>
              <w:t>a</w:t>
            </w:r>
            <w:proofErr w:type="gramEnd"/>
            <w:r w:rsidRPr="00293EE1">
              <w:rPr>
                <w:rFonts w:cs="Times New Roman"/>
                <w:sz w:val="20"/>
                <w:szCs w:val="20"/>
                <w:lang w:val="fr-CA"/>
              </w:rPr>
              <w:t xml:space="preserve"> obtenu un jugement par défaut contre M. </w:t>
            </w:r>
            <w:proofErr w:type="spellStart"/>
            <w:r w:rsidRPr="00293EE1">
              <w:rPr>
                <w:rFonts w:cs="Times New Roman"/>
                <w:sz w:val="20"/>
                <w:szCs w:val="20"/>
                <w:lang w:val="fr-CA"/>
              </w:rPr>
              <w:t>Nowack</w:t>
            </w:r>
            <w:proofErr w:type="spellEnd"/>
            <w:r w:rsidRPr="00293EE1">
              <w:rPr>
                <w:rFonts w:cs="Times New Roman"/>
                <w:sz w:val="20"/>
                <w:szCs w:val="20"/>
                <w:lang w:val="fr-CA"/>
              </w:rPr>
              <w:t>, condamnant ce dernier à verser 3 000 000 $ pour fraude, détournement et violation de l’obligation fiduciaire. Le jugement ordonnait à M. </w:t>
            </w:r>
            <w:proofErr w:type="spellStart"/>
            <w:r w:rsidRPr="00293EE1">
              <w:rPr>
                <w:rFonts w:cs="Times New Roman"/>
                <w:sz w:val="20"/>
                <w:szCs w:val="20"/>
                <w:lang w:val="fr-CA"/>
              </w:rPr>
              <w:t>Nowack</w:t>
            </w:r>
            <w:proofErr w:type="spellEnd"/>
            <w:r w:rsidRPr="00293EE1">
              <w:rPr>
                <w:rFonts w:cs="Times New Roman"/>
                <w:sz w:val="20"/>
                <w:szCs w:val="20"/>
                <w:lang w:val="fr-CA"/>
              </w:rPr>
              <w:t xml:space="preserve"> de fournir une reddition de compte dans un délai de 30 jours. Dans une instance subséquente, M. </w:t>
            </w:r>
            <w:proofErr w:type="spellStart"/>
            <w:r w:rsidRPr="00293EE1">
              <w:rPr>
                <w:rFonts w:cs="Times New Roman"/>
                <w:sz w:val="20"/>
                <w:szCs w:val="20"/>
                <w:lang w:val="fr-CA"/>
              </w:rPr>
              <w:t>Nowack</w:t>
            </w:r>
            <w:proofErr w:type="spellEnd"/>
            <w:r w:rsidRPr="00293EE1">
              <w:rPr>
                <w:rFonts w:cs="Times New Roman"/>
                <w:sz w:val="20"/>
                <w:szCs w:val="20"/>
                <w:lang w:val="fr-CA"/>
              </w:rPr>
              <w:t xml:space="preserve"> a fourni des engagements. Le 26 novembre 2015, 2363523 Ontario Inc. a présenté une motion en outrage au tribunal, plaidant que M. </w:t>
            </w:r>
            <w:proofErr w:type="spellStart"/>
            <w:r w:rsidRPr="00293EE1">
              <w:rPr>
                <w:rFonts w:cs="Times New Roman"/>
                <w:sz w:val="20"/>
                <w:szCs w:val="20"/>
                <w:lang w:val="fr-CA"/>
              </w:rPr>
              <w:t>Nowack</w:t>
            </w:r>
            <w:proofErr w:type="spellEnd"/>
            <w:r w:rsidRPr="00293EE1">
              <w:rPr>
                <w:rFonts w:cs="Times New Roman"/>
                <w:sz w:val="20"/>
                <w:szCs w:val="20"/>
                <w:lang w:val="fr-CA"/>
              </w:rPr>
              <w:t xml:space="preserve"> avait omis de se conformer au jugement et n’avait pas respecté ses engagements. Monsieur </w:t>
            </w:r>
            <w:proofErr w:type="spellStart"/>
            <w:r w:rsidRPr="00293EE1">
              <w:rPr>
                <w:rFonts w:cs="Times New Roman"/>
                <w:sz w:val="20"/>
                <w:szCs w:val="20"/>
                <w:lang w:val="fr-CA"/>
              </w:rPr>
              <w:t>Nowack</w:t>
            </w:r>
            <w:proofErr w:type="spellEnd"/>
            <w:r w:rsidRPr="00293EE1">
              <w:rPr>
                <w:rFonts w:cs="Times New Roman"/>
                <w:sz w:val="20"/>
                <w:szCs w:val="20"/>
                <w:lang w:val="fr-CA"/>
              </w:rPr>
              <w:t xml:space="preserve"> a été sommé de comparaître à un interrogatoire de débiteur judiciaire et de se conformer au jugement et aux engagements. Il n’a pas donné suite à ses engagements et n’a pas fourni la reddition de compte demandée. L’affaire est retournée devant le juge de première instance qui a déclaré M. </w:t>
            </w:r>
            <w:proofErr w:type="spellStart"/>
            <w:r w:rsidRPr="00293EE1">
              <w:rPr>
                <w:rFonts w:cs="Times New Roman"/>
                <w:sz w:val="20"/>
                <w:szCs w:val="20"/>
                <w:lang w:val="fr-CA"/>
              </w:rPr>
              <w:t>Nowack</w:t>
            </w:r>
            <w:proofErr w:type="spellEnd"/>
            <w:r w:rsidRPr="00293EE1">
              <w:rPr>
                <w:rFonts w:cs="Times New Roman"/>
                <w:sz w:val="20"/>
                <w:szCs w:val="20"/>
                <w:lang w:val="fr-CA"/>
              </w:rPr>
              <w:t xml:space="preserve"> coupable d’outrage au tribunal. Lors de la détermination de la peine, le juge a conclu que M. </w:t>
            </w:r>
            <w:proofErr w:type="spellStart"/>
            <w:r w:rsidRPr="00293EE1">
              <w:rPr>
                <w:rFonts w:cs="Times New Roman"/>
                <w:sz w:val="20"/>
                <w:szCs w:val="20"/>
                <w:lang w:val="fr-CA"/>
              </w:rPr>
              <w:t>Nowack</w:t>
            </w:r>
            <w:proofErr w:type="spellEnd"/>
            <w:r w:rsidRPr="00293EE1">
              <w:rPr>
                <w:rFonts w:cs="Times New Roman"/>
                <w:sz w:val="20"/>
                <w:szCs w:val="20"/>
                <w:lang w:val="fr-CA"/>
              </w:rPr>
              <w:t xml:space="preserve"> avait omis de faire amende honorable pour l’outrage et il a condamné M. </w:t>
            </w:r>
            <w:proofErr w:type="spellStart"/>
            <w:r w:rsidRPr="00293EE1">
              <w:rPr>
                <w:rFonts w:cs="Times New Roman"/>
                <w:sz w:val="20"/>
                <w:szCs w:val="20"/>
                <w:lang w:val="fr-CA"/>
              </w:rPr>
              <w:t>Nowack</w:t>
            </w:r>
            <w:proofErr w:type="spellEnd"/>
            <w:r w:rsidRPr="00293EE1">
              <w:rPr>
                <w:rFonts w:cs="Times New Roman"/>
                <w:sz w:val="20"/>
                <w:szCs w:val="20"/>
                <w:lang w:val="fr-CA"/>
              </w:rPr>
              <w:t xml:space="preserve"> à une peine de 30 jours sous garde.</w:t>
            </w:r>
          </w:p>
          <w:p w:rsidR="00D72D79" w:rsidRPr="00293EE1" w:rsidRDefault="00D72D79" w:rsidP="00C92DD5">
            <w:pPr>
              <w:jc w:val="both"/>
              <w:rPr>
                <w:rFonts w:cs="Times New Roman"/>
                <w:sz w:val="20"/>
                <w:szCs w:val="20"/>
                <w:lang w:val="fr-CA"/>
              </w:rPr>
            </w:pPr>
          </w:p>
        </w:tc>
      </w:tr>
      <w:tr w:rsidR="00D72D79" w:rsidRPr="00B2512D" w:rsidTr="00C92DD5">
        <w:tc>
          <w:tcPr>
            <w:tcW w:w="2427"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16 septembre 2015 </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supérieure de justice de l’Ontario</w:t>
            </w: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(Juge </w:t>
            </w:r>
            <w:proofErr w:type="spellStart"/>
            <w:r w:rsidRPr="00293EE1">
              <w:rPr>
                <w:rFonts w:cs="Times New Roman"/>
                <w:sz w:val="20"/>
                <w:szCs w:val="20"/>
                <w:lang w:val="fr-CA"/>
              </w:rPr>
              <w:t>Diamond</w:t>
            </w:r>
            <w:proofErr w:type="spellEnd"/>
            <w:r w:rsidRPr="00293EE1">
              <w:rPr>
                <w:rFonts w:cs="Times New Roman"/>
                <w:sz w:val="20"/>
                <w:szCs w:val="20"/>
                <w:lang w:val="fr-CA"/>
              </w:rPr>
              <w:t>)(non publié)</w:t>
            </w:r>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spacing w:after="240"/>
              <w:jc w:val="both"/>
              <w:rPr>
                <w:rFonts w:cs="Times New Roman"/>
                <w:sz w:val="20"/>
                <w:szCs w:val="20"/>
                <w:lang w:val="fr-CA"/>
              </w:rPr>
            </w:pPr>
            <w:r w:rsidRPr="00293EE1">
              <w:rPr>
                <w:rFonts w:cs="Times New Roman"/>
                <w:sz w:val="20"/>
                <w:szCs w:val="20"/>
                <w:lang w:val="fr-CA"/>
              </w:rPr>
              <w:t>Jugement condamnant M. </w:t>
            </w:r>
            <w:proofErr w:type="spellStart"/>
            <w:r w:rsidRPr="00293EE1">
              <w:rPr>
                <w:rFonts w:cs="Times New Roman"/>
                <w:sz w:val="20"/>
                <w:szCs w:val="20"/>
                <w:lang w:val="fr-CA"/>
              </w:rPr>
              <w:t>Nowack</w:t>
            </w:r>
            <w:proofErr w:type="spellEnd"/>
            <w:r w:rsidRPr="00293EE1">
              <w:rPr>
                <w:rFonts w:cs="Times New Roman"/>
                <w:sz w:val="20"/>
                <w:szCs w:val="20"/>
                <w:lang w:val="fr-CA"/>
              </w:rPr>
              <w:t xml:space="preserve"> à verser 3 millions de dollars en dommages-intérêts et à fournir une reddition de compte à 2363523 Ontario Inc. dans un délai de 30 jours</w:t>
            </w:r>
          </w:p>
        </w:tc>
      </w:tr>
      <w:tr w:rsidR="00D72D79" w:rsidRPr="00B2512D" w:rsidTr="00C92DD5">
        <w:tc>
          <w:tcPr>
            <w:tcW w:w="2427"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8 janvier 2016</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supérieure de justice de l’Ontario</w:t>
            </w:r>
          </w:p>
          <w:p w:rsidR="00D72D79" w:rsidRPr="00293EE1" w:rsidRDefault="00D72D79" w:rsidP="00C92DD5">
            <w:pPr>
              <w:jc w:val="both"/>
              <w:rPr>
                <w:rFonts w:cs="Times New Roman"/>
                <w:sz w:val="20"/>
                <w:szCs w:val="20"/>
                <w:lang w:val="fr-CA"/>
              </w:rPr>
            </w:pPr>
            <w:r w:rsidRPr="00293EE1">
              <w:rPr>
                <w:rFonts w:cs="Times New Roman"/>
                <w:sz w:val="20"/>
                <w:szCs w:val="20"/>
                <w:lang w:val="fr-CA"/>
              </w:rPr>
              <w:t>(Juge Dunphy)(non publié)</w:t>
            </w:r>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Jugement déclarant le demandeur coupable d’outrage au tribunal</w:t>
            </w:r>
          </w:p>
        </w:tc>
      </w:tr>
      <w:tr w:rsidR="00D72D79" w:rsidRPr="00B2512D" w:rsidTr="00C92DD5">
        <w:tc>
          <w:tcPr>
            <w:tcW w:w="2427"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18 avril 2016</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supérieure de justice de l’Ontario</w:t>
            </w:r>
          </w:p>
          <w:p w:rsidR="00D72D79" w:rsidRPr="00293EE1" w:rsidRDefault="00D72D79" w:rsidP="00C92DD5">
            <w:pPr>
              <w:jc w:val="both"/>
              <w:rPr>
                <w:rFonts w:cs="Times New Roman"/>
                <w:sz w:val="20"/>
                <w:szCs w:val="20"/>
                <w:lang w:val="fr-CA"/>
              </w:rPr>
            </w:pPr>
            <w:r w:rsidRPr="00293EE1">
              <w:rPr>
                <w:rFonts w:cs="Times New Roman"/>
                <w:sz w:val="20"/>
                <w:szCs w:val="20"/>
                <w:lang w:val="fr-CA"/>
              </w:rPr>
              <w:t>(Juge Dunphy)</w:t>
            </w:r>
          </w:p>
          <w:p w:rsidR="00D72D79" w:rsidRPr="00293EE1" w:rsidRDefault="00B2512D" w:rsidP="00C92DD5">
            <w:pPr>
              <w:jc w:val="both"/>
              <w:rPr>
                <w:rFonts w:cs="Times New Roman"/>
                <w:sz w:val="20"/>
                <w:szCs w:val="20"/>
                <w:lang w:val="fr-CA"/>
              </w:rPr>
            </w:pPr>
            <w:hyperlink r:id="rId33" w:history="1">
              <w:r w:rsidR="00D72D79" w:rsidRPr="00293EE1">
                <w:rPr>
                  <w:rStyle w:val="Hyperlink"/>
                  <w:rFonts w:cs="Times New Roman"/>
                  <w:sz w:val="20"/>
                  <w:szCs w:val="20"/>
                  <w:lang w:val="fr-CA"/>
                </w:rPr>
                <w:t>2016 ONSC 2518</w:t>
              </w:r>
            </w:hyperlink>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Jugement concluant que le demandeur n’avait pas fait amende honorable pour l’outrage et condamnant le demandeur à une peine d’emprisonnement de 30 jours </w:t>
            </w:r>
          </w:p>
        </w:tc>
      </w:tr>
      <w:tr w:rsidR="00D72D79" w:rsidRPr="00293EE1" w:rsidTr="00C92DD5">
        <w:tc>
          <w:tcPr>
            <w:tcW w:w="2427"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16 décembre 2016</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d’appel de l’Ontario</w:t>
            </w: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(Juges </w:t>
            </w:r>
            <w:proofErr w:type="spellStart"/>
            <w:r w:rsidRPr="00293EE1">
              <w:rPr>
                <w:rFonts w:cs="Times New Roman"/>
                <w:sz w:val="20"/>
                <w:szCs w:val="20"/>
                <w:lang w:val="fr-CA"/>
              </w:rPr>
              <w:t>Strathy</w:t>
            </w:r>
            <w:proofErr w:type="spellEnd"/>
            <w:r w:rsidRPr="00293EE1">
              <w:rPr>
                <w:rFonts w:cs="Times New Roman"/>
                <w:sz w:val="20"/>
                <w:szCs w:val="20"/>
                <w:lang w:val="fr-CA"/>
              </w:rPr>
              <w:t xml:space="preserve">, </w:t>
            </w:r>
            <w:proofErr w:type="spellStart"/>
            <w:r w:rsidRPr="00293EE1">
              <w:rPr>
                <w:rFonts w:cs="Times New Roman"/>
                <w:sz w:val="20"/>
                <w:szCs w:val="20"/>
                <w:lang w:val="fr-CA"/>
              </w:rPr>
              <w:t>LaForme</w:t>
            </w:r>
            <w:proofErr w:type="spellEnd"/>
            <w:r w:rsidRPr="00293EE1">
              <w:rPr>
                <w:rFonts w:cs="Times New Roman"/>
                <w:sz w:val="20"/>
                <w:szCs w:val="20"/>
                <w:lang w:val="fr-CA"/>
              </w:rPr>
              <w:t xml:space="preserve"> et van </w:t>
            </w:r>
            <w:proofErr w:type="spellStart"/>
            <w:r w:rsidRPr="00293EE1">
              <w:rPr>
                <w:rFonts w:cs="Times New Roman"/>
                <w:sz w:val="20"/>
                <w:szCs w:val="20"/>
                <w:lang w:val="fr-CA"/>
              </w:rPr>
              <w:t>Rensburg</w:t>
            </w:r>
            <w:proofErr w:type="spellEnd"/>
            <w:r w:rsidRPr="00293EE1">
              <w:rPr>
                <w:rFonts w:cs="Times New Roman"/>
                <w:sz w:val="20"/>
                <w:szCs w:val="20"/>
                <w:lang w:val="fr-CA"/>
              </w:rPr>
              <w:t>)</w:t>
            </w: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C62035; </w:t>
            </w:r>
            <w:hyperlink r:id="rId34" w:history="1">
              <w:r w:rsidRPr="00293EE1">
                <w:rPr>
                  <w:rStyle w:val="Hyperlink"/>
                  <w:rFonts w:cs="Times New Roman"/>
                  <w:sz w:val="20"/>
                  <w:szCs w:val="20"/>
                  <w:lang w:val="fr-CA"/>
                </w:rPr>
                <w:t>2016 ONCA 951</w:t>
              </w:r>
            </w:hyperlink>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Rejet de l’appel</w:t>
            </w:r>
          </w:p>
        </w:tc>
      </w:tr>
      <w:tr w:rsidR="00D72D79" w:rsidRPr="00B2512D" w:rsidTr="00C92DD5">
        <w:tc>
          <w:tcPr>
            <w:tcW w:w="2427"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14 février 2017</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suprême du Canada</w:t>
            </w: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Dépôt de la demande d’autorisation d’appel</w:t>
            </w:r>
          </w:p>
          <w:p w:rsidR="00D72D79" w:rsidRPr="00293EE1" w:rsidRDefault="00D72D79" w:rsidP="00C92DD5">
            <w:pPr>
              <w:jc w:val="both"/>
              <w:rPr>
                <w:rFonts w:cs="Times New Roman"/>
                <w:sz w:val="20"/>
                <w:szCs w:val="20"/>
                <w:lang w:val="fr-CA"/>
              </w:rPr>
            </w:pPr>
          </w:p>
        </w:tc>
      </w:tr>
    </w:tbl>
    <w:p w:rsidR="00D72D79" w:rsidRPr="00293EE1" w:rsidRDefault="00B2512D" w:rsidP="00D72D79">
      <w:pPr>
        <w:jc w:val="both"/>
        <w:rPr>
          <w:rFonts w:cs="Times New Roman"/>
          <w:sz w:val="20"/>
          <w:szCs w:val="20"/>
          <w:lang w:val="fr-CA"/>
        </w:rPr>
      </w:pPr>
      <w:r>
        <w:rPr>
          <w:sz w:val="20"/>
          <w:szCs w:val="20"/>
        </w:rPr>
        <w:pict>
          <v:rect id="_x0000_i1054" style="width:2in;height:1pt" o:hrpct="0" o:hralign="center" o:hrstd="t" o:hrnoshade="t" o:hr="t" fillcolor="black [3213]" stroked="f"/>
        </w:pict>
      </w:r>
    </w:p>
    <w:p w:rsidR="00D72D79" w:rsidRPr="00293EE1" w:rsidRDefault="00D72D79" w:rsidP="00D72D79">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2D79" w:rsidRPr="00293EE1" w:rsidTr="00C92DD5">
        <w:tc>
          <w:tcPr>
            <w:tcW w:w="543" w:type="pct"/>
          </w:tcPr>
          <w:p w:rsidR="00D72D79" w:rsidRPr="00293EE1" w:rsidRDefault="00D72D79" w:rsidP="00C92DD5">
            <w:pPr>
              <w:jc w:val="both"/>
              <w:rPr>
                <w:rFonts w:cs="Times New Roman"/>
                <w:sz w:val="20"/>
                <w:szCs w:val="20"/>
              </w:rPr>
            </w:pPr>
            <w:r w:rsidRPr="00293EE1">
              <w:rPr>
                <w:rStyle w:val="SCCFileNumberChar"/>
                <w:sz w:val="20"/>
                <w:szCs w:val="20"/>
              </w:rPr>
              <w:t>37487</w:t>
            </w:r>
          </w:p>
        </w:tc>
        <w:tc>
          <w:tcPr>
            <w:tcW w:w="4457" w:type="pct"/>
          </w:tcPr>
          <w:p w:rsidR="00D72D79" w:rsidRPr="00293EE1" w:rsidRDefault="00D72D79" w:rsidP="00C92DD5">
            <w:pPr>
              <w:pStyle w:val="SCCLsocParty"/>
              <w:jc w:val="both"/>
              <w:rPr>
                <w:b/>
                <w:sz w:val="20"/>
                <w:szCs w:val="20"/>
                <w:lang w:val="en-US"/>
              </w:rPr>
            </w:pPr>
            <w:r w:rsidRPr="00293EE1">
              <w:rPr>
                <w:b/>
                <w:sz w:val="20"/>
                <w:szCs w:val="20"/>
                <w:lang w:val="en-US"/>
              </w:rPr>
              <w:t>Wally Dove v. Her Majesty the Queen</w:t>
            </w:r>
          </w:p>
          <w:p w:rsidR="00D72D79" w:rsidRPr="00293EE1" w:rsidRDefault="00D72D79" w:rsidP="00C92DD5">
            <w:pPr>
              <w:jc w:val="both"/>
              <w:rPr>
                <w:rFonts w:cs="Times New Roman"/>
                <w:sz w:val="20"/>
                <w:szCs w:val="20"/>
              </w:rPr>
            </w:pPr>
            <w:r w:rsidRPr="00293EE1">
              <w:rPr>
                <w:rFonts w:cs="Times New Roman"/>
                <w:sz w:val="20"/>
                <w:szCs w:val="20"/>
              </w:rPr>
              <w:t>(F.C.) (Civil) (By Leave)</w:t>
            </w:r>
          </w:p>
        </w:tc>
      </w:tr>
      <w:tr w:rsidR="00D72D79" w:rsidRPr="00293EE1" w:rsidTr="00C92DD5">
        <w:tc>
          <w:tcPr>
            <w:tcW w:w="543" w:type="pct"/>
          </w:tcPr>
          <w:p w:rsidR="00D72D79" w:rsidRPr="00293EE1" w:rsidRDefault="00D72D79" w:rsidP="00C92DD5">
            <w:pPr>
              <w:jc w:val="both"/>
              <w:rPr>
                <w:rStyle w:val="SCCFileNumberChar"/>
                <w:sz w:val="20"/>
                <w:szCs w:val="20"/>
              </w:rPr>
            </w:pPr>
            <w:r w:rsidRPr="00293EE1">
              <w:rPr>
                <w:rStyle w:val="SCCFileNumberChar"/>
                <w:sz w:val="20"/>
                <w:szCs w:val="20"/>
              </w:rPr>
              <w:t>Coram:</w:t>
            </w:r>
          </w:p>
        </w:tc>
        <w:tc>
          <w:tcPr>
            <w:tcW w:w="4457" w:type="pct"/>
          </w:tcPr>
          <w:p w:rsidR="00D72D79" w:rsidRPr="00293EE1" w:rsidRDefault="00E56DAC" w:rsidP="00C92DD5">
            <w:pPr>
              <w:pStyle w:val="SCCLsocParty"/>
              <w:jc w:val="both"/>
              <w:rPr>
                <w:sz w:val="20"/>
                <w:szCs w:val="20"/>
                <w:lang w:val="en-US"/>
              </w:rPr>
            </w:pPr>
            <w:proofErr w:type="spellStart"/>
            <w:r w:rsidRPr="00293EE1">
              <w:rPr>
                <w:sz w:val="20"/>
                <w:szCs w:val="20"/>
                <w:lang w:val="en-US"/>
              </w:rPr>
              <w:t>McLachlin</w:t>
            </w:r>
            <w:proofErr w:type="spellEnd"/>
            <w:r w:rsidRPr="00293EE1">
              <w:rPr>
                <w:sz w:val="20"/>
                <w:szCs w:val="20"/>
                <w:lang w:val="en-US"/>
              </w:rPr>
              <w:t xml:space="preserve"> C.J. and </w:t>
            </w:r>
            <w:proofErr w:type="spellStart"/>
            <w:r w:rsidRPr="00293EE1">
              <w:rPr>
                <w:sz w:val="20"/>
                <w:szCs w:val="20"/>
                <w:lang w:val="en-US"/>
              </w:rPr>
              <w:t>Abella</w:t>
            </w:r>
            <w:proofErr w:type="spellEnd"/>
            <w:r w:rsidRPr="00293EE1">
              <w:rPr>
                <w:sz w:val="20"/>
                <w:szCs w:val="20"/>
                <w:lang w:val="en-US"/>
              </w:rPr>
              <w:t xml:space="preserve">, </w:t>
            </w:r>
            <w:proofErr w:type="spellStart"/>
            <w:r w:rsidRPr="00293EE1">
              <w:rPr>
                <w:sz w:val="20"/>
                <w:szCs w:val="20"/>
                <w:lang w:val="en-US"/>
              </w:rPr>
              <w:t>Moldaver</w:t>
            </w:r>
            <w:proofErr w:type="spellEnd"/>
            <w:r w:rsidRPr="00293EE1">
              <w:rPr>
                <w:sz w:val="20"/>
                <w:szCs w:val="20"/>
                <w:lang w:val="en-US"/>
              </w:rPr>
              <w:t xml:space="preserve">, </w:t>
            </w:r>
            <w:proofErr w:type="spellStart"/>
            <w:r w:rsidRPr="00293EE1">
              <w:rPr>
                <w:sz w:val="20"/>
                <w:szCs w:val="20"/>
                <w:lang w:val="en-US"/>
              </w:rPr>
              <w:t>Karakatsanis</w:t>
            </w:r>
            <w:proofErr w:type="spellEnd"/>
            <w:r w:rsidRPr="00293EE1">
              <w:rPr>
                <w:sz w:val="20"/>
                <w:szCs w:val="20"/>
                <w:lang w:val="en-US"/>
              </w:rPr>
              <w:t xml:space="preserve">, Wagner, </w:t>
            </w:r>
            <w:proofErr w:type="spellStart"/>
            <w:r w:rsidRPr="00293EE1">
              <w:rPr>
                <w:sz w:val="20"/>
                <w:szCs w:val="20"/>
                <w:lang w:val="en-US"/>
              </w:rPr>
              <w:t>Gascon</w:t>
            </w:r>
            <w:proofErr w:type="spellEnd"/>
            <w:r w:rsidRPr="00293EE1">
              <w:rPr>
                <w:sz w:val="20"/>
                <w:szCs w:val="20"/>
                <w:lang w:val="en-US"/>
              </w:rPr>
              <w:t xml:space="preserve">, </w:t>
            </w:r>
            <w:proofErr w:type="spellStart"/>
            <w:r w:rsidRPr="00293EE1">
              <w:rPr>
                <w:sz w:val="20"/>
                <w:szCs w:val="20"/>
                <w:lang w:val="en-US"/>
              </w:rPr>
              <w:t>Côté</w:t>
            </w:r>
            <w:proofErr w:type="spellEnd"/>
            <w:r w:rsidRPr="00293EE1">
              <w:rPr>
                <w:sz w:val="20"/>
                <w:szCs w:val="20"/>
                <w:lang w:val="en-US"/>
              </w:rPr>
              <w:t>, Brown and Rowe JJ.</w:t>
            </w:r>
          </w:p>
        </w:tc>
      </w:tr>
      <w:tr w:rsidR="00D72D79" w:rsidRPr="00293EE1" w:rsidTr="00D72D79">
        <w:tc>
          <w:tcPr>
            <w:tcW w:w="5000" w:type="pct"/>
            <w:gridSpan w:val="2"/>
          </w:tcPr>
          <w:p w:rsidR="00D72D79" w:rsidRPr="00293EE1" w:rsidRDefault="00E56DAC" w:rsidP="00C92DD5">
            <w:pPr>
              <w:pStyle w:val="SCCLsocParty"/>
              <w:jc w:val="both"/>
              <w:rPr>
                <w:sz w:val="20"/>
                <w:szCs w:val="20"/>
                <w:lang w:val="en-US"/>
              </w:rPr>
            </w:pPr>
            <w:r w:rsidRPr="00293EE1">
              <w:rPr>
                <w:sz w:val="20"/>
                <w:szCs w:val="20"/>
                <w:lang w:val="en-US"/>
              </w:rPr>
              <w:t>The application for leave to appeal from the judgment of the Federal Court of Appeal, Number A-552-15, 2016 FCA 231, dated September 15, 2016, is dismissed with no order as to costs.</w:t>
            </w:r>
          </w:p>
          <w:p w:rsidR="00E56DAC" w:rsidRPr="00293EE1" w:rsidRDefault="00E56DAC" w:rsidP="00E56DAC">
            <w:pPr>
              <w:rPr>
                <w:lang w:val="en-US"/>
              </w:rPr>
            </w:pPr>
          </w:p>
        </w:tc>
      </w:tr>
    </w:tbl>
    <w:p w:rsidR="00016C13" w:rsidRPr="00293EE1" w:rsidRDefault="00016C13">
      <w:r w:rsidRPr="00293EE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2D79" w:rsidRPr="00293EE1" w:rsidTr="00C92DD5">
        <w:tc>
          <w:tcPr>
            <w:tcW w:w="5000" w:type="pct"/>
            <w:gridSpan w:val="3"/>
          </w:tcPr>
          <w:p w:rsidR="00D72D79" w:rsidRPr="00293EE1" w:rsidRDefault="00D72D79" w:rsidP="00C92DD5">
            <w:pPr>
              <w:spacing w:after="160" w:line="259" w:lineRule="auto"/>
              <w:jc w:val="both"/>
              <w:rPr>
                <w:rFonts w:cs="Times New Roman"/>
                <w:sz w:val="20"/>
                <w:szCs w:val="20"/>
              </w:rPr>
            </w:pPr>
            <w:r w:rsidRPr="00293EE1">
              <w:rPr>
                <w:rFonts w:cs="Times New Roman"/>
                <w:i/>
                <w:sz w:val="20"/>
                <w:szCs w:val="20"/>
              </w:rPr>
              <w:lastRenderedPageBreak/>
              <w:t>Charter of Rights</w:t>
            </w:r>
            <w:r w:rsidRPr="00293EE1">
              <w:rPr>
                <w:rFonts w:cs="Times New Roman"/>
                <w:sz w:val="20"/>
                <w:szCs w:val="20"/>
              </w:rPr>
              <w:t xml:space="preserve"> – Fundamental justice – Judgments and orders – Summary judgment – Whether certain laws have never received Royal Assent and are, therefore, of no force or effect and cannot be enforced against the applicant pursuant to the Constitution? – Can the Appellants, who are born on this soil, be forced to participate in and be part of, this artificially created “juristic federal unit” (Canada) contrary to their will? – Whether Preamble and/or forced participation in “juristic federal unit” conflicts with human rights and equalities, guaranteed by the Constitution,</w:t>
            </w:r>
            <w:r w:rsidRPr="00293EE1">
              <w:rPr>
                <w:rFonts w:cs="Times New Roman"/>
                <w:i/>
                <w:sz w:val="20"/>
                <w:szCs w:val="20"/>
              </w:rPr>
              <w:t xml:space="preserve"> Charter </w:t>
            </w:r>
            <w:r w:rsidRPr="00293EE1">
              <w:rPr>
                <w:rFonts w:cs="Times New Roman"/>
                <w:sz w:val="20"/>
                <w:szCs w:val="20"/>
              </w:rPr>
              <w:t xml:space="preserve">and </w:t>
            </w:r>
            <w:r w:rsidRPr="00293EE1">
              <w:rPr>
                <w:rFonts w:cs="Times New Roman"/>
                <w:i/>
                <w:sz w:val="20"/>
                <w:szCs w:val="20"/>
              </w:rPr>
              <w:t>International Covenants</w:t>
            </w:r>
            <w:r w:rsidRPr="00293EE1">
              <w:rPr>
                <w:rFonts w:cs="Times New Roman"/>
                <w:sz w:val="20"/>
                <w:szCs w:val="20"/>
              </w:rPr>
              <w:t xml:space="preserve"> and any other related statutes and treaties? – Whether forced participation in the “juristic federal unit” render the applicants victims of the crimes of Trafficking in Persons as laid out in sections 279.01 to 279.04 of the </w:t>
            </w:r>
            <w:r w:rsidRPr="00293EE1">
              <w:rPr>
                <w:rFonts w:cs="Times New Roman"/>
                <w:i/>
                <w:sz w:val="20"/>
                <w:szCs w:val="20"/>
              </w:rPr>
              <w:t xml:space="preserve">Criminal Code </w:t>
            </w:r>
            <w:r w:rsidRPr="00293EE1">
              <w:rPr>
                <w:rFonts w:cs="Times New Roman"/>
                <w:sz w:val="20"/>
                <w:szCs w:val="20"/>
              </w:rPr>
              <w:t xml:space="preserve">and </w:t>
            </w:r>
            <w:r w:rsidRPr="00293EE1">
              <w:rPr>
                <w:rFonts w:cs="Times New Roman"/>
                <w:i/>
                <w:sz w:val="20"/>
                <w:szCs w:val="20"/>
              </w:rPr>
              <w:t>Crimes Against Humanity</w:t>
            </w:r>
            <w:r w:rsidRPr="00293EE1">
              <w:rPr>
                <w:rFonts w:cs="Times New Roman"/>
                <w:sz w:val="20"/>
                <w:szCs w:val="20"/>
              </w:rPr>
              <w:t xml:space="preserve"> </w:t>
            </w:r>
            <w:r w:rsidRPr="00293EE1">
              <w:rPr>
                <w:rFonts w:cs="Times New Roman"/>
                <w:i/>
                <w:sz w:val="20"/>
                <w:szCs w:val="20"/>
              </w:rPr>
              <w:t>and War Crimes Act</w:t>
            </w:r>
            <w:r w:rsidRPr="00293EE1">
              <w:rPr>
                <w:rFonts w:cs="Times New Roman"/>
                <w:sz w:val="20"/>
                <w:szCs w:val="20"/>
              </w:rPr>
              <w:t>, S.C. 2000, c. 24 and any other related statutes and treaties?</w:t>
            </w:r>
          </w:p>
        </w:tc>
      </w:tr>
      <w:tr w:rsidR="00D72D79" w:rsidRPr="00293EE1" w:rsidTr="00C92DD5">
        <w:tc>
          <w:tcPr>
            <w:tcW w:w="5000" w:type="pct"/>
            <w:gridSpan w:val="3"/>
          </w:tcPr>
          <w:p w:rsidR="00D72D79" w:rsidRPr="00293EE1" w:rsidRDefault="00D72D79" w:rsidP="00C92DD5">
            <w:pPr>
              <w:jc w:val="both"/>
              <w:rPr>
                <w:rFonts w:cs="Times New Roman"/>
                <w:sz w:val="20"/>
                <w:szCs w:val="20"/>
              </w:rPr>
            </w:pPr>
            <w:r w:rsidRPr="00293EE1">
              <w:rPr>
                <w:rFonts w:cs="Times New Roman"/>
                <w:sz w:val="20"/>
                <w:szCs w:val="20"/>
              </w:rPr>
              <w:t xml:space="preserve">On the respondent’s motion for summary judgment, the </w:t>
            </w:r>
            <w:proofErr w:type="spellStart"/>
            <w:r w:rsidRPr="00293EE1">
              <w:rPr>
                <w:rFonts w:cs="Times New Roman"/>
                <w:sz w:val="20"/>
                <w:szCs w:val="20"/>
              </w:rPr>
              <w:t>Prothonotary</w:t>
            </w:r>
            <w:proofErr w:type="spellEnd"/>
            <w:r w:rsidRPr="00293EE1">
              <w:rPr>
                <w:rFonts w:cs="Times New Roman"/>
                <w:sz w:val="20"/>
                <w:szCs w:val="20"/>
              </w:rPr>
              <w:t xml:space="preserve"> struck the applicant’s action   without leave to amend on the basis that his action and those of his co-plaintiffs disclosed no cause of action and were bereft of any chance of success.</w:t>
            </w:r>
          </w:p>
        </w:tc>
      </w:tr>
      <w:tr w:rsidR="00D72D79" w:rsidRPr="00293EE1" w:rsidTr="00C92DD5">
        <w:tc>
          <w:tcPr>
            <w:tcW w:w="5000" w:type="pct"/>
            <w:gridSpan w:val="3"/>
          </w:tcPr>
          <w:p w:rsidR="00D72D79" w:rsidRPr="00293EE1" w:rsidRDefault="00D72D79" w:rsidP="00C92DD5">
            <w:pPr>
              <w:jc w:val="both"/>
              <w:rPr>
                <w:rFonts w:cs="Times New Roman"/>
                <w:sz w:val="20"/>
                <w:szCs w:val="20"/>
              </w:rPr>
            </w:pPr>
          </w:p>
        </w:tc>
      </w:tr>
      <w:tr w:rsidR="00D72D79" w:rsidRPr="00293EE1" w:rsidTr="00C92DD5">
        <w:tc>
          <w:tcPr>
            <w:tcW w:w="2427" w:type="pct"/>
          </w:tcPr>
          <w:p w:rsidR="00D72D79" w:rsidRPr="00293EE1" w:rsidRDefault="00D72D79" w:rsidP="00C92DD5">
            <w:pPr>
              <w:jc w:val="both"/>
              <w:rPr>
                <w:rFonts w:cs="Times New Roman"/>
                <w:sz w:val="20"/>
                <w:szCs w:val="20"/>
              </w:rPr>
            </w:pPr>
            <w:r w:rsidRPr="00293EE1">
              <w:rPr>
                <w:rFonts w:cs="Times New Roman"/>
                <w:sz w:val="20"/>
                <w:szCs w:val="20"/>
              </w:rPr>
              <w:t>September 29, 2015</w:t>
            </w:r>
          </w:p>
          <w:p w:rsidR="00D72D79" w:rsidRPr="00293EE1" w:rsidRDefault="00D72D79" w:rsidP="00C92DD5">
            <w:pPr>
              <w:jc w:val="both"/>
              <w:rPr>
                <w:rFonts w:cs="Times New Roman"/>
                <w:sz w:val="20"/>
                <w:szCs w:val="20"/>
              </w:rPr>
            </w:pPr>
            <w:r w:rsidRPr="00293EE1">
              <w:rPr>
                <w:rFonts w:cs="Times New Roman"/>
                <w:sz w:val="20"/>
                <w:szCs w:val="20"/>
              </w:rPr>
              <w:t>Federal Court</w:t>
            </w:r>
          </w:p>
          <w:p w:rsidR="00D72D79" w:rsidRPr="00293EE1" w:rsidRDefault="00D72D79" w:rsidP="00C92DD5">
            <w:pPr>
              <w:jc w:val="both"/>
              <w:rPr>
                <w:rFonts w:cs="Times New Roman"/>
                <w:sz w:val="20"/>
                <w:szCs w:val="20"/>
              </w:rPr>
            </w:pPr>
            <w:r w:rsidRPr="00293EE1">
              <w:rPr>
                <w:rFonts w:cs="Times New Roman"/>
                <w:sz w:val="20"/>
                <w:szCs w:val="20"/>
              </w:rPr>
              <w:t xml:space="preserve">(Aalto, </w:t>
            </w:r>
            <w:proofErr w:type="spellStart"/>
            <w:r w:rsidRPr="00293EE1">
              <w:rPr>
                <w:rFonts w:cs="Times New Roman"/>
                <w:sz w:val="20"/>
                <w:szCs w:val="20"/>
              </w:rPr>
              <w:t>Prothonotary</w:t>
            </w:r>
            <w:proofErr w:type="spellEnd"/>
            <w:r w:rsidRPr="00293EE1">
              <w:rPr>
                <w:rFonts w:cs="Times New Roman"/>
                <w:sz w:val="20"/>
                <w:szCs w:val="20"/>
              </w:rPr>
              <w:t>)</w:t>
            </w:r>
          </w:p>
          <w:p w:rsidR="00D72D79" w:rsidRPr="00293EE1" w:rsidRDefault="00B2512D" w:rsidP="00C92DD5">
            <w:pPr>
              <w:jc w:val="both"/>
              <w:rPr>
                <w:rFonts w:cs="Times New Roman"/>
                <w:sz w:val="20"/>
                <w:szCs w:val="20"/>
              </w:rPr>
            </w:pPr>
            <w:hyperlink r:id="rId35" w:history="1">
              <w:r w:rsidR="00D72D79" w:rsidRPr="00293EE1">
                <w:rPr>
                  <w:rStyle w:val="Hyperlink"/>
                  <w:rFonts w:cs="Times New Roman"/>
                  <w:sz w:val="20"/>
                  <w:szCs w:val="20"/>
                </w:rPr>
                <w:t>2015 FC 1126</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Respondent’s motion for summary judgment granted; five actions struck without leave to amend</w:t>
            </w:r>
          </w:p>
          <w:p w:rsidR="00D72D79" w:rsidRPr="00293EE1" w:rsidRDefault="00D72D79" w:rsidP="00C92DD5">
            <w:pPr>
              <w:jc w:val="both"/>
              <w:rPr>
                <w:rFonts w:cs="Times New Roman"/>
                <w:sz w:val="20"/>
                <w:szCs w:val="20"/>
              </w:rPr>
            </w:pPr>
          </w:p>
        </w:tc>
      </w:tr>
      <w:tr w:rsidR="00D72D79" w:rsidRPr="00293EE1" w:rsidTr="00C92DD5">
        <w:tc>
          <w:tcPr>
            <w:tcW w:w="2427" w:type="pct"/>
          </w:tcPr>
          <w:p w:rsidR="00D72D79" w:rsidRPr="00293EE1" w:rsidRDefault="00D72D79" w:rsidP="00C92DD5">
            <w:pPr>
              <w:jc w:val="both"/>
              <w:rPr>
                <w:rFonts w:cs="Times New Roman"/>
                <w:sz w:val="20"/>
                <w:szCs w:val="20"/>
              </w:rPr>
            </w:pPr>
            <w:r w:rsidRPr="00293EE1">
              <w:rPr>
                <w:rFonts w:cs="Times New Roman"/>
                <w:sz w:val="20"/>
                <w:szCs w:val="20"/>
              </w:rPr>
              <w:t>November 24, 2015</w:t>
            </w:r>
          </w:p>
          <w:p w:rsidR="00D72D79" w:rsidRPr="00293EE1" w:rsidRDefault="00D72D79" w:rsidP="00C92DD5">
            <w:pPr>
              <w:jc w:val="both"/>
              <w:rPr>
                <w:rFonts w:cs="Times New Roman"/>
                <w:sz w:val="20"/>
                <w:szCs w:val="20"/>
              </w:rPr>
            </w:pPr>
            <w:r w:rsidRPr="00293EE1">
              <w:rPr>
                <w:rFonts w:cs="Times New Roman"/>
                <w:sz w:val="20"/>
                <w:szCs w:val="20"/>
              </w:rPr>
              <w:t>Federal Court</w:t>
            </w:r>
          </w:p>
          <w:p w:rsidR="00D72D79" w:rsidRPr="00293EE1" w:rsidRDefault="00D72D79" w:rsidP="00C92DD5">
            <w:pPr>
              <w:jc w:val="both"/>
              <w:rPr>
                <w:rFonts w:cs="Times New Roman"/>
                <w:sz w:val="20"/>
                <w:szCs w:val="20"/>
              </w:rPr>
            </w:pPr>
            <w:r w:rsidRPr="00293EE1">
              <w:rPr>
                <w:rFonts w:cs="Times New Roman"/>
                <w:sz w:val="20"/>
                <w:szCs w:val="20"/>
              </w:rPr>
              <w:t>(Campbell J.)</w:t>
            </w:r>
          </w:p>
          <w:p w:rsidR="00D72D79" w:rsidRPr="00293EE1" w:rsidRDefault="00B2512D" w:rsidP="00C92DD5">
            <w:pPr>
              <w:jc w:val="both"/>
              <w:rPr>
                <w:rFonts w:cs="Times New Roman"/>
                <w:sz w:val="20"/>
                <w:szCs w:val="20"/>
              </w:rPr>
            </w:pPr>
            <w:hyperlink r:id="rId36" w:history="1">
              <w:r w:rsidR="00D72D79" w:rsidRPr="00293EE1">
                <w:rPr>
                  <w:rStyle w:val="Hyperlink"/>
                  <w:rFonts w:cs="Times New Roman"/>
                  <w:sz w:val="20"/>
                  <w:szCs w:val="20"/>
                </w:rPr>
                <w:t>2015 FC 1307</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Applicant’s appeal dismissed</w:t>
            </w:r>
          </w:p>
          <w:p w:rsidR="00D72D79" w:rsidRPr="00293EE1" w:rsidRDefault="00D72D79" w:rsidP="00C92DD5">
            <w:pPr>
              <w:jc w:val="both"/>
              <w:rPr>
                <w:rFonts w:cs="Times New Roman"/>
                <w:sz w:val="20"/>
                <w:szCs w:val="20"/>
              </w:rPr>
            </w:pPr>
          </w:p>
        </w:tc>
      </w:tr>
      <w:tr w:rsidR="00D72D79" w:rsidRPr="00293EE1" w:rsidTr="00C92DD5">
        <w:tc>
          <w:tcPr>
            <w:tcW w:w="2427" w:type="pct"/>
          </w:tcPr>
          <w:p w:rsidR="00D72D79" w:rsidRPr="00293EE1" w:rsidRDefault="00D72D79" w:rsidP="00C92DD5">
            <w:pPr>
              <w:jc w:val="both"/>
              <w:rPr>
                <w:rFonts w:cs="Times New Roman"/>
                <w:sz w:val="20"/>
                <w:szCs w:val="20"/>
              </w:rPr>
            </w:pPr>
            <w:r w:rsidRPr="00293EE1">
              <w:rPr>
                <w:rFonts w:cs="Times New Roman"/>
                <w:sz w:val="20"/>
                <w:szCs w:val="20"/>
              </w:rPr>
              <w:t>September 15, 2016</w:t>
            </w:r>
          </w:p>
          <w:p w:rsidR="00D72D79" w:rsidRPr="00293EE1" w:rsidRDefault="00D72D79" w:rsidP="00C92DD5">
            <w:pPr>
              <w:jc w:val="both"/>
              <w:rPr>
                <w:rFonts w:cs="Times New Roman"/>
                <w:sz w:val="20"/>
                <w:szCs w:val="20"/>
              </w:rPr>
            </w:pPr>
            <w:r w:rsidRPr="00293EE1">
              <w:rPr>
                <w:rFonts w:cs="Times New Roman"/>
                <w:sz w:val="20"/>
                <w:szCs w:val="20"/>
              </w:rPr>
              <w:t>Federal Court of Appeal</w:t>
            </w:r>
          </w:p>
          <w:p w:rsidR="00D72D79" w:rsidRPr="00293EE1" w:rsidRDefault="00D72D79" w:rsidP="00C92DD5">
            <w:pPr>
              <w:jc w:val="both"/>
              <w:rPr>
                <w:rFonts w:cs="Times New Roman"/>
                <w:sz w:val="20"/>
                <w:szCs w:val="20"/>
              </w:rPr>
            </w:pPr>
            <w:r w:rsidRPr="00293EE1">
              <w:rPr>
                <w:rFonts w:cs="Times New Roman"/>
                <w:sz w:val="20"/>
                <w:szCs w:val="20"/>
              </w:rPr>
              <w:t>(Pelletier, Webb and Near JJ.A.)</w:t>
            </w:r>
          </w:p>
          <w:p w:rsidR="00D72D79" w:rsidRPr="00293EE1" w:rsidRDefault="00B2512D" w:rsidP="00C92DD5">
            <w:pPr>
              <w:jc w:val="both"/>
              <w:rPr>
                <w:rFonts w:cs="Times New Roman"/>
                <w:sz w:val="20"/>
                <w:szCs w:val="20"/>
              </w:rPr>
            </w:pPr>
            <w:hyperlink r:id="rId37" w:history="1">
              <w:r w:rsidR="00D72D79" w:rsidRPr="00293EE1">
                <w:rPr>
                  <w:rStyle w:val="Hyperlink"/>
                  <w:rFonts w:cs="Times New Roman"/>
                  <w:sz w:val="20"/>
                  <w:szCs w:val="20"/>
                </w:rPr>
                <w:t>2016 FCA 231</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Applicant’s appeal dismissed</w:t>
            </w:r>
          </w:p>
          <w:p w:rsidR="00D72D79" w:rsidRPr="00293EE1" w:rsidRDefault="00D72D79" w:rsidP="00C92DD5">
            <w:pPr>
              <w:jc w:val="both"/>
              <w:rPr>
                <w:rFonts w:cs="Times New Roman"/>
                <w:sz w:val="20"/>
                <w:szCs w:val="20"/>
              </w:rPr>
            </w:pPr>
          </w:p>
        </w:tc>
      </w:tr>
      <w:tr w:rsidR="00D72D79" w:rsidRPr="00293EE1" w:rsidTr="00C92DD5">
        <w:tc>
          <w:tcPr>
            <w:tcW w:w="2427" w:type="pct"/>
          </w:tcPr>
          <w:p w:rsidR="00D72D79" w:rsidRPr="00293EE1" w:rsidRDefault="00D72D79" w:rsidP="00C92DD5">
            <w:pPr>
              <w:jc w:val="both"/>
              <w:rPr>
                <w:rFonts w:cs="Times New Roman"/>
                <w:sz w:val="20"/>
                <w:szCs w:val="20"/>
              </w:rPr>
            </w:pPr>
            <w:r w:rsidRPr="00293EE1">
              <w:rPr>
                <w:rFonts w:cs="Times New Roman"/>
                <w:sz w:val="20"/>
                <w:szCs w:val="20"/>
              </w:rPr>
              <w:t>November 14, 2016</w:t>
            </w:r>
          </w:p>
          <w:p w:rsidR="00D72D79" w:rsidRPr="00293EE1" w:rsidRDefault="00D72D79" w:rsidP="00C92DD5">
            <w:pPr>
              <w:jc w:val="both"/>
              <w:rPr>
                <w:rFonts w:cs="Times New Roman"/>
                <w:sz w:val="20"/>
                <w:szCs w:val="20"/>
              </w:rPr>
            </w:pPr>
            <w:r w:rsidRPr="00293EE1">
              <w:rPr>
                <w:rFonts w:cs="Times New Roman"/>
                <w:sz w:val="20"/>
                <w:szCs w:val="20"/>
              </w:rPr>
              <w:t>Supreme Court of Canada</w:t>
            </w: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Application for leave to appeal filed</w:t>
            </w:r>
          </w:p>
          <w:p w:rsidR="00D72D79" w:rsidRPr="00293EE1" w:rsidRDefault="00D72D79" w:rsidP="00C92DD5">
            <w:pPr>
              <w:jc w:val="both"/>
              <w:rPr>
                <w:rFonts w:cs="Times New Roman"/>
                <w:sz w:val="20"/>
                <w:szCs w:val="20"/>
              </w:rPr>
            </w:pPr>
          </w:p>
        </w:tc>
      </w:tr>
    </w:tbl>
    <w:p w:rsidR="00D72D79" w:rsidRPr="00293EE1" w:rsidRDefault="00B2512D" w:rsidP="00D72D79">
      <w:pPr>
        <w:jc w:val="both"/>
        <w:rPr>
          <w:rFonts w:cs="Times New Roman"/>
          <w:sz w:val="20"/>
          <w:szCs w:val="20"/>
        </w:rPr>
      </w:pPr>
      <w:r>
        <w:rPr>
          <w:sz w:val="20"/>
          <w:szCs w:val="20"/>
        </w:rPr>
        <w:pict>
          <v:rect id="_x0000_i1055" style="width:2in;height:1pt" o:hrpct="0" o:hralign="center" o:hrstd="t" o:hrnoshade="t" o:hr="t" fillcolor="black [3213]" stroked="f"/>
        </w:pict>
      </w:r>
    </w:p>
    <w:p w:rsidR="00D72D79" w:rsidRPr="00293EE1" w:rsidRDefault="00D72D79" w:rsidP="00D72D79">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2D79" w:rsidRPr="00B2512D" w:rsidTr="00C92DD5">
        <w:tc>
          <w:tcPr>
            <w:tcW w:w="543" w:type="pct"/>
          </w:tcPr>
          <w:p w:rsidR="00D72D79" w:rsidRPr="00293EE1" w:rsidRDefault="00D72D79" w:rsidP="00C92DD5">
            <w:pPr>
              <w:jc w:val="both"/>
              <w:rPr>
                <w:rFonts w:cs="Times New Roman"/>
                <w:sz w:val="20"/>
                <w:szCs w:val="20"/>
                <w:lang w:val="fr-CA"/>
              </w:rPr>
            </w:pPr>
            <w:r w:rsidRPr="00293EE1">
              <w:rPr>
                <w:rStyle w:val="SCCFileNumberChar"/>
                <w:sz w:val="20"/>
                <w:szCs w:val="20"/>
                <w:lang w:val="fr-CA"/>
              </w:rPr>
              <w:t>37487</w:t>
            </w:r>
          </w:p>
        </w:tc>
        <w:tc>
          <w:tcPr>
            <w:tcW w:w="4457" w:type="pct"/>
            <w:gridSpan w:val="3"/>
          </w:tcPr>
          <w:p w:rsidR="00D72D79" w:rsidRPr="00293EE1" w:rsidRDefault="00D72D79" w:rsidP="00C92DD5">
            <w:pPr>
              <w:pStyle w:val="SCCLsocParty"/>
              <w:jc w:val="both"/>
              <w:rPr>
                <w:b/>
                <w:sz w:val="20"/>
                <w:szCs w:val="20"/>
              </w:rPr>
            </w:pPr>
            <w:r w:rsidRPr="00293EE1">
              <w:rPr>
                <w:b/>
                <w:sz w:val="20"/>
                <w:szCs w:val="20"/>
              </w:rPr>
              <w:t>Wally Dove c. Sa Majesté la Reine</w:t>
            </w:r>
          </w:p>
          <w:p w:rsidR="00D72D79" w:rsidRPr="00293EE1" w:rsidRDefault="00D72D79" w:rsidP="00C92DD5">
            <w:pPr>
              <w:jc w:val="both"/>
              <w:rPr>
                <w:rFonts w:cs="Times New Roman"/>
                <w:sz w:val="20"/>
                <w:szCs w:val="20"/>
                <w:lang w:val="fr-CA"/>
              </w:rPr>
            </w:pPr>
            <w:r w:rsidRPr="00293EE1">
              <w:rPr>
                <w:rFonts w:cs="Times New Roman"/>
                <w:sz w:val="20"/>
                <w:szCs w:val="20"/>
                <w:lang w:val="fr-CA"/>
              </w:rPr>
              <w:t>(C.F.) (Civile) (Sur autorisation)</w:t>
            </w:r>
          </w:p>
        </w:tc>
      </w:tr>
      <w:tr w:rsidR="00D72D79" w:rsidRPr="00B2512D" w:rsidTr="00C92DD5">
        <w:tc>
          <w:tcPr>
            <w:tcW w:w="543" w:type="pct"/>
          </w:tcPr>
          <w:p w:rsidR="00D72D79" w:rsidRPr="00293EE1" w:rsidRDefault="00D72D79" w:rsidP="00C92DD5">
            <w:pPr>
              <w:jc w:val="both"/>
              <w:rPr>
                <w:rStyle w:val="SCCFileNumberChar"/>
                <w:sz w:val="20"/>
                <w:szCs w:val="20"/>
                <w:lang w:val="fr-CA"/>
              </w:rPr>
            </w:pPr>
            <w:r w:rsidRPr="00293EE1">
              <w:rPr>
                <w:rStyle w:val="SCCFileNumberChar"/>
                <w:sz w:val="20"/>
                <w:szCs w:val="20"/>
                <w:lang w:val="fr-CA"/>
              </w:rPr>
              <w:t>Coram :</w:t>
            </w:r>
          </w:p>
        </w:tc>
        <w:tc>
          <w:tcPr>
            <w:tcW w:w="4457" w:type="pct"/>
            <w:gridSpan w:val="3"/>
          </w:tcPr>
          <w:p w:rsidR="00D72D79" w:rsidRPr="00293EE1" w:rsidRDefault="00E56DAC" w:rsidP="00C92DD5">
            <w:pPr>
              <w:pStyle w:val="SCCLsocParty"/>
              <w:jc w:val="both"/>
              <w:rPr>
                <w:sz w:val="20"/>
                <w:szCs w:val="20"/>
              </w:rPr>
            </w:pPr>
            <w:r w:rsidRPr="00293EE1">
              <w:rPr>
                <w:sz w:val="20"/>
                <w:szCs w:val="20"/>
                <w:lang w:val="fr-FR"/>
              </w:rPr>
              <w:t xml:space="preserve">La juge en chef </w:t>
            </w:r>
            <w:proofErr w:type="spellStart"/>
            <w:r w:rsidRPr="00293EE1">
              <w:rPr>
                <w:sz w:val="20"/>
                <w:szCs w:val="20"/>
                <w:lang w:val="fr-FR"/>
              </w:rPr>
              <w:t>McLachlin</w:t>
            </w:r>
            <w:proofErr w:type="spellEnd"/>
            <w:r w:rsidRPr="00293EE1">
              <w:rPr>
                <w:sz w:val="20"/>
                <w:szCs w:val="20"/>
                <w:lang w:val="fr-FR"/>
              </w:rPr>
              <w:t xml:space="preserve"> et les juges Abella, </w:t>
            </w:r>
            <w:proofErr w:type="spellStart"/>
            <w:r w:rsidRPr="00293EE1">
              <w:rPr>
                <w:sz w:val="20"/>
                <w:szCs w:val="20"/>
                <w:lang w:val="fr-FR"/>
              </w:rPr>
              <w:t>Moldaver</w:t>
            </w:r>
            <w:proofErr w:type="spellEnd"/>
            <w:r w:rsidRPr="00293EE1">
              <w:rPr>
                <w:sz w:val="20"/>
                <w:szCs w:val="20"/>
                <w:lang w:val="fr-FR"/>
              </w:rPr>
              <w:t xml:space="preserve">, </w:t>
            </w:r>
            <w:proofErr w:type="spellStart"/>
            <w:r w:rsidRPr="00293EE1">
              <w:rPr>
                <w:sz w:val="20"/>
                <w:szCs w:val="20"/>
                <w:lang w:val="fr-FR"/>
              </w:rPr>
              <w:t>Karakatsanis</w:t>
            </w:r>
            <w:proofErr w:type="spellEnd"/>
            <w:r w:rsidRPr="00293EE1">
              <w:rPr>
                <w:sz w:val="20"/>
                <w:szCs w:val="20"/>
                <w:lang w:val="fr-FR"/>
              </w:rPr>
              <w:t>, Wagner, Gascon, Côté, Brown et Rowe</w:t>
            </w:r>
          </w:p>
        </w:tc>
      </w:tr>
      <w:tr w:rsidR="00D72D79" w:rsidRPr="00B2512D" w:rsidTr="00D72D79">
        <w:tc>
          <w:tcPr>
            <w:tcW w:w="5000" w:type="pct"/>
            <w:gridSpan w:val="4"/>
          </w:tcPr>
          <w:p w:rsidR="00D72D79" w:rsidRPr="00293EE1" w:rsidRDefault="00E56DAC" w:rsidP="00C92DD5">
            <w:pPr>
              <w:pStyle w:val="SCCLsocParty"/>
              <w:jc w:val="both"/>
              <w:rPr>
                <w:sz w:val="20"/>
                <w:szCs w:val="20"/>
              </w:rPr>
            </w:pPr>
            <w:r w:rsidRPr="00293EE1">
              <w:rPr>
                <w:sz w:val="20"/>
                <w:szCs w:val="20"/>
              </w:rPr>
              <w:t xml:space="preserve">La demande d’autorisation d’appel de l’arrêt de la </w:t>
            </w:r>
            <w:r w:rsidRPr="00293EE1">
              <w:rPr>
                <w:sz w:val="20"/>
                <w:szCs w:val="20"/>
                <w:lang w:val="fr-FR"/>
              </w:rPr>
              <w:t>Cour d’appel fédérale</w:t>
            </w:r>
            <w:r w:rsidRPr="00293EE1">
              <w:rPr>
                <w:sz w:val="20"/>
                <w:szCs w:val="20"/>
              </w:rPr>
              <w:t xml:space="preserve">, numéro </w:t>
            </w:r>
            <w:r w:rsidRPr="00293EE1">
              <w:rPr>
                <w:sz w:val="20"/>
                <w:szCs w:val="20"/>
                <w:lang w:val="fr-FR"/>
              </w:rPr>
              <w:t>A-552-15, 2016 FCA 231</w:t>
            </w:r>
            <w:r w:rsidRPr="00293EE1">
              <w:rPr>
                <w:sz w:val="20"/>
                <w:szCs w:val="20"/>
              </w:rPr>
              <w:t xml:space="preserve">, daté du </w:t>
            </w:r>
            <w:r w:rsidRPr="00293EE1">
              <w:rPr>
                <w:sz w:val="20"/>
                <w:szCs w:val="20"/>
                <w:lang w:val="fr-FR"/>
              </w:rPr>
              <w:t>15 septembre 2016</w:t>
            </w:r>
            <w:r w:rsidRPr="00293EE1">
              <w:rPr>
                <w:sz w:val="20"/>
                <w:szCs w:val="20"/>
              </w:rPr>
              <w:t>, est rejetée sans ordonnance quant aux dépens.</w:t>
            </w:r>
          </w:p>
          <w:p w:rsidR="00E56DAC" w:rsidRPr="00293EE1" w:rsidRDefault="00E56DAC" w:rsidP="00E56DAC">
            <w:pPr>
              <w:rPr>
                <w:lang w:val="fr-CA"/>
              </w:rPr>
            </w:pPr>
          </w:p>
        </w:tc>
      </w:tr>
      <w:tr w:rsidR="00D72D79" w:rsidRPr="00B2512D" w:rsidTr="00C92DD5">
        <w:trPr>
          <w:trHeight w:val="2241"/>
        </w:trPr>
        <w:tc>
          <w:tcPr>
            <w:tcW w:w="5000" w:type="pct"/>
            <w:gridSpan w:val="4"/>
          </w:tcPr>
          <w:p w:rsidR="00D72D79" w:rsidRPr="00293EE1" w:rsidRDefault="00D72D79" w:rsidP="00C92DD5">
            <w:pPr>
              <w:jc w:val="both"/>
              <w:rPr>
                <w:rFonts w:cs="Times New Roman"/>
                <w:sz w:val="20"/>
                <w:szCs w:val="20"/>
                <w:lang w:val="fr-CA"/>
              </w:rPr>
            </w:pPr>
            <w:r w:rsidRPr="00293EE1">
              <w:rPr>
                <w:rFonts w:cs="Times New Roman"/>
                <w:i/>
                <w:sz w:val="20"/>
                <w:szCs w:val="20"/>
                <w:lang w:val="fr-CA"/>
              </w:rPr>
              <w:lastRenderedPageBreak/>
              <w:t>Charte des droits</w:t>
            </w:r>
            <w:r w:rsidRPr="00293EE1">
              <w:rPr>
                <w:rFonts w:cs="Times New Roman"/>
                <w:sz w:val="20"/>
                <w:szCs w:val="20"/>
                <w:lang w:val="fr-CA"/>
              </w:rPr>
              <w:t xml:space="preserve"> – Justice fondamentale – Jugements et ordonnances – Jugement sommaire – Est-il exact d’affirmer que certaines lois n’ont jamais reçu la sanction royale et sont donc inopérantes et non exécutoires contre le demandeur en vertu de la Constitution? – Les appelants, qui sont nés sur ce sol, peuvent-ils être forcés de participer à cette « unité juridique fédérale » (le Canada) et d’en faire partie contre leur gré? – Le préambule ou la participation forcée dans l’ « unité juridique fédérale » est-il contraire aux droits et aux égalités de la personne, garantis par la Constitution, la </w:t>
            </w:r>
            <w:r w:rsidRPr="00293EE1">
              <w:rPr>
                <w:rFonts w:cs="Times New Roman"/>
                <w:i/>
                <w:sz w:val="20"/>
                <w:szCs w:val="20"/>
                <w:lang w:val="fr-CA"/>
              </w:rPr>
              <w:t xml:space="preserve">Charte </w:t>
            </w:r>
            <w:r w:rsidRPr="00293EE1">
              <w:rPr>
                <w:rFonts w:cs="Times New Roman"/>
                <w:sz w:val="20"/>
                <w:szCs w:val="20"/>
                <w:lang w:val="fr-CA"/>
              </w:rPr>
              <w:t xml:space="preserve">et les </w:t>
            </w:r>
            <w:r w:rsidRPr="00293EE1">
              <w:rPr>
                <w:rFonts w:cs="Times New Roman"/>
                <w:i/>
                <w:sz w:val="20"/>
                <w:szCs w:val="20"/>
                <w:lang w:val="fr-CA"/>
              </w:rPr>
              <w:t>Pactes internationaux</w:t>
            </w:r>
            <w:r w:rsidRPr="00293EE1">
              <w:rPr>
                <w:rFonts w:cs="Times New Roman"/>
                <w:sz w:val="20"/>
                <w:szCs w:val="20"/>
                <w:lang w:val="fr-CA"/>
              </w:rPr>
              <w:t xml:space="preserve"> et autres lois et traités connexes? – La participation forcée dans l’ « unité juridique fédérale » fait-elle des demandeurs des victimes de crimes de traite de personnes, prévues aux articles 279.01 à 279.04 du </w:t>
            </w:r>
            <w:r w:rsidRPr="00293EE1">
              <w:rPr>
                <w:rFonts w:cs="Times New Roman"/>
                <w:i/>
                <w:sz w:val="20"/>
                <w:szCs w:val="20"/>
                <w:lang w:val="fr-CA"/>
              </w:rPr>
              <w:t xml:space="preserve">Code criminel </w:t>
            </w:r>
            <w:r w:rsidRPr="00293EE1">
              <w:rPr>
                <w:rFonts w:cs="Times New Roman"/>
                <w:sz w:val="20"/>
                <w:szCs w:val="20"/>
                <w:lang w:val="fr-CA"/>
              </w:rPr>
              <w:t xml:space="preserve">et de la </w:t>
            </w:r>
            <w:r w:rsidRPr="00293EE1">
              <w:rPr>
                <w:rFonts w:cs="Times New Roman"/>
                <w:i/>
                <w:sz w:val="20"/>
                <w:szCs w:val="20"/>
                <w:lang w:val="fr-CA"/>
              </w:rPr>
              <w:t>Loi sur les crimes contre l’humanité et les crimes de guerre</w:t>
            </w:r>
            <w:r w:rsidRPr="00293EE1">
              <w:rPr>
                <w:rFonts w:cs="Times New Roman"/>
                <w:sz w:val="20"/>
                <w:szCs w:val="20"/>
                <w:lang w:val="fr-CA"/>
              </w:rPr>
              <w:t>, L.C. 2000, ch. 24 et autres lois et traités connexes?</w:t>
            </w:r>
          </w:p>
          <w:p w:rsidR="00D72D79" w:rsidRPr="00293EE1" w:rsidRDefault="00D72D79" w:rsidP="00C92DD5">
            <w:pPr>
              <w:jc w:val="both"/>
              <w:rPr>
                <w:rFonts w:cs="Times New Roman"/>
                <w:sz w:val="20"/>
                <w:szCs w:val="20"/>
                <w:lang w:val="fr-CA"/>
              </w:rPr>
            </w:pPr>
          </w:p>
        </w:tc>
      </w:tr>
      <w:tr w:rsidR="00D72D79" w:rsidRPr="00B2512D" w:rsidTr="00C92DD5">
        <w:tc>
          <w:tcPr>
            <w:tcW w:w="5000" w:type="pct"/>
            <w:gridSpan w:val="4"/>
          </w:tcPr>
          <w:p w:rsidR="00D72D79" w:rsidRPr="00293EE1" w:rsidRDefault="00D72D79" w:rsidP="00C92DD5">
            <w:pPr>
              <w:jc w:val="both"/>
              <w:rPr>
                <w:rFonts w:cs="Times New Roman"/>
                <w:sz w:val="20"/>
                <w:szCs w:val="20"/>
                <w:lang w:val="fr-CA"/>
              </w:rPr>
            </w:pPr>
            <w:r w:rsidRPr="00293EE1">
              <w:rPr>
                <w:rFonts w:cs="Times New Roman"/>
                <w:sz w:val="20"/>
                <w:szCs w:val="20"/>
                <w:lang w:val="fr-CA"/>
              </w:rPr>
              <w:t>Saisi de la requête en jugement sommaire de l’intimée, le protonotaire a radié l’action du demandeur sans autorisation de modification, statuant que son action et celles de ses codemandeurs ne révélaient aucune cause d’action et n’avaient aucune chance d’être accueillies.</w:t>
            </w:r>
          </w:p>
        </w:tc>
      </w:tr>
      <w:tr w:rsidR="00D72D79" w:rsidRPr="00B2512D" w:rsidTr="00C92DD5">
        <w:tc>
          <w:tcPr>
            <w:tcW w:w="5000" w:type="pct"/>
            <w:gridSpan w:val="4"/>
          </w:tcPr>
          <w:p w:rsidR="00D72D79" w:rsidRPr="00293EE1" w:rsidRDefault="00D72D79" w:rsidP="00C92DD5">
            <w:pPr>
              <w:jc w:val="both"/>
              <w:rPr>
                <w:rFonts w:cs="Times New Roman"/>
                <w:sz w:val="20"/>
                <w:szCs w:val="20"/>
                <w:lang w:val="fr-CA"/>
              </w:rPr>
            </w:pP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29 septembre 2015</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fédérale</w:t>
            </w:r>
          </w:p>
          <w:p w:rsidR="00D72D79" w:rsidRPr="00293EE1" w:rsidRDefault="00D72D79" w:rsidP="00C92DD5">
            <w:pPr>
              <w:jc w:val="both"/>
              <w:rPr>
                <w:rFonts w:cs="Times New Roman"/>
                <w:sz w:val="20"/>
                <w:szCs w:val="20"/>
                <w:lang w:val="fr-CA"/>
              </w:rPr>
            </w:pPr>
            <w:r w:rsidRPr="00293EE1">
              <w:rPr>
                <w:rFonts w:cs="Times New Roman"/>
                <w:sz w:val="20"/>
                <w:szCs w:val="20"/>
                <w:lang w:val="fr-CA"/>
              </w:rPr>
              <w:t>(Protonotaire Aalto)</w:t>
            </w:r>
          </w:p>
          <w:p w:rsidR="00D72D79" w:rsidRPr="00293EE1" w:rsidRDefault="00B2512D" w:rsidP="00C92DD5">
            <w:pPr>
              <w:jc w:val="both"/>
              <w:rPr>
                <w:rFonts w:cs="Times New Roman"/>
                <w:sz w:val="20"/>
                <w:szCs w:val="20"/>
                <w:lang w:val="fr-CA"/>
              </w:rPr>
            </w:pPr>
            <w:hyperlink r:id="rId38" w:history="1">
              <w:r w:rsidR="00D72D79" w:rsidRPr="00293EE1">
                <w:rPr>
                  <w:rStyle w:val="Hyperlink"/>
                  <w:rFonts w:cs="Times New Roman"/>
                  <w:sz w:val="20"/>
                  <w:szCs w:val="20"/>
                  <w:lang w:val="fr-CA"/>
                </w:rPr>
                <w:t>2015 FC 1126</w:t>
              </w:r>
            </w:hyperlink>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Jugement accueillant la requête en jugement sommaire de l’intimée et radiant les cinq actions sans autorisation de modification</w:t>
            </w:r>
          </w:p>
          <w:p w:rsidR="00D72D79" w:rsidRPr="00293EE1" w:rsidRDefault="00D72D79" w:rsidP="00C92DD5">
            <w:pPr>
              <w:jc w:val="both"/>
              <w:rPr>
                <w:rFonts w:cs="Times New Roman"/>
                <w:sz w:val="20"/>
                <w:szCs w:val="20"/>
                <w:lang w:val="fr-CA"/>
              </w:rPr>
            </w:pPr>
          </w:p>
        </w:tc>
      </w:tr>
      <w:tr w:rsidR="00D72D79" w:rsidRPr="00293EE1"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24 novembre 2015</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fédérale</w:t>
            </w:r>
          </w:p>
          <w:p w:rsidR="00D72D79" w:rsidRPr="00293EE1" w:rsidRDefault="00D72D79" w:rsidP="00C92DD5">
            <w:pPr>
              <w:jc w:val="both"/>
              <w:rPr>
                <w:rFonts w:cs="Times New Roman"/>
                <w:sz w:val="20"/>
                <w:szCs w:val="20"/>
                <w:lang w:val="fr-CA"/>
              </w:rPr>
            </w:pPr>
            <w:r w:rsidRPr="00293EE1">
              <w:rPr>
                <w:rFonts w:cs="Times New Roman"/>
                <w:sz w:val="20"/>
                <w:szCs w:val="20"/>
                <w:lang w:val="fr-CA"/>
              </w:rPr>
              <w:t>(Juge Campbell)</w:t>
            </w:r>
          </w:p>
          <w:p w:rsidR="00D72D79" w:rsidRPr="00293EE1" w:rsidRDefault="00B2512D" w:rsidP="00C92DD5">
            <w:pPr>
              <w:jc w:val="both"/>
              <w:rPr>
                <w:rFonts w:cs="Times New Roman"/>
                <w:sz w:val="20"/>
                <w:szCs w:val="20"/>
                <w:lang w:val="fr-CA"/>
              </w:rPr>
            </w:pPr>
            <w:hyperlink r:id="rId39" w:history="1">
              <w:r w:rsidR="00D72D79" w:rsidRPr="00293EE1">
                <w:rPr>
                  <w:rStyle w:val="Hyperlink"/>
                  <w:rFonts w:cs="Times New Roman"/>
                  <w:sz w:val="20"/>
                  <w:szCs w:val="20"/>
                  <w:lang w:val="fr-CA"/>
                </w:rPr>
                <w:t>2015 FC 1307</w:t>
              </w:r>
            </w:hyperlink>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Rejet de l’appel du demandeur</w:t>
            </w:r>
          </w:p>
          <w:p w:rsidR="00D72D79" w:rsidRPr="00293EE1" w:rsidRDefault="00D72D79" w:rsidP="00C92DD5">
            <w:pPr>
              <w:jc w:val="both"/>
              <w:rPr>
                <w:rFonts w:cs="Times New Roman"/>
                <w:sz w:val="20"/>
                <w:szCs w:val="20"/>
                <w:lang w:val="fr-CA"/>
              </w:rPr>
            </w:pPr>
          </w:p>
        </w:tc>
      </w:tr>
      <w:tr w:rsidR="00D72D79" w:rsidRPr="00293EE1"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15 septembre 2016</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d’appel fédérale</w:t>
            </w:r>
          </w:p>
          <w:p w:rsidR="00D72D79" w:rsidRPr="00293EE1" w:rsidRDefault="00D72D79" w:rsidP="00C92DD5">
            <w:pPr>
              <w:jc w:val="both"/>
              <w:rPr>
                <w:rFonts w:cs="Times New Roman"/>
                <w:sz w:val="20"/>
                <w:szCs w:val="20"/>
                <w:lang w:val="fr-CA"/>
              </w:rPr>
            </w:pPr>
            <w:r w:rsidRPr="00293EE1">
              <w:rPr>
                <w:rFonts w:cs="Times New Roman"/>
                <w:sz w:val="20"/>
                <w:szCs w:val="20"/>
                <w:lang w:val="fr-CA"/>
              </w:rPr>
              <w:t>(Juges Pelletier, Webb et Near)</w:t>
            </w:r>
          </w:p>
          <w:p w:rsidR="00D72D79" w:rsidRPr="00293EE1" w:rsidRDefault="00B2512D" w:rsidP="00C92DD5">
            <w:pPr>
              <w:jc w:val="both"/>
              <w:rPr>
                <w:rFonts w:cs="Times New Roman"/>
                <w:sz w:val="20"/>
                <w:szCs w:val="20"/>
                <w:lang w:val="fr-CA"/>
              </w:rPr>
            </w:pPr>
            <w:hyperlink r:id="rId40" w:history="1">
              <w:r w:rsidR="00D72D79" w:rsidRPr="00293EE1">
                <w:rPr>
                  <w:rStyle w:val="Hyperlink"/>
                  <w:rFonts w:cs="Times New Roman"/>
                  <w:sz w:val="20"/>
                  <w:szCs w:val="20"/>
                  <w:lang w:val="fr-CA"/>
                </w:rPr>
                <w:t>2016 FCA 231</w:t>
              </w:r>
            </w:hyperlink>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Rejet de l’appel du demandeur</w:t>
            </w:r>
          </w:p>
          <w:p w:rsidR="00D72D79" w:rsidRPr="00293EE1" w:rsidRDefault="00D72D79" w:rsidP="00C92DD5">
            <w:pPr>
              <w:jc w:val="both"/>
              <w:rPr>
                <w:rFonts w:cs="Times New Roman"/>
                <w:sz w:val="20"/>
                <w:szCs w:val="20"/>
                <w:lang w:val="fr-CA"/>
              </w:rPr>
            </w:pP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14 novembre 2016</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suprême du Canada</w:t>
            </w: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Dépôt de la demande d’autorisation d’appel</w:t>
            </w:r>
          </w:p>
          <w:p w:rsidR="00D72D79" w:rsidRPr="00293EE1" w:rsidRDefault="00D72D79" w:rsidP="00C92DD5">
            <w:pPr>
              <w:jc w:val="both"/>
              <w:rPr>
                <w:rFonts w:cs="Times New Roman"/>
                <w:sz w:val="20"/>
                <w:szCs w:val="20"/>
                <w:lang w:val="fr-CA"/>
              </w:rPr>
            </w:pPr>
          </w:p>
        </w:tc>
      </w:tr>
    </w:tbl>
    <w:p w:rsidR="00D72D79" w:rsidRPr="00293EE1" w:rsidRDefault="00B2512D" w:rsidP="00D72D79">
      <w:pPr>
        <w:jc w:val="both"/>
        <w:rPr>
          <w:rFonts w:cs="Times New Roman"/>
          <w:sz w:val="20"/>
          <w:szCs w:val="20"/>
          <w:lang w:val="fr-CA"/>
        </w:rPr>
      </w:pPr>
      <w:r>
        <w:rPr>
          <w:sz w:val="20"/>
          <w:szCs w:val="20"/>
        </w:rPr>
        <w:pict>
          <v:rect id="_x0000_i1056" style="width:2in;height:1pt" o:hrpct="0" o:hralign="center" o:hrstd="t" o:hrnoshade="t" o:hr="t" fillcolor="black [3213]" stroked="f"/>
        </w:pict>
      </w:r>
    </w:p>
    <w:p w:rsidR="00D72D79" w:rsidRPr="00293EE1" w:rsidRDefault="00D72D79" w:rsidP="00D72D79">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2D79" w:rsidRPr="00293EE1" w:rsidTr="00C92DD5">
        <w:tc>
          <w:tcPr>
            <w:tcW w:w="543" w:type="pct"/>
          </w:tcPr>
          <w:p w:rsidR="00D72D79" w:rsidRPr="00293EE1" w:rsidRDefault="00D72D79" w:rsidP="00C92DD5">
            <w:pPr>
              <w:jc w:val="both"/>
              <w:rPr>
                <w:rFonts w:cs="Times New Roman"/>
                <w:sz w:val="20"/>
                <w:szCs w:val="20"/>
              </w:rPr>
            </w:pPr>
            <w:r w:rsidRPr="00293EE1">
              <w:rPr>
                <w:rStyle w:val="SCCFileNumberChar"/>
                <w:sz w:val="20"/>
                <w:szCs w:val="20"/>
              </w:rPr>
              <w:t>37473</w:t>
            </w:r>
          </w:p>
        </w:tc>
        <w:tc>
          <w:tcPr>
            <w:tcW w:w="4457" w:type="pct"/>
            <w:gridSpan w:val="3"/>
          </w:tcPr>
          <w:p w:rsidR="00D72D79" w:rsidRPr="00293EE1" w:rsidRDefault="00D72D79" w:rsidP="00C92DD5">
            <w:pPr>
              <w:pStyle w:val="SCCLsocParty"/>
              <w:jc w:val="both"/>
              <w:rPr>
                <w:b/>
                <w:sz w:val="20"/>
                <w:szCs w:val="20"/>
                <w:lang w:val="en-US"/>
              </w:rPr>
            </w:pPr>
            <w:r w:rsidRPr="00293EE1">
              <w:rPr>
                <w:b/>
                <w:sz w:val="20"/>
                <w:szCs w:val="20"/>
                <w:lang w:val="en-US"/>
              </w:rPr>
              <w:t xml:space="preserve">Avondale Stores Limited and </w:t>
            </w:r>
            <w:proofErr w:type="spellStart"/>
            <w:r w:rsidRPr="00293EE1">
              <w:rPr>
                <w:b/>
                <w:sz w:val="20"/>
                <w:szCs w:val="20"/>
                <w:lang w:val="en-US"/>
              </w:rPr>
              <w:t>Dimtsis</w:t>
            </w:r>
            <w:proofErr w:type="spellEnd"/>
            <w:r w:rsidRPr="00293EE1">
              <w:rPr>
                <w:b/>
                <w:sz w:val="20"/>
                <w:szCs w:val="20"/>
                <w:lang w:val="en-US"/>
              </w:rPr>
              <w:t xml:space="preserve"> Dentistry Professional Corporation v. Crombie Property Holdings Limited</w:t>
            </w:r>
          </w:p>
          <w:p w:rsidR="00D72D79" w:rsidRPr="00293EE1" w:rsidRDefault="00D72D79" w:rsidP="00C92DD5">
            <w:pPr>
              <w:jc w:val="both"/>
              <w:rPr>
                <w:rFonts w:cs="Times New Roman"/>
                <w:sz w:val="20"/>
                <w:szCs w:val="20"/>
              </w:rPr>
            </w:pPr>
            <w:r w:rsidRPr="00293EE1">
              <w:rPr>
                <w:rFonts w:cs="Times New Roman"/>
                <w:sz w:val="20"/>
                <w:szCs w:val="20"/>
              </w:rPr>
              <w:t>(Ont.) (Civil) (By Leave)</w:t>
            </w:r>
          </w:p>
        </w:tc>
      </w:tr>
      <w:tr w:rsidR="00D72D79" w:rsidRPr="00293EE1" w:rsidTr="00C92DD5">
        <w:tc>
          <w:tcPr>
            <w:tcW w:w="543" w:type="pct"/>
          </w:tcPr>
          <w:p w:rsidR="00D72D79" w:rsidRPr="00293EE1" w:rsidRDefault="00D72D79" w:rsidP="00C92DD5">
            <w:pPr>
              <w:jc w:val="both"/>
              <w:rPr>
                <w:rStyle w:val="SCCFileNumberChar"/>
                <w:sz w:val="20"/>
                <w:szCs w:val="20"/>
              </w:rPr>
            </w:pPr>
            <w:r w:rsidRPr="00293EE1">
              <w:rPr>
                <w:rStyle w:val="SCCFileNumberChar"/>
                <w:sz w:val="20"/>
                <w:szCs w:val="20"/>
              </w:rPr>
              <w:t>Coram:</w:t>
            </w:r>
          </w:p>
        </w:tc>
        <w:tc>
          <w:tcPr>
            <w:tcW w:w="4457" w:type="pct"/>
            <w:gridSpan w:val="3"/>
          </w:tcPr>
          <w:p w:rsidR="00D72D79" w:rsidRPr="00293EE1" w:rsidRDefault="00655F00" w:rsidP="00C92DD5">
            <w:pPr>
              <w:pStyle w:val="SCCLsocParty"/>
              <w:jc w:val="both"/>
              <w:rPr>
                <w:sz w:val="20"/>
                <w:szCs w:val="20"/>
                <w:lang w:val="en-US"/>
              </w:rPr>
            </w:pPr>
            <w:proofErr w:type="spellStart"/>
            <w:r w:rsidRPr="00293EE1">
              <w:rPr>
                <w:sz w:val="20"/>
                <w:szCs w:val="20"/>
                <w:lang w:val="en-US"/>
              </w:rPr>
              <w:t>McLachlin</w:t>
            </w:r>
            <w:proofErr w:type="spellEnd"/>
            <w:r w:rsidRPr="00293EE1">
              <w:rPr>
                <w:sz w:val="20"/>
                <w:szCs w:val="20"/>
                <w:lang w:val="en-US"/>
              </w:rPr>
              <w:t xml:space="preserve"> C.J. and </w:t>
            </w:r>
            <w:proofErr w:type="spellStart"/>
            <w:r w:rsidRPr="00293EE1">
              <w:rPr>
                <w:sz w:val="20"/>
                <w:szCs w:val="20"/>
                <w:lang w:val="en-US"/>
              </w:rPr>
              <w:t>Abella</w:t>
            </w:r>
            <w:proofErr w:type="spellEnd"/>
            <w:r w:rsidRPr="00293EE1">
              <w:rPr>
                <w:sz w:val="20"/>
                <w:szCs w:val="20"/>
                <w:lang w:val="en-US"/>
              </w:rPr>
              <w:t xml:space="preserve">, </w:t>
            </w:r>
            <w:proofErr w:type="spellStart"/>
            <w:r w:rsidRPr="00293EE1">
              <w:rPr>
                <w:sz w:val="20"/>
                <w:szCs w:val="20"/>
                <w:lang w:val="en-US"/>
              </w:rPr>
              <w:t>Moldaver</w:t>
            </w:r>
            <w:proofErr w:type="spellEnd"/>
            <w:r w:rsidRPr="00293EE1">
              <w:rPr>
                <w:sz w:val="20"/>
                <w:szCs w:val="20"/>
                <w:lang w:val="en-US"/>
              </w:rPr>
              <w:t xml:space="preserve">, </w:t>
            </w:r>
            <w:proofErr w:type="spellStart"/>
            <w:r w:rsidRPr="00293EE1">
              <w:rPr>
                <w:sz w:val="20"/>
                <w:szCs w:val="20"/>
                <w:lang w:val="en-US"/>
              </w:rPr>
              <w:t>Karakatsanis</w:t>
            </w:r>
            <w:proofErr w:type="spellEnd"/>
            <w:r w:rsidRPr="00293EE1">
              <w:rPr>
                <w:sz w:val="20"/>
                <w:szCs w:val="20"/>
                <w:lang w:val="en-US"/>
              </w:rPr>
              <w:t xml:space="preserve">, Wagner, </w:t>
            </w:r>
            <w:proofErr w:type="spellStart"/>
            <w:r w:rsidRPr="00293EE1">
              <w:rPr>
                <w:sz w:val="20"/>
                <w:szCs w:val="20"/>
                <w:lang w:val="en-US"/>
              </w:rPr>
              <w:t>Gascon</w:t>
            </w:r>
            <w:proofErr w:type="spellEnd"/>
            <w:r w:rsidRPr="00293EE1">
              <w:rPr>
                <w:sz w:val="20"/>
                <w:szCs w:val="20"/>
                <w:lang w:val="en-US"/>
              </w:rPr>
              <w:t xml:space="preserve">, </w:t>
            </w:r>
            <w:proofErr w:type="spellStart"/>
            <w:r w:rsidRPr="00293EE1">
              <w:rPr>
                <w:sz w:val="20"/>
                <w:szCs w:val="20"/>
                <w:lang w:val="en-US"/>
              </w:rPr>
              <w:t>Côté</w:t>
            </w:r>
            <w:proofErr w:type="spellEnd"/>
            <w:r w:rsidRPr="00293EE1">
              <w:rPr>
                <w:sz w:val="20"/>
                <w:szCs w:val="20"/>
                <w:lang w:val="en-US"/>
              </w:rPr>
              <w:t>, Brown and Rowe JJ.</w:t>
            </w:r>
          </w:p>
        </w:tc>
      </w:tr>
      <w:tr w:rsidR="00D72D79" w:rsidRPr="00293EE1" w:rsidTr="00D72D79">
        <w:tc>
          <w:tcPr>
            <w:tcW w:w="5000" w:type="pct"/>
            <w:gridSpan w:val="4"/>
          </w:tcPr>
          <w:p w:rsidR="00D72D79" w:rsidRPr="00293EE1" w:rsidRDefault="00655F00" w:rsidP="00C92DD5">
            <w:pPr>
              <w:pStyle w:val="SCCLsocParty"/>
              <w:jc w:val="both"/>
              <w:rPr>
                <w:sz w:val="20"/>
                <w:szCs w:val="20"/>
                <w:lang w:val="en-US"/>
              </w:rPr>
            </w:pPr>
            <w:r w:rsidRPr="00293EE1">
              <w:rPr>
                <w:sz w:val="20"/>
                <w:szCs w:val="20"/>
                <w:lang w:val="en-US"/>
              </w:rPr>
              <w:t>The application for leave to appeal from the judgment of the Court of Appeal for Ontario, Number C61311, 2017 ONCA 16, dated January 11, 2017, is dismissed with costs.</w:t>
            </w:r>
          </w:p>
          <w:p w:rsidR="00655F00" w:rsidRPr="00293EE1" w:rsidRDefault="00655F00" w:rsidP="00655F00">
            <w:pPr>
              <w:rPr>
                <w:lang w:val="en-US"/>
              </w:rPr>
            </w:pPr>
          </w:p>
        </w:tc>
      </w:tr>
      <w:tr w:rsidR="00D72D79" w:rsidRPr="00293EE1" w:rsidTr="00C92DD5">
        <w:tc>
          <w:tcPr>
            <w:tcW w:w="5000" w:type="pct"/>
            <w:gridSpan w:val="4"/>
          </w:tcPr>
          <w:p w:rsidR="00D72D79" w:rsidRPr="00293EE1" w:rsidRDefault="00D72D79" w:rsidP="00C92DD5">
            <w:pPr>
              <w:jc w:val="both"/>
              <w:rPr>
                <w:rFonts w:cs="Times New Roman"/>
                <w:sz w:val="20"/>
                <w:szCs w:val="20"/>
              </w:rPr>
            </w:pPr>
            <w:r w:rsidRPr="00293EE1">
              <w:rPr>
                <w:rFonts w:cs="Times New Roman"/>
                <w:sz w:val="20"/>
                <w:szCs w:val="20"/>
              </w:rPr>
              <w:t xml:space="preserve">Limitation of actions ‒ Discoverability ‒ Summary judgment ‒ Action in damages for nuisance, strict liability, trespass, breach of statute and negligence as a result of the contamination by petroleum hydrocarbons of soil and groundwater ‒ Does knowledge of any contamination constitute “some damages” and therefore commence the limitation period for environmental claims pursuant to this Court’s decision in </w:t>
            </w:r>
            <w:proofErr w:type="spellStart"/>
            <w:r w:rsidRPr="00293EE1">
              <w:rPr>
                <w:rFonts w:cs="Times New Roman"/>
                <w:i/>
                <w:sz w:val="20"/>
                <w:szCs w:val="20"/>
              </w:rPr>
              <w:t>Peixeiro</w:t>
            </w:r>
            <w:proofErr w:type="spellEnd"/>
            <w:r w:rsidRPr="00293EE1">
              <w:rPr>
                <w:rFonts w:cs="Times New Roman"/>
                <w:i/>
                <w:sz w:val="20"/>
                <w:szCs w:val="20"/>
              </w:rPr>
              <w:t xml:space="preserve"> v. </w:t>
            </w:r>
            <w:proofErr w:type="spellStart"/>
            <w:r w:rsidRPr="00293EE1">
              <w:rPr>
                <w:rFonts w:cs="Times New Roman"/>
                <w:i/>
                <w:sz w:val="20"/>
                <w:szCs w:val="20"/>
              </w:rPr>
              <w:t>Haberman</w:t>
            </w:r>
            <w:proofErr w:type="spellEnd"/>
            <w:r w:rsidRPr="00293EE1">
              <w:rPr>
                <w:rFonts w:cs="Times New Roman"/>
                <w:sz w:val="20"/>
                <w:szCs w:val="20"/>
              </w:rPr>
              <w:t xml:space="preserve">, [1997] 3 S.C.R. 549? ‒ Can purchasers of property delay limitation periods for environmental claims by ignoring evidence of contamination, including odours? ‒ Do sophisticated purchasers of property enjoy a lower standard of reasonable diligence to discover environmental claims than the average purchaser of real estate? ‒ Should appellate courts substitute their opinion for the findings of fact and inferences drawn by a summary judgment motion judge? ‒ </w:t>
            </w:r>
            <w:r w:rsidRPr="00293EE1">
              <w:rPr>
                <w:rFonts w:cs="Times New Roman"/>
                <w:i/>
                <w:sz w:val="20"/>
                <w:szCs w:val="20"/>
              </w:rPr>
              <w:t>Rules of Civil Procedure</w:t>
            </w:r>
            <w:r w:rsidRPr="00293EE1">
              <w:rPr>
                <w:rFonts w:cs="Times New Roman"/>
                <w:sz w:val="20"/>
                <w:szCs w:val="20"/>
              </w:rPr>
              <w:t xml:space="preserve">, R.R.O. 1990, Reg. 194, Rule 20 ‒ </w:t>
            </w:r>
            <w:r w:rsidRPr="00293EE1">
              <w:rPr>
                <w:rFonts w:cs="Times New Roman"/>
                <w:i/>
                <w:sz w:val="20"/>
                <w:szCs w:val="20"/>
              </w:rPr>
              <w:t>Limitations Act</w:t>
            </w:r>
            <w:r w:rsidRPr="00293EE1">
              <w:rPr>
                <w:rFonts w:cs="Times New Roman"/>
                <w:sz w:val="20"/>
                <w:szCs w:val="20"/>
              </w:rPr>
              <w:t>, 2002, S.O. 2002, c. 24, Sch. B, Section 5.</w:t>
            </w:r>
          </w:p>
        </w:tc>
      </w:tr>
      <w:tr w:rsidR="00D72D79" w:rsidRPr="00293EE1" w:rsidTr="00C92DD5">
        <w:tc>
          <w:tcPr>
            <w:tcW w:w="5000" w:type="pct"/>
            <w:gridSpan w:val="4"/>
          </w:tcPr>
          <w:p w:rsidR="00D72D79" w:rsidRPr="00293EE1" w:rsidRDefault="00D72D79" w:rsidP="00C92DD5">
            <w:pPr>
              <w:jc w:val="both"/>
              <w:rPr>
                <w:rFonts w:cs="Times New Roman"/>
                <w:sz w:val="20"/>
                <w:szCs w:val="20"/>
              </w:rPr>
            </w:pPr>
          </w:p>
        </w:tc>
      </w:tr>
      <w:tr w:rsidR="00D72D79" w:rsidRPr="00293EE1" w:rsidTr="00C92DD5">
        <w:tc>
          <w:tcPr>
            <w:tcW w:w="5000" w:type="pct"/>
            <w:gridSpan w:val="4"/>
          </w:tcPr>
          <w:p w:rsidR="00D72D79" w:rsidRPr="00293EE1" w:rsidRDefault="00D72D79" w:rsidP="00C92DD5">
            <w:pPr>
              <w:jc w:val="both"/>
              <w:rPr>
                <w:rFonts w:cs="Times New Roman"/>
                <w:sz w:val="20"/>
                <w:szCs w:val="20"/>
              </w:rPr>
            </w:pPr>
            <w:r w:rsidRPr="00293EE1">
              <w:rPr>
                <w:rFonts w:cs="Times New Roman"/>
                <w:sz w:val="20"/>
                <w:szCs w:val="20"/>
              </w:rPr>
              <w:t xml:space="preserve">In 2012, the respondent, Crombie Property Holding Limited, offered to purchase a commercial plaza located at 150, Main St. East, in Grimsby, Ontario. As part of a transaction involving the acquisition of 22 commercial properties, the purchase was subject to various terms and conditions including a condition regarding the satisfaction of the purchaser as to the environmental state of the property. Before proceeding with the purchase, the respondent hired an environmental consulting firm to assist with the environmental due diligence. A report, delivered by the firm on March 20, 2012, identified potential contamination of the property by a historic gas station of the adjacent property owned by the applicant </w:t>
            </w:r>
            <w:proofErr w:type="spellStart"/>
            <w:r w:rsidRPr="00293EE1">
              <w:rPr>
                <w:rFonts w:cs="Times New Roman"/>
                <w:sz w:val="20"/>
                <w:szCs w:val="20"/>
              </w:rPr>
              <w:t>Dimtsis</w:t>
            </w:r>
            <w:proofErr w:type="spellEnd"/>
            <w:r w:rsidRPr="00293EE1">
              <w:rPr>
                <w:rFonts w:cs="Times New Roman"/>
                <w:sz w:val="20"/>
                <w:szCs w:val="20"/>
              </w:rPr>
              <w:t xml:space="preserve"> Dentistry Professional Corporation and formerly owned by the applicant Avondale Stores Limited. The report recommended a second environmental site assessment to evaluate soil and groundwater conditions for volatile organic compounds and hydrocarbon contamination. After waiving all conditions including the environmental one on March 8, 2012, the respondent proceeded with the purchase of the properties which was completed on April 10, 2012. On May 9, 2012, a draft of the report regarding the second phase of the environmental assessment was provided to the respondent where the test results showed that petroleum hydrocarbons in certain soil and groundwater samples exceeded the Ministry of the Environment site conditions standards. On April 28, 2014, the respondent commenced an action for damages as a result of the contamination by petroleum hydrocarbons of soil and groundwater at the property located in Grimsby against the applicants.</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October 22, 2015</w:t>
            </w:r>
          </w:p>
          <w:p w:rsidR="00D72D79" w:rsidRPr="00293EE1" w:rsidRDefault="00D72D79" w:rsidP="00C92DD5">
            <w:pPr>
              <w:jc w:val="both"/>
              <w:rPr>
                <w:rFonts w:cs="Times New Roman"/>
                <w:sz w:val="20"/>
                <w:szCs w:val="20"/>
              </w:rPr>
            </w:pPr>
            <w:r w:rsidRPr="00293EE1">
              <w:rPr>
                <w:rFonts w:cs="Times New Roman"/>
                <w:sz w:val="20"/>
                <w:szCs w:val="20"/>
              </w:rPr>
              <w:t>Ontario Superior Court of Justice</w:t>
            </w:r>
          </w:p>
          <w:p w:rsidR="00D72D79" w:rsidRPr="00293EE1" w:rsidRDefault="00D72D79" w:rsidP="00C92DD5">
            <w:pPr>
              <w:jc w:val="both"/>
              <w:rPr>
                <w:rFonts w:cs="Times New Roman"/>
                <w:sz w:val="20"/>
                <w:szCs w:val="20"/>
              </w:rPr>
            </w:pPr>
            <w:r w:rsidRPr="00293EE1">
              <w:rPr>
                <w:rFonts w:cs="Times New Roman"/>
                <w:sz w:val="20"/>
                <w:szCs w:val="20"/>
              </w:rPr>
              <w:t>(Wright J.)</w:t>
            </w:r>
          </w:p>
          <w:p w:rsidR="00D72D79" w:rsidRPr="00293EE1" w:rsidRDefault="00B2512D" w:rsidP="00C92DD5">
            <w:pPr>
              <w:jc w:val="both"/>
              <w:rPr>
                <w:rFonts w:cs="Times New Roman"/>
                <w:sz w:val="20"/>
                <w:szCs w:val="20"/>
              </w:rPr>
            </w:pPr>
            <w:hyperlink r:id="rId41" w:history="1">
              <w:r w:rsidR="00D72D79" w:rsidRPr="00293EE1">
                <w:rPr>
                  <w:rStyle w:val="Hyperlink"/>
                  <w:rFonts w:cs="Times New Roman"/>
                  <w:sz w:val="20"/>
                  <w:szCs w:val="20"/>
                </w:rPr>
                <w:t>2015 ONSC 6560</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Summary judgment granted.</w:t>
            </w:r>
          </w:p>
          <w:p w:rsidR="00D72D79" w:rsidRPr="00293EE1" w:rsidRDefault="00D72D79" w:rsidP="00C92DD5">
            <w:pPr>
              <w:jc w:val="both"/>
              <w:rPr>
                <w:rFonts w:cs="Times New Roman"/>
                <w:sz w:val="20"/>
                <w:szCs w:val="20"/>
              </w:rPr>
            </w:pPr>
            <w:r w:rsidRPr="00293EE1">
              <w:rPr>
                <w:rFonts w:cs="Times New Roman"/>
                <w:sz w:val="20"/>
                <w:szCs w:val="20"/>
              </w:rPr>
              <w:t>Action dismissed.</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January 11, 2017</w:t>
            </w:r>
          </w:p>
          <w:p w:rsidR="00D72D79" w:rsidRPr="00293EE1" w:rsidRDefault="00D72D79" w:rsidP="00C92DD5">
            <w:pPr>
              <w:jc w:val="both"/>
              <w:rPr>
                <w:rFonts w:cs="Times New Roman"/>
                <w:sz w:val="20"/>
                <w:szCs w:val="20"/>
              </w:rPr>
            </w:pPr>
            <w:r w:rsidRPr="00293EE1">
              <w:rPr>
                <w:rFonts w:cs="Times New Roman"/>
                <w:sz w:val="20"/>
                <w:szCs w:val="20"/>
              </w:rPr>
              <w:t>Court of Appeal for Ontario</w:t>
            </w:r>
          </w:p>
          <w:p w:rsidR="00D72D79" w:rsidRPr="00293EE1" w:rsidRDefault="00D72D79" w:rsidP="00C92DD5">
            <w:pPr>
              <w:jc w:val="both"/>
              <w:rPr>
                <w:rFonts w:cs="Times New Roman"/>
                <w:sz w:val="20"/>
                <w:szCs w:val="20"/>
              </w:rPr>
            </w:pPr>
            <w:r w:rsidRPr="00293EE1">
              <w:rPr>
                <w:rFonts w:cs="Times New Roman"/>
                <w:sz w:val="20"/>
                <w:szCs w:val="20"/>
              </w:rPr>
              <w:t xml:space="preserve">(Rouleau, van </w:t>
            </w:r>
            <w:proofErr w:type="spellStart"/>
            <w:r w:rsidRPr="00293EE1">
              <w:rPr>
                <w:rFonts w:cs="Times New Roman"/>
                <w:sz w:val="20"/>
                <w:szCs w:val="20"/>
              </w:rPr>
              <w:t>Rensburg</w:t>
            </w:r>
            <w:proofErr w:type="spellEnd"/>
            <w:r w:rsidRPr="00293EE1">
              <w:rPr>
                <w:rFonts w:cs="Times New Roman"/>
                <w:sz w:val="20"/>
                <w:szCs w:val="20"/>
              </w:rPr>
              <w:t xml:space="preserve"> and Miller JJ. A.)</w:t>
            </w:r>
          </w:p>
          <w:p w:rsidR="00D72D79" w:rsidRPr="00293EE1" w:rsidRDefault="00B2512D" w:rsidP="00C92DD5">
            <w:pPr>
              <w:jc w:val="both"/>
              <w:rPr>
                <w:rFonts w:cs="Times New Roman"/>
                <w:sz w:val="20"/>
                <w:szCs w:val="20"/>
              </w:rPr>
            </w:pPr>
            <w:hyperlink r:id="rId42" w:history="1">
              <w:r w:rsidR="00D72D79" w:rsidRPr="00293EE1">
                <w:rPr>
                  <w:rStyle w:val="Hyperlink"/>
                  <w:rFonts w:cs="Times New Roman"/>
                  <w:sz w:val="20"/>
                  <w:szCs w:val="20"/>
                </w:rPr>
                <w:t>2017 ONCA 16</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Appeal allowed.</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March 10, 2017</w:t>
            </w:r>
          </w:p>
          <w:p w:rsidR="00D72D79" w:rsidRPr="00293EE1" w:rsidRDefault="00D72D79" w:rsidP="00C92DD5">
            <w:pPr>
              <w:jc w:val="both"/>
              <w:rPr>
                <w:rFonts w:cs="Times New Roman"/>
                <w:sz w:val="20"/>
                <w:szCs w:val="20"/>
              </w:rPr>
            </w:pPr>
            <w:r w:rsidRPr="00293EE1">
              <w:rPr>
                <w:rFonts w:cs="Times New Roman"/>
                <w:sz w:val="20"/>
                <w:szCs w:val="20"/>
              </w:rPr>
              <w:t>Supreme Court of Canada</w:t>
            </w: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Application for leave to appeal filed.</w:t>
            </w:r>
          </w:p>
          <w:p w:rsidR="00D72D79" w:rsidRPr="00293EE1" w:rsidRDefault="00D72D79" w:rsidP="00C92DD5">
            <w:pPr>
              <w:jc w:val="both"/>
              <w:rPr>
                <w:rFonts w:cs="Times New Roman"/>
                <w:sz w:val="20"/>
                <w:szCs w:val="20"/>
              </w:rPr>
            </w:pPr>
          </w:p>
        </w:tc>
      </w:tr>
    </w:tbl>
    <w:p w:rsidR="00D72D79" w:rsidRPr="00293EE1" w:rsidRDefault="00B2512D" w:rsidP="00D72D79">
      <w:pPr>
        <w:jc w:val="both"/>
        <w:rPr>
          <w:rFonts w:cs="Times New Roman"/>
          <w:sz w:val="20"/>
          <w:szCs w:val="20"/>
        </w:rPr>
      </w:pPr>
      <w:r>
        <w:rPr>
          <w:sz w:val="20"/>
          <w:szCs w:val="20"/>
        </w:rPr>
        <w:pict>
          <v:rect id="_x0000_i1057" style="width:2in;height:1pt" o:hrpct="0" o:hralign="center" o:hrstd="t" o:hrnoshade="t" o:hr="t" fillcolor="black [3213]" stroked="f"/>
        </w:pict>
      </w:r>
    </w:p>
    <w:p w:rsidR="00D72D79" w:rsidRPr="00293EE1" w:rsidRDefault="00D72D79" w:rsidP="00D72D79">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2D79" w:rsidRPr="00293EE1" w:rsidTr="00C92DD5">
        <w:tc>
          <w:tcPr>
            <w:tcW w:w="543" w:type="pct"/>
          </w:tcPr>
          <w:p w:rsidR="00D72D79" w:rsidRPr="00293EE1" w:rsidRDefault="00D72D79" w:rsidP="00C92DD5">
            <w:pPr>
              <w:jc w:val="both"/>
              <w:rPr>
                <w:rFonts w:cs="Times New Roman"/>
                <w:sz w:val="20"/>
                <w:szCs w:val="20"/>
                <w:lang w:val="fr-CA"/>
              </w:rPr>
            </w:pPr>
            <w:r w:rsidRPr="00293EE1">
              <w:rPr>
                <w:rStyle w:val="SCCFileNumberChar"/>
                <w:sz w:val="20"/>
                <w:szCs w:val="20"/>
                <w:lang w:val="fr-CA"/>
              </w:rPr>
              <w:t>37473</w:t>
            </w:r>
          </w:p>
        </w:tc>
        <w:tc>
          <w:tcPr>
            <w:tcW w:w="4457" w:type="pct"/>
          </w:tcPr>
          <w:p w:rsidR="00D72D79" w:rsidRPr="00293EE1" w:rsidRDefault="00D72D79" w:rsidP="00C92DD5">
            <w:pPr>
              <w:pStyle w:val="SCCLsocParty"/>
              <w:jc w:val="both"/>
              <w:rPr>
                <w:b/>
                <w:sz w:val="20"/>
                <w:szCs w:val="20"/>
              </w:rPr>
            </w:pPr>
            <w:proofErr w:type="spellStart"/>
            <w:r w:rsidRPr="00293EE1">
              <w:rPr>
                <w:b/>
                <w:sz w:val="20"/>
                <w:szCs w:val="20"/>
              </w:rPr>
              <w:t>Avondale</w:t>
            </w:r>
            <w:proofErr w:type="spellEnd"/>
            <w:r w:rsidRPr="00293EE1">
              <w:rPr>
                <w:b/>
                <w:sz w:val="20"/>
                <w:szCs w:val="20"/>
              </w:rPr>
              <w:t xml:space="preserve"> Stores Limited et </w:t>
            </w:r>
            <w:proofErr w:type="spellStart"/>
            <w:r w:rsidRPr="00293EE1">
              <w:rPr>
                <w:b/>
                <w:sz w:val="20"/>
                <w:szCs w:val="20"/>
              </w:rPr>
              <w:t>Dimtsis</w:t>
            </w:r>
            <w:proofErr w:type="spellEnd"/>
            <w:r w:rsidRPr="00293EE1">
              <w:rPr>
                <w:b/>
                <w:sz w:val="20"/>
                <w:szCs w:val="20"/>
              </w:rPr>
              <w:t xml:space="preserve"> </w:t>
            </w:r>
            <w:proofErr w:type="spellStart"/>
            <w:r w:rsidRPr="00293EE1">
              <w:rPr>
                <w:b/>
                <w:sz w:val="20"/>
                <w:szCs w:val="20"/>
              </w:rPr>
              <w:t>Dentistry</w:t>
            </w:r>
            <w:proofErr w:type="spellEnd"/>
            <w:r w:rsidRPr="00293EE1">
              <w:rPr>
                <w:b/>
                <w:sz w:val="20"/>
                <w:szCs w:val="20"/>
              </w:rPr>
              <w:t xml:space="preserve"> Professional Corporation c. </w:t>
            </w:r>
            <w:proofErr w:type="spellStart"/>
            <w:r w:rsidRPr="00293EE1">
              <w:rPr>
                <w:b/>
                <w:sz w:val="20"/>
                <w:szCs w:val="20"/>
              </w:rPr>
              <w:t>Crombie</w:t>
            </w:r>
            <w:proofErr w:type="spellEnd"/>
            <w:r w:rsidRPr="00293EE1">
              <w:rPr>
                <w:b/>
                <w:sz w:val="20"/>
                <w:szCs w:val="20"/>
              </w:rPr>
              <w:t xml:space="preserve"> </w:t>
            </w:r>
            <w:proofErr w:type="spellStart"/>
            <w:r w:rsidRPr="00293EE1">
              <w:rPr>
                <w:b/>
                <w:sz w:val="20"/>
                <w:szCs w:val="20"/>
              </w:rPr>
              <w:t>Property</w:t>
            </w:r>
            <w:proofErr w:type="spellEnd"/>
            <w:r w:rsidRPr="00293EE1">
              <w:rPr>
                <w:b/>
                <w:sz w:val="20"/>
                <w:szCs w:val="20"/>
              </w:rPr>
              <w:t xml:space="preserve"> Holdings Limited</w:t>
            </w:r>
          </w:p>
          <w:p w:rsidR="00D72D79" w:rsidRPr="00293EE1" w:rsidRDefault="00D72D79" w:rsidP="00C92DD5">
            <w:pPr>
              <w:jc w:val="both"/>
              <w:rPr>
                <w:rFonts w:cs="Times New Roman"/>
                <w:sz w:val="20"/>
                <w:szCs w:val="20"/>
                <w:lang w:val="fr-CA"/>
              </w:rPr>
            </w:pPr>
            <w:r w:rsidRPr="00293EE1">
              <w:rPr>
                <w:rFonts w:cs="Times New Roman"/>
                <w:sz w:val="20"/>
                <w:szCs w:val="20"/>
                <w:lang w:val="fr-CA"/>
              </w:rPr>
              <w:t>(Ont.) (Civile) (Sur autorisation)</w:t>
            </w:r>
          </w:p>
        </w:tc>
      </w:tr>
      <w:tr w:rsidR="00D72D79" w:rsidRPr="00B2512D" w:rsidTr="00C92DD5">
        <w:tc>
          <w:tcPr>
            <w:tcW w:w="543" w:type="pct"/>
          </w:tcPr>
          <w:p w:rsidR="00D72D79" w:rsidRPr="00293EE1" w:rsidRDefault="00D72D79" w:rsidP="00C92DD5">
            <w:pPr>
              <w:jc w:val="both"/>
              <w:rPr>
                <w:rStyle w:val="SCCFileNumberChar"/>
                <w:sz w:val="20"/>
                <w:szCs w:val="20"/>
                <w:lang w:val="fr-CA"/>
              </w:rPr>
            </w:pPr>
            <w:r w:rsidRPr="00293EE1">
              <w:rPr>
                <w:rStyle w:val="SCCFileNumberChar"/>
                <w:sz w:val="20"/>
                <w:szCs w:val="20"/>
                <w:lang w:val="fr-CA"/>
              </w:rPr>
              <w:t>Coram :</w:t>
            </w:r>
          </w:p>
        </w:tc>
        <w:tc>
          <w:tcPr>
            <w:tcW w:w="4457" w:type="pct"/>
          </w:tcPr>
          <w:p w:rsidR="00D72D79" w:rsidRPr="00293EE1" w:rsidRDefault="00655F00" w:rsidP="00C92DD5">
            <w:pPr>
              <w:pStyle w:val="SCCLsocParty"/>
              <w:jc w:val="both"/>
              <w:rPr>
                <w:sz w:val="20"/>
                <w:szCs w:val="20"/>
              </w:rPr>
            </w:pPr>
            <w:r w:rsidRPr="00293EE1">
              <w:rPr>
                <w:sz w:val="20"/>
                <w:szCs w:val="20"/>
                <w:lang w:val="fr-FR"/>
              </w:rPr>
              <w:t xml:space="preserve">La juge en chef </w:t>
            </w:r>
            <w:proofErr w:type="spellStart"/>
            <w:r w:rsidRPr="00293EE1">
              <w:rPr>
                <w:sz w:val="20"/>
                <w:szCs w:val="20"/>
                <w:lang w:val="fr-FR"/>
              </w:rPr>
              <w:t>McLachlin</w:t>
            </w:r>
            <w:proofErr w:type="spellEnd"/>
            <w:r w:rsidRPr="00293EE1">
              <w:rPr>
                <w:sz w:val="20"/>
                <w:szCs w:val="20"/>
                <w:lang w:val="fr-FR"/>
              </w:rPr>
              <w:t xml:space="preserve"> et les juges Abella, </w:t>
            </w:r>
            <w:proofErr w:type="spellStart"/>
            <w:r w:rsidRPr="00293EE1">
              <w:rPr>
                <w:sz w:val="20"/>
                <w:szCs w:val="20"/>
                <w:lang w:val="fr-FR"/>
              </w:rPr>
              <w:t>Moldaver</w:t>
            </w:r>
            <w:proofErr w:type="spellEnd"/>
            <w:r w:rsidRPr="00293EE1">
              <w:rPr>
                <w:sz w:val="20"/>
                <w:szCs w:val="20"/>
                <w:lang w:val="fr-FR"/>
              </w:rPr>
              <w:t xml:space="preserve">, </w:t>
            </w:r>
            <w:proofErr w:type="spellStart"/>
            <w:r w:rsidRPr="00293EE1">
              <w:rPr>
                <w:sz w:val="20"/>
                <w:szCs w:val="20"/>
                <w:lang w:val="fr-FR"/>
              </w:rPr>
              <w:t>Karakatsanis</w:t>
            </w:r>
            <w:proofErr w:type="spellEnd"/>
            <w:r w:rsidRPr="00293EE1">
              <w:rPr>
                <w:sz w:val="20"/>
                <w:szCs w:val="20"/>
                <w:lang w:val="fr-FR"/>
              </w:rPr>
              <w:t>, Wagner, Gascon, Côté, Brown et Rowe</w:t>
            </w:r>
          </w:p>
        </w:tc>
      </w:tr>
      <w:tr w:rsidR="00D72D79" w:rsidRPr="00B2512D" w:rsidTr="00D72D79">
        <w:tc>
          <w:tcPr>
            <w:tcW w:w="5000" w:type="pct"/>
            <w:gridSpan w:val="2"/>
          </w:tcPr>
          <w:p w:rsidR="00D72D79" w:rsidRPr="00293EE1" w:rsidRDefault="00655F00" w:rsidP="00C92DD5">
            <w:pPr>
              <w:pStyle w:val="SCCLsocParty"/>
              <w:jc w:val="both"/>
              <w:rPr>
                <w:sz w:val="20"/>
                <w:szCs w:val="20"/>
              </w:rPr>
            </w:pPr>
            <w:r w:rsidRPr="00293EE1">
              <w:rPr>
                <w:sz w:val="20"/>
                <w:szCs w:val="20"/>
              </w:rPr>
              <w:t xml:space="preserve">La demande d’autorisation d’appel de l’arrêt de la </w:t>
            </w:r>
            <w:r w:rsidRPr="00293EE1">
              <w:rPr>
                <w:sz w:val="20"/>
                <w:szCs w:val="20"/>
                <w:lang w:val="fr-FR"/>
              </w:rPr>
              <w:t>Cour d’appel de l’Ontario</w:t>
            </w:r>
            <w:r w:rsidRPr="00293EE1">
              <w:rPr>
                <w:sz w:val="20"/>
                <w:szCs w:val="20"/>
              </w:rPr>
              <w:t xml:space="preserve">, numéro </w:t>
            </w:r>
            <w:r w:rsidRPr="00293EE1">
              <w:rPr>
                <w:sz w:val="20"/>
                <w:szCs w:val="20"/>
                <w:lang w:val="fr-FR"/>
              </w:rPr>
              <w:t>C61311, 2017 ONCA 16</w:t>
            </w:r>
            <w:r w:rsidRPr="00293EE1">
              <w:rPr>
                <w:sz w:val="20"/>
                <w:szCs w:val="20"/>
              </w:rPr>
              <w:t xml:space="preserve">, daté du </w:t>
            </w:r>
            <w:r w:rsidRPr="00293EE1">
              <w:rPr>
                <w:sz w:val="20"/>
                <w:szCs w:val="20"/>
                <w:lang w:val="fr-FR"/>
              </w:rPr>
              <w:t>11 janvier 2017</w:t>
            </w:r>
            <w:r w:rsidRPr="00293EE1">
              <w:rPr>
                <w:sz w:val="20"/>
                <w:szCs w:val="20"/>
              </w:rPr>
              <w:t>, est rejetée avec dépens.</w:t>
            </w:r>
          </w:p>
          <w:p w:rsidR="00655F00" w:rsidRPr="00293EE1" w:rsidRDefault="00655F00" w:rsidP="00655F00">
            <w:pPr>
              <w:rPr>
                <w:lang w:val="fr-CA"/>
              </w:rPr>
            </w:pPr>
          </w:p>
        </w:tc>
      </w:tr>
    </w:tbl>
    <w:p w:rsidR="00016C13" w:rsidRPr="00293EE1" w:rsidRDefault="00016C13">
      <w:pPr>
        <w:rPr>
          <w:lang w:val="fr-CA"/>
        </w:rPr>
      </w:pPr>
      <w:r w:rsidRPr="00293EE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2D79" w:rsidRPr="00293EE1" w:rsidTr="00C92DD5">
        <w:tc>
          <w:tcPr>
            <w:tcW w:w="5000" w:type="pct"/>
            <w:gridSpan w:val="3"/>
          </w:tcPr>
          <w:p w:rsidR="00D72D79" w:rsidRPr="00293EE1" w:rsidRDefault="00D72D79" w:rsidP="00C92DD5">
            <w:pPr>
              <w:jc w:val="both"/>
              <w:rPr>
                <w:rFonts w:cs="Times New Roman"/>
                <w:sz w:val="20"/>
                <w:szCs w:val="20"/>
                <w:lang w:val="fr-CA"/>
              </w:rPr>
            </w:pPr>
            <w:r w:rsidRPr="00293EE1">
              <w:rPr>
                <w:rFonts w:cs="Times New Roman"/>
                <w:sz w:val="20"/>
                <w:szCs w:val="20"/>
                <w:lang w:val="fr-CA"/>
              </w:rPr>
              <w:lastRenderedPageBreak/>
              <w:t xml:space="preserve">Prescription ‒ Possibilité de découvrir le dommage ‒ Jugement sommaire ‒ Action en dommages-intérêts fondée sur la nuisance, la responsabilité stricte, l’atteinte directe, la violation de la loi et la négligence à la suite de la contamination du sol et de l’eau souterraine par des hydrocarbures pétroliers ‒ La connaissance d’une contamination constitue-t-elle « un préjudice » et marque-t-elle ainsi le point de départ du délai de prescription de réclamations en matière environnementale en application de l’arrêt </w:t>
            </w:r>
            <w:proofErr w:type="spellStart"/>
            <w:r w:rsidRPr="00293EE1">
              <w:rPr>
                <w:rFonts w:cs="Times New Roman"/>
                <w:i/>
                <w:sz w:val="20"/>
                <w:szCs w:val="20"/>
                <w:lang w:val="fr-CA"/>
              </w:rPr>
              <w:t>Peixeiro</w:t>
            </w:r>
            <w:proofErr w:type="spellEnd"/>
            <w:r w:rsidRPr="00293EE1">
              <w:rPr>
                <w:rFonts w:cs="Times New Roman"/>
                <w:i/>
                <w:sz w:val="20"/>
                <w:szCs w:val="20"/>
                <w:lang w:val="fr-CA"/>
              </w:rPr>
              <w:t xml:space="preserve"> c. </w:t>
            </w:r>
            <w:proofErr w:type="spellStart"/>
            <w:r w:rsidRPr="00293EE1">
              <w:rPr>
                <w:rFonts w:cs="Times New Roman"/>
                <w:i/>
                <w:sz w:val="20"/>
                <w:szCs w:val="20"/>
                <w:lang w:val="fr-CA"/>
              </w:rPr>
              <w:t>Haberman</w:t>
            </w:r>
            <w:proofErr w:type="spellEnd"/>
            <w:r w:rsidRPr="00293EE1">
              <w:rPr>
                <w:rFonts w:cs="Times New Roman"/>
                <w:sz w:val="20"/>
                <w:szCs w:val="20"/>
                <w:lang w:val="fr-CA"/>
              </w:rPr>
              <w:t xml:space="preserve">, [1997] 3 R.C.S. 549? ‒ Les acheteurs d’un immeuble peuvent-ils retarder le point de départ des délais de prescription de réclamations en matière environnementale en faisant fi d’une preuve de contamination,  notamment les odeurs? ‒ Les acheteurs avertis d’immeubles bénéficient-ils d’une norme de diligence raisonnable moins élevée pour découvrir des droits d’action en matière environnementale que celle dont bénéficie l’acheteur moyen d’immeubles? ‒ Est-il opportun que les juridictions d’appel substituent leur opinion aux conclusions de fait et aux inférences tirées par un juge de première instance en matière sommaire? ‒ </w:t>
            </w:r>
            <w:r w:rsidRPr="00293EE1">
              <w:rPr>
                <w:rFonts w:cs="Times New Roman"/>
                <w:i/>
                <w:sz w:val="20"/>
                <w:szCs w:val="20"/>
                <w:lang w:val="fr-CA"/>
              </w:rPr>
              <w:t>Règles de procédure civile</w:t>
            </w:r>
            <w:r w:rsidRPr="00293EE1">
              <w:rPr>
                <w:rFonts w:cs="Times New Roman"/>
                <w:sz w:val="20"/>
                <w:szCs w:val="20"/>
                <w:lang w:val="fr-CA"/>
              </w:rPr>
              <w:t xml:space="preserve">, R.R.O. 1990, </w:t>
            </w:r>
            <w:proofErr w:type="spellStart"/>
            <w:r w:rsidRPr="00293EE1">
              <w:rPr>
                <w:rFonts w:cs="Times New Roman"/>
                <w:sz w:val="20"/>
                <w:szCs w:val="20"/>
                <w:lang w:val="fr-CA"/>
              </w:rPr>
              <w:t>Règl</w:t>
            </w:r>
            <w:proofErr w:type="spellEnd"/>
            <w:r w:rsidRPr="00293EE1">
              <w:rPr>
                <w:rFonts w:cs="Times New Roman"/>
                <w:sz w:val="20"/>
                <w:szCs w:val="20"/>
                <w:lang w:val="fr-CA"/>
              </w:rPr>
              <w:t xml:space="preserve">. 194, règle 20 ‒ </w:t>
            </w:r>
            <w:r w:rsidRPr="00293EE1">
              <w:rPr>
                <w:rFonts w:cs="Times New Roman"/>
                <w:i/>
                <w:sz w:val="20"/>
                <w:szCs w:val="20"/>
                <w:lang w:val="fr-CA"/>
              </w:rPr>
              <w:t>Loi de 2002 sur la prescription des actions</w:t>
            </w:r>
            <w:r w:rsidRPr="00293EE1">
              <w:rPr>
                <w:rFonts w:cs="Times New Roman"/>
                <w:sz w:val="20"/>
                <w:szCs w:val="20"/>
                <w:lang w:val="fr-CA"/>
              </w:rPr>
              <w:t xml:space="preserve">, L.O. 2002, c. 24, </w:t>
            </w:r>
            <w:proofErr w:type="spellStart"/>
            <w:r w:rsidRPr="00293EE1">
              <w:rPr>
                <w:rFonts w:cs="Times New Roman"/>
                <w:sz w:val="20"/>
                <w:szCs w:val="20"/>
                <w:lang w:val="fr-CA"/>
              </w:rPr>
              <w:t>ann</w:t>
            </w:r>
            <w:proofErr w:type="spellEnd"/>
            <w:r w:rsidRPr="00293EE1">
              <w:rPr>
                <w:rFonts w:cs="Times New Roman"/>
                <w:sz w:val="20"/>
                <w:szCs w:val="20"/>
                <w:lang w:val="fr-CA"/>
              </w:rPr>
              <w:t>. B, article 5.</w:t>
            </w:r>
          </w:p>
        </w:tc>
      </w:tr>
      <w:tr w:rsidR="00D72D79" w:rsidRPr="00293EE1" w:rsidTr="00C92DD5">
        <w:tc>
          <w:tcPr>
            <w:tcW w:w="5000" w:type="pct"/>
            <w:gridSpan w:val="3"/>
          </w:tcPr>
          <w:p w:rsidR="00D72D79" w:rsidRPr="00293EE1" w:rsidRDefault="00D72D79" w:rsidP="00C92DD5">
            <w:pPr>
              <w:jc w:val="both"/>
              <w:rPr>
                <w:rFonts w:cs="Times New Roman"/>
                <w:sz w:val="20"/>
                <w:szCs w:val="20"/>
                <w:lang w:val="fr-CA"/>
              </w:rPr>
            </w:pPr>
          </w:p>
        </w:tc>
      </w:tr>
      <w:tr w:rsidR="00D72D79" w:rsidRPr="00B2512D" w:rsidTr="00C92DD5">
        <w:tc>
          <w:tcPr>
            <w:tcW w:w="5000" w:type="pct"/>
            <w:gridSpan w:val="3"/>
          </w:tcPr>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En 2012, l’intimée, </w:t>
            </w:r>
            <w:proofErr w:type="spellStart"/>
            <w:r w:rsidRPr="00293EE1">
              <w:rPr>
                <w:rFonts w:cs="Times New Roman"/>
                <w:sz w:val="20"/>
                <w:szCs w:val="20"/>
                <w:lang w:val="fr-CA"/>
              </w:rPr>
              <w:t>Crombie</w:t>
            </w:r>
            <w:proofErr w:type="spellEnd"/>
            <w:r w:rsidRPr="00293EE1">
              <w:rPr>
                <w:rFonts w:cs="Times New Roman"/>
                <w:sz w:val="20"/>
                <w:szCs w:val="20"/>
                <w:lang w:val="fr-CA"/>
              </w:rPr>
              <w:t xml:space="preserve"> </w:t>
            </w:r>
            <w:proofErr w:type="spellStart"/>
            <w:r w:rsidRPr="00293EE1">
              <w:rPr>
                <w:rFonts w:cs="Times New Roman"/>
                <w:sz w:val="20"/>
                <w:szCs w:val="20"/>
                <w:lang w:val="fr-CA"/>
              </w:rPr>
              <w:t>Property</w:t>
            </w:r>
            <w:proofErr w:type="spellEnd"/>
            <w:r w:rsidRPr="00293EE1">
              <w:rPr>
                <w:rFonts w:cs="Times New Roman"/>
                <w:sz w:val="20"/>
                <w:szCs w:val="20"/>
                <w:lang w:val="fr-CA"/>
              </w:rPr>
              <w:t xml:space="preserve"> Holding Limited, a offert d’acheter un centre commercial situé au 150, Main St. East, à Grimsby (Ontario). Dans le cadre d’une opération qui impliquait l’acquisition de 22 immeubles commerciaux, l’achat était soumis à diverses conditions, y compris une condition relative à la satisfaction de l’acheteur quant à l’état environnemental de l’immeuble. Avant de conclure l’achat, l’intimée a engagé un cabinet-conseil en environnement pour l’aider en rapport avec la diligence requise en matière d’environnement. Un rapport, que le cabinet a remis le 20 mars 2012, identifiait la contamination potentielle de l’immeuble par une station-service qui s’était jadis trouvée sur le terrain adjacent qui appartenait à la demanderesse </w:t>
            </w:r>
            <w:proofErr w:type="spellStart"/>
            <w:r w:rsidRPr="00293EE1">
              <w:rPr>
                <w:rFonts w:cs="Times New Roman"/>
                <w:sz w:val="20"/>
                <w:szCs w:val="20"/>
                <w:lang w:val="fr-CA"/>
              </w:rPr>
              <w:t>Dimtsis</w:t>
            </w:r>
            <w:proofErr w:type="spellEnd"/>
            <w:r w:rsidRPr="00293EE1">
              <w:rPr>
                <w:rFonts w:cs="Times New Roman"/>
                <w:sz w:val="20"/>
                <w:szCs w:val="20"/>
                <w:lang w:val="fr-CA"/>
              </w:rPr>
              <w:t xml:space="preserve"> </w:t>
            </w:r>
            <w:proofErr w:type="spellStart"/>
            <w:r w:rsidRPr="00293EE1">
              <w:rPr>
                <w:rFonts w:cs="Times New Roman"/>
                <w:sz w:val="20"/>
                <w:szCs w:val="20"/>
                <w:lang w:val="fr-CA"/>
              </w:rPr>
              <w:t>Dentistry</w:t>
            </w:r>
            <w:proofErr w:type="spellEnd"/>
            <w:r w:rsidRPr="00293EE1">
              <w:rPr>
                <w:rFonts w:cs="Times New Roman"/>
                <w:sz w:val="20"/>
                <w:szCs w:val="20"/>
                <w:lang w:val="fr-CA"/>
              </w:rPr>
              <w:t xml:space="preserve"> Professional Corporation et qui avait déjà appartenu à la demanderesse </w:t>
            </w:r>
            <w:proofErr w:type="spellStart"/>
            <w:r w:rsidRPr="00293EE1">
              <w:rPr>
                <w:rFonts w:cs="Times New Roman"/>
                <w:sz w:val="20"/>
                <w:szCs w:val="20"/>
                <w:lang w:val="fr-CA"/>
              </w:rPr>
              <w:t>Avondale</w:t>
            </w:r>
            <w:proofErr w:type="spellEnd"/>
            <w:r w:rsidRPr="00293EE1">
              <w:rPr>
                <w:rFonts w:cs="Times New Roman"/>
                <w:sz w:val="20"/>
                <w:szCs w:val="20"/>
                <w:lang w:val="fr-CA"/>
              </w:rPr>
              <w:t xml:space="preserve"> Stores Limited. Le rapport recommandait une deuxième évaluation environnementale du site pour évaluer les conditions du sol et de l’eau souterraine pour ce qui est de la contamination par des composés organiques volatils et des hydrocarbures. Après avoir renoncé à l’application de toutes les conditions, y compris celle en matière d’environnement, le 8 mars 2012, l’intimée a procédé à l’achat des immeubles, conclu le 10 avril 2012. Le 9 mai 2012, un projet de rapport portant sur la deuxième phase de l’évaluation environnementale a été fourni à l’intimée et les résultats des essais montraient que les hydrocarbures pétroliers dans certains échantillons de sol et d’eau souterraine dépassaient les normes du ministère de l’Environnement relativement aux conditions du site. Le 28 avril 2014, l’intimé a intenté contre les demanderesses une action en dommages-intérêts à la suite de la contamination du sol et de l’eau souterraine par des hydrocarbures pétroliers à l’emplacement de l’immeuble situé à Grimsby.</w:t>
            </w:r>
          </w:p>
          <w:p w:rsidR="00D72D79" w:rsidRPr="00293EE1" w:rsidRDefault="00D72D79" w:rsidP="00C92DD5">
            <w:pPr>
              <w:jc w:val="both"/>
              <w:rPr>
                <w:rFonts w:cs="Times New Roman"/>
                <w:sz w:val="20"/>
                <w:szCs w:val="20"/>
                <w:lang w:val="fr-CA"/>
              </w:rPr>
            </w:pPr>
          </w:p>
        </w:tc>
      </w:tr>
      <w:tr w:rsidR="00D72D79" w:rsidRPr="00B2512D" w:rsidTr="00C92DD5">
        <w:tc>
          <w:tcPr>
            <w:tcW w:w="2427"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22 octobre 2015</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supérieure de justice de l’Ontario</w:t>
            </w:r>
          </w:p>
          <w:p w:rsidR="00D72D79" w:rsidRPr="00293EE1" w:rsidRDefault="00D72D79" w:rsidP="00C92DD5">
            <w:pPr>
              <w:jc w:val="both"/>
              <w:rPr>
                <w:rFonts w:cs="Times New Roman"/>
                <w:sz w:val="20"/>
                <w:szCs w:val="20"/>
                <w:lang w:val="fr-CA"/>
              </w:rPr>
            </w:pPr>
            <w:r w:rsidRPr="00293EE1">
              <w:rPr>
                <w:rFonts w:cs="Times New Roman"/>
                <w:sz w:val="20"/>
                <w:szCs w:val="20"/>
                <w:lang w:val="fr-CA"/>
              </w:rPr>
              <w:t>(Juge Wright)</w:t>
            </w:r>
          </w:p>
          <w:p w:rsidR="00D72D79" w:rsidRPr="00293EE1" w:rsidRDefault="00B2512D" w:rsidP="00C92DD5">
            <w:pPr>
              <w:jc w:val="both"/>
              <w:rPr>
                <w:rFonts w:cs="Times New Roman"/>
                <w:sz w:val="20"/>
                <w:szCs w:val="20"/>
                <w:lang w:val="fr-CA"/>
              </w:rPr>
            </w:pPr>
            <w:hyperlink r:id="rId43" w:history="1">
              <w:r w:rsidR="00D72D79" w:rsidRPr="00293EE1">
                <w:rPr>
                  <w:rStyle w:val="Hyperlink"/>
                  <w:rFonts w:cs="Times New Roman"/>
                  <w:sz w:val="20"/>
                  <w:szCs w:val="20"/>
                  <w:lang w:val="fr-CA"/>
                </w:rPr>
                <w:t>2015 ONSC 6560</w:t>
              </w:r>
            </w:hyperlink>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Jugement sommaire. Rejet de l’action.</w:t>
            </w:r>
          </w:p>
          <w:p w:rsidR="00D72D79" w:rsidRPr="00293EE1" w:rsidRDefault="00D72D79" w:rsidP="00C92DD5">
            <w:pPr>
              <w:jc w:val="both"/>
              <w:rPr>
                <w:rFonts w:cs="Times New Roman"/>
                <w:sz w:val="20"/>
                <w:szCs w:val="20"/>
                <w:lang w:val="fr-CA"/>
              </w:rPr>
            </w:pPr>
          </w:p>
        </w:tc>
      </w:tr>
      <w:tr w:rsidR="00D72D79" w:rsidRPr="00293EE1" w:rsidTr="00C92DD5">
        <w:tc>
          <w:tcPr>
            <w:tcW w:w="2427"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11 janvier 2017</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d’appel de l’Ontario</w:t>
            </w: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(Juges Rouleau, van </w:t>
            </w:r>
            <w:proofErr w:type="spellStart"/>
            <w:r w:rsidRPr="00293EE1">
              <w:rPr>
                <w:rFonts w:cs="Times New Roman"/>
                <w:sz w:val="20"/>
                <w:szCs w:val="20"/>
                <w:lang w:val="fr-CA"/>
              </w:rPr>
              <w:t>Rensburg</w:t>
            </w:r>
            <w:proofErr w:type="spellEnd"/>
            <w:r w:rsidRPr="00293EE1">
              <w:rPr>
                <w:rFonts w:cs="Times New Roman"/>
                <w:sz w:val="20"/>
                <w:szCs w:val="20"/>
                <w:lang w:val="fr-CA"/>
              </w:rPr>
              <w:t xml:space="preserve"> et Miller)</w:t>
            </w:r>
          </w:p>
          <w:p w:rsidR="00D72D79" w:rsidRPr="00293EE1" w:rsidRDefault="00B2512D" w:rsidP="00C92DD5">
            <w:pPr>
              <w:jc w:val="both"/>
              <w:rPr>
                <w:rFonts w:cs="Times New Roman"/>
                <w:sz w:val="20"/>
                <w:szCs w:val="20"/>
                <w:lang w:val="fr-CA"/>
              </w:rPr>
            </w:pPr>
            <w:hyperlink r:id="rId44" w:history="1">
              <w:r w:rsidR="00D72D79" w:rsidRPr="00293EE1">
                <w:rPr>
                  <w:rStyle w:val="Hyperlink"/>
                  <w:rFonts w:cs="Times New Roman"/>
                  <w:sz w:val="20"/>
                  <w:szCs w:val="20"/>
                  <w:lang w:val="fr-CA"/>
                </w:rPr>
                <w:t>2017 ONCA 16</w:t>
              </w:r>
            </w:hyperlink>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Arrêt accueillant l’appel.</w:t>
            </w:r>
          </w:p>
          <w:p w:rsidR="00D72D79" w:rsidRPr="00293EE1" w:rsidRDefault="00D72D79" w:rsidP="00C92DD5">
            <w:pPr>
              <w:jc w:val="both"/>
              <w:rPr>
                <w:rFonts w:cs="Times New Roman"/>
                <w:sz w:val="20"/>
                <w:szCs w:val="20"/>
                <w:lang w:val="fr-CA"/>
              </w:rPr>
            </w:pPr>
          </w:p>
        </w:tc>
      </w:tr>
      <w:tr w:rsidR="00D72D79" w:rsidRPr="00B2512D" w:rsidTr="00C92DD5">
        <w:tc>
          <w:tcPr>
            <w:tcW w:w="2427"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10 mars 2017</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suprême du Canada</w:t>
            </w: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Dépôt de la demande d’autorisation d’appel.</w:t>
            </w:r>
          </w:p>
          <w:p w:rsidR="00D72D79" w:rsidRPr="00293EE1" w:rsidRDefault="00D72D79" w:rsidP="00C92DD5">
            <w:pPr>
              <w:jc w:val="both"/>
              <w:rPr>
                <w:rFonts w:cs="Times New Roman"/>
                <w:sz w:val="20"/>
                <w:szCs w:val="20"/>
                <w:lang w:val="fr-CA"/>
              </w:rPr>
            </w:pPr>
          </w:p>
        </w:tc>
      </w:tr>
    </w:tbl>
    <w:p w:rsidR="00D72D79" w:rsidRPr="00293EE1" w:rsidRDefault="00B2512D" w:rsidP="00D72D79">
      <w:pPr>
        <w:jc w:val="both"/>
        <w:rPr>
          <w:rFonts w:cs="Times New Roman"/>
          <w:sz w:val="20"/>
          <w:szCs w:val="20"/>
          <w:lang w:val="fr-CA"/>
        </w:rPr>
      </w:pPr>
      <w:r>
        <w:rPr>
          <w:sz w:val="20"/>
          <w:szCs w:val="20"/>
        </w:rPr>
        <w:pict>
          <v:rect id="_x0000_i1058" style="width:2in;height:1pt" o:hrpct="0" o:hralign="center" o:hrstd="t" o:hrnoshade="t" o:hr="t" fillcolor="black [3213]" stroked="f"/>
        </w:pict>
      </w:r>
    </w:p>
    <w:p w:rsidR="00016C13" w:rsidRPr="00293EE1" w:rsidRDefault="00016C13">
      <w:pPr>
        <w:rPr>
          <w:rFonts w:cs="Times New Roman"/>
          <w:sz w:val="20"/>
          <w:szCs w:val="20"/>
          <w:lang w:val="fr-CA" w:eastAsia="en-CA"/>
        </w:rPr>
      </w:pPr>
    </w:p>
    <w:p w:rsidR="00016C13" w:rsidRPr="00293EE1" w:rsidRDefault="00016C13">
      <w:pPr>
        <w:rPr>
          <w:rFonts w:cs="Times New Roman"/>
          <w:sz w:val="20"/>
          <w:szCs w:val="20"/>
          <w:lang w:val="fr-CA" w:eastAsia="en-CA"/>
        </w:rPr>
      </w:pPr>
      <w:r w:rsidRPr="00293EE1">
        <w:rPr>
          <w:rFonts w:cs="Times New Roman"/>
          <w:sz w:val="20"/>
          <w:szCs w:val="20"/>
          <w:lang w:val="fr-CA" w:eastAsia="en-CA"/>
        </w:rPr>
        <w:br w:type="page"/>
      </w:r>
    </w:p>
    <w:p w:rsidR="00D72D79" w:rsidRPr="00293EE1" w:rsidRDefault="00D72D79" w:rsidP="00D72D79">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2D79" w:rsidRPr="00293EE1" w:rsidTr="00C92DD5">
        <w:tc>
          <w:tcPr>
            <w:tcW w:w="543" w:type="pct"/>
          </w:tcPr>
          <w:p w:rsidR="00D72D79" w:rsidRPr="00293EE1" w:rsidRDefault="00D72D79" w:rsidP="00C92DD5">
            <w:pPr>
              <w:jc w:val="both"/>
              <w:rPr>
                <w:rFonts w:cs="Times New Roman"/>
                <w:sz w:val="20"/>
                <w:szCs w:val="20"/>
              </w:rPr>
            </w:pPr>
            <w:r w:rsidRPr="00293EE1">
              <w:rPr>
                <w:rStyle w:val="SCCFileNumberChar"/>
                <w:sz w:val="20"/>
                <w:szCs w:val="20"/>
              </w:rPr>
              <w:t>37393</w:t>
            </w:r>
          </w:p>
        </w:tc>
        <w:tc>
          <w:tcPr>
            <w:tcW w:w="4457" w:type="pct"/>
            <w:gridSpan w:val="3"/>
          </w:tcPr>
          <w:p w:rsidR="00D72D79" w:rsidRPr="00293EE1" w:rsidRDefault="00D72D79" w:rsidP="00C92DD5">
            <w:pPr>
              <w:pStyle w:val="SCCLsocParty"/>
              <w:jc w:val="both"/>
              <w:rPr>
                <w:b/>
                <w:sz w:val="20"/>
                <w:szCs w:val="20"/>
                <w:lang w:val="en-US"/>
              </w:rPr>
            </w:pPr>
            <w:r w:rsidRPr="00293EE1">
              <w:rPr>
                <w:b/>
                <w:sz w:val="20"/>
                <w:szCs w:val="20"/>
                <w:lang w:val="en-US"/>
              </w:rPr>
              <w:t xml:space="preserve">100193 P.E.I. Inc., 100259 P.E.I. Inc., 100412 P.E.I. Inc., Robert Arsenault, Joseph </w:t>
            </w:r>
            <w:proofErr w:type="spellStart"/>
            <w:r w:rsidRPr="00293EE1">
              <w:rPr>
                <w:b/>
                <w:sz w:val="20"/>
                <w:szCs w:val="20"/>
                <w:lang w:val="en-US"/>
              </w:rPr>
              <w:t>Aylward</w:t>
            </w:r>
            <w:proofErr w:type="spellEnd"/>
            <w:r w:rsidRPr="00293EE1">
              <w:rPr>
                <w:b/>
                <w:sz w:val="20"/>
                <w:szCs w:val="20"/>
                <w:lang w:val="en-US"/>
              </w:rPr>
              <w:t xml:space="preserve">, Wayne </w:t>
            </w:r>
            <w:proofErr w:type="spellStart"/>
            <w:r w:rsidRPr="00293EE1">
              <w:rPr>
                <w:b/>
                <w:sz w:val="20"/>
                <w:szCs w:val="20"/>
                <w:lang w:val="en-US"/>
              </w:rPr>
              <w:t>Aylward</w:t>
            </w:r>
            <w:proofErr w:type="spellEnd"/>
            <w:r w:rsidRPr="00293EE1">
              <w:rPr>
                <w:b/>
                <w:sz w:val="20"/>
                <w:szCs w:val="20"/>
                <w:lang w:val="en-US"/>
              </w:rPr>
              <w:t xml:space="preserve">, B &amp; F Fisheries Ltd., </w:t>
            </w:r>
            <w:proofErr w:type="spellStart"/>
            <w:r w:rsidRPr="00293EE1">
              <w:rPr>
                <w:b/>
                <w:sz w:val="20"/>
                <w:szCs w:val="20"/>
                <w:lang w:val="en-US"/>
              </w:rPr>
              <w:t>Bergayle</w:t>
            </w:r>
            <w:proofErr w:type="spellEnd"/>
            <w:r w:rsidRPr="00293EE1">
              <w:rPr>
                <w:b/>
                <w:sz w:val="20"/>
                <w:szCs w:val="20"/>
                <w:lang w:val="en-US"/>
              </w:rPr>
              <w:t xml:space="preserve"> Fisheries Ltd., James </w:t>
            </w:r>
            <w:proofErr w:type="spellStart"/>
            <w:r w:rsidRPr="00293EE1">
              <w:rPr>
                <w:b/>
                <w:sz w:val="20"/>
                <w:szCs w:val="20"/>
                <w:lang w:val="en-US"/>
              </w:rPr>
              <w:t>Buote</w:t>
            </w:r>
            <w:proofErr w:type="spellEnd"/>
            <w:r w:rsidRPr="00293EE1">
              <w:rPr>
                <w:b/>
                <w:sz w:val="20"/>
                <w:szCs w:val="20"/>
                <w:lang w:val="en-US"/>
              </w:rPr>
              <w:t xml:space="preserve">, Bullwinkle Fisheries Ltd., C.D. Hutt Enterprises Ltd., Cody-Ray Enterprises Ltd., </w:t>
            </w:r>
            <w:proofErr w:type="spellStart"/>
            <w:r w:rsidRPr="00293EE1">
              <w:rPr>
                <w:b/>
                <w:sz w:val="20"/>
                <w:szCs w:val="20"/>
                <w:lang w:val="en-US"/>
              </w:rPr>
              <w:t>Dallan</w:t>
            </w:r>
            <w:proofErr w:type="spellEnd"/>
            <w:r w:rsidRPr="00293EE1">
              <w:rPr>
                <w:b/>
                <w:sz w:val="20"/>
                <w:szCs w:val="20"/>
                <w:lang w:val="en-US"/>
              </w:rPr>
              <w:t xml:space="preserve"> J. Ltd., Richard Blanchard, Executor of the estate of Michael </w:t>
            </w:r>
            <w:proofErr w:type="spellStart"/>
            <w:r w:rsidRPr="00293EE1">
              <w:rPr>
                <w:b/>
                <w:sz w:val="20"/>
                <w:szCs w:val="20"/>
                <w:lang w:val="en-US"/>
              </w:rPr>
              <w:t>Deagle</w:t>
            </w:r>
            <w:proofErr w:type="spellEnd"/>
            <w:r w:rsidRPr="00293EE1">
              <w:rPr>
                <w:b/>
                <w:sz w:val="20"/>
                <w:szCs w:val="20"/>
                <w:lang w:val="en-US"/>
              </w:rPr>
              <w:t xml:space="preserve">, Pamela </w:t>
            </w:r>
            <w:proofErr w:type="spellStart"/>
            <w:r w:rsidRPr="00293EE1">
              <w:rPr>
                <w:b/>
                <w:sz w:val="20"/>
                <w:szCs w:val="20"/>
                <w:lang w:val="en-US"/>
              </w:rPr>
              <w:t>Deagle</w:t>
            </w:r>
            <w:proofErr w:type="spellEnd"/>
            <w:r w:rsidRPr="00293EE1">
              <w:rPr>
                <w:b/>
                <w:sz w:val="20"/>
                <w:szCs w:val="20"/>
                <w:lang w:val="en-US"/>
              </w:rPr>
              <w:t xml:space="preserve">, </w:t>
            </w:r>
            <w:proofErr w:type="spellStart"/>
            <w:r w:rsidRPr="00293EE1">
              <w:rPr>
                <w:b/>
                <w:sz w:val="20"/>
                <w:szCs w:val="20"/>
                <w:lang w:val="en-US"/>
              </w:rPr>
              <w:t>Bermard</w:t>
            </w:r>
            <w:proofErr w:type="spellEnd"/>
            <w:r w:rsidRPr="00293EE1">
              <w:rPr>
                <w:b/>
                <w:sz w:val="20"/>
                <w:szCs w:val="20"/>
                <w:lang w:val="en-US"/>
              </w:rPr>
              <w:t xml:space="preserve"> Dixon, Clifford Doucette, Fishing 2000 Inc., Kenneth Fraser, Free Spirit Inc., Terrance Gallant, Bonnie </w:t>
            </w:r>
            <w:proofErr w:type="spellStart"/>
            <w:r w:rsidRPr="00293EE1">
              <w:rPr>
                <w:b/>
                <w:sz w:val="20"/>
                <w:szCs w:val="20"/>
                <w:lang w:val="en-US"/>
              </w:rPr>
              <w:t>Gaudet</w:t>
            </w:r>
            <w:proofErr w:type="spellEnd"/>
            <w:r w:rsidRPr="00293EE1">
              <w:rPr>
                <w:b/>
                <w:sz w:val="20"/>
                <w:szCs w:val="20"/>
                <w:lang w:val="en-US"/>
              </w:rPr>
              <w:t xml:space="preserve">, Devin </w:t>
            </w:r>
            <w:proofErr w:type="spellStart"/>
            <w:r w:rsidRPr="00293EE1">
              <w:rPr>
                <w:b/>
                <w:sz w:val="20"/>
                <w:szCs w:val="20"/>
                <w:lang w:val="en-US"/>
              </w:rPr>
              <w:t>Gaudet</w:t>
            </w:r>
            <w:proofErr w:type="spellEnd"/>
            <w:r w:rsidRPr="00293EE1">
              <w:rPr>
                <w:b/>
                <w:sz w:val="20"/>
                <w:szCs w:val="20"/>
                <w:lang w:val="en-US"/>
              </w:rPr>
              <w:t xml:space="preserve">, Norman </w:t>
            </w:r>
            <w:proofErr w:type="spellStart"/>
            <w:r w:rsidRPr="00293EE1">
              <w:rPr>
                <w:b/>
                <w:sz w:val="20"/>
                <w:szCs w:val="20"/>
                <w:lang w:val="en-US"/>
              </w:rPr>
              <w:t>Gaudet</w:t>
            </w:r>
            <w:proofErr w:type="spellEnd"/>
            <w:r w:rsidRPr="00293EE1">
              <w:rPr>
                <w:b/>
                <w:sz w:val="20"/>
                <w:szCs w:val="20"/>
                <w:lang w:val="en-US"/>
              </w:rPr>
              <w:t xml:space="preserve">, Peter </w:t>
            </w:r>
            <w:proofErr w:type="spellStart"/>
            <w:r w:rsidRPr="00293EE1">
              <w:rPr>
                <w:b/>
                <w:sz w:val="20"/>
                <w:szCs w:val="20"/>
                <w:lang w:val="en-US"/>
              </w:rPr>
              <w:t>Gaudet</w:t>
            </w:r>
            <w:proofErr w:type="spellEnd"/>
            <w:r w:rsidRPr="00293EE1">
              <w:rPr>
                <w:b/>
                <w:sz w:val="20"/>
                <w:szCs w:val="20"/>
                <w:lang w:val="en-US"/>
              </w:rPr>
              <w:t xml:space="preserve">, Rodney </w:t>
            </w:r>
            <w:proofErr w:type="spellStart"/>
            <w:r w:rsidRPr="00293EE1">
              <w:rPr>
                <w:b/>
                <w:sz w:val="20"/>
                <w:szCs w:val="20"/>
                <w:lang w:val="en-US"/>
              </w:rPr>
              <w:t>Gaudet</w:t>
            </w:r>
            <w:proofErr w:type="spellEnd"/>
            <w:r w:rsidRPr="00293EE1">
              <w:rPr>
                <w:b/>
                <w:sz w:val="20"/>
                <w:szCs w:val="20"/>
                <w:lang w:val="en-US"/>
              </w:rPr>
              <w:t xml:space="preserve">, Taylor </w:t>
            </w:r>
            <w:proofErr w:type="spellStart"/>
            <w:r w:rsidRPr="00293EE1">
              <w:rPr>
                <w:b/>
                <w:sz w:val="20"/>
                <w:szCs w:val="20"/>
                <w:lang w:val="en-US"/>
              </w:rPr>
              <w:t>Gaudet</w:t>
            </w:r>
            <w:proofErr w:type="spellEnd"/>
            <w:r w:rsidRPr="00293EE1">
              <w:rPr>
                <w:b/>
                <w:sz w:val="20"/>
                <w:szCs w:val="20"/>
                <w:lang w:val="en-US"/>
              </w:rPr>
              <w:t xml:space="preserve">, </w:t>
            </w:r>
            <w:proofErr w:type="spellStart"/>
            <w:r w:rsidRPr="00293EE1">
              <w:rPr>
                <w:b/>
                <w:sz w:val="20"/>
                <w:szCs w:val="20"/>
                <w:lang w:val="en-US"/>
              </w:rPr>
              <w:t>Gavco</w:t>
            </w:r>
            <w:proofErr w:type="spellEnd"/>
            <w:r w:rsidRPr="00293EE1">
              <w:rPr>
                <w:b/>
                <w:sz w:val="20"/>
                <w:szCs w:val="20"/>
                <w:lang w:val="en-US"/>
              </w:rPr>
              <w:t xml:space="preserve"> Fishing Enterprises Ltd., Casey Gavin, Jamie Gavin, Leigh Gavin, Sidney Gavin, Gray Lady Enterprises Ltd., Donald Harper, Harper</w:t>
            </w:r>
            <w:r w:rsidR="00864CB5" w:rsidRPr="00293EE1">
              <w:rPr>
                <w:b/>
                <w:sz w:val="20"/>
                <w:szCs w:val="20"/>
                <w:lang w:val="en-US"/>
              </w:rPr>
              <w:t>’</w:t>
            </w:r>
            <w:r w:rsidRPr="00293EE1">
              <w:rPr>
                <w:b/>
                <w:sz w:val="20"/>
                <w:szCs w:val="20"/>
                <w:lang w:val="en-US"/>
              </w:rPr>
              <w:t xml:space="preserve">s Fish Holdings Ltd., Jamie Hustler, Carter Hutt, </w:t>
            </w:r>
            <w:proofErr w:type="spellStart"/>
            <w:r w:rsidRPr="00293EE1">
              <w:rPr>
                <w:b/>
                <w:sz w:val="20"/>
                <w:szCs w:val="20"/>
                <w:lang w:val="en-US"/>
              </w:rPr>
              <w:t>Kista</w:t>
            </w:r>
            <w:proofErr w:type="spellEnd"/>
            <w:r w:rsidRPr="00293EE1">
              <w:rPr>
                <w:b/>
                <w:sz w:val="20"/>
                <w:szCs w:val="20"/>
                <w:lang w:val="en-US"/>
              </w:rPr>
              <w:t xml:space="preserve"> B Fishing Co. Ltd., Launching Fisheries Inc., Terry Llewellyn, Ivan MacDonald, Lance MacDonald, Wayne </w:t>
            </w:r>
            <w:proofErr w:type="spellStart"/>
            <w:r w:rsidRPr="00293EE1">
              <w:rPr>
                <w:b/>
                <w:sz w:val="20"/>
                <w:szCs w:val="20"/>
                <w:lang w:val="en-US"/>
              </w:rPr>
              <w:t>MacIntyre</w:t>
            </w:r>
            <w:proofErr w:type="spellEnd"/>
            <w:r w:rsidRPr="00293EE1">
              <w:rPr>
                <w:b/>
                <w:sz w:val="20"/>
                <w:szCs w:val="20"/>
                <w:lang w:val="en-US"/>
              </w:rPr>
              <w:t xml:space="preserve">, David </w:t>
            </w:r>
            <w:proofErr w:type="spellStart"/>
            <w:r w:rsidRPr="00293EE1">
              <w:rPr>
                <w:b/>
                <w:sz w:val="20"/>
                <w:szCs w:val="20"/>
                <w:lang w:val="en-US"/>
              </w:rPr>
              <w:t>McIsaac</w:t>
            </w:r>
            <w:proofErr w:type="spellEnd"/>
            <w:r w:rsidRPr="00293EE1">
              <w:rPr>
                <w:b/>
                <w:sz w:val="20"/>
                <w:szCs w:val="20"/>
                <w:lang w:val="en-US"/>
              </w:rPr>
              <w:t>, Gordon L. MacLeod, Donald Mayhew, Mega Fish Co. Ltd., Austin O</w:t>
            </w:r>
            <w:r w:rsidR="00864CB5" w:rsidRPr="00293EE1">
              <w:rPr>
                <w:b/>
                <w:sz w:val="20"/>
                <w:szCs w:val="20"/>
                <w:lang w:val="en-US"/>
              </w:rPr>
              <w:t>’</w:t>
            </w:r>
            <w:r w:rsidRPr="00293EE1">
              <w:rPr>
                <w:b/>
                <w:sz w:val="20"/>
                <w:szCs w:val="20"/>
                <w:lang w:val="en-US"/>
              </w:rPr>
              <w:t xml:space="preserve">Meara, Pamela Richards and Tracey </w:t>
            </w:r>
            <w:proofErr w:type="spellStart"/>
            <w:r w:rsidRPr="00293EE1">
              <w:rPr>
                <w:b/>
                <w:sz w:val="20"/>
                <w:szCs w:val="20"/>
                <w:lang w:val="en-US"/>
              </w:rPr>
              <w:t>Gaudet</w:t>
            </w:r>
            <w:proofErr w:type="spellEnd"/>
            <w:r w:rsidRPr="00293EE1">
              <w:rPr>
                <w:b/>
                <w:sz w:val="20"/>
                <w:szCs w:val="20"/>
                <w:lang w:val="en-US"/>
              </w:rPr>
              <w:t xml:space="preserve">, Administrators of the estate of Patrick Rochford, Twin Connections Inc., W.F.M. Inc., </w:t>
            </w:r>
            <w:proofErr w:type="spellStart"/>
            <w:r w:rsidRPr="00293EE1">
              <w:rPr>
                <w:b/>
                <w:sz w:val="20"/>
                <w:szCs w:val="20"/>
                <w:lang w:val="en-US"/>
              </w:rPr>
              <w:t>Waterwalker</w:t>
            </w:r>
            <w:proofErr w:type="spellEnd"/>
            <w:r w:rsidRPr="00293EE1">
              <w:rPr>
                <w:b/>
                <w:sz w:val="20"/>
                <w:szCs w:val="20"/>
                <w:lang w:val="en-US"/>
              </w:rPr>
              <w:t xml:space="preserve"> Fishing Co. Ltd. and Boyd </w:t>
            </w:r>
            <w:proofErr w:type="spellStart"/>
            <w:r w:rsidRPr="00293EE1">
              <w:rPr>
                <w:b/>
                <w:sz w:val="20"/>
                <w:szCs w:val="20"/>
                <w:lang w:val="en-US"/>
              </w:rPr>
              <w:t>Vuozzo</w:t>
            </w:r>
            <w:proofErr w:type="spellEnd"/>
            <w:r w:rsidRPr="00293EE1">
              <w:rPr>
                <w:b/>
                <w:sz w:val="20"/>
                <w:szCs w:val="20"/>
                <w:lang w:val="en-US"/>
              </w:rPr>
              <w:t xml:space="preserve"> v. Her Majesty the Queen</w:t>
            </w:r>
          </w:p>
          <w:p w:rsidR="00D72D79" w:rsidRPr="00293EE1" w:rsidRDefault="00D72D79" w:rsidP="00C92DD5">
            <w:pPr>
              <w:jc w:val="both"/>
              <w:rPr>
                <w:rFonts w:cs="Times New Roman"/>
                <w:sz w:val="20"/>
                <w:szCs w:val="20"/>
              </w:rPr>
            </w:pPr>
            <w:r w:rsidRPr="00293EE1">
              <w:rPr>
                <w:rFonts w:cs="Times New Roman"/>
                <w:sz w:val="20"/>
                <w:szCs w:val="20"/>
              </w:rPr>
              <w:t>(F.C.) (Civil) (By Leave)</w:t>
            </w:r>
          </w:p>
        </w:tc>
      </w:tr>
      <w:tr w:rsidR="00D72D79" w:rsidRPr="00293EE1" w:rsidTr="00C92DD5">
        <w:tc>
          <w:tcPr>
            <w:tcW w:w="543" w:type="pct"/>
          </w:tcPr>
          <w:p w:rsidR="00D72D79" w:rsidRPr="00293EE1" w:rsidRDefault="00D72D79" w:rsidP="00C92DD5">
            <w:pPr>
              <w:jc w:val="both"/>
              <w:rPr>
                <w:rStyle w:val="SCCFileNumberChar"/>
                <w:sz w:val="20"/>
                <w:szCs w:val="20"/>
              </w:rPr>
            </w:pPr>
            <w:r w:rsidRPr="00293EE1">
              <w:rPr>
                <w:rStyle w:val="SCCFileNumberChar"/>
                <w:sz w:val="20"/>
                <w:szCs w:val="20"/>
              </w:rPr>
              <w:t>Coram:</w:t>
            </w:r>
          </w:p>
        </w:tc>
        <w:tc>
          <w:tcPr>
            <w:tcW w:w="4457" w:type="pct"/>
            <w:gridSpan w:val="3"/>
          </w:tcPr>
          <w:p w:rsidR="00D72D79" w:rsidRPr="00293EE1" w:rsidRDefault="00AF29C8" w:rsidP="00C92DD5">
            <w:pPr>
              <w:pStyle w:val="SCCLsocParty"/>
              <w:jc w:val="both"/>
              <w:rPr>
                <w:sz w:val="20"/>
                <w:szCs w:val="20"/>
                <w:lang w:val="en-US"/>
              </w:rPr>
            </w:pPr>
            <w:proofErr w:type="spellStart"/>
            <w:r w:rsidRPr="00293EE1">
              <w:rPr>
                <w:sz w:val="20"/>
                <w:szCs w:val="20"/>
                <w:lang w:val="en-US"/>
              </w:rPr>
              <w:t>McLachlin</w:t>
            </w:r>
            <w:proofErr w:type="spellEnd"/>
            <w:r w:rsidRPr="00293EE1">
              <w:rPr>
                <w:sz w:val="20"/>
                <w:szCs w:val="20"/>
                <w:lang w:val="en-US"/>
              </w:rPr>
              <w:t xml:space="preserve"> C.J. and </w:t>
            </w:r>
            <w:proofErr w:type="spellStart"/>
            <w:r w:rsidRPr="00293EE1">
              <w:rPr>
                <w:sz w:val="20"/>
                <w:szCs w:val="20"/>
                <w:lang w:val="en-US"/>
              </w:rPr>
              <w:t>Abella</w:t>
            </w:r>
            <w:proofErr w:type="spellEnd"/>
            <w:r w:rsidRPr="00293EE1">
              <w:rPr>
                <w:sz w:val="20"/>
                <w:szCs w:val="20"/>
                <w:lang w:val="en-US"/>
              </w:rPr>
              <w:t xml:space="preserve">, </w:t>
            </w:r>
            <w:proofErr w:type="spellStart"/>
            <w:r w:rsidRPr="00293EE1">
              <w:rPr>
                <w:sz w:val="20"/>
                <w:szCs w:val="20"/>
                <w:lang w:val="en-US"/>
              </w:rPr>
              <w:t>Moldaver</w:t>
            </w:r>
            <w:proofErr w:type="spellEnd"/>
            <w:r w:rsidRPr="00293EE1">
              <w:rPr>
                <w:sz w:val="20"/>
                <w:szCs w:val="20"/>
                <w:lang w:val="en-US"/>
              </w:rPr>
              <w:t xml:space="preserve">, </w:t>
            </w:r>
            <w:proofErr w:type="spellStart"/>
            <w:r w:rsidRPr="00293EE1">
              <w:rPr>
                <w:sz w:val="20"/>
                <w:szCs w:val="20"/>
                <w:lang w:val="en-US"/>
              </w:rPr>
              <w:t>Karakatsanis</w:t>
            </w:r>
            <w:proofErr w:type="spellEnd"/>
            <w:r w:rsidRPr="00293EE1">
              <w:rPr>
                <w:sz w:val="20"/>
                <w:szCs w:val="20"/>
                <w:lang w:val="en-US"/>
              </w:rPr>
              <w:t xml:space="preserve">, Wagner, </w:t>
            </w:r>
            <w:proofErr w:type="spellStart"/>
            <w:r w:rsidRPr="00293EE1">
              <w:rPr>
                <w:sz w:val="20"/>
                <w:szCs w:val="20"/>
                <w:lang w:val="en-US"/>
              </w:rPr>
              <w:t>Gascon</w:t>
            </w:r>
            <w:proofErr w:type="spellEnd"/>
            <w:r w:rsidRPr="00293EE1">
              <w:rPr>
                <w:sz w:val="20"/>
                <w:szCs w:val="20"/>
                <w:lang w:val="en-US"/>
              </w:rPr>
              <w:t xml:space="preserve">, </w:t>
            </w:r>
            <w:proofErr w:type="spellStart"/>
            <w:r w:rsidRPr="00293EE1">
              <w:rPr>
                <w:sz w:val="20"/>
                <w:szCs w:val="20"/>
                <w:lang w:val="en-US"/>
              </w:rPr>
              <w:t>Côté</w:t>
            </w:r>
            <w:proofErr w:type="spellEnd"/>
            <w:r w:rsidRPr="00293EE1">
              <w:rPr>
                <w:sz w:val="20"/>
                <w:szCs w:val="20"/>
                <w:lang w:val="en-US"/>
              </w:rPr>
              <w:t>, Brown and Rowe JJ.</w:t>
            </w:r>
          </w:p>
        </w:tc>
      </w:tr>
      <w:tr w:rsidR="00D72D79" w:rsidRPr="00293EE1" w:rsidTr="00D72D79">
        <w:tc>
          <w:tcPr>
            <w:tcW w:w="5000" w:type="pct"/>
            <w:gridSpan w:val="4"/>
          </w:tcPr>
          <w:p w:rsidR="00D72D79" w:rsidRPr="00293EE1" w:rsidRDefault="00AF29C8" w:rsidP="00C92DD5">
            <w:pPr>
              <w:pStyle w:val="SCCLsocParty"/>
              <w:jc w:val="both"/>
              <w:rPr>
                <w:sz w:val="20"/>
                <w:szCs w:val="20"/>
                <w:lang w:val="en-US"/>
              </w:rPr>
            </w:pPr>
            <w:r w:rsidRPr="00293EE1">
              <w:rPr>
                <w:sz w:val="20"/>
                <w:szCs w:val="20"/>
                <w:lang w:val="en-US"/>
              </w:rPr>
              <w:t>The application for leave to appeal from the judgment of the Federal Court of Appeal, Number A-352-15, 2016 FCA 280, dated November 14, 2016, is dismissed with costs.</w:t>
            </w:r>
          </w:p>
          <w:p w:rsidR="00AF29C8" w:rsidRPr="00293EE1" w:rsidRDefault="00AF29C8" w:rsidP="00AF29C8">
            <w:pPr>
              <w:rPr>
                <w:lang w:val="en-US"/>
              </w:rPr>
            </w:pPr>
          </w:p>
        </w:tc>
      </w:tr>
      <w:tr w:rsidR="00D72D79" w:rsidRPr="00293EE1" w:rsidTr="00C92DD5">
        <w:trPr>
          <w:trHeight w:val="1755"/>
        </w:trPr>
        <w:tc>
          <w:tcPr>
            <w:tcW w:w="5000" w:type="pct"/>
            <w:gridSpan w:val="4"/>
          </w:tcPr>
          <w:p w:rsidR="00D72D79" w:rsidRPr="00293EE1" w:rsidRDefault="00D72D79" w:rsidP="00C92DD5">
            <w:pPr>
              <w:pStyle w:val="SCCBanSummary"/>
              <w:rPr>
                <w:smallCaps w:val="0"/>
                <w:sz w:val="20"/>
                <w:szCs w:val="20"/>
              </w:rPr>
            </w:pPr>
            <w:r w:rsidRPr="00293EE1">
              <w:rPr>
                <w:smallCaps w:val="0"/>
                <w:sz w:val="20"/>
                <w:szCs w:val="20"/>
              </w:rPr>
              <w:t>Judgments and orders – Summary judgments – Property – Commercial fishing licenses – Fishers claim damages against Crown for expropriation without compensation and unjust enrichment – Federal Court of Appeal granting summary judgment motion on all claims except claim in misfeasance in public office – Whether interest held by fishing license holder with an individual quota based on fixed percentage of total allowable catch constitutes a property interest – What is minimum threshold required for an interest to give rise to claim for compensation based on expropriation – Whether proprietary interest is necessary before deprivation and enrichment can give rise to claim for restitution for unjust enrichment.</w:t>
            </w:r>
          </w:p>
          <w:p w:rsidR="00D72D79" w:rsidRPr="00293EE1" w:rsidRDefault="00D72D79" w:rsidP="00C92DD5">
            <w:pPr>
              <w:rPr>
                <w:rFonts w:cs="Times New Roman"/>
                <w:sz w:val="20"/>
                <w:szCs w:val="20"/>
              </w:rPr>
            </w:pPr>
          </w:p>
        </w:tc>
      </w:tr>
      <w:tr w:rsidR="00D72D79" w:rsidRPr="00293EE1" w:rsidTr="00C92DD5">
        <w:tc>
          <w:tcPr>
            <w:tcW w:w="5000" w:type="pct"/>
            <w:gridSpan w:val="4"/>
          </w:tcPr>
          <w:p w:rsidR="00D72D79" w:rsidRPr="00293EE1" w:rsidRDefault="00D72D79" w:rsidP="00C92DD5">
            <w:pPr>
              <w:ind w:left="-120"/>
              <w:jc w:val="both"/>
              <w:rPr>
                <w:rFonts w:cs="Times New Roman"/>
                <w:sz w:val="20"/>
                <w:szCs w:val="20"/>
              </w:rPr>
            </w:pPr>
          </w:p>
          <w:p w:rsidR="00D72D79" w:rsidRPr="00293EE1" w:rsidRDefault="00D72D79" w:rsidP="00C92DD5">
            <w:pPr>
              <w:jc w:val="both"/>
              <w:rPr>
                <w:rFonts w:cs="Times New Roman"/>
                <w:sz w:val="20"/>
                <w:szCs w:val="20"/>
              </w:rPr>
            </w:pPr>
            <w:r w:rsidRPr="00293EE1">
              <w:rPr>
                <w:rFonts w:cs="Times New Roman"/>
                <w:sz w:val="20"/>
                <w:szCs w:val="20"/>
              </w:rPr>
              <w:t>The individual applicants are residents of Prince Edward Island. They have held licences to fish snow crab for all or part of the last 12 years. The corporate applicants are companies that operate or have operated fishing enterprises of some of the individual applicants.</w:t>
            </w:r>
          </w:p>
          <w:p w:rsidR="00D72D79" w:rsidRPr="00293EE1" w:rsidRDefault="00D72D79" w:rsidP="00C92DD5">
            <w:pPr>
              <w:ind w:left="-120"/>
              <w:jc w:val="both"/>
              <w:rPr>
                <w:rFonts w:cs="Times New Roman"/>
                <w:sz w:val="20"/>
                <w:szCs w:val="20"/>
              </w:rPr>
            </w:pPr>
          </w:p>
          <w:p w:rsidR="00D72D79" w:rsidRPr="00293EE1" w:rsidRDefault="00D72D79" w:rsidP="00C92DD5">
            <w:pPr>
              <w:jc w:val="both"/>
              <w:rPr>
                <w:rFonts w:cs="Times New Roman"/>
                <w:color w:val="000000"/>
                <w:sz w:val="20"/>
                <w:szCs w:val="20"/>
              </w:rPr>
            </w:pPr>
            <w:r w:rsidRPr="00293EE1">
              <w:rPr>
                <w:rFonts w:cs="Times New Roman"/>
                <w:sz w:val="20"/>
                <w:szCs w:val="20"/>
              </w:rPr>
              <w:t xml:space="preserve">The applicants sought </w:t>
            </w:r>
            <w:r w:rsidRPr="00293EE1">
              <w:rPr>
                <w:rFonts w:cs="Times New Roman"/>
                <w:color w:val="000000"/>
                <w:sz w:val="20"/>
                <w:szCs w:val="20"/>
              </w:rPr>
              <w:t xml:space="preserve">compensation for loss they say they suffered as a result of the Minister of Fisheries and Ocean’s conduct in managing the snow crab fishery since 2003 which resulted in the reduction of </w:t>
            </w:r>
            <w:r w:rsidRPr="00293EE1">
              <w:rPr>
                <w:rFonts w:cs="Times New Roman"/>
                <w:sz w:val="20"/>
                <w:szCs w:val="20"/>
              </w:rPr>
              <w:t>each licence holder’s share in total allowable catch</w:t>
            </w:r>
            <w:r w:rsidRPr="00293EE1">
              <w:rPr>
                <w:rFonts w:cs="Times New Roman"/>
                <w:color w:val="000000"/>
                <w:sz w:val="20"/>
                <w:szCs w:val="20"/>
              </w:rPr>
              <w:t xml:space="preserve">. In their action, the applicants claimed damages for breach of fiduciary duty, negligence, </w:t>
            </w:r>
            <w:proofErr w:type="gramStart"/>
            <w:r w:rsidRPr="00293EE1">
              <w:rPr>
                <w:rFonts w:cs="Times New Roman"/>
                <w:color w:val="000000"/>
                <w:sz w:val="20"/>
                <w:szCs w:val="20"/>
              </w:rPr>
              <w:t>expropriation</w:t>
            </w:r>
            <w:proofErr w:type="gramEnd"/>
            <w:r w:rsidRPr="00293EE1">
              <w:rPr>
                <w:rFonts w:cs="Times New Roman"/>
                <w:color w:val="000000"/>
                <w:sz w:val="20"/>
                <w:szCs w:val="20"/>
              </w:rPr>
              <w:t xml:space="preserve"> without compensation, breach of contract, unjust enrichment and misfeasance in public office.</w:t>
            </w:r>
          </w:p>
          <w:p w:rsidR="00D72D79" w:rsidRPr="00293EE1" w:rsidRDefault="00D72D79" w:rsidP="00C92DD5">
            <w:pPr>
              <w:jc w:val="both"/>
              <w:rPr>
                <w:rFonts w:cs="Times New Roman"/>
                <w:color w:val="000000"/>
                <w:sz w:val="20"/>
                <w:szCs w:val="20"/>
              </w:rPr>
            </w:pPr>
          </w:p>
          <w:p w:rsidR="00D72D79" w:rsidRPr="00293EE1" w:rsidRDefault="00D72D79" w:rsidP="00C92DD5">
            <w:pPr>
              <w:jc w:val="both"/>
              <w:rPr>
                <w:rFonts w:cs="Times New Roman"/>
                <w:b/>
                <w:sz w:val="20"/>
                <w:szCs w:val="20"/>
              </w:rPr>
            </w:pPr>
            <w:r w:rsidRPr="00293EE1">
              <w:rPr>
                <w:rFonts w:cs="Times New Roman"/>
                <w:sz w:val="20"/>
                <w:szCs w:val="20"/>
              </w:rPr>
              <w:t>The respondent, Crown moved for summary judgment. The Federal Court granted that motion in part. At the Federal Court of Appeal, the Crown submitted that the Federal Court should have granted summary judgment on all issues. The appeal was allowed in part. The claims founded on expropriation and unjust enrichment were dismissed. But the claim for misfeasance in public office was found to raise a genuine issue for trial.</w:t>
            </w:r>
          </w:p>
        </w:tc>
      </w:tr>
      <w:tr w:rsidR="00D72D79" w:rsidRPr="00293EE1" w:rsidTr="00C92DD5">
        <w:tc>
          <w:tcPr>
            <w:tcW w:w="5000" w:type="pct"/>
            <w:gridSpan w:val="4"/>
          </w:tcPr>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July 30, 2015</w:t>
            </w:r>
          </w:p>
          <w:p w:rsidR="00D72D79" w:rsidRPr="00293EE1" w:rsidRDefault="00D72D79" w:rsidP="00C92DD5">
            <w:pPr>
              <w:jc w:val="both"/>
              <w:rPr>
                <w:rFonts w:cs="Times New Roman"/>
                <w:sz w:val="20"/>
                <w:szCs w:val="20"/>
              </w:rPr>
            </w:pPr>
            <w:r w:rsidRPr="00293EE1">
              <w:rPr>
                <w:rFonts w:cs="Times New Roman"/>
                <w:sz w:val="20"/>
                <w:szCs w:val="20"/>
              </w:rPr>
              <w:t>Federal Court</w:t>
            </w:r>
          </w:p>
          <w:p w:rsidR="00D72D79" w:rsidRPr="00293EE1" w:rsidRDefault="00D72D79" w:rsidP="00C92DD5">
            <w:pPr>
              <w:jc w:val="both"/>
              <w:rPr>
                <w:rFonts w:cs="Times New Roman"/>
                <w:sz w:val="20"/>
                <w:szCs w:val="20"/>
              </w:rPr>
            </w:pPr>
            <w:r w:rsidRPr="00293EE1">
              <w:rPr>
                <w:rFonts w:cs="Times New Roman"/>
                <w:sz w:val="20"/>
                <w:szCs w:val="20"/>
              </w:rPr>
              <w:t>(Boswell J.)</w:t>
            </w:r>
          </w:p>
          <w:p w:rsidR="00D72D79" w:rsidRPr="00293EE1" w:rsidRDefault="00B2512D" w:rsidP="00C92DD5">
            <w:pPr>
              <w:jc w:val="both"/>
              <w:rPr>
                <w:rFonts w:cs="Times New Roman"/>
                <w:sz w:val="20"/>
                <w:szCs w:val="20"/>
              </w:rPr>
            </w:pPr>
            <w:hyperlink r:id="rId45" w:history="1">
              <w:r w:rsidR="00D72D79" w:rsidRPr="00293EE1">
                <w:rPr>
                  <w:rStyle w:val="Hyperlink"/>
                  <w:rFonts w:cs="Times New Roman"/>
                  <w:sz w:val="20"/>
                  <w:szCs w:val="20"/>
                </w:rPr>
                <w:t>2015 FC 932</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Crown’s motion for summary judgment granted in part.</w:t>
            </w: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November 14, 2016</w:t>
            </w:r>
          </w:p>
          <w:p w:rsidR="00D72D79" w:rsidRPr="00293EE1" w:rsidRDefault="00D72D79" w:rsidP="00C92DD5">
            <w:pPr>
              <w:jc w:val="both"/>
              <w:rPr>
                <w:rFonts w:cs="Times New Roman"/>
                <w:sz w:val="20"/>
                <w:szCs w:val="20"/>
              </w:rPr>
            </w:pPr>
            <w:r w:rsidRPr="00293EE1">
              <w:rPr>
                <w:rFonts w:cs="Times New Roman"/>
                <w:sz w:val="20"/>
                <w:szCs w:val="20"/>
              </w:rPr>
              <w:t>Federal Court of Appeal</w:t>
            </w:r>
          </w:p>
          <w:p w:rsidR="00D72D79" w:rsidRPr="00293EE1" w:rsidRDefault="00D72D79" w:rsidP="00C92DD5">
            <w:pPr>
              <w:jc w:val="both"/>
              <w:rPr>
                <w:rFonts w:cs="Times New Roman"/>
                <w:sz w:val="20"/>
                <w:szCs w:val="20"/>
              </w:rPr>
            </w:pPr>
            <w:r w:rsidRPr="00293EE1">
              <w:rPr>
                <w:rFonts w:cs="Times New Roman"/>
                <w:sz w:val="20"/>
                <w:szCs w:val="20"/>
              </w:rPr>
              <w:t xml:space="preserve">(Pelletier, </w:t>
            </w:r>
            <w:proofErr w:type="spellStart"/>
            <w:r w:rsidRPr="00293EE1">
              <w:rPr>
                <w:rFonts w:cs="Times New Roman"/>
                <w:sz w:val="20"/>
                <w:szCs w:val="20"/>
              </w:rPr>
              <w:t>Stratas</w:t>
            </w:r>
            <w:proofErr w:type="spellEnd"/>
            <w:r w:rsidRPr="00293EE1">
              <w:rPr>
                <w:rFonts w:cs="Times New Roman"/>
                <w:sz w:val="20"/>
                <w:szCs w:val="20"/>
              </w:rPr>
              <w:t xml:space="preserve"> and Webb JJ.A.)</w:t>
            </w:r>
          </w:p>
          <w:p w:rsidR="00D72D79" w:rsidRPr="00293EE1" w:rsidRDefault="00B2512D" w:rsidP="00C92DD5">
            <w:pPr>
              <w:jc w:val="both"/>
              <w:rPr>
                <w:rFonts w:cs="Times New Roman"/>
                <w:sz w:val="20"/>
                <w:szCs w:val="20"/>
              </w:rPr>
            </w:pPr>
            <w:hyperlink r:id="rId46" w:history="1">
              <w:r w:rsidR="00D72D79" w:rsidRPr="00293EE1">
                <w:rPr>
                  <w:rStyle w:val="Hyperlink"/>
                  <w:rFonts w:cs="Times New Roman"/>
                  <w:sz w:val="20"/>
                  <w:szCs w:val="20"/>
                </w:rPr>
                <w:t>2016 FCA 280</w:t>
              </w:r>
            </w:hyperlink>
          </w:p>
          <w:p w:rsidR="00D72D79" w:rsidRPr="00293EE1" w:rsidRDefault="00D72D79" w:rsidP="00C92DD5">
            <w:pPr>
              <w:jc w:val="both"/>
              <w:rPr>
                <w:rFonts w:cs="Times New Roman"/>
                <w:sz w:val="20"/>
                <w:szCs w:val="20"/>
              </w:rPr>
            </w:pPr>
            <w:r w:rsidRPr="00293EE1">
              <w:rPr>
                <w:rFonts w:cs="Times New Roman"/>
                <w:sz w:val="20"/>
                <w:szCs w:val="20"/>
              </w:rPr>
              <w:t>File No.: A-352-15</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lang w:eastAsia="en-CA"/>
              </w:rPr>
            </w:pPr>
            <w:r w:rsidRPr="00293EE1">
              <w:rPr>
                <w:rFonts w:cs="Times New Roman"/>
                <w:sz w:val="20"/>
                <w:szCs w:val="20"/>
                <w:lang w:eastAsia="en-CA"/>
              </w:rPr>
              <w:t xml:space="preserve">Appeal allowed and Federal Court order of July 30, 2015 set aside. Summary judgment motion granted for all claims except for the claim in misfeasance in public office. Cross-appeal dismissed. </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January 13, 2017</w:t>
            </w:r>
          </w:p>
          <w:p w:rsidR="00D72D79" w:rsidRPr="00293EE1" w:rsidRDefault="00D72D79" w:rsidP="00C92DD5">
            <w:pPr>
              <w:jc w:val="both"/>
              <w:rPr>
                <w:rFonts w:cs="Times New Roman"/>
                <w:sz w:val="20"/>
                <w:szCs w:val="20"/>
              </w:rPr>
            </w:pPr>
            <w:r w:rsidRPr="00293EE1">
              <w:rPr>
                <w:rFonts w:cs="Times New Roman"/>
                <w:sz w:val="20"/>
                <w:szCs w:val="20"/>
              </w:rPr>
              <w:t>Supreme Court of Canada</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Application for leave to appeal filed.</w:t>
            </w:r>
          </w:p>
          <w:p w:rsidR="00D72D79" w:rsidRPr="00293EE1" w:rsidRDefault="00D72D79" w:rsidP="00C92DD5">
            <w:pPr>
              <w:jc w:val="both"/>
              <w:rPr>
                <w:rFonts w:cs="Times New Roman"/>
                <w:sz w:val="20"/>
                <w:szCs w:val="20"/>
              </w:rPr>
            </w:pPr>
          </w:p>
        </w:tc>
      </w:tr>
    </w:tbl>
    <w:p w:rsidR="00D72D79" w:rsidRPr="00293EE1" w:rsidRDefault="00B2512D" w:rsidP="00D72D79">
      <w:pPr>
        <w:jc w:val="both"/>
        <w:rPr>
          <w:rFonts w:cs="Times New Roman"/>
          <w:sz w:val="20"/>
          <w:szCs w:val="20"/>
        </w:rPr>
      </w:pPr>
      <w:r>
        <w:rPr>
          <w:sz w:val="20"/>
          <w:szCs w:val="20"/>
        </w:rPr>
        <w:pict>
          <v:rect id="_x0000_i1059" style="width:2in;height:1pt" o:hrpct="0" o:hralign="center" o:hrstd="t" o:hrnoshade="t" o:hr="t" fillcolor="black [3213]" stroked="f"/>
        </w:pict>
      </w:r>
    </w:p>
    <w:p w:rsidR="00D72D79" w:rsidRPr="00293EE1" w:rsidRDefault="00D72D79" w:rsidP="00D72D79">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2D79" w:rsidRPr="00B2512D" w:rsidTr="00C92DD5">
        <w:tc>
          <w:tcPr>
            <w:tcW w:w="543" w:type="pct"/>
          </w:tcPr>
          <w:p w:rsidR="00D72D79" w:rsidRPr="00293EE1" w:rsidRDefault="00D72D79" w:rsidP="00C92DD5">
            <w:pPr>
              <w:jc w:val="both"/>
              <w:rPr>
                <w:rFonts w:cs="Times New Roman"/>
                <w:sz w:val="20"/>
                <w:szCs w:val="20"/>
                <w:lang w:val="fr-CA"/>
              </w:rPr>
            </w:pPr>
            <w:r w:rsidRPr="00293EE1">
              <w:rPr>
                <w:rStyle w:val="SCCFileNumberChar"/>
                <w:sz w:val="20"/>
                <w:szCs w:val="20"/>
                <w:lang w:val="fr-CA"/>
              </w:rPr>
              <w:t>37393</w:t>
            </w:r>
          </w:p>
        </w:tc>
        <w:tc>
          <w:tcPr>
            <w:tcW w:w="4457" w:type="pct"/>
            <w:gridSpan w:val="3"/>
          </w:tcPr>
          <w:p w:rsidR="00D72D79" w:rsidRPr="00293EE1" w:rsidRDefault="00D72D79" w:rsidP="00C92DD5">
            <w:pPr>
              <w:pStyle w:val="SCCLsocParty"/>
              <w:jc w:val="both"/>
              <w:rPr>
                <w:b/>
                <w:sz w:val="20"/>
                <w:szCs w:val="20"/>
              </w:rPr>
            </w:pPr>
            <w:r w:rsidRPr="00293EE1">
              <w:rPr>
                <w:b/>
                <w:sz w:val="20"/>
                <w:szCs w:val="20"/>
              </w:rPr>
              <w:t xml:space="preserve">100193 P.E.I. Inc., 100259 P.E.I. Inc., 100412 P.E.I. Inc., Robert Arsenault, Joseph </w:t>
            </w:r>
            <w:proofErr w:type="spellStart"/>
            <w:r w:rsidRPr="00293EE1">
              <w:rPr>
                <w:b/>
                <w:sz w:val="20"/>
                <w:szCs w:val="20"/>
              </w:rPr>
              <w:t>Aylward</w:t>
            </w:r>
            <w:proofErr w:type="spellEnd"/>
            <w:r w:rsidRPr="00293EE1">
              <w:rPr>
                <w:b/>
                <w:sz w:val="20"/>
                <w:szCs w:val="20"/>
              </w:rPr>
              <w:t xml:space="preserve">, Wayne </w:t>
            </w:r>
            <w:proofErr w:type="spellStart"/>
            <w:r w:rsidRPr="00293EE1">
              <w:rPr>
                <w:b/>
                <w:sz w:val="20"/>
                <w:szCs w:val="20"/>
              </w:rPr>
              <w:t>Aylward</w:t>
            </w:r>
            <w:proofErr w:type="spellEnd"/>
            <w:r w:rsidRPr="00293EE1">
              <w:rPr>
                <w:b/>
                <w:sz w:val="20"/>
                <w:szCs w:val="20"/>
              </w:rPr>
              <w:t xml:space="preserve">, B &amp; F </w:t>
            </w:r>
            <w:proofErr w:type="spellStart"/>
            <w:r w:rsidRPr="00293EE1">
              <w:rPr>
                <w:b/>
                <w:sz w:val="20"/>
                <w:szCs w:val="20"/>
              </w:rPr>
              <w:t>Fisheries</w:t>
            </w:r>
            <w:proofErr w:type="spellEnd"/>
            <w:r w:rsidRPr="00293EE1">
              <w:rPr>
                <w:b/>
                <w:sz w:val="20"/>
                <w:szCs w:val="20"/>
              </w:rPr>
              <w:t xml:space="preserve"> Ltd., </w:t>
            </w:r>
            <w:proofErr w:type="spellStart"/>
            <w:r w:rsidRPr="00293EE1">
              <w:rPr>
                <w:b/>
                <w:sz w:val="20"/>
                <w:szCs w:val="20"/>
              </w:rPr>
              <w:t>Bergayle</w:t>
            </w:r>
            <w:proofErr w:type="spellEnd"/>
            <w:r w:rsidRPr="00293EE1">
              <w:rPr>
                <w:b/>
                <w:sz w:val="20"/>
                <w:szCs w:val="20"/>
              </w:rPr>
              <w:t xml:space="preserve"> </w:t>
            </w:r>
            <w:proofErr w:type="spellStart"/>
            <w:r w:rsidRPr="00293EE1">
              <w:rPr>
                <w:b/>
                <w:sz w:val="20"/>
                <w:szCs w:val="20"/>
              </w:rPr>
              <w:t>Fisheries</w:t>
            </w:r>
            <w:proofErr w:type="spellEnd"/>
            <w:r w:rsidRPr="00293EE1">
              <w:rPr>
                <w:b/>
                <w:sz w:val="20"/>
                <w:szCs w:val="20"/>
              </w:rPr>
              <w:t xml:space="preserve"> Ltd., James </w:t>
            </w:r>
            <w:proofErr w:type="spellStart"/>
            <w:r w:rsidRPr="00293EE1">
              <w:rPr>
                <w:b/>
                <w:sz w:val="20"/>
                <w:szCs w:val="20"/>
              </w:rPr>
              <w:t>Buote</w:t>
            </w:r>
            <w:proofErr w:type="spellEnd"/>
            <w:r w:rsidRPr="00293EE1">
              <w:rPr>
                <w:b/>
                <w:sz w:val="20"/>
                <w:szCs w:val="20"/>
              </w:rPr>
              <w:t xml:space="preserve">, </w:t>
            </w:r>
            <w:proofErr w:type="spellStart"/>
            <w:r w:rsidRPr="00293EE1">
              <w:rPr>
                <w:b/>
                <w:sz w:val="20"/>
                <w:szCs w:val="20"/>
              </w:rPr>
              <w:t>Bullwinkle</w:t>
            </w:r>
            <w:proofErr w:type="spellEnd"/>
            <w:r w:rsidRPr="00293EE1">
              <w:rPr>
                <w:b/>
                <w:sz w:val="20"/>
                <w:szCs w:val="20"/>
              </w:rPr>
              <w:t xml:space="preserve"> </w:t>
            </w:r>
            <w:proofErr w:type="spellStart"/>
            <w:r w:rsidRPr="00293EE1">
              <w:rPr>
                <w:b/>
                <w:sz w:val="20"/>
                <w:szCs w:val="20"/>
              </w:rPr>
              <w:t>Fisheries</w:t>
            </w:r>
            <w:proofErr w:type="spellEnd"/>
            <w:r w:rsidRPr="00293EE1">
              <w:rPr>
                <w:b/>
                <w:sz w:val="20"/>
                <w:szCs w:val="20"/>
              </w:rPr>
              <w:t xml:space="preserve"> Ltd., C.D. Hutt </w:t>
            </w:r>
            <w:proofErr w:type="spellStart"/>
            <w:r w:rsidRPr="00293EE1">
              <w:rPr>
                <w:b/>
                <w:sz w:val="20"/>
                <w:szCs w:val="20"/>
              </w:rPr>
              <w:t>Enterprises</w:t>
            </w:r>
            <w:proofErr w:type="spellEnd"/>
            <w:r w:rsidRPr="00293EE1">
              <w:rPr>
                <w:b/>
                <w:sz w:val="20"/>
                <w:szCs w:val="20"/>
              </w:rPr>
              <w:t xml:space="preserve"> Ltd., Cody-Ray </w:t>
            </w:r>
            <w:proofErr w:type="spellStart"/>
            <w:r w:rsidRPr="00293EE1">
              <w:rPr>
                <w:b/>
                <w:sz w:val="20"/>
                <w:szCs w:val="20"/>
              </w:rPr>
              <w:t>Enterprises</w:t>
            </w:r>
            <w:proofErr w:type="spellEnd"/>
            <w:r w:rsidRPr="00293EE1">
              <w:rPr>
                <w:b/>
                <w:sz w:val="20"/>
                <w:szCs w:val="20"/>
              </w:rPr>
              <w:t xml:space="preserve"> Ltd., </w:t>
            </w:r>
            <w:proofErr w:type="spellStart"/>
            <w:r w:rsidRPr="00293EE1">
              <w:rPr>
                <w:b/>
                <w:sz w:val="20"/>
                <w:szCs w:val="20"/>
              </w:rPr>
              <w:t>Dallan</w:t>
            </w:r>
            <w:proofErr w:type="spellEnd"/>
            <w:r w:rsidRPr="00293EE1">
              <w:rPr>
                <w:b/>
                <w:sz w:val="20"/>
                <w:szCs w:val="20"/>
              </w:rPr>
              <w:t xml:space="preserve"> J. Ltd., Richard Blanchard, exécuteur de la succession de Michael </w:t>
            </w:r>
            <w:proofErr w:type="spellStart"/>
            <w:r w:rsidRPr="00293EE1">
              <w:rPr>
                <w:b/>
                <w:sz w:val="20"/>
                <w:szCs w:val="20"/>
              </w:rPr>
              <w:t>Deagle</w:t>
            </w:r>
            <w:proofErr w:type="spellEnd"/>
            <w:r w:rsidRPr="00293EE1">
              <w:rPr>
                <w:b/>
                <w:sz w:val="20"/>
                <w:szCs w:val="20"/>
              </w:rPr>
              <w:t xml:space="preserve">, Pamela </w:t>
            </w:r>
            <w:proofErr w:type="spellStart"/>
            <w:r w:rsidRPr="00293EE1">
              <w:rPr>
                <w:b/>
                <w:sz w:val="20"/>
                <w:szCs w:val="20"/>
              </w:rPr>
              <w:t>Deagle</w:t>
            </w:r>
            <w:proofErr w:type="spellEnd"/>
            <w:r w:rsidRPr="00293EE1">
              <w:rPr>
                <w:b/>
                <w:sz w:val="20"/>
                <w:szCs w:val="20"/>
              </w:rPr>
              <w:t xml:space="preserve">, </w:t>
            </w:r>
            <w:proofErr w:type="spellStart"/>
            <w:r w:rsidRPr="00293EE1">
              <w:rPr>
                <w:b/>
                <w:sz w:val="20"/>
                <w:szCs w:val="20"/>
              </w:rPr>
              <w:t>Bermard</w:t>
            </w:r>
            <w:proofErr w:type="spellEnd"/>
            <w:r w:rsidRPr="00293EE1">
              <w:rPr>
                <w:b/>
                <w:sz w:val="20"/>
                <w:szCs w:val="20"/>
              </w:rPr>
              <w:t xml:space="preserve"> Dixon, Clifford Doucette, </w:t>
            </w:r>
            <w:proofErr w:type="spellStart"/>
            <w:r w:rsidRPr="00293EE1">
              <w:rPr>
                <w:b/>
                <w:sz w:val="20"/>
                <w:szCs w:val="20"/>
              </w:rPr>
              <w:t>Fishing</w:t>
            </w:r>
            <w:proofErr w:type="spellEnd"/>
            <w:r w:rsidRPr="00293EE1">
              <w:rPr>
                <w:b/>
                <w:sz w:val="20"/>
                <w:szCs w:val="20"/>
              </w:rPr>
              <w:t xml:space="preserve"> 2000 Inc., Kenneth Fraser, Free Spirit Inc., </w:t>
            </w:r>
            <w:proofErr w:type="spellStart"/>
            <w:r w:rsidRPr="00293EE1">
              <w:rPr>
                <w:b/>
                <w:sz w:val="20"/>
                <w:szCs w:val="20"/>
              </w:rPr>
              <w:t>Terrance</w:t>
            </w:r>
            <w:proofErr w:type="spellEnd"/>
            <w:r w:rsidRPr="00293EE1">
              <w:rPr>
                <w:b/>
                <w:sz w:val="20"/>
                <w:szCs w:val="20"/>
              </w:rPr>
              <w:t xml:space="preserve"> Gallant, Bonnie Gaudet, Devin Gaudet, Norman Gaudet, Peter Gaudet, Rodney Gaudet, Taylor Gaudet, </w:t>
            </w:r>
            <w:proofErr w:type="spellStart"/>
            <w:r w:rsidRPr="00293EE1">
              <w:rPr>
                <w:b/>
                <w:sz w:val="20"/>
                <w:szCs w:val="20"/>
              </w:rPr>
              <w:t>Gavco</w:t>
            </w:r>
            <w:proofErr w:type="spellEnd"/>
            <w:r w:rsidRPr="00293EE1">
              <w:rPr>
                <w:b/>
                <w:sz w:val="20"/>
                <w:szCs w:val="20"/>
              </w:rPr>
              <w:t xml:space="preserve"> </w:t>
            </w:r>
            <w:proofErr w:type="spellStart"/>
            <w:r w:rsidRPr="00293EE1">
              <w:rPr>
                <w:b/>
                <w:sz w:val="20"/>
                <w:szCs w:val="20"/>
              </w:rPr>
              <w:t>Fishing</w:t>
            </w:r>
            <w:proofErr w:type="spellEnd"/>
            <w:r w:rsidRPr="00293EE1">
              <w:rPr>
                <w:b/>
                <w:sz w:val="20"/>
                <w:szCs w:val="20"/>
              </w:rPr>
              <w:t xml:space="preserve"> </w:t>
            </w:r>
            <w:proofErr w:type="spellStart"/>
            <w:r w:rsidRPr="00293EE1">
              <w:rPr>
                <w:b/>
                <w:sz w:val="20"/>
                <w:szCs w:val="20"/>
              </w:rPr>
              <w:t>Enterprises</w:t>
            </w:r>
            <w:proofErr w:type="spellEnd"/>
            <w:r w:rsidRPr="00293EE1">
              <w:rPr>
                <w:b/>
                <w:sz w:val="20"/>
                <w:szCs w:val="20"/>
              </w:rPr>
              <w:t xml:space="preserve"> Ltd., Casey Gavin, Jamie Gavin, Leigh Gavin, Sidney Gavin, Gray Lady </w:t>
            </w:r>
            <w:proofErr w:type="spellStart"/>
            <w:r w:rsidRPr="00293EE1">
              <w:rPr>
                <w:b/>
                <w:sz w:val="20"/>
                <w:szCs w:val="20"/>
              </w:rPr>
              <w:t>Enterprises</w:t>
            </w:r>
            <w:proofErr w:type="spellEnd"/>
            <w:r w:rsidRPr="00293EE1">
              <w:rPr>
                <w:b/>
                <w:sz w:val="20"/>
                <w:szCs w:val="20"/>
              </w:rPr>
              <w:t xml:space="preserve"> Ltd., Donald Harper, </w:t>
            </w:r>
            <w:proofErr w:type="spellStart"/>
            <w:r w:rsidRPr="00293EE1">
              <w:rPr>
                <w:b/>
                <w:sz w:val="20"/>
                <w:szCs w:val="20"/>
              </w:rPr>
              <w:t>Harper</w:t>
            </w:r>
            <w:r w:rsidR="00FF67A4" w:rsidRPr="00293EE1">
              <w:rPr>
                <w:b/>
                <w:sz w:val="20"/>
                <w:szCs w:val="20"/>
              </w:rPr>
              <w:t>’</w:t>
            </w:r>
            <w:r w:rsidRPr="00293EE1">
              <w:rPr>
                <w:b/>
                <w:sz w:val="20"/>
                <w:szCs w:val="20"/>
              </w:rPr>
              <w:t>s</w:t>
            </w:r>
            <w:proofErr w:type="spellEnd"/>
            <w:r w:rsidRPr="00293EE1">
              <w:rPr>
                <w:b/>
                <w:sz w:val="20"/>
                <w:szCs w:val="20"/>
              </w:rPr>
              <w:t xml:space="preserve"> Fish Holdings Ltd., Jamie </w:t>
            </w:r>
            <w:proofErr w:type="spellStart"/>
            <w:r w:rsidRPr="00293EE1">
              <w:rPr>
                <w:b/>
                <w:sz w:val="20"/>
                <w:szCs w:val="20"/>
              </w:rPr>
              <w:t>Hustler</w:t>
            </w:r>
            <w:proofErr w:type="spellEnd"/>
            <w:r w:rsidRPr="00293EE1">
              <w:rPr>
                <w:b/>
                <w:sz w:val="20"/>
                <w:szCs w:val="20"/>
              </w:rPr>
              <w:t xml:space="preserve">, Carter Hutt, </w:t>
            </w:r>
            <w:proofErr w:type="spellStart"/>
            <w:r w:rsidRPr="00293EE1">
              <w:rPr>
                <w:b/>
                <w:sz w:val="20"/>
                <w:szCs w:val="20"/>
              </w:rPr>
              <w:t>Kista</w:t>
            </w:r>
            <w:proofErr w:type="spellEnd"/>
            <w:r w:rsidRPr="00293EE1">
              <w:rPr>
                <w:b/>
                <w:sz w:val="20"/>
                <w:szCs w:val="20"/>
              </w:rPr>
              <w:t xml:space="preserve"> B </w:t>
            </w:r>
            <w:proofErr w:type="spellStart"/>
            <w:r w:rsidRPr="00293EE1">
              <w:rPr>
                <w:b/>
                <w:sz w:val="20"/>
                <w:szCs w:val="20"/>
              </w:rPr>
              <w:t>Fishing</w:t>
            </w:r>
            <w:proofErr w:type="spellEnd"/>
            <w:r w:rsidRPr="00293EE1">
              <w:rPr>
                <w:b/>
                <w:sz w:val="20"/>
                <w:szCs w:val="20"/>
              </w:rPr>
              <w:t xml:space="preserve"> Co. Ltd., </w:t>
            </w:r>
            <w:proofErr w:type="spellStart"/>
            <w:r w:rsidRPr="00293EE1">
              <w:rPr>
                <w:b/>
                <w:sz w:val="20"/>
                <w:szCs w:val="20"/>
              </w:rPr>
              <w:t>Launching</w:t>
            </w:r>
            <w:proofErr w:type="spellEnd"/>
            <w:r w:rsidRPr="00293EE1">
              <w:rPr>
                <w:b/>
                <w:sz w:val="20"/>
                <w:szCs w:val="20"/>
              </w:rPr>
              <w:t xml:space="preserve"> </w:t>
            </w:r>
            <w:proofErr w:type="spellStart"/>
            <w:r w:rsidRPr="00293EE1">
              <w:rPr>
                <w:b/>
                <w:sz w:val="20"/>
                <w:szCs w:val="20"/>
              </w:rPr>
              <w:t>Fisheries</w:t>
            </w:r>
            <w:proofErr w:type="spellEnd"/>
            <w:r w:rsidRPr="00293EE1">
              <w:rPr>
                <w:b/>
                <w:sz w:val="20"/>
                <w:szCs w:val="20"/>
              </w:rPr>
              <w:t xml:space="preserve"> Inc., Terry </w:t>
            </w:r>
            <w:proofErr w:type="spellStart"/>
            <w:r w:rsidRPr="00293EE1">
              <w:rPr>
                <w:b/>
                <w:sz w:val="20"/>
                <w:szCs w:val="20"/>
              </w:rPr>
              <w:t>Llewellyn</w:t>
            </w:r>
            <w:proofErr w:type="spellEnd"/>
            <w:r w:rsidRPr="00293EE1">
              <w:rPr>
                <w:b/>
                <w:sz w:val="20"/>
                <w:szCs w:val="20"/>
              </w:rPr>
              <w:t xml:space="preserve">, Ivan </w:t>
            </w:r>
            <w:proofErr w:type="spellStart"/>
            <w:r w:rsidRPr="00293EE1">
              <w:rPr>
                <w:b/>
                <w:sz w:val="20"/>
                <w:szCs w:val="20"/>
              </w:rPr>
              <w:t>MacDonald</w:t>
            </w:r>
            <w:proofErr w:type="spellEnd"/>
            <w:r w:rsidRPr="00293EE1">
              <w:rPr>
                <w:b/>
                <w:sz w:val="20"/>
                <w:szCs w:val="20"/>
              </w:rPr>
              <w:t xml:space="preserve">, Lance </w:t>
            </w:r>
            <w:proofErr w:type="spellStart"/>
            <w:r w:rsidRPr="00293EE1">
              <w:rPr>
                <w:b/>
                <w:sz w:val="20"/>
                <w:szCs w:val="20"/>
              </w:rPr>
              <w:t>MacDonald</w:t>
            </w:r>
            <w:proofErr w:type="spellEnd"/>
            <w:r w:rsidRPr="00293EE1">
              <w:rPr>
                <w:b/>
                <w:sz w:val="20"/>
                <w:szCs w:val="20"/>
              </w:rPr>
              <w:t xml:space="preserve">, Wayne </w:t>
            </w:r>
            <w:proofErr w:type="spellStart"/>
            <w:r w:rsidRPr="00293EE1">
              <w:rPr>
                <w:b/>
                <w:sz w:val="20"/>
                <w:szCs w:val="20"/>
              </w:rPr>
              <w:t>MacIntyre</w:t>
            </w:r>
            <w:proofErr w:type="spellEnd"/>
            <w:r w:rsidRPr="00293EE1">
              <w:rPr>
                <w:b/>
                <w:sz w:val="20"/>
                <w:szCs w:val="20"/>
              </w:rPr>
              <w:t xml:space="preserve">, David </w:t>
            </w:r>
            <w:proofErr w:type="spellStart"/>
            <w:r w:rsidRPr="00293EE1">
              <w:rPr>
                <w:b/>
                <w:sz w:val="20"/>
                <w:szCs w:val="20"/>
              </w:rPr>
              <w:t>McIsaac</w:t>
            </w:r>
            <w:proofErr w:type="spellEnd"/>
            <w:r w:rsidRPr="00293EE1">
              <w:rPr>
                <w:b/>
                <w:sz w:val="20"/>
                <w:szCs w:val="20"/>
              </w:rPr>
              <w:t xml:space="preserve">, Gordon L. </w:t>
            </w:r>
            <w:proofErr w:type="spellStart"/>
            <w:r w:rsidRPr="00293EE1">
              <w:rPr>
                <w:b/>
                <w:sz w:val="20"/>
                <w:szCs w:val="20"/>
              </w:rPr>
              <w:t>MacLeod</w:t>
            </w:r>
            <w:proofErr w:type="spellEnd"/>
            <w:r w:rsidRPr="00293EE1">
              <w:rPr>
                <w:b/>
                <w:sz w:val="20"/>
                <w:szCs w:val="20"/>
              </w:rPr>
              <w:t xml:space="preserve">, Donald </w:t>
            </w:r>
            <w:proofErr w:type="spellStart"/>
            <w:r w:rsidRPr="00293EE1">
              <w:rPr>
                <w:b/>
                <w:sz w:val="20"/>
                <w:szCs w:val="20"/>
              </w:rPr>
              <w:t>Mayhew</w:t>
            </w:r>
            <w:proofErr w:type="spellEnd"/>
            <w:r w:rsidRPr="00293EE1">
              <w:rPr>
                <w:b/>
                <w:sz w:val="20"/>
                <w:szCs w:val="20"/>
              </w:rPr>
              <w:t xml:space="preserve">, </w:t>
            </w:r>
            <w:proofErr w:type="spellStart"/>
            <w:r w:rsidRPr="00293EE1">
              <w:rPr>
                <w:b/>
                <w:sz w:val="20"/>
                <w:szCs w:val="20"/>
              </w:rPr>
              <w:t>Mega</w:t>
            </w:r>
            <w:proofErr w:type="spellEnd"/>
            <w:r w:rsidRPr="00293EE1">
              <w:rPr>
                <w:b/>
                <w:sz w:val="20"/>
                <w:szCs w:val="20"/>
              </w:rPr>
              <w:t xml:space="preserve"> Fish Co. Ltd., Austin </w:t>
            </w:r>
            <w:proofErr w:type="spellStart"/>
            <w:r w:rsidRPr="00293EE1">
              <w:rPr>
                <w:b/>
                <w:sz w:val="20"/>
                <w:szCs w:val="20"/>
              </w:rPr>
              <w:t>O</w:t>
            </w:r>
            <w:r w:rsidR="00FF67A4" w:rsidRPr="00293EE1">
              <w:rPr>
                <w:b/>
                <w:sz w:val="20"/>
                <w:szCs w:val="20"/>
              </w:rPr>
              <w:t>’</w:t>
            </w:r>
            <w:r w:rsidRPr="00293EE1">
              <w:rPr>
                <w:b/>
                <w:sz w:val="20"/>
                <w:szCs w:val="20"/>
              </w:rPr>
              <w:t>Meara</w:t>
            </w:r>
            <w:proofErr w:type="spellEnd"/>
            <w:r w:rsidRPr="00293EE1">
              <w:rPr>
                <w:b/>
                <w:sz w:val="20"/>
                <w:szCs w:val="20"/>
              </w:rPr>
              <w:t xml:space="preserve">, Pamela Richards et Tracey Gaudet, administratrices de la succession de Patrick </w:t>
            </w:r>
            <w:proofErr w:type="spellStart"/>
            <w:r w:rsidRPr="00293EE1">
              <w:rPr>
                <w:b/>
                <w:sz w:val="20"/>
                <w:szCs w:val="20"/>
              </w:rPr>
              <w:t>Rochford</w:t>
            </w:r>
            <w:proofErr w:type="spellEnd"/>
            <w:r w:rsidRPr="00293EE1">
              <w:rPr>
                <w:b/>
                <w:sz w:val="20"/>
                <w:szCs w:val="20"/>
              </w:rPr>
              <w:t xml:space="preserve">, </w:t>
            </w:r>
            <w:proofErr w:type="spellStart"/>
            <w:r w:rsidRPr="00293EE1">
              <w:rPr>
                <w:b/>
                <w:sz w:val="20"/>
                <w:szCs w:val="20"/>
              </w:rPr>
              <w:t>Twin</w:t>
            </w:r>
            <w:proofErr w:type="spellEnd"/>
            <w:r w:rsidRPr="00293EE1">
              <w:rPr>
                <w:b/>
                <w:sz w:val="20"/>
                <w:szCs w:val="20"/>
              </w:rPr>
              <w:t xml:space="preserve"> Connections Inc., W.F.M. Inc., </w:t>
            </w:r>
            <w:proofErr w:type="spellStart"/>
            <w:r w:rsidRPr="00293EE1">
              <w:rPr>
                <w:b/>
                <w:sz w:val="20"/>
                <w:szCs w:val="20"/>
              </w:rPr>
              <w:t>Waterwalker</w:t>
            </w:r>
            <w:proofErr w:type="spellEnd"/>
            <w:r w:rsidRPr="00293EE1">
              <w:rPr>
                <w:b/>
                <w:sz w:val="20"/>
                <w:szCs w:val="20"/>
              </w:rPr>
              <w:t xml:space="preserve"> </w:t>
            </w:r>
            <w:proofErr w:type="spellStart"/>
            <w:r w:rsidRPr="00293EE1">
              <w:rPr>
                <w:b/>
                <w:sz w:val="20"/>
                <w:szCs w:val="20"/>
              </w:rPr>
              <w:t>Fishing</w:t>
            </w:r>
            <w:proofErr w:type="spellEnd"/>
            <w:r w:rsidRPr="00293EE1">
              <w:rPr>
                <w:b/>
                <w:sz w:val="20"/>
                <w:szCs w:val="20"/>
              </w:rPr>
              <w:t xml:space="preserve"> Co. Ltd. et Boyd </w:t>
            </w:r>
            <w:proofErr w:type="spellStart"/>
            <w:r w:rsidRPr="00293EE1">
              <w:rPr>
                <w:b/>
                <w:sz w:val="20"/>
                <w:szCs w:val="20"/>
              </w:rPr>
              <w:t>Vuozzo</w:t>
            </w:r>
            <w:proofErr w:type="spellEnd"/>
            <w:r w:rsidRPr="00293EE1">
              <w:rPr>
                <w:b/>
                <w:sz w:val="20"/>
                <w:szCs w:val="20"/>
              </w:rPr>
              <w:t xml:space="preserve"> c. Sa Majesté la Reine</w:t>
            </w:r>
          </w:p>
          <w:p w:rsidR="00D72D79" w:rsidRPr="00293EE1" w:rsidRDefault="00D72D79" w:rsidP="00C92DD5">
            <w:pPr>
              <w:jc w:val="both"/>
              <w:rPr>
                <w:rFonts w:cs="Times New Roman"/>
                <w:sz w:val="20"/>
                <w:szCs w:val="20"/>
                <w:lang w:val="fr-CA"/>
              </w:rPr>
            </w:pPr>
            <w:r w:rsidRPr="00293EE1">
              <w:rPr>
                <w:rFonts w:cs="Times New Roman"/>
                <w:sz w:val="20"/>
                <w:szCs w:val="20"/>
                <w:lang w:val="fr-CA"/>
              </w:rPr>
              <w:t>(C.F.) (Civile) (Sur autorisation)</w:t>
            </w:r>
          </w:p>
        </w:tc>
      </w:tr>
      <w:tr w:rsidR="00D72D79" w:rsidRPr="00B2512D" w:rsidTr="00C92DD5">
        <w:tc>
          <w:tcPr>
            <w:tcW w:w="543" w:type="pct"/>
          </w:tcPr>
          <w:p w:rsidR="00D72D79" w:rsidRPr="00293EE1" w:rsidRDefault="00D72D79" w:rsidP="00C92DD5">
            <w:pPr>
              <w:jc w:val="both"/>
              <w:rPr>
                <w:rStyle w:val="SCCFileNumberChar"/>
                <w:sz w:val="20"/>
                <w:szCs w:val="20"/>
                <w:lang w:val="fr-CA"/>
              </w:rPr>
            </w:pPr>
            <w:r w:rsidRPr="00293EE1">
              <w:rPr>
                <w:rStyle w:val="SCCFileNumberChar"/>
                <w:sz w:val="20"/>
                <w:szCs w:val="20"/>
                <w:lang w:val="fr-CA"/>
              </w:rPr>
              <w:t>Coram :</w:t>
            </w:r>
          </w:p>
        </w:tc>
        <w:tc>
          <w:tcPr>
            <w:tcW w:w="4457" w:type="pct"/>
            <w:gridSpan w:val="3"/>
          </w:tcPr>
          <w:p w:rsidR="00D72D79" w:rsidRPr="00293EE1" w:rsidRDefault="006E4BEB" w:rsidP="00C92DD5">
            <w:pPr>
              <w:pStyle w:val="SCCLsocParty"/>
              <w:jc w:val="both"/>
              <w:rPr>
                <w:sz w:val="20"/>
                <w:szCs w:val="20"/>
              </w:rPr>
            </w:pPr>
            <w:r w:rsidRPr="00293EE1">
              <w:rPr>
                <w:sz w:val="20"/>
                <w:szCs w:val="20"/>
              </w:rPr>
              <w:t xml:space="preserve">La juge en chef </w:t>
            </w:r>
            <w:proofErr w:type="spellStart"/>
            <w:r w:rsidRPr="00293EE1">
              <w:rPr>
                <w:sz w:val="20"/>
                <w:szCs w:val="20"/>
              </w:rPr>
              <w:t>McLachlin</w:t>
            </w:r>
            <w:proofErr w:type="spellEnd"/>
            <w:r w:rsidRPr="00293EE1">
              <w:rPr>
                <w:sz w:val="20"/>
                <w:szCs w:val="20"/>
              </w:rPr>
              <w:t xml:space="preserve"> et les juges Abella, </w:t>
            </w:r>
            <w:proofErr w:type="spellStart"/>
            <w:r w:rsidRPr="00293EE1">
              <w:rPr>
                <w:sz w:val="20"/>
                <w:szCs w:val="20"/>
              </w:rPr>
              <w:t>Moldaver</w:t>
            </w:r>
            <w:proofErr w:type="spellEnd"/>
            <w:r w:rsidRPr="00293EE1">
              <w:rPr>
                <w:sz w:val="20"/>
                <w:szCs w:val="20"/>
              </w:rPr>
              <w:t xml:space="preserve">, </w:t>
            </w:r>
            <w:proofErr w:type="spellStart"/>
            <w:r w:rsidRPr="00293EE1">
              <w:rPr>
                <w:sz w:val="20"/>
                <w:szCs w:val="20"/>
              </w:rPr>
              <w:t>Karakatsanis</w:t>
            </w:r>
            <w:proofErr w:type="spellEnd"/>
            <w:r w:rsidRPr="00293EE1">
              <w:rPr>
                <w:sz w:val="20"/>
                <w:szCs w:val="20"/>
              </w:rPr>
              <w:t>, Wagner, Gascon, Côté, Brown et Rowe</w:t>
            </w:r>
          </w:p>
        </w:tc>
      </w:tr>
      <w:tr w:rsidR="00D72D79" w:rsidRPr="00B2512D" w:rsidTr="00D72D79">
        <w:tc>
          <w:tcPr>
            <w:tcW w:w="5000" w:type="pct"/>
            <w:gridSpan w:val="4"/>
          </w:tcPr>
          <w:p w:rsidR="00D72D79" w:rsidRPr="00293EE1" w:rsidRDefault="006E4BEB" w:rsidP="00C92DD5">
            <w:pPr>
              <w:pStyle w:val="SCCLsocParty"/>
              <w:jc w:val="both"/>
              <w:rPr>
                <w:sz w:val="20"/>
                <w:szCs w:val="20"/>
              </w:rPr>
            </w:pPr>
            <w:r w:rsidRPr="00293EE1">
              <w:rPr>
                <w:sz w:val="20"/>
                <w:szCs w:val="20"/>
              </w:rPr>
              <w:t>La demande d’autorisation d’appel de l’arrêt de la Cour d’appel fédérale, numéro A-352-15, 2016 FCA 280, daté du 14 novembre 2016, est rejetée avec dépens.</w:t>
            </w:r>
          </w:p>
          <w:p w:rsidR="006E4BEB" w:rsidRPr="00293EE1" w:rsidRDefault="006E4BEB" w:rsidP="006E4BEB">
            <w:pPr>
              <w:rPr>
                <w:lang w:val="fr-CA"/>
              </w:rPr>
            </w:pPr>
          </w:p>
        </w:tc>
      </w:tr>
      <w:tr w:rsidR="00D72D79" w:rsidRPr="00B2512D" w:rsidTr="00C92DD5">
        <w:trPr>
          <w:trHeight w:val="1935"/>
        </w:trPr>
        <w:tc>
          <w:tcPr>
            <w:tcW w:w="5000" w:type="pct"/>
            <w:gridSpan w:val="4"/>
          </w:tcPr>
          <w:p w:rsidR="00D72D79" w:rsidRPr="00293EE1" w:rsidRDefault="00D72D79" w:rsidP="00C92DD5">
            <w:pPr>
              <w:pStyle w:val="SCCBanSummary"/>
              <w:rPr>
                <w:smallCaps w:val="0"/>
                <w:sz w:val="20"/>
                <w:szCs w:val="20"/>
                <w:lang w:val="fr-CA"/>
              </w:rPr>
            </w:pPr>
            <w:r w:rsidRPr="00293EE1">
              <w:rPr>
                <w:smallCaps w:val="0"/>
                <w:sz w:val="20"/>
                <w:szCs w:val="20"/>
                <w:lang w:val="fr-CA"/>
              </w:rPr>
              <w:t>Jugements et ordonnances – Jugements sommaires – Biens – Permis de pêche commerciale – Des pêcheurs poursuivent l’État en dommages-intérêts pour expropriation sans indemnisation et enrichissement sans cause – La Cour fédérale a accueilli la requête en jugement sommaire relativement à toutes les allégations, à l’exception de la faute commise dans l’exercice d’une charge publique – Le droit que possède un titulaire de permis de pêche ayant un contingent individuel établi en fonction d’un pourcentage fixe du total autorisé des captures constitue-t-il un droit de propriété? – Quel est le seuil minimal nécessaire pour qu’un droit puisse servir de fondement à une demande d’indemnisation fondée sur l’expropriation? – Un droit de propriété est-il nécessaire pour que l’appauvrissement et l’enrichissement puissent servir de fondement à une demande de restitution pour enrichissement sans cause?</w:t>
            </w:r>
          </w:p>
          <w:p w:rsidR="00D72D79" w:rsidRPr="00293EE1" w:rsidRDefault="00D72D79" w:rsidP="00C92DD5">
            <w:pPr>
              <w:rPr>
                <w:rFonts w:cs="Times New Roman"/>
                <w:sz w:val="20"/>
                <w:szCs w:val="20"/>
                <w:lang w:val="fr-CA"/>
              </w:rPr>
            </w:pPr>
          </w:p>
        </w:tc>
      </w:tr>
      <w:tr w:rsidR="00D72D79" w:rsidRPr="00B2512D" w:rsidTr="00C92DD5">
        <w:tc>
          <w:tcPr>
            <w:tcW w:w="5000" w:type="pct"/>
            <w:gridSpan w:val="4"/>
          </w:tcPr>
          <w:p w:rsidR="00D72D79" w:rsidRPr="00293EE1" w:rsidRDefault="00D72D79" w:rsidP="00C92DD5">
            <w:pPr>
              <w:ind w:left="-120"/>
              <w:jc w:val="both"/>
              <w:rPr>
                <w:rFonts w:cs="Times New Roman"/>
                <w:sz w:val="20"/>
                <w:szCs w:val="20"/>
                <w:lang w:val="fr-CA"/>
              </w:rPr>
            </w:pPr>
          </w:p>
          <w:p w:rsidR="00D72D79" w:rsidRPr="00293EE1" w:rsidRDefault="00D72D79" w:rsidP="00C92DD5">
            <w:pPr>
              <w:jc w:val="both"/>
              <w:rPr>
                <w:rFonts w:cs="Times New Roman"/>
                <w:sz w:val="20"/>
                <w:szCs w:val="20"/>
                <w:lang w:val="fr-CA"/>
              </w:rPr>
            </w:pPr>
            <w:r w:rsidRPr="00293EE1">
              <w:rPr>
                <w:rFonts w:cs="Times New Roman"/>
                <w:sz w:val="20"/>
                <w:szCs w:val="20"/>
                <w:lang w:val="fr-CA"/>
              </w:rPr>
              <w:t>Les demandeurs individuels sont des résidents de l’Île</w:t>
            </w:r>
            <w:r w:rsidRPr="00293EE1">
              <w:rPr>
                <w:rFonts w:cs="Times New Roman"/>
                <w:sz w:val="20"/>
                <w:szCs w:val="20"/>
                <w:lang w:val="fr-CA"/>
              </w:rPr>
              <w:noBreakHyphen/>
              <w:t>du</w:t>
            </w:r>
            <w:r w:rsidRPr="00293EE1">
              <w:rPr>
                <w:rFonts w:cs="Times New Roman"/>
                <w:sz w:val="20"/>
                <w:szCs w:val="20"/>
                <w:lang w:val="fr-CA"/>
              </w:rPr>
              <w:noBreakHyphen/>
              <w:t>Prince</w:t>
            </w:r>
            <w:r w:rsidRPr="00293EE1">
              <w:rPr>
                <w:rFonts w:cs="Times New Roman"/>
                <w:sz w:val="20"/>
                <w:szCs w:val="20"/>
                <w:lang w:val="fr-CA"/>
              </w:rPr>
              <w:noBreakHyphen/>
              <w:t>Édouard. Ils ont été titulaires de permis de pêche au crabe des neiges au cours des 12 dernières années ou de certaines de ces années. Les demanderesses personnes morales sont des sociétés qui exploitent ou ont exploité les entreprises de pêche de certains de ces demandeurs individuels.</w:t>
            </w:r>
          </w:p>
          <w:p w:rsidR="00D72D79" w:rsidRPr="00293EE1" w:rsidRDefault="00D72D79" w:rsidP="00C92DD5">
            <w:pPr>
              <w:ind w:left="-120"/>
              <w:jc w:val="both"/>
              <w:rPr>
                <w:rFonts w:cs="Times New Roman"/>
                <w:sz w:val="20"/>
                <w:szCs w:val="20"/>
                <w:lang w:val="fr-CA"/>
              </w:rPr>
            </w:pPr>
          </w:p>
          <w:p w:rsidR="00D72D79" w:rsidRPr="00293EE1" w:rsidRDefault="00D72D79" w:rsidP="00C92DD5">
            <w:pPr>
              <w:jc w:val="both"/>
              <w:rPr>
                <w:rFonts w:cs="Times New Roman"/>
                <w:color w:val="000000"/>
                <w:sz w:val="20"/>
                <w:szCs w:val="20"/>
                <w:lang w:val="fr-CA"/>
              </w:rPr>
            </w:pPr>
            <w:r w:rsidRPr="00293EE1">
              <w:rPr>
                <w:rFonts w:cs="Times New Roman"/>
                <w:sz w:val="20"/>
                <w:szCs w:val="20"/>
                <w:lang w:val="fr-CA"/>
              </w:rPr>
              <w:t>Les demandeurs ont demandé d’être indemnisés de la perte qu’ils disent avoir subie en raison de la manière dont le ministre des Pêches et des Océans a géré la pêche du crabe des neiges depuis 2003, laquelle a entraîné la réduction de la part de chaque titulaire de permis dans le total autorisé des captures</w:t>
            </w:r>
            <w:r w:rsidRPr="00293EE1">
              <w:rPr>
                <w:rFonts w:cs="Times New Roman"/>
                <w:color w:val="000000"/>
                <w:sz w:val="20"/>
                <w:szCs w:val="20"/>
                <w:lang w:val="fr-CA"/>
              </w:rPr>
              <w:t>. Dans leur action, les demandeurs ont sollicité des dommages-intérêts pour violation de l’obligation fiduciaire, négligence, expropriation sans indemnisation, rupture de contrat, enrichissement sans cause et faute dans l’exercice d’une charge publique.</w:t>
            </w:r>
          </w:p>
          <w:p w:rsidR="00D72D79" w:rsidRPr="00293EE1" w:rsidRDefault="00D72D79" w:rsidP="00C92DD5">
            <w:pPr>
              <w:jc w:val="both"/>
              <w:rPr>
                <w:rFonts w:cs="Times New Roman"/>
                <w:color w:val="000000"/>
                <w:sz w:val="20"/>
                <w:szCs w:val="20"/>
                <w:lang w:val="fr-CA"/>
              </w:rPr>
            </w:pPr>
          </w:p>
          <w:p w:rsidR="00D72D79" w:rsidRPr="00293EE1" w:rsidRDefault="00D72D79" w:rsidP="00C92DD5">
            <w:pPr>
              <w:jc w:val="both"/>
              <w:rPr>
                <w:rFonts w:cs="Times New Roman"/>
                <w:b/>
                <w:sz w:val="20"/>
                <w:szCs w:val="20"/>
                <w:lang w:val="fr-CA"/>
              </w:rPr>
            </w:pPr>
            <w:r w:rsidRPr="00293EE1">
              <w:rPr>
                <w:rFonts w:cs="Times New Roman"/>
                <w:sz w:val="20"/>
                <w:szCs w:val="20"/>
                <w:lang w:val="fr-CA"/>
              </w:rPr>
              <w:t>L’intimée, Sa Majesté la Reine, a présenté une requête en jugement sommaire. La Cour fédérale a accueilli cette requête en partie. Devant la Cour d’appel fédérale, Sa Majesté a plaidé que la Cour fédérale aurait dû prononcer un jugement sommaire relativement à toutes les questions. L’appel a été accueilli en partie. Les allégations fondées sur l’expropriation et l’enrichissement sans cause ont été rejetées. Toutefois, la Cour a conclu que l’allégation de faute dans l’exercice d’une charge publique soulevait une véritable question litigieuse.</w:t>
            </w:r>
          </w:p>
        </w:tc>
      </w:tr>
      <w:tr w:rsidR="00D72D79" w:rsidRPr="00B2512D" w:rsidTr="00C92DD5">
        <w:tc>
          <w:tcPr>
            <w:tcW w:w="5000" w:type="pct"/>
            <w:gridSpan w:val="4"/>
          </w:tcPr>
          <w:p w:rsidR="00D72D79" w:rsidRPr="00293EE1" w:rsidRDefault="00D72D79" w:rsidP="00C92DD5">
            <w:pPr>
              <w:jc w:val="both"/>
              <w:rPr>
                <w:rFonts w:cs="Times New Roman"/>
                <w:sz w:val="20"/>
                <w:szCs w:val="20"/>
                <w:lang w:val="fr-CA"/>
              </w:rPr>
            </w:pP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lastRenderedPageBreak/>
              <w:t>30 juillet 2015</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fédérale</w:t>
            </w:r>
          </w:p>
          <w:p w:rsidR="00D72D79" w:rsidRPr="00293EE1" w:rsidRDefault="00D72D79" w:rsidP="00C92DD5">
            <w:pPr>
              <w:jc w:val="both"/>
              <w:rPr>
                <w:rFonts w:cs="Times New Roman"/>
                <w:sz w:val="20"/>
                <w:szCs w:val="20"/>
                <w:lang w:val="fr-CA"/>
              </w:rPr>
            </w:pPr>
            <w:r w:rsidRPr="00293EE1">
              <w:rPr>
                <w:rFonts w:cs="Times New Roman"/>
                <w:sz w:val="20"/>
                <w:szCs w:val="20"/>
                <w:lang w:val="fr-CA"/>
              </w:rPr>
              <w:t>(Juge Boswell)</w:t>
            </w:r>
          </w:p>
          <w:p w:rsidR="00D72D79" w:rsidRPr="00293EE1" w:rsidRDefault="00B2512D" w:rsidP="00C92DD5">
            <w:pPr>
              <w:jc w:val="both"/>
              <w:rPr>
                <w:rFonts w:cs="Times New Roman"/>
                <w:sz w:val="20"/>
                <w:szCs w:val="20"/>
                <w:lang w:val="fr-CA"/>
              </w:rPr>
            </w:pPr>
            <w:hyperlink r:id="rId47" w:history="1">
              <w:r w:rsidR="00D72D79" w:rsidRPr="00293EE1">
                <w:rPr>
                  <w:rStyle w:val="Hyperlink"/>
                  <w:rFonts w:cs="Times New Roman"/>
                  <w:sz w:val="20"/>
                  <w:szCs w:val="20"/>
                  <w:lang w:val="fr-CA"/>
                </w:rPr>
                <w:t>2015 FC 932</w:t>
              </w:r>
            </w:hyperlink>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Jugement accueillant en partie la requête en jugement sommaire de Sa Majesté.</w:t>
            </w: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14 novembre 2016</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d’appel fédérale</w:t>
            </w: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(Juges Pelletier, </w:t>
            </w:r>
            <w:proofErr w:type="spellStart"/>
            <w:r w:rsidRPr="00293EE1">
              <w:rPr>
                <w:rFonts w:cs="Times New Roman"/>
                <w:sz w:val="20"/>
                <w:szCs w:val="20"/>
                <w:lang w:val="fr-CA"/>
              </w:rPr>
              <w:t>Stratas</w:t>
            </w:r>
            <w:proofErr w:type="spellEnd"/>
            <w:r w:rsidRPr="00293EE1">
              <w:rPr>
                <w:rFonts w:cs="Times New Roman"/>
                <w:sz w:val="20"/>
                <w:szCs w:val="20"/>
                <w:lang w:val="fr-CA"/>
              </w:rPr>
              <w:t xml:space="preserve"> et Webb)</w:t>
            </w:r>
          </w:p>
          <w:p w:rsidR="00D72D79" w:rsidRPr="00293EE1" w:rsidRDefault="00B2512D" w:rsidP="00C92DD5">
            <w:pPr>
              <w:jc w:val="both"/>
              <w:rPr>
                <w:rFonts w:cs="Times New Roman"/>
                <w:sz w:val="20"/>
                <w:szCs w:val="20"/>
                <w:lang w:val="fr-CA"/>
              </w:rPr>
            </w:pPr>
            <w:hyperlink r:id="rId48" w:history="1">
              <w:r w:rsidR="00D72D79" w:rsidRPr="00293EE1">
                <w:rPr>
                  <w:rStyle w:val="Hyperlink"/>
                  <w:rFonts w:cs="Times New Roman"/>
                  <w:sz w:val="20"/>
                  <w:szCs w:val="20"/>
                  <w:lang w:val="fr-CA"/>
                </w:rPr>
                <w:t>2016 FCA 280</w:t>
              </w:r>
            </w:hyperlink>
          </w:p>
          <w:p w:rsidR="00D72D79" w:rsidRPr="00293EE1" w:rsidRDefault="00D72D79" w:rsidP="00C92DD5">
            <w:pPr>
              <w:jc w:val="both"/>
              <w:rPr>
                <w:rFonts w:cs="Times New Roman"/>
                <w:sz w:val="20"/>
                <w:szCs w:val="20"/>
                <w:lang w:val="fr-CA"/>
              </w:rPr>
            </w:pPr>
            <w:r w:rsidRPr="00293EE1">
              <w:rPr>
                <w:rFonts w:cs="Times New Roman"/>
                <w:sz w:val="20"/>
                <w:szCs w:val="20"/>
                <w:lang w:val="fr-CA"/>
              </w:rPr>
              <w:t>N</w:t>
            </w:r>
            <w:r w:rsidRPr="00293EE1">
              <w:rPr>
                <w:rFonts w:cs="Times New Roman"/>
                <w:sz w:val="20"/>
                <w:szCs w:val="20"/>
                <w:vertAlign w:val="superscript"/>
                <w:lang w:val="fr-CA"/>
              </w:rPr>
              <w:t>o</w:t>
            </w:r>
            <w:r w:rsidRPr="00293EE1">
              <w:rPr>
                <w:rFonts w:cs="Times New Roman"/>
                <w:sz w:val="20"/>
                <w:szCs w:val="20"/>
                <w:lang w:val="fr-CA"/>
              </w:rPr>
              <w:t xml:space="preserve"> de dossier : A-352-15</w:t>
            </w:r>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eastAsia="en-CA"/>
              </w:rPr>
            </w:pPr>
            <w:r w:rsidRPr="00293EE1">
              <w:rPr>
                <w:rFonts w:cs="Times New Roman"/>
                <w:sz w:val="20"/>
                <w:szCs w:val="20"/>
                <w:lang w:val="fr-CA" w:eastAsia="en-CA"/>
              </w:rPr>
              <w:t xml:space="preserve">Arrêt accueillant l’appel, annulant l’ordonnance de la Cour fédérale prononcée le 30 juillet 2015, accueillant la requête en jugement sommaire relativement à toutes les allégations sauf celle de la faute dans l’exercice d’une charge publique et rejetant l’appel incident. </w:t>
            </w:r>
          </w:p>
          <w:p w:rsidR="00D72D79" w:rsidRPr="00293EE1" w:rsidRDefault="00D72D79" w:rsidP="00C92DD5">
            <w:pPr>
              <w:jc w:val="both"/>
              <w:rPr>
                <w:rFonts w:cs="Times New Roman"/>
                <w:sz w:val="20"/>
                <w:szCs w:val="20"/>
                <w:lang w:val="fr-CA"/>
              </w:rPr>
            </w:pP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13 janvier 2017</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suprême du Canada</w:t>
            </w: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Dépôt de la demande d’autorisation d’appel.</w:t>
            </w:r>
          </w:p>
          <w:p w:rsidR="00D72D79" w:rsidRPr="00293EE1" w:rsidRDefault="00D72D79" w:rsidP="00C92DD5">
            <w:pPr>
              <w:jc w:val="both"/>
              <w:rPr>
                <w:rFonts w:cs="Times New Roman"/>
                <w:sz w:val="20"/>
                <w:szCs w:val="20"/>
                <w:lang w:val="fr-CA"/>
              </w:rPr>
            </w:pPr>
          </w:p>
        </w:tc>
      </w:tr>
    </w:tbl>
    <w:p w:rsidR="00D72D79" w:rsidRPr="00293EE1" w:rsidRDefault="00B2512D" w:rsidP="00D72D79">
      <w:pPr>
        <w:jc w:val="both"/>
        <w:rPr>
          <w:rFonts w:cs="Times New Roman"/>
          <w:sz w:val="20"/>
          <w:szCs w:val="20"/>
          <w:lang w:val="fr-CA"/>
        </w:rPr>
      </w:pPr>
      <w:r>
        <w:rPr>
          <w:sz w:val="20"/>
          <w:szCs w:val="20"/>
        </w:rPr>
        <w:pict>
          <v:rect id="_x0000_i1060" style="width:2in;height:1pt" o:hrpct="0" o:hralign="center" o:hrstd="t" o:hrnoshade="t" o:hr="t" fillcolor="black [3213]" stroked="f"/>
        </w:pict>
      </w:r>
    </w:p>
    <w:p w:rsidR="00D72D79" w:rsidRPr="00293EE1" w:rsidRDefault="00D72D79" w:rsidP="00D72D79">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2D79" w:rsidRPr="00293EE1" w:rsidTr="00C92DD5">
        <w:tc>
          <w:tcPr>
            <w:tcW w:w="543" w:type="pct"/>
          </w:tcPr>
          <w:p w:rsidR="00D72D79" w:rsidRPr="00293EE1" w:rsidRDefault="00D72D79" w:rsidP="00C92DD5">
            <w:pPr>
              <w:jc w:val="both"/>
              <w:rPr>
                <w:rFonts w:cs="Times New Roman"/>
                <w:sz w:val="20"/>
                <w:szCs w:val="20"/>
              </w:rPr>
            </w:pPr>
            <w:r w:rsidRPr="00293EE1">
              <w:rPr>
                <w:rStyle w:val="SCCFileNumberChar"/>
                <w:sz w:val="20"/>
                <w:szCs w:val="20"/>
              </w:rPr>
              <w:t>37381</w:t>
            </w:r>
          </w:p>
        </w:tc>
        <w:tc>
          <w:tcPr>
            <w:tcW w:w="4457" w:type="pct"/>
            <w:gridSpan w:val="3"/>
          </w:tcPr>
          <w:p w:rsidR="00D72D79" w:rsidRPr="00293EE1" w:rsidRDefault="00D72D79" w:rsidP="00C92DD5">
            <w:pPr>
              <w:pStyle w:val="SCCLsocParty"/>
              <w:jc w:val="both"/>
              <w:rPr>
                <w:b/>
                <w:sz w:val="20"/>
                <w:szCs w:val="20"/>
                <w:lang w:val="en-CA"/>
              </w:rPr>
            </w:pPr>
            <w:r w:rsidRPr="00293EE1">
              <w:rPr>
                <w:b/>
                <w:sz w:val="20"/>
                <w:szCs w:val="20"/>
                <w:lang w:val="en-CA"/>
              </w:rPr>
              <w:t>Town of Lorraine</w:t>
            </w:r>
            <w:r w:rsidR="00D51CE5" w:rsidRPr="00293EE1">
              <w:rPr>
                <w:b/>
                <w:sz w:val="20"/>
                <w:szCs w:val="20"/>
                <w:lang w:val="en-CA"/>
              </w:rPr>
              <w:t xml:space="preserve"> and</w:t>
            </w:r>
            <w:r w:rsidRPr="00293EE1">
              <w:rPr>
                <w:b/>
                <w:sz w:val="20"/>
                <w:szCs w:val="20"/>
                <w:lang w:val="en-CA"/>
              </w:rPr>
              <w:t xml:space="preserve"> Regional County Municipality of </w:t>
            </w:r>
            <w:proofErr w:type="spellStart"/>
            <w:r w:rsidRPr="00293EE1">
              <w:rPr>
                <w:b/>
                <w:sz w:val="20"/>
                <w:szCs w:val="20"/>
                <w:lang w:val="en-CA"/>
              </w:rPr>
              <w:t>Thérèse</w:t>
            </w:r>
            <w:proofErr w:type="spellEnd"/>
            <w:r w:rsidRPr="00293EE1">
              <w:rPr>
                <w:b/>
                <w:sz w:val="20"/>
                <w:szCs w:val="20"/>
                <w:lang w:val="en-CA"/>
              </w:rPr>
              <w:noBreakHyphen/>
              <w:t>de</w:t>
            </w:r>
            <w:r w:rsidRPr="00293EE1">
              <w:rPr>
                <w:b/>
                <w:sz w:val="20"/>
                <w:szCs w:val="20"/>
                <w:lang w:val="en-CA"/>
              </w:rPr>
              <w:noBreakHyphen/>
            </w:r>
            <w:proofErr w:type="spellStart"/>
            <w:r w:rsidRPr="00293EE1">
              <w:rPr>
                <w:b/>
                <w:sz w:val="20"/>
                <w:szCs w:val="20"/>
                <w:lang w:val="en-CA"/>
              </w:rPr>
              <w:t>Blainville</w:t>
            </w:r>
            <w:proofErr w:type="spellEnd"/>
            <w:r w:rsidRPr="00293EE1">
              <w:rPr>
                <w:b/>
                <w:sz w:val="20"/>
                <w:szCs w:val="20"/>
                <w:lang w:val="en-CA"/>
              </w:rPr>
              <w:t> v. 2646</w:t>
            </w:r>
            <w:r w:rsidRPr="00293EE1">
              <w:rPr>
                <w:b/>
                <w:sz w:val="20"/>
                <w:szCs w:val="20"/>
                <w:lang w:val="en-CA"/>
              </w:rPr>
              <w:noBreakHyphen/>
              <w:t xml:space="preserve">8926 Québec </w:t>
            </w:r>
            <w:proofErr w:type="spellStart"/>
            <w:r w:rsidRPr="00293EE1">
              <w:rPr>
                <w:b/>
                <w:sz w:val="20"/>
                <w:szCs w:val="20"/>
                <w:lang w:val="en-CA"/>
              </w:rPr>
              <w:t>inc.</w:t>
            </w:r>
            <w:proofErr w:type="spellEnd"/>
          </w:p>
          <w:p w:rsidR="00D72D79" w:rsidRPr="00293EE1" w:rsidRDefault="00D72D79" w:rsidP="00C92DD5">
            <w:pPr>
              <w:jc w:val="both"/>
              <w:rPr>
                <w:rFonts w:cs="Times New Roman"/>
                <w:sz w:val="20"/>
                <w:szCs w:val="20"/>
              </w:rPr>
            </w:pPr>
            <w:r w:rsidRPr="00293EE1">
              <w:rPr>
                <w:rFonts w:cs="Times New Roman"/>
                <w:sz w:val="20"/>
                <w:szCs w:val="20"/>
              </w:rPr>
              <w:t>(Que.) (Civil) (By Leave)</w:t>
            </w:r>
          </w:p>
        </w:tc>
      </w:tr>
      <w:tr w:rsidR="00D72D79" w:rsidRPr="00293EE1" w:rsidTr="00C92DD5">
        <w:tc>
          <w:tcPr>
            <w:tcW w:w="543" w:type="pct"/>
          </w:tcPr>
          <w:p w:rsidR="00D72D79" w:rsidRPr="00293EE1" w:rsidRDefault="00D72D79" w:rsidP="00C92DD5">
            <w:pPr>
              <w:jc w:val="both"/>
              <w:rPr>
                <w:rStyle w:val="SCCFileNumberChar"/>
                <w:sz w:val="20"/>
                <w:szCs w:val="20"/>
              </w:rPr>
            </w:pPr>
            <w:r w:rsidRPr="00293EE1">
              <w:rPr>
                <w:rStyle w:val="SCCFileNumberChar"/>
                <w:sz w:val="20"/>
                <w:szCs w:val="20"/>
              </w:rPr>
              <w:t>Coram:</w:t>
            </w:r>
          </w:p>
        </w:tc>
        <w:tc>
          <w:tcPr>
            <w:tcW w:w="4457" w:type="pct"/>
            <w:gridSpan w:val="3"/>
          </w:tcPr>
          <w:p w:rsidR="00D72D79" w:rsidRPr="00293EE1" w:rsidRDefault="006E4BEB" w:rsidP="00C92DD5">
            <w:pPr>
              <w:pStyle w:val="SCCLsocParty"/>
              <w:jc w:val="both"/>
              <w:rPr>
                <w:sz w:val="20"/>
                <w:szCs w:val="20"/>
                <w:lang w:val="en-CA"/>
              </w:rPr>
            </w:pPr>
            <w:proofErr w:type="spellStart"/>
            <w:r w:rsidRPr="00293EE1">
              <w:rPr>
                <w:sz w:val="20"/>
                <w:szCs w:val="20"/>
                <w:lang w:val="en-CA"/>
              </w:rPr>
              <w:t>McLachlin</w:t>
            </w:r>
            <w:proofErr w:type="spellEnd"/>
            <w:r w:rsidRPr="00293EE1">
              <w:rPr>
                <w:sz w:val="20"/>
                <w:szCs w:val="20"/>
                <w:lang w:val="en-CA"/>
              </w:rPr>
              <w:t xml:space="preserve"> C.J. and </w:t>
            </w:r>
            <w:proofErr w:type="spellStart"/>
            <w:r w:rsidRPr="00293EE1">
              <w:rPr>
                <w:sz w:val="20"/>
                <w:szCs w:val="20"/>
                <w:lang w:val="en-CA"/>
              </w:rPr>
              <w:t>Abella</w:t>
            </w:r>
            <w:proofErr w:type="spellEnd"/>
            <w:r w:rsidRPr="00293EE1">
              <w:rPr>
                <w:sz w:val="20"/>
                <w:szCs w:val="20"/>
                <w:lang w:val="en-CA"/>
              </w:rPr>
              <w:t xml:space="preserve">, </w:t>
            </w:r>
            <w:proofErr w:type="spellStart"/>
            <w:r w:rsidRPr="00293EE1">
              <w:rPr>
                <w:sz w:val="20"/>
                <w:szCs w:val="20"/>
                <w:lang w:val="en-CA"/>
              </w:rPr>
              <w:t>Moldaver</w:t>
            </w:r>
            <w:proofErr w:type="spellEnd"/>
            <w:r w:rsidRPr="00293EE1">
              <w:rPr>
                <w:sz w:val="20"/>
                <w:szCs w:val="20"/>
                <w:lang w:val="en-CA"/>
              </w:rPr>
              <w:t xml:space="preserve">, </w:t>
            </w:r>
            <w:proofErr w:type="spellStart"/>
            <w:r w:rsidRPr="00293EE1">
              <w:rPr>
                <w:sz w:val="20"/>
                <w:szCs w:val="20"/>
                <w:lang w:val="en-CA"/>
              </w:rPr>
              <w:t>Karakatsanis</w:t>
            </w:r>
            <w:proofErr w:type="spellEnd"/>
            <w:r w:rsidRPr="00293EE1">
              <w:rPr>
                <w:sz w:val="20"/>
                <w:szCs w:val="20"/>
                <w:lang w:val="en-CA"/>
              </w:rPr>
              <w:t xml:space="preserve">, Wagner, </w:t>
            </w:r>
            <w:proofErr w:type="spellStart"/>
            <w:r w:rsidRPr="00293EE1">
              <w:rPr>
                <w:sz w:val="20"/>
                <w:szCs w:val="20"/>
                <w:lang w:val="en-CA"/>
              </w:rPr>
              <w:t>Gascon</w:t>
            </w:r>
            <w:proofErr w:type="spellEnd"/>
            <w:r w:rsidRPr="00293EE1">
              <w:rPr>
                <w:sz w:val="20"/>
                <w:szCs w:val="20"/>
                <w:lang w:val="en-CA"/>
              </w:rPr>
              <w:t xml:space="preserve">, </w:t>
            </w:r>
            <w:proofErr w:type="spellStart"/>
            <w:r w:rsidRPr="00293EE1">
              <w:rPr>
                <w:sz w:val="20"/>
                <w:szCs w:val="20"/>
                <w:lang w:val="en-CA"/>
              </w:rPr>
              <w:t>Côté</w:t>
            </w:r>
            <w:proofErr w:type="spellEnd"/>
            <w:r w:rsidRPr="00293EE1">
              <w:rPr>
                <w:sz w:val="20"/>
                <w:szCs w:val="20"/>
                <w:lang w:val="en-CA"/>
              </w:rPr>
              <w:t>, Brown and Rowe JJ.</w:t>
            </w:r>
          </w:p>
        </w:tc>
      </w:tr>
      <w:tr w:rsidR="00D72D79" w:rsidRPr="00293EE1" w:rsidTr="00D72D79">
        <w:tc>
          <w:tcPr>
            <w:tcW w:w="5000" w:type="pct"/>
            <w:gridSpan w:val="4"/>
          </w:tcPr>
          <w:p w:rsidR="00D72D79" w:rsidRPr="00293EE1" w:rsidRDefault="006E4BEB" w:rsidP="00C92DD5">
            <w:pPr>
              <w:pStyle w:val="SCCLsocParty"/>
              <w:jc w:val="both"/>
              <w:rPr>
                <w:sz w:val="20"/>
                <w:szCs w:val="20"/>
                <w:lang w:val="en-CA"/>
              </w:rPr>
            </w:pPr>
            <w:r w:rsidRPr="00293EE1">
              <w:rPr>
                <w:sz w:val="20"/>
                <w:szCs w:val="20"/>
                <w:lang w:val="en-CA"/>
              </w:rPr>
              <w:t>The application for leave to appeal from the judgment of the Court of Appeal of Quebec (Montréal), Number 500-09-025517-152, 2016 QCCA 1803, dated November 7, 2016, is granted with costs to the applicants in the cause.</w:t>
            </w:r>
          </w:p>
          <w:p w:rsidR="006E4BEB" w:rsidRPr="00293EE1" w:rsidRDefault="006E4BEB" w:rsidP="006E4BEB"/>
        </w:tc>
      </w:tr>
      <w:tr w:rsidR="00D72D79" w:rsidRPr="00293EE1" w:rsidTr="00C92DD5">
        <w:tc>
          <w:tcPr>
            <w:tcW w:w="5000" w:type="pct"/>
            <w:gridSpan w:val="4"/>
          </w:tcPr>
          <w:p w:rsidR="00D72D79" w:rsidRPr="00293EE1" w:rsidRDefault="00D72D79" w:rsidP="00C92DD5">
            <w:pPr>
              <w:pStyle w:val="SCCBanSummary"/>
              <w:rPr>
                <w:sz w:val="20"/>
                <w:szCs w:val="20"/>
              </w:rPr>
            </w:pPr>
            <w:r w:rsidRPr="00293EE1">
              <w:rPr>
                <w:smallCaps w:val="0"/>
                <w:sz w:val="20"/>
                <w:szCs w:val="20"/>
              </w:rPr>
              <w:t>Municipal law – By</w:t>
            </w:r>
            <w:r w:rsidRPr="00293EE1">
              <w:rPr>
                <w:smallCaps w:val="0"/>
                <w:sz w:val="20"/>
                <w:szCs w:val="20"/>
              </w:rPr>
              <w:noBreakHyphen/>
              <w:t>law – Validity – Excess of jurisdiction – Disguised expropriation – Reasonable time for instituting action in nullity – Whether adoption of restrictive zoning by</w:t>
            </w:r>
            <w:r w:rsidRPr="00293EE1">
              <w:rPr>
                <w:smallCaps w:val="0"/>
                <w:sz w:val="20"/>
                <w:szCs w:val="20"/>
              </w:rPr>
              <w:noBreakHyphen/>
              <w:t>law, in this case by</w:t>
            </w:r>
            <w:r w:rsidRPr="00293EE1">
              <w:rPr>
                <w:smallCaps w:val="0"/>
                <w:sz w:val="20"/>
                <w:szCs w:val="20"/>
              </w:rPr>
              <w:noBreakHyphen/>
              <w:t xml:space="preserve">law creating conservation zone, in itself constituted abuse of power and was therefore </w:t>
            </w:r>
            <w:r w:rsidRPr="00293EE1">
              <w:rPr>
                <w:i/>
                <w:smallCaps w:val="0"/>
                <w:sz w:val="20"/>
                <w:szCs w:val="20"/>
              </w:rPr>
              <w:t>ultra vires</w:t>
            </w:r>
            <w:r w:rsidRPr="00293EE1">
              <w:rPr>
                <w:smallCaps w:val="0"/>
                <w:sz w:val="20"/>
                <w:szCs w:val="20"/>
              </w:rPr>
              <w:t xml:space="preserve"> act – </w:t>
            </w:r>
            <w:r w:rsidRPr="00293EE1">
              <w:rPr>
                <w:i/>
                <w:smallCaps w:val="0"/>
                <w:sz w:val="20"/>
                <w:szCs w:val="20"/>
              </w:rPr>
              <w:t xml:space="preserve">Civil Code of Québec, </w:t>
            </w:r>
            <w:r w:rsidRPr="00293EE1">
              <w:rPr>
                <w:smallCaps w:val="0"/>
                <w:sz w:val="20"/>
                <w:szCs w:val="20"/>
              </w:rPr>
              <w:t>art. 952</w:t>
            </w:r>
            <w:r w:rsidRPr="00293EE1">
              <w:rPr>
                <w:i/>
                <w:smallCaps w:val="0"/>
                <w:sz w:val="20"/>
                <w:szCs w:val="20"/>
              </w:rPr>
              <w:t>.</w:t>
            </w:r>
          </w:p>
        </w:tc>
      </w:tr>
      <w:tr w:rsidR="00D72D79" w:rsidRPr="00293EE1" w:rsidTr="00C92DD5">
        <w:tc>
          <w:tcPr>
            <w:tcW w:w="5000" w:type="pct"/>
            <w:gridSpan w:val="4"/>
          </w:tcPr>
          <w:p w:rsidR="00D72D79" w:rsidRPr="00293EE1" w:rsidRDefault="00D72D79" w:rsidP="00C92DD5">
            <w:pPr>
              <w:jc w:val="both"/>
              <w:rPr>
                <w:rFonts w:cs="Times New Roman"/>
                <w:sz w:val="20"/>
                <w:szCs w:val="20"/>
              </w:rPr>
            </w:pPr>
          </w:p>
        </w:tc>
      </w:tr>
      <w:tr w:rsidR="00D72D79" w:rsidRPr="00293EE1" w:rsidTr="00C92DD5">
        <w:tc>
          <w:tcPr>
            <w:tcW w:w="5000" w:type="pct"/>
            <w:gridSpan w:val="4"/>
          </w:tcPr>
          <w:p w:rsidR="00D72D79" w:rsidRPr="00293EE1" w:rsidRDefault="00D72D79" w:rsidP="00C92DD5">
            <w:pPr>
              <w:jc w:val="both"/>
              <w:rPr>
                <w:rFonts w:cs="Times New Roman"/>
                <w:sz w:val="20"/>
                <w:szCs w:val="20"/>
              </w:rPr>
            </w:pPr>
            <w:r w:rsidRPr="00293EE1">
              <w:rPr>
                <w:rFonts w:cs="Times New Roman"/>
                <w:sz w:val="20"/>
                <w:szCs w:val="20"/>
              </w:rPr>
              <w:t>On July 7, 1989, the respondent 2646</w:t>
            </w:r>
            <w:r w:rsidRPr="00293EE1">
              <w:rPr>
                <w:rFonts w:cs="Times New Roman"/>
                <w:sz w:val="20"/>
                <w:szCs w:val="20"/>
              </w:rPr>
              <w:noBreakHyphen/>
              <w:t xml:space="preserve">8926 Québec </w:t>
            </w:r>
            <w:proofErr w:type="spellStart"/>
            <w:r w:rsidRPr="00293EE1">
              <w:rPr>
                <w:rFonts w:cs="Times New Roman"/>
                <w:sz w:val="20"/>
                <w:szCs w:val="20"/>
              </w:rPr>
              <w:t>inc.</w:t>
            </w:r>
            <w:proofErr w:type="spellEnd"/>
            <w:r w:rsidRPr="00293EE1">
              <w:rPr>
                <w:rFonts w:cs="Times New Roman"/>
                <w:sz w:val="20"/>
                <w:szCs w:val="20"/>
              </w:rPr>
              <w:t xml:space="preserve"> paid $1,286,000 to purchase land in a residential zone of the applicant Town of Lorraine. In 1991, the Town passed a by</w:t>
            </w:r>
            <w:r w:rsidRPr="00293EE1">
              <w:rPr>
                <w:rFonts w:cs="Times New Roman"/>
                <w:sz w:val="20"/>
                <w:szCs w:val="20"/>
              </w:rPr>
              <w:noBreakHyphen/>
              <w:t>law (by</w:t>
            </w:r>
            <w:r w:rsidRPr="00293EE1">
              <w:rPr>
                <w:rFonts w:cs="Times New Roman"/>
                <w:sz w:val="20"/>
                <w:szCs w:val="20"/>
              </w:rPr>
              <w:noBreakHyphen/>
              <w:t>law U</w:t>
            </w:r>
            <w:r w:rsidRPr="00293EE1">
              <w:rPr>
                <w:rFonts w:cs="Times New Roman"/>
                <w:sz w:val="20"/>
                <w:szCs w:val="20"/>
              </w:rPr>
              <w:noBreakHyphen/>
              <w:t>91, replaced in 2010 by by</w:t>
            </w:r>
            <w:r w:rsidRPr="00293EE1">
              <w:rPr>
                <w:rFonts w:cs="Times New Roman"/>
                <w:sz w:val="20"/>
                <w:szCs w:val="20"/>
              </w:rPr>
              <w:noBreakHyphen/>
              <w:t>law URB</w:t>
            </w:r>
            <w:r w:rsidRPr="00293EE1">
              <w:rPr>
                <w:rFonts w:cs="Times New Roman"/>
                <w:sz w:val="20"/>
                <w:szCs w:val="20"/>
              </w:rPr>
              <w:noBreakHyphen/>
              <w:t>03) that changed the zoning for 60% of the respondent’s land in order to create a conservation zone, thereby preventing any residential development on that part of the land. In late 2001, the respondent’s majority shareholder learned of the by</w:t>
            </w:r>
            <w:r w:rsidRPr="00293EE1">
              <w:rPr>
                <w:rFonts w:cs="Times New Roman"/>
                <w:sz w:val="20"/>
                <w:szCs w:val="20"/>
              </w:rPr>
              <w:noBreakHyphen/>
              <w:t>law and discovered that the applicant had put in some infrastructures for hiking and cross</w:t>
            </w:r>
            <w:r w:rsidRPr="00293EE1">
              <w:rPr>
                <w:rFonts w:cs="Times New Roman"/>
                <w:sz w:val="20"/>
                <w:szCs w:val="20"/>
              </w:rPr>
              <w:noBreakHyphen/>
              <w:t>country skiing on part of its land, including culverts, stairs, fences and public benches. After contacting the Town, which refused to amend its by</w:t>
            </w:r>
            <w:r w:rsidRPr="00293EE1">
              <w:rPr>
                <w:rFonts w:cs="Times New Roman"/>
                <w:sz w:val="20"/>
                <w:szCs w:val="20"/>
              </w:rPr>
              <w:noBreakHyphen/>
              <w:t>law, the respondent brought an action in nullity against the by</w:t>
            </w:r>
            <w:r w:rsidRPr="00293EE1">
              <w:rPr>
                <w:rFonts w:cs="Times New Roman"/>
                <w:sz w:val="20"/>
                <w:szCs w:val="20"/>
              </w:rPr>
              <w:noBreakHyphen/>
              <w:t>law in November 2007, seeking damages and the removal of the infrastructures. It also brought an action in nullity against by</w:t>
            </w:r>
            <w:r w:rsidRPr="00293EE1">
              <w:rPr>
                <w:rFonts w:cs="Times New Roman"/>
                <w:sz w:val="20"/>
                <w:szCs w:val="20"/>
              </w:rPr>
              <w:noBreakHyphen/>
              <w:t>law 10</w:t>
            </w:r>
            <w:r w:rsidRPr="00293EE1">
              <w:rPr>
                <w:rFonts w:cs="Times New Roman"/>
                <w:sz w:val="20"/>
                <w:szCs w:val="20"/>
              </w:rPr>
              <w:noBreakHyphen/>
              <w:t xml:space="preserve">02 of the applicant Regional County Municipality of </w:t>
            </w:r>
            <w:proofErr w:type="spellStart"/>
            <w:r w:rsidRPr="00293EE1">
              <w:rPr>
                <w:rFonts w:cs="Times New Roman"/>
                <w:sz w:val="20"/>
                <w:szCs w:val="20"/>
              </w:rPr>
              <w:t>Thérèse</w:t>
            </w:r>
            <w:proofErr w:type="spellEnd"/>
            <w:r w:rsidRPr="00293EE1">
              <w:rPr>
                <w:rFonts w:cs="Times New Roman"/>
                <w:sz w:val="20"/>
                <w:szCs w:val="20"/>
              </w:rPr>
              <w:noBreakHyphen/>
              <w:t>de</w:t>
            </w:r>
            <w:r w:rsidRPr="00293EE1">
              <w:rPr>
                <w:rFonts w:cs="Times New Roman"/>
                <w:sz w:val="20"/>
                <w:szCs w:val="20"/>
              </w:rPr>
              <w:noBreakHyphen/>
            </w:r>
            <w:proofErr w:type="spellStart"/>
            <w:r w:rsidRPr="00293EE1">
              <w:rPr>
                <w:rFonts w:cs="Times New Roman"/>
                <w:sz w:val="20"/>
                <w:szCs w:val="20"/>
              </w:rPr>
              <w:t>Blainville</w:t>
            </w:r>
            <w:proofErr w:type="spellEnd"/>
            <w:r w:rsidRPr="00293EE1">
              <w:rPr>
                <w:rFonts w:cs="Times New Roman"/>
                <w:sz w:val="20"/>
                <w:szCs w:val="20"/>
              </w:rPr>
              <w:t xml:space="preserve">, which implemented a development plan that also changed the zoning for the respondent’s land. </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July 7, 2015</w:t>
            </w:r>
          </w:p>
          <w:p w:rsidR="00D72D79" w:rsidRPr="00293EE1" w:rsidRDefault="00D72D79" w:rsidP="00C92DD5">
            <w:pPr>
              <w:jc w:val="both"/>
              <w:rPr>
                <w:rFonts w:cs="Times New Roman"/>
                <w:sz w:val="20"/>
                <w:szCs w:val="20"/>
              </w:rPr>
            </w:pPr>
            <w:r w:rsidRPr="00293EE1">
              <w:rPr>
                <w:rFonts w:cs="Times New Roman"/>
                <w:sz w:val="20"/>
                <w:szCs w:val="20"/>
              </w:rPr>
              <w:t>Quebec Superior Court</w:t>
            </w:r>
          </w:p>
          <w:p w:rsidR="00D72D79" w:rsidRPr="00293EE1" w:rsidRDefault="00D72D79" w:rsidP="00C92DD5">
            <w:pPr>
              <w:jc w:val="both"/>
              <w:rPr>
                <w:rFonts w:cs="Times New Roman"/>
                <w:sz w:val="20"/>
                <w:szCs w:val="20"/>
              </w:rPr>
            </w:pPr>
            <w:r w:rsidRPr="00293EE1">
              <w:rPr>
                <w:rFonts w:cs="Times New Roman"/>
                <w:sz w:val="20"/>
                <w:szCs w:val="20"/>
              </w:rPr>
              <w:t>(Emery J.)</w:t>
            </w:r>
          </w:p>
          <w:p w:rsidR="00D72D79" w:rsidRPr="00293EE1" w:rsidRDefault="00B2512D" w:rsidP="00C92DD5">
            <w:pPr>
              <w:jc w:val="both"/>
              <w:rPr>
                <w:rFonts w:cs="Times New Roman"/>
                <w:sz w:val="20"/>
                <w:szCs w:val="20"/>
              </w:rPr>
            </w:pPr>
            <w:hyperlink r:id="rId49" w:history="1">
              <w:r w:rsidR="00D72D79" w:rsidRPr="00293EE1">
                <w:rPr>
                  <w:rStyle w:val="Hyperlink"/>
                  <w:rFonts w:cs="Times New Roman"/>
                  <w:sz w:val="20"/>
                  <w:szCs w:val="20"/>
                </w:rPr>
                <w:t>2015 QCCS 3135</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Action in nullity dismissed</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November 7, 2016</w:t>
            </w:r>
          </w:p>
          <w:p w:rsidR="00D72D79" w:rsidRPr="00293EE1" w:rsidRDefault="00D72D79" w:rsidP="00C92DD5">
            <w:pPr>
              <w:jc w:val="both"/>
              <w:rPr>
                <w:rFonts w:cs="Times New Roman"/>
                <w:sz w:val="20"/>
                <w:szCs w:val="20"/>
              </w:rPr>
            </w:pPr>
            <w:r w:rsidRPr="00293EE1">
              <w:rPr>
                <w:rFonts w:cs="Times New Roman"/>
                <w:sz w:val="20"/>
                <w:szCs w:val="20"/>
              </w:rPr>
              <w:t>Quebec Court of Appeal (Montréal)</w:t>
            </w:r>
          </w:p>
          <w:p w:rsidR="00D72D79" w:rsidRPr="00293EE1" w:rsidRDefault="00D72D79" w:rsidP="00C92DD5">
            <w:pPr>
              <w:jc w:val="both"/>
              <w:rPr>
                <w:rFonts w:cs="Times New Roman"/>
                <w:sz w:val="20"/>
                <w:szCs w:val="20"/>
              </w:rPr>
            </w:pPr>
            <w:r w:rsidRPr="00293EE1">
              <w:rPr>
                <w:rFonts w:cs="Times New Roman"/>
                <w:sz w:val="20"/>
                <w:szCs w:val="20"/>
              </w:rPr>
              <w:t>(</w:t>
            </w:r>
            <w:proofErr w:type="spellStart"/>
            <w:r w:rsidRPr="00293EE1">
              <w:rPr>
                <w:rFonts w:cs="Times New Roman"/>
                <w:sz w:val="20"/>
                <w:szCs w:val="20"/>
              </w:rPr>
              <w:t>Dutil</w:t>
            </w:r>
            <w:proofErr w:type="spellEnd"/>
            <w:r w:rsidRPr="00293EE1">
              <w:rPr>
                <w:rFonts w:cs="Times New Roman"/>
                <w:sz w:val="20"/>
                <w:szCs w:val="20"/>
              </w:rPr>
              <w:t>, Schrager and Parent JJ.A.)</w:t>
            </w:r>
          </w:p>
          <w:p w:rsidR="00D72D79" w:rsidRPr="00293EE1" w:rsidRDefault="00B2512D" w:rsidP="00C92DD5">
            <w:pPr>
              <w:jc w:val="both"/>
              <w:rPr>
                <w:rFonts w:cs="Times New Roman"/>
                <w:sz w:val="20"/>
                <w:szCs w:val="20"/>
              </w:rPr>
            </w:pPr>
            <w:hyperlink r:id="rId50" w:history="1">
              <w:r w:rsidR="00D72D79" w:rsidRPr="00293EE1">
                <w:rPr>
                  <w:rStyle w:val="Hyperlink"/>
                  <w:rFonts w:cs="Times New Roman"/>
                  <w:sz w:val="20"/>
                  <w:szCs w:val="20"/>
                </w:rPr>
                <w:t>2016 QCCA 1803</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 xml:space="preserve">Appeal allowed </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January 6, 2017</w:t>
            </w:r>
          </w:p>
          <w:p w:rsidR="00D72D79" w:rsidRPr="00293EE1" w:rsidRDefault="00D72D79" w:rsidP="00C92DD5">
            <w:pPr>
              <w:jc w:val="both"/>
              <w:rPr>
                <w:rFonts w:cs="Times New Roman"/>
                <w:sz w:val="20"/>
                <w:szCs w:val="20"/>
              </w:rPr>
            </w:pPr>
            <w:r w:rsidRPr="00293EE1">
              <w:rPr>
                <w:rFonts w:cs="Times New Roman"/>
                <w:sz w:val="20"/>
                <w:szCs w:val="20"/>
              </w:rPr>
              <w:t>Supreme Court of Canada</w:t>
            </w:r>
          </w:p>
        </w:tc>
        <w:tc>
          <w:tcPr>
            <w:tcW w:w="243" w:type="pct"/>
          </w:tcPr>
          <w:p w:rsidR="00D72D79" w:rsidRPr="00293EE1" w:rsidRDefault="00D72D79" w:rsidP="00C92DD5">
            <w:pPr>
              <w:jc w:val="both"/>
              <w:rPr>
                <w:rFonts w:cs="Times New Roman"/>
                <w:sz w:val="20"/>
                <w:szCs w:val="20"/>
              </w:rPr>
            </w:pPr>
          </w:p>
        </w:tc>
        <w:tc>
          <w:tcPr>
            <w:tcW w:w="2330" w:type="pct"/>
            <w:tcBorders>
              <w:bottom w:val="dotted" w:sz="4" w:space="0" w:color="auto"/>
            </w:tcBorders>
          </w:tcPr>
          <w:p w:rsidR="00D72D79" w:rsidRPr="00293EE1" w:rsidRDefault="00D72D79" w:rsidP="00C92DD5">
            <w:pPr>
              <w:jc w:val="both"/>
              <w:rPr>
                <w:rFonts w:cs="Times New Roman"/>
                <w:sz w:val="20"/>
                <w:szCs w:val="20"/>
              </w:rPr>
            </w:pPr>
            <w:r w:rsidRPr="00293EE1">
              <w:rPr>
                <w:rFonts w:cs="Times New Roman"/>
                <w:sz w:val="20"/>
                <w:szCs w:val="20"/>
              </w:rPr>
              <w:t>Application for leave to appeal filed</w:t>
            </w:r>
          </w:p>
          <w:p w:rsidR="00D72D79" w:rsidRPr="00293EE1" w:rsidRDefault="00D72D79" w:rsidP="00C92DD5">
            <w:pPr>
              <w:jc w:val="both"/>
              <w:rPr>
                <w:rFonts w:cs="Times New Roman"/>
                <w:sz w:val="20"/>
                <w:szCs w:val="20"/>
              </w:rPr>
            </w:pPr>
          </w:p>
        </w:tc>
      </w:tr>
    </w:tbl>
    <w:p w:rsidR="00D72D79" w:rsidRPr="00293EE1" w:rsidRDefault="00B2512D" w:rsidP="00D72D79">
      <w:pPr>
        <w:jc w:val="both"/>
        <w:rPr>
          <w:rFonts w:cs="Times New Roman"/>
          <w:sz w:val="20"/>
          <w:szCs w:val="20"/>
        </w:rPr>
      </w:pPr>
      <w:r>
        <w:rPr>
          <w:sz w:val="20"/>
          <w:szCs w:val="20"/>
        </w:rPr>
        <w:pict>
          <v:rect id="_x0000_i1061" style="width:2in;height:1pt" o:hrpct="0" o:hralign="center" o:hrstd="t" o:hrnoshade="t" o:hr="t" fillcolor="black [3213]" stroked="f"/>
        </w:pict>
      </w:r>
    </w:p>
    <w:p w:rsidR="00D72D79" w:rsidRPr="00293EE1" w:rsidRDefault="00D72D79" w:rsidP="00D72D79">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2D79" w:rsidRPr="00293EE1" w:rsidTr="00C92DD5">
        <w:tc>
          <w:tcPr>
            <w:tcW w:w="543" w:type="pct"/>
          </w:tcPr>
          <w:p w:rsidR="00D72D79" w:rsidRPr="00293EE1" w:rsidRDefault="00D72D79" w:rsidP="00C92DD5">
            <w:pPr>
              <w:jc w:val="both"/>
              <w:rPr>
                <w:rFonts w:cs="Times New Roman"/>
                <w:sz w:val="20"/>
                <w:szCs w:val="20"/>
              </w:rPr>
            </w:pPr>
            <w:r w:rsidRPr="00293EE1">
              <w:rPr>
                <w:rStyle w:val="SCCFileNumberChar"/>
                <w:sz w:val="20"/>
                <w:szCs w:val="20"/>
              </w:rPr>
              <w:t>37381</w:t>
            </w:r>
          </w:p>
        </w:tc>
        <w:tc>
          <w:tcPr>
            <w:tcW w:w="4457" w:type="pct"/>
            <w:gridSpan w:val="3"/>
          </w:tcPr>
          <w:p w:rsidR="00D72D79" w:rsidRPr="00293EE1" w:rsidRDefault="00D72D79" w:rsidP="00C92DD5">
            <w:pPr>
              <w:pStyle w:val="SCCLsocParty"/>
              <w:jc w:val="both"/>
              <w:rPr>
                <w:b/>
                <w:sz w:val="20"/>
                <w:szCs w:val="20"/>
              </w:rPr>
            </w:pPr>
            <w:r w:rsidRPr="00293EE1">
              <w:rPr>
                <w:b/>
                <w:sz w:val="20"/>
                <w:szCs w:val="20"/>
              </w:rPr>
              <w:t>Ville de Lorraine</w:t>
            </w:r>
            <w:r w:rsidR="00340552" w:rsidRPr="00293EE1">
              <w:rPr>
                <w:b/>
                <w:sz w:val="20"/>
                <w:szCs w:val="20"/>
              </w:rPr>
              <w:t xml:space="preserve"> et</w:t>
            </w:r>
            <w:r w:rsidRPr="00293EE1">
              <w:rPr>
                <w:b/>
                <w:sz w:val="20"/>
                <w:szCs w:val="20"/>
              </w:rPr>
              <w:t xml:space="preserve"> Municipalité Régionale de Comté de Thérèse-de-Blainville c. 2646-8926 Québec </w:t>
            </w:r>
            <w:proofErr w:type="spellStart"/>
            <w:r w:rsidRPr="00293EE1">
              <w:rPr>
                <w:b/>
                <w:sz w:val="20"/>
                <w:szCs w:val="20"/>
              </w:rPr>
              <w:t>inc.</w:t>
            </w:r>
            <w:proofErr w:type="spellEnd"/>
          </w:p>
          <w:p w:rsidR="00D72D79" w:rsidRPr="00293EE1" w:rsidRDefault="00D72D79" w:rsidP="00C92DD5">
            <w:pPr>
              <w:jc w:val="both"/>
              <w:rPr>
                <w:rFonts w:cs="Times New Roman"/>
                <w:sz w:val="20"/>
                <w:szCs w:val="20"/>
              </w:rPr>
            </w:pPr>
            <w:r w:rsidRPr="00293EE1">
              <w:rPr>
                <w:rFonts w:cs="Times New Roman"/>
                <w:sz w:val="20"/>
                <w:szCs w:val="20"/>
              </w:rPr>
              <w:t>(Qc) (</w:t>
            </w:r>
            <w:proofErr w:type="spellStart"/>
            <w:r w:rsidRPr="00293EE1">
              <w:rPr>
                <w:rFonts w:cs="Times New Roman"/>
                <w:sz w:val="20"/>
                <w:szCs w:val="20"/>
              </w:rPr>
              <w:t>Civile</w:t>
            </w:r>
            <w:proofErr w:type="spellEnd"/>
            <w:r w:rsidRPr="00293EE1">
              <w:rPr>
                <w:rFonts w:cs="Times New Roman"/>
                <w:sz w:val="20"/>
                <w:szCs w:val="20"/>
              </w:rPr>
              <w:t>) (</w:t>
            </w:r>
            <w:proofErr w:type="spellStart"/>
            <w:r w:rsidRPr="00293EE1">
              <w:rPr>
                <w:rFonts w:cs="Times New Roman"/>
                <w:sz w:val="20"/>
                <w:szCs w:val="20"/>
              </w:rPr>
              <w:t>Autorisation</w:t>
            </w:r>
            <w:proofErr w:type="spellEnd"/>
            <w:r w:rsidRPr="00293EE1">
              <w:rPr>
                <w:rFonts w:cs="Times New Roman"/>
                <w:sz w:val="20"/>
                <w:szCs w:val="20"/>
              </w:rPr>
              <w:t>)</w:t>
            </w:r>
          </w:p>
        </w:tc>
      </w:tr>
      <w:tr w:rsidR="00D72D79" w:rsidRPr="00B2512D" w:rsidTr="00C92DD5">
        <w:tc>
          <w:tcPr>
            <w:tcW w:w="543" w:type="pct"/>
          </w:tcPr>
          <w:p w:rsidR="00D72D79" w:rsidRPr="00293EE1" w:rsidRDefault="00D72D79" w:rsidP="00C92DD5">
            <w:pPr>
              <w:jc w:val="both"/>
              <w:rPr>
                <w:rStyle w:val="SCCFileNumberChar"/>
                <w:sz w:val="20"/>
                <w:szCs w:val="20"/>
              </w:rPr>
            </w:pPr>
            <w:r w:rsidRPr="00293EE1">
              <w:rPr>
                <w:rStyle w:val="SCCFileNumberChar"/>
                <w:sz w:val="20"/>
                <w:szCs w:val="20"/>
              </w:rPr>
              <w:t>Coram:</w:t>
            </w:r>
          </w:p>
        </w:tc>
        <w:tc>
          <w:tcPr>
            <w:tcW w:w="4457" w:type="pct"/>
            <w:gridSpan w:val="3"/>
          </w:tcPr>
          <w:p w:rsidR="00D72D79" w:rsidRPr="00293EE1" w:rsidRDefault="006E4BEB" w:rsidP="00C92DD5">
            <w:pPr>
              <w:pStyle w:val="SCCLsocParty"/>
              <w:jc w:val="both"/>
              <w:rPr>
                <w:sz w:val="20"/>
                <w:szCs w:val="20"/>
              </w:rPr>
            </w:pPr>
            <w:r w:rsidRPr="00293EE1">
              <w:rPr>
                <w:sz w:val="20"/>
                <w:szCs w:val="20"/>
              </w:rPr>
              <w:t xml:space="preserve">La juge en chef </w:t>
            </w:r>
            <w:proofErr w:type="spellStart"/>
            <w:r w:rsidRPr="00293EE1">
              <w:rPr>
                <w:sz w:val="20"/>
                <w:szCs w:val="20"/>
              </w:rPr>
              <w:t>McLachlin</w:t>
            </w:r>
            <w:proofErr w:type="spellEnd"/>
            <w:r w:rsidRPr="00293EE1">
              <w:rPr>
                <w:sz w:val="20"/>
                <w:szCs w:val="20"/>
              </w:rPr>
              <w:t xml:space="preserve"> et les juges Abella, </w:t>
            </w:r>
            <w:proofErr w:type="spellStart"/>
            <w:r w:rsidRPr="00293EE1">
              <w:rPr>
                <w:sz w:val="20"/>
                <w:szCs w:val="20"/>
              </w:rPr>
              <w:t>Moldaver</w:t>
            </w:r>
            <w:proofErr w:type="spellEnd"/>
            <w:r w:rsidRPr="00293EE1">
              <w:rPr>
                <w:sz w:val="20"/>
                <w:szCs w:val="20"/>
              </w:rPr>
              <w:t xml:space="preserve">, </w:t>
            </w:r>
            <w:proofErr w:type="spellStart"/>
            <w:r w:rsidRPr="00293EE1">
              <w:rPr>
                <w:sz w:val="20"/>
                <w:szCs w:val="20"/>
              </w:rPr>
              <w:t>Karakatsanis</w:t>
            </w:r>
            <w:proofErr w:type="spellEnd"/>
            <w:r w:rsidRPr="00293EE1">
              <w:rPr>
                <w:sz w:val="20"/>
                <w:szCs w:val="20"/>
              </w:rPr>
              <w:t>, Wagner, Gascon, Côté, Brown et Rowe</w:t>
            </w:r>
          </w:p>
        </w:tc>
      </w:tr>
      <w:tr w:rsidR="00D72D79" w:rsidRPr="00B2512D" w:rsidTr="00D72D79">
        <w:tc>
          <w:tcPr>
            <w:tcW w:w="5000" w:type="pct"/>
            <w:gridSpan w:val="4"/>
          </w:tcPr>
          <w:p w:rsidR="00D72D79" w:rsidRPr="00293EE1" w:rsidRDefault="006E4BEB" w:rsidP="00C92DD5">
            <w:pPr>
              <w:pStyle w:val="SCCLsocParty"/>
              <w:jc w:val="both"/>
              <w:rPr>
                <w:sz w:val="20"/>
                <w:szCs w:val="20"/>
              </w:rPr>
            </w:pPr>
            <w:r w:rsidRPr="00293EE1">
              <w:rPr>
                <w:sz w:val="20"/>
                <w:szCs w:val="20"/>
              </w:rPr>
              <w:t>La demande d’autorisation d’appel de l’arrêt de la Cour d’appel du Québec (Montréal), numéro 500-09-025517-152, 2016 QCCA 1803, daté du 7 novembre 2016, est accueillie avec dépens aux demanderesses suivant l’issue de la cause.</w:t>
            </w:r>
          </w:p>
          <w:p w:rsidR="006E4BEB" w:rsidRPr="00293EE1" w:rsidRDefault="006E4BEB" w:rsidP="006E4BEB">
            <w:pPr>
              <w:rPr>
                <w:lang w:val="fr-CA"/>
              </w:rPr>
            </w:pPr>
          </w:p>
        </w:tc>
      </w:tr>
      <w:tr w:rsidR="00D72D79" w:rsidRPr="00B2512D" w:rsidTr="00C92DD5">
        <w:tc>
          <w:tcPr>
            <w:tcW w:w="5000" w:type="pct"/>
            <w:gridSpan w:val="4"/>
          </w:tcPr>
          <w:p w:rsidR="00D72D79" w:rsidRPr="00293EE1" w:rsidRDefault="00D72D79" w:rsidP="00C92DD5">
            <w:pPr>
              <w:pStyle w:val="SCCBanSummary"/>
              <w:rPr>
                <w:sz w:val="20"/>
                <w:szCs w:val="20"/>
                <w:lang w:val="fr-CA"/>
              </w:rPr>
            </w:pPr>
            <w:r w:rsidRPr="00293EE1">
              <w:rPr>
                <w:smallCaps w:val="0"/>
                <w:sz w:val="20"/>
                <w:szCs w:val="20"/>
                <w:lang w:val="fr-CA"/>
              </w:rPr>
              <w:t xml:space="preserve">Droit municipal – Règlement – Validité – Abus de compétence – Expropriation déguisée – Délai raisonnable pour entreprendre une action en nullité – L’adoption d’un règlement de zonage restrictif, en l’espèce un règlement créant une zone de conservation, constitue-t-elle en soi un abus de pouvoir et, en conséquence, un acte </w:t>
            </w:r>
            <w:r w:rsidRPr="00293EE1">
              <w:rPr>
                <w:i/>
                <w:smallCaps w:val="0"/>
                <w:sz w:val="20"/>
                <w:szCs w:val="20"/>
                <w:lang w:val="fr-CA"/>
              </w:rPr>
              <w:t>ultra vires</w:t>
            </w:r>
            <w:r w:rsidRPr="00293EE1">
              <w:rPr>
                <w:smallCaps w:val="0"/>
                <w:sz w:val="20"/>
                <w:szCs w:val="20"/>
                <w:lang w:val="fr-CA"/>
              </w:rPr>
              <w:t xml:space="preserve">? – </w:t>
            </w:r>
            <w:r w:rsidRPr="00293EE1">
              <w:rPr>
                <w:i/>
                <w:smallCaps w:val="0"/>
                <w:sz w:val="20"/>
                <w:szCs w:val="20"/>
                <w:lang w:val="fr-CA"/>
              </w:rPr>
              <w:t xml:space="preserve">Code civil du Québec, </w:t>
            </w:r>
            <w:r w:rsidRPr="00293EE1">
              <w:rPr>
                <w:smallCaps w:val="0"/>
                <w:sz w:val="20"/>
                <w:szCs w:val="20"/>
                <w:lang w:val="fr-CA"/>
              </w:rPr>
              <w:t>art. 952</w:t>
            </w:r>
            <w:r w:rsidRPr="00293EE1">
              <w:rPr>
                <w:i/>
                <w:smallCaps w:val="0"/>
                <w:sz w:val="20"/>
                <w:szCs w:val="20"/>
                <w:lang w:val="fr-CA"/>
              </w:rPr>
              <w:t>.</w:t>
            </w:r>
          </w:p>
        </w:tc>
      </w:tr>
      <w:tr w:rsidR="00D72D79" w:rsidRPr="00B2512D" w:rsidTr="00C92DD5">
        <w:tc>
          <w:tcPr>
            <w:tcW w:w="5000" w:type="pct"/>
            <w:gridSpan w:val="4"/>
          </w:tcPr>
          <w:p w:rsidR="00D72D79" w:rsidRPr="00293EE1" w:rsidRDefault="00D72D79" w:rsidP="00C92DD5">
            <w:pPr>
              <w:jc w:val="both"/>
              <w:rPr>
                <w:rFonts w:cs="Times New Roman"/>
                <w:sz w:val="20"/>
                <w:szCs w:val="20"/>
                <w:lang w:val="fr-CA"/>
              </w:rPr>
            </w:pPr>
          </w:p>
        </w:tc>
      </w:tr>
      <w:tr w:rsidR="00D72D79" w:rsidRPr="00B2512D" w:rsidTr="00C92DD5">
        <w:tc>
          <w:tcPr>
            <w:tcW w:w="5000" w:type="pct"/>
            <w:gridSpan w:val="4"/>
          </w:tcPr>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Le 7 juillet 1989, l’intimée, 2646-8926 Québec </w:t>
            </w:r>
            <w:proofErr w:type="spellStart"/>
            <w:r w:rsidRPr="00293EE1">
              <w:rPr>
                <w:rFonts w:cs="Times New Roman"/>
                <w:sz w:val="20"/>
                <w:szCs w:val="20"/>
                <w:lang w:val="fr-CA"/>
              </w:rPr>
              <w:t>inc.</w:t>
            </w:r>
            <w:proofErr w:type="spellEnd"/>
            <w:r w:rsidRPr="00293EE1">
              <w:rPr>
                <w:rFonts w:cs="Times New Roman"/>
                <w:sz w:val="20"/>
                <w:szCs w:val="20"/>
                <w:lang w:val="fr-CA"/>
              </w:rPr>
              <w:t xml:space="preserve"> acquiert un terrain au prix de 1 286 000 $ situé dans une zone résidentielle de la demanderesse, la ville de Lorraine. En 1991, cette dernière adopte un règlement (règlement U-91 remplacé en 2010 par le règlement URB-03) modifiant le zonage où se situe 60% du terrain de l’intimée pour en faire une zone de conservation empêchant ainsi le développement d'un ensemble résidentiel sur cette partie du terrain. À la fin 2001, l’actionnaire majoritaire de l’intimée apprend l’existence du règlement et constate que la demanderesse a aménagé sur une partie de son terrain quelques infrastructures servant à la randonnée pédestre et au ski de fond, dont des ponceaux, escaliers, clôtures et bancs publics. Après quelques démarches effectuées auprès de la ville qui refusa d’amender son règlement, l’intimée entreprend alors, en novembre 2007, un recours en nullité de règlement et réclame des dommages-intérêts ainsi que le retrait des infrastructures. De plus, elle entreprend un recours en nullité contre le règlement 10-02 de la municipalité régionale de Comté de Thérèse-de-Blainville, également demanderesse, mettant en œuvre un schéma d’aménagement modifiant aussi le zonage où se situe le terrain de l’intimée. </w:t>
            </w:r>
          </w:p>
          <w:p w:rsidR="00D72D79" w:rsidRPr="00293EE1" w:rsidRDefault="00D72D79" w:rsidP="00C92DD5">
            <w:pPr>
              <w:jc w:val="both"/>
              <w:rPr>
                <w:rFonts w:cs="Times New Roman"/>
                <w:sz w:val="20"/>
                <w:szCs w:val="20"/>
                <w:lang w:val="fr-CA"/>
              </w:rPr>
            </w:pPr>
          </w:p>
        </w:tc>
      </w:tr>
      <w:tr w:rsidR="00D72D79" w:rsidRPr="00293EE1"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Le 7 juillet 2015</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supérieure du Québec</w:t>
            </w:r>
          </w:p>
          <w:p w:rsidR="00D72D79" w:rsidRPr="00293EE1" w:rsidRDefault="00D72D79" w:rsidP="00C92DD5">
            <w:pPr>
              <w:jc w:val="both"/>
              <w:rPr>
                <w:rFonts w:cs="Times New Roman"/>
                <w:sz w:val="20"/>
                <w:szCs w:val="20"/>
              </w:rPr>
            </w:pPr>
            <w:r w:rsidRPr="00293EE1">
              <w:rPr>
                <w:rFonts w:cs="Times New Roman"/>
                <w:sz w:val="20"/>
                <w:szCs w:val="20"/>
              </w:rPr>
              <w:t xml:space="preserve">(Le </w:t>
            </w:r>
            <w:proofErr w:type="spellStart"/>
            <w:r w:rsidRPr="00293EE1">
              <w:rPr>
                <w:rFonts w:cs="Times New Roman"/>
                <w:sz w:val="20"/>
                <w:szCs w:val="20"/>
              </w:rPr>
              <w:t>juge</w:t>
            </w:r>
            <w:proofErr w:type="spellEnd"/>
            <w:r w:rsidRPr="00293EE1">
              <w:rPr>
                <w:rFonts w:cs="Times New Roman"/>
                <w:sz w:val="20"/>
                <w:szCs w:val="20"/>
              </w:rPr>
              <w:t xml:space="preserve"> Emery)</w:t>
            </w:r>
          </w:p>
          <w:p w:rsidR="00D72D79" w:rsidRPr="00293EE1" w:rsidRDefault="00B2512D" w:rsidP="00C92DD5">
            <w:pPr>
              <w:jc w:val="both"/>
              <w:rPr>
                <w:rFonts w:cs="Times New Roman"/>
                <w:sz w:val="20"/>
                <w:szCs w:val="20"/>
              </w:rPr>
            </w:pPr>
            <w:hyperlink r:id="rId51" w:history="1">
              <w:r w:rsidR="00D72D79" w:rsidRPr="00293EE1">
                <w:rPr>
                  <w:rStyle w:val="Hyperlink"/>
                  <w:rFonts w:cs="Times New Roman"/>
                  <w:sz w:val="20"/>
                  <w:szCs w:val="20"/>
                </w:rPr>
                <w:t>2015 QCCS 3135</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 xml:space="preserve">Action </w:t>
            </w:r>
            <w:proofErr w:type="spellStart"/>
            <w:r w:rsidRPr="00293EE1">
              <w:rPr>
                <w:rFonts w:cs="Times New Roman"/>
                <w:sz w:val="20"/>
                <w:szCs w:val="20"/>
              </w:rPr>
              <w:t>en</w:t>
            </w:r>
            <w:proofErr w:type="spellEnd"/>
            <w:r w:rsidRPr="00293EE1">
              <w:rPr>
                <w:rFonts w:cs="Times New Roman"/>
                <w:sz w:val="20"/>
                <w:szCs w:val="20"/>
              </w:rPr>
              <w:t xml:space="preserve"> </w:t>
            </w:r>
            <w:proofErr w:type="spellStart"/>
            <w:r w:rsidRPr="00293EE1">
              <w:rPr>
                <w:rFonts w:cs="Times New Roman"/>
                <w:sz w:val="20"/>
                <w:szCs w:val="20"/>
              </w:rPr>
              <w:t>nullité</w:t>
            </w:r>
            <w:proofErr w:type="spellEnd"/>
            <w:r w:rsidRPr="00293EE1">
              <w:rPr>
                <w:rFonts w:cs="Times New Roman"/>
                <w:sz w:val="20"/>
                <w:szCs w:val="20"/>
              </w:rPr>
              <w:t xml:space="preserve"> </w:t>
            </w:r>
            <w:proofErr w:type="spellStart"/>
            <w:r w:rsidRPr="00293EE1">
              <w:rPr>
                <w:rFonts w:cs="Times New Roman"/>
                <w:sz w:val="20"/>
                <w:szCs w:val="20"/>
              </w:rPr>
              <w:t>rejetée</w:t>
            </w:r>
            <w:proofErr w:type="spellEnd"/>
            <w:r w:rsidRPr="00293EE1">
              <w:rPr>
                <w:rFonts w:cs="Times New Roman"/>
                <w:sz w:val="20"/>
                <w:szCs w:val="20"/>
              </w:rPr>
              <w:t>.</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Le 7 novembre 2016</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d’appel du Québec (Montréal)</w:t>
            </w: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(Les juges </w:t>
            </w:r>
            <w:proofErr w:type="spellStart"/>
            <w:r w:rsidRPr="00293EE1">
              <w:rPr>
                <w:rFonts w:cs="Times New Roman"/>
                <w:sz w:val="20"/>
                <w:szCs w:val="20"/>
                <w:lang w:val="fr-CA"/>
              </w:rPr>
              <w:t>Dutil</w:t>
            </w:r>
            <w:proofErr w:type="spellEnd"/>
            <w:r w:rsidRPr="00293EE1">
              <w:rPr>
                <w:rFonts w:cs="Times New Roman"/>
                <w:sz w:val="20"/>
                <w:szCs w:val="20"/>
                <w:lang w:val="fr-CA"/>
              </w:rPr>
              <w:t xml:space="preserve">, </w:t>
            </w:r>
            <w:proofErr w:type="spellStart"/>
            <w:r w:rsidRPr="00293EE1">
              <w:rPr>
                <w:rFonts w:cs="Times New Roman"/>
                <w:sz w:val="20"/>
                <w:szCs w:val="20"/>
                <w:lang w:val="fr-CA"/>
              </w:rPr>
              <w:t>Schrager</w:t>
            </w:r>
            <w:proofErr w:type="spellEnd"/>
            <w:r w:rsidRPr="00293EE1">
              <w:rPr>
                <w:rFonts w:cs="Times New Roman"/>
                <w:sz w:val="20"/>
                <w:szCs w:val="20"/>
                <w:lang w:val="fr-CA"/>
              </w:rPr>
              <w:t xml:space="preserve"> et Parent)</w:t>
            </w:r>
          </w:p>
          <w:p w:rsidR="00D72D79" w:rsidRPr="00293EE1" w:rsidRDefault="00B2512D" w:rsidP="00C92DD5">
            <w:pPr>
              <w:jc w:val="both"/>
              <w:rPr>
                <w:rFonts w:cs="Times New Roman"/>
                <w:sz w:val="20"/>
                <w:szCs w:val="20"/>
              </w:rPr>
            </w:pPr>
            <w:hyperlink r:id="rId52" w:history="1">
              <w:r w:rsidR="00D72D79" w:rsidRPr="00293EE1">
                <w:rPr>
                  <w:rStyle w:val="Hyperlink"/>
                  <w:rFonts w:cs="Times New Roman"/>
                  <w:sz w:val="20"/>
                  <w:szCs w:val="20"/>
                </w:rPr>
                <w:t>2016 QCCA 1803</w:t>
              </w:r>
            </w:hyperlink>
          </w:p>
          <w:p w:rsidR="00D72D79" w:rsidRPr="00293EE1" w:rsidRDefault="00D72D79" w:rsidP="00C92DD5">
            <w:pPr>
              <w:jc w:val="both"/>
              <w:rPr>
                <w:rFonts w:cs="Times New Roman"/>
                <w:sz w:val="20"/>
                <w:szCs w:val="20"/>
                <w:lang w:val="fr-FR"/>
              </w:rPr>
            </w:pPr>
          </w:p>
        </w:tc>
        <w:tc>
          <w:tcPr>
            <w:tcW w:w="243" w:type="pct"/>
          </w:tcPr>
          <w:p w:rsidR="00D72D79" w:rsidRPr="00293EE1" w:rsidRDefault="00D72D79" w:rsidP="00C92DD5">
            <w:pPr>
              <w:jc w:val="both"/>
              <w:rPr>
                <w:rFonts w:cs="Times New Roman"/>
                <w:sz w:val="20"/>
                <w:szCs w:val="20"/>
                <w:lang w:val="fr-FR"/>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 xml:space="preserve">Appel </w:t>
            </w:r>
            <w:proofErr w:type="spellStart"/>
            <w:r w:rsidRPr="00293EE1">
              <w:rPr>
                <w:rFonts w:cs="Times New Roman"/>
                <w:sz w:val="20"/>
                <w:szCs w:val="20"/>
              </w:rPr>
              <w:t>accueilli</w:t>
            </w:r>
            <w:proofErr w:type="spellEnd"/>
            <w:r w:rsidRPr="00293EE1">
              <w:rPr>
                <w:rFonts w:cs="Times New Roman"/>
                <w:sz w:val="20"/>
                <w:szCs w:val="20"/>
              </w:rPr>
              <w:t xml:space="preserve">. </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Le 6 janvier 2017</w:t>
            </w:r>
          </w:p>
          <w:p w:rsidR="00D72D79" w:rsidRPr="00293EE1" w:rsidRDefault="00D72D79" w:rsidP="00C92DD5">
            <w:pPr>
              <w:jc w:val="both"/>
              <w:rPr>
                <w:rFonts w:cs="Times New Roman"/>
                <w:sz w:val="20"/>
                <w:szCs w:val="20"/>
                <w:lang w:val="fr-FR"/>
              </w:rPr>
            </w:pPr>
            <w:r w:rsidRPr="00293EE1">
              <w:rPr>
                <w:rFonts w:cs="Times New Roman"/>
                <w:sz w:val="20"/>
                <w:szCs w:val="20"/>
                <w:lang w:val="fr-CA"/>
              </w:rPr>
              <w:t>Cour suprême du Canada</w:t>
            </w:r>
          </w:p>
        </w:tc>
        <w:tc>
          <w:tcPr>
            <w:tcW w:w="243" w:type="pct"/>
          </w:tcPr>
          <w:p w:rsidR="00D72D79" w:rsidRPr="00293EE1" w:rsidRDefault="00D72D79" w:rsidP="00C92DD5">
            <w:pPr>
              <w:jc w:val="both"/>
              <w:rPr>
                <w:rFonts w:cs="Times New Roman"/>
                <w:sz w:val="20"/>
                <w:szCs w:val="20"/>
                <w:lang w:val="fr-FR"/>
              </w:rPr>
            </w:pPr>
          </w:p>
        </w:tc>
        <w:tc>
          <w:tcPr>
            <w:tcW w:w="2330" w:type="pct"/>
          </w:tcPr>
          <w:p w:rsidR="00D72D79" w:rsidRPr="00293EE1" w:rsidRDefault="00D72D79" w:rsidP="00C92DD5">
            <w:pPr>
              <w:jc w:val="both"/>
              <w:rPr>
                <w:rFonts w:cs="Times New Roman"/>
                <w:sz w:val="20"/>
                <w:szCs w:val="20"/>
              </w:rPr>
            </w:pPr>
            <w:proofErr w:type="spellStart"/>
            <w:r w:rsidRPr="00293EE1">
              <w:rPr>
                <w:rFonts w:cs="Times New Roman"/>
                <w:sz w:val="20"/>
                <w:szCs w:val="20"/>
              </w:rPr>
              <w:t>Demande</w:t>
            </w:r>
            <w:proofErr w:type="spellEnd"/>
            <w:r w:rsidRPr="00293EE1">
              <w:rPr>
                <w:rFonts w:cs="Times New Roman"/>
                <w:sz w:val="20"/>
                <w:szCs w:val="20"/>
              </w:rPr>
              <w:t xml:space="preserve"> </w:t>
            </w:r>
            <w:proofErr w:type="spellStart"/>
            <w:r w:rsidRPr="00293EE1">
              <w:rPr>
                <w:rFonts w:cs="Times New Roman"/>
                <w:sz w:val="20"/>
                <w:szCs w:val="20"/>
              </w:rPr>
              <w:t>d'autorisation</w:t>
            </w:r>
            <w:proofErr w:type="spellEnd"/>
            <w:r w:rsidRPr="00293EE1">
              <w:rPr>
                <w:rFonts w:cs="Times New Roman"/>
                <w:sz w:val="20"/>
                <w:szCs w:val="20"/>
              </w:rPr>
              <w:t xml:space="preserve"> </w:t>
            </w:r>
            <w:proofErr w:type="spellStart"/>
            <w:r w:rsidRPr="00293EE1">
              <w:rPr>
                <w:rFonts w:cs="Times New Roman"/>
                <w:sz w:val="20"/>
                <w:szCs w:val="20"/>
              </w:rPr>
              <w:t>d'appel</w:t>
            </w:r>
            <w:proofErr w:type="spellEnd"/>
            <w:r w:rsidRPr="00293EE1">
              <w:rPr>
                <w:rFonts w:cs="Times New Roman"/>
                <w:sz w:val="20"/>
                <w:szCs w:val="20"/>
              </w:rPr>
              <w:t xml:space="preserve"> </w:t>
            </w:r>
            <w:proofErr w:type="spellStart"/>
            <w:r w:rsidRPr="00293EE1">
              <w:rPr>
                <w:rFonts w:cs="Times New Roman"/>
                <w:sz w:val="20"/>
                <w:szCs w:val="20"/>
              </w:rPr>
              <w:t>déposée</w:t>
            </w:r>
            <w:proofErr w:type="spellEnd"/>
            <w:r w:rsidRPr="00293EE1">
              <w:rPr>
                <w:rFonts w:cs="Times New Roman"/>
                <w:sz w:val="20"/>
                <w:szCs w:val="20"/>
              </w:rPr>
              <w:t>.</w:t>
            </w:r>
          </w:p>
          <w:p w:rsidR="00D72D79" w:rsidRPr="00293EE1" w:rsidRDefault="00D72D79" w:rsidP="00C92DD5">
            <w:pPr>
              <w:jc w:val="both"/>
              <w:rPr>
                <w:rFonts w:cs="Times New Roman"/>
                <w:sz w:val="20"/>
                <w:szCs w:val="20"/>
              </w:rPr>
            </w:pPr>
          </w:p>
        </w:tc>
      </w:tr>
    </w:tbl>
    <w:p w:rsidR="00D72D79" w:rsidRPr="00293EE1" w:rsidRDefault="00B2512D" w:rsidP="00D72D79">
      <w:pPr>
        <w:jc w:val="both"/>
        <w:rPr>
          <w:rFonts w:cs="Times New Roman"/>
          <w:sz w:val="20"/>
          <w:szCs w:val="20"/>
        </w:rPr>
      </w:pPr>
      <w:r>
        <w:rPr>
          <w:sz w:val="20"/>
          <w:szCs w:val="20"/>
        </w:rPr>
        <w:pict>
          <v:rect id="_x0000_i1062" style="width:2in;height:1pt" o:hrpct="0" o:hralign="center" o:hrstd="t" o:hrnoshade="t" o:hr="t" fillcolor="black [3213]" stroked="f"/>
        </w:pict>
      </w:r>
    </w:p>
    <w:p w:rsidR="00D72D79" w:rsidRPr="00293EE1" w:rsidRDefault="00D72D79" w:rsidP="00D72D79">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2D79" w:rsidRPr="00293EE1" w:rsidTr="00C92DD5">
        <w:tc>
          <w:tcPr>
            <w:tcW w:w="543" w:type="pct"/>
          </w:tcPr>
          <w:p w:rsidR="00D72D79" w:rsidRPr="00293EE1" w:rsidRDefault="00D72D79" w:rsidP="00C92DD5">
            <w:pPr>
              <w:jc w:val="both"/>
              <w:rPr>
                <w:rFonts w:cs="Times New Roman"/>
                <w:sz w:val="20"/>
                <w:szCs w:val="20"/>
              </w:rPr>
            </w:pPr>
            <w:r w:rsidRPr="00293EE1">
              <w:rPr>
                <w:rStyle w:val="SCCFileNumberChar"/>
                <w:sz w:val="20"/>
                <w:szCs w:val="20"/>
              </w:rPr>
              <w:t>37488</w:t>
            </w:r>
          </w:p>
        </w:tc>
        <w:tc>
          <w:tcPr>
            <w:tcW w:w="4457" w:type="pct"/>
          </w:tcPr>
          <w:p w:rsidR="00D72D79" w:rsidRPr="00293EE1" w:rsidRDefault="00D72D79" w:rsidP="00C92DD5">
            <w:pPr>
              <w:pStyle w:val="SCCLsocParty"/>
              <w:jc w:val="both"/>
              <w:rPr>
                <w:b/>
                <w:sz w:val="20"/>
                <w:szCs w:val="20"/>
                <w:lang w:val="en-US"/>
              </w:rPr>
            </w:pPr>
            <w:proofErr w:type="spellStart"/>
            <w:r w:rsidRPr="00293EE1">
              <w:rPr>
                <w:b/>
                <w:sz w:val="20"/>
                <w:szCs w:val="20"/>
                <w:lang w:val="en-US"/>
              </w:rPr>
              <w:t>Velle</w:t>
            </w:r>
            <w:proofErr w:type="spellEnd"/>
            <w:r w:rsidRPr="00293EE1">
              <w:rPr>
                <w:b/>
                <w:sz w:val="20"/>
                <w:szCs w:val="20"/>
                <w:lang w:val="en-US"/>
              </w:rPr>
              <w:t xml:space="preserve"> </w:t>
            </w:r>
            <w:proofErr w:type="spellStart"/>
            <w:r w:rsidRPr="00293EE1">
              <w:rPr>
                <w:b/>
                <w:sz w:val="20"/>
                <w:szCs w:val="20"/>
                <w:lang w:val="en-US"/>
              </w:rPr>
              <w:t>Chanmany</w:t>
            </w:r>
            <w:proofErr w:type="spellEnd"/>
            <w:r w:rsidRPr="00293EE1">
              <w:rPr>
                <w:b/>
                <w:sz w:val="20"/>
                <w:szCs w:val="20"/>
                <w:lang w:val="en-US"/>
              </w:rPr>
              <w:t xml:space="preserve"> v. Her Majesty the Queen</w:t>
            </w:r>
          </w:p>
          <w:p w:rsidR="00D72D79" w:rsidRPr="00293EE1" w:rsidRDefault="00D72D79" w:rsidP="00C92DD5">
            <w:pPr>
              <w:jc w:val="both"/>
              <w:rPr>
                <w:rFonts w:cs="Times New Roman"/>
                <w:sz w:val="20"/>
                <w:szCs w:val="20"/>
              </w:rPr>
            </w:pPr>
            <w:r w:rsidRPr="00293EE1">
              <w:rPr>
                <w:rFonts w:cs="Times New Roman"/>
                <w:sz w:val="20"/>
                <w:szCs w:val="20"/>
              </w:rPr>
              <w:t>(Ont.) (Criminal) (By Leave)</w:t>
            </w:r>
          </w:p>
        </w:tc>
      </w:tr>
      <w:tr w:rsidR="00D72D79" w:rsidRPr="00293EE1" w:rsidTr="00C92DD5">
        <w:tc>
          <w:tcPr>
            <w:tcW w:w="543" w:type="pct"/>
          </w:tcPr>
          <w:p w:rsidR="00D72D79" w:rsidRPr="00293EE1" w:rsidRDefault="00D72D79" w:rsidP="00C92DD5">
            <w:pPr>
              <w:jc w:val="both"/>
              <w:rPr>
                <w:rStyle w:val="SCCFileNumberChar"/>
                <w:sz w:val="20"/>
                <w:szCs w:val="20"/>
              </w:rPr>
            </w:pPr>
            <w:r w:rsidRPr="00293EE1">
              <w:rPr>
                <w:rStyle w:val="SCCFileNumberChar"/>
                <w:sz w:val="20"/>
                <w:szCs w:val="20"/>
              </w:rPr>
              <w:t>Coram:</w:t>
            </w:r>
          </w:p>
        </w:tc>
        <w:tc>
          <w:tcPr>
            <w:tcW w:w="4457" w:type="pct"/>
          </w:tcPr>
          <w:p w:rsidR="00D72D79" w:rsidRPr="00293EE1" w:rsidRDefault="00457BEA" w:rsidP="00C92DD5">
            <w:pPr>
              <w:pStyle w:val="SCCLsocParty"/>
              <w:jc w:val="both"/>
              <w:rPr>
                <w:sz w:val="20"/>
                <w:szCs w:val="20"/>
                <w:lang w:val="en-US"/>
              </w:rPr>
            </w:pPr>
            <w:proofErr w:type="spellStart"/>
            <w:r w:rsidRPr="00293EE1">
              <w:rPr>
                <w:sz w:val="20"/>
                <w:szCs w:val="20"/>
                <w:lang w:val="en-US"/>
              </w:rPr>
              <w:t>McLachlin</w:t>
            </w:r>
            <w:proofErr w:type="spellEnd"/>
            <w:r w:rsidRPr="00293EE1">
              <w:rPr>
                <w:sz w:val="20"/>
                <w:szCs w:val="20"/>
                <w:lang w:val="en-US"/>
              </w:rPr>
              <w:t xml:space="preserve"> C.J. and </w:t>
            </w:r>
            <w:proofErr w:type="spellStart"/>
            <w:r w:rsidRPr="00293EE1">
              <w:rPr>
                <w:sz w:val="20"/>
                <w:szCs w:val="20"/>
                <w:lang w:val="en-US"/>
              </w:rPr>
              <w:t>Abella</w:t>
            </w:r>
            <w:proofErr w:type="spellEnd"/>
            <w:r w:rsidRPr="00293EE1">
              <w:rPr>
                <w:sz w:val="20"/>
                <w:szCs w:val="20"/>
                <w:lang w:val="en-US"/>
              </w:rPr>
              <w:t xml:space="preserve">, </w:t>
            </w:r>
            <w:proofErr w:type="spellStart"/>
            <w:r w:rsidRPr="00293EE1">
              <w:rPr>
                <w:sz w:val="20"/>
                <w:szCs w:val="20"/>
                <w:lang w:val="en-US"/>
              </w:rPr>
              <w:t>Moldaver</w:t>
            </w:r>
            <w:proofErr w:type="spellEnd"/>
            <w:r w:rsidRPr="00293EE1">
              <w:rPr>
                <w:sz w:val="20"/>
                <w:szCs w:val="20"/>
                <w:lang w:val="en-US"/>
              </w:rPr>
              <w:t xml:space="preserve">, </w:t>
            </w:r>
            <w:proofErr w:type="spellStart"/>
            <w:r w:rsidRPr="00293EE1">
              <w:rPr>
                <w:sz w:val="20"/>
                <w:szCs w:val="20"/>
                <w:lang w:val="en-US"/>
              </w:rPr>
              <w:t>Karakatsanis</w:t>
            </w:r>
            <w:proofErr w:type="spellEnd"/>
            <w:r w:rsidRPr="00293EE1">
              <w:rPr>
                <w:sz w:val="20"/>
                <w:szCs w:val="20"/>
                <w:lang w:val="en-US"/>
              </w:rPr>
              <w:t xml:space="preserve">, Wagner, </w:t>
            </w:r>
            <w:proofErr w:type="spellStart"/>
            <w:r w:rsidRPr="00293EE1">
              <w:rPr>
                <w:sz w:val="20"/>
                <w:szCs w:val="20"/>
                <w:lang w:val="en-US"/>
              </w:rPr>
              <w:t>Gascon</w:t>
            </w:r>
            <w:proofErr w:type="spellEnd"/>
            <w:r w:rsidRPr="00293EE1">
              <w:rPr>
                <w:sz w:val="20"/>
                <w:szCs w:val="20"/>
                <w:lang w:val="en-US"/>
              </w:rPr>
              <w:t xml:space="preserve">, </w:t>
            </w:r>
            <w:proofErr w:type="spellStart"/>
            <w:r w:rsidRPr="00293EE1">
              <w:rPr>
                <w:sz w:val="20"/>
                <w:szCs w:val="20"/>
                <w:lang w:val="en-US"/>
              </w:rPr>
              <w:t>Côté</w:t>
            </w:r>
            <w:proofErr w:type="spellEnd"/>
            <w:r w:rsidRPr="00293EE1">
              <w:rPr>
                <w:sz w:val="20"/>
                <w:szCs w:val="20"/>
                <w:lang w:val="en-US"/>
              </w:rPr>
              <w:t>, Brown and Rowe JJ.</w:t>
            </w:r>
          </w:p>
        </w:tc>
      </w:tr>
      <w:tr w:rsidR="00D72D79" w:rsidRPr="00293EE1" w:rsidTr="00D72D79">
        <w:tc>
          <w:tcPr>
            <w:tcW w:w="5000" w:type="pct"/>
            <w:gridSpan w:val="2"/>
          </w:tcPr>
          <w:p w:rsidR="00D72D79" w:rsidRPr="00293EE1" w:rsidRDefault="00457BEA" w:rsidP="00C92DD5">
            <w:pPr>
              <w:pStyle w:val="SCCLsocParty"/>
              <w:jc w:val="both"/>
              <w:rPr>
                <w:sz w:val="20"/>
                <w:szCs w:val="20"/>
                <w:lang w:val="en-US"/>
              </w:rPr>
            </w:pPr>
            <w:r w:rsidRPr="00293EE1">
              <w:rPr>
                <w:sz w:val="20"/>
                <w:szCs w:val="20"/>
                <w:lang w:val="en-US"/>
              </w:rPr>
              <w:t>The motion for an extension of time to serve and file the application for leave to appeal is granted. The application for leave to appeal from the judgment of the Court of Appeal for Ontario, Number C57253, 2016 ONCA 576, dated July 19, 2016, is dismissed.</w:t>
            </w:r>
          </w:p>
          <w:p w:rsidR="00457BEA" w:rsidRPr="00293EE1" w:rsidRDefault="00457BEA" w:rsidP="00457BEA">
            <w:pPr>
              <w:rPr>
                <w:lang w:val="en-US"/>
              </w:rPr>
            </w:pPr>
          </w:p>
        </w:tc>
      </w:tr>
    </w:tbl>
    <w:p w:rsidR="00016C13" w:rsidRPr="00293EE1" w:rsidRDefault="00016C13">
      <w:r w:rsidRPr="00293EE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2D79" w:rsidRPr="00293EE1" w:rsidTr="00C92DD5">
        <w:tc>
          <w:tcPr>
            <w:tcW w:w="5000" w:type="pct"/>
            <w:gridSpan w:val="3"/>
          </w:tcPr>
          <w:p w:rsidR="00D72D79" w:rsidRPr="00293EE1" w:rsidRDefault="00D72D79" w:rsidP="00C92DD5">
            <w:pPr>
              <w:jc w:val="both"/>
              <w:rPr>
                <w:rFonts w:cs="Times New Roman"/>
                <w:sz w:val="20"/>
                <w:szCs w:val="20"/>
              </w:rPr>
            </w:pPr>
            <w:r w:rsidRPr="00293EE1">
              <w:rPr>
                <w:rFonts w:cs="Times New Roman"/>
                <w:sz w:val="20"/>
                <w:szCs w:val="20"/>
              </w:rPr>
              <w:lastRenderedPageBreak/>
              <w:t xml:space="preserve">Criminal law – Defences – Can a finding of “no evidence” or “not a tittle of evidence” to support a defence be endorsed on appeal where there was substantial evidence to support the defence – If a trial judge finds, as he did in the applicant’s case, that there is a possibility that a defence is valid, has he, in effect, found a reasonable doubt exists sufficient to require a verdict of acquittal. </w:t>
            </w:r>
          </w:p>
        </w:tc>
      </w:tr>
      <w:tr w:rsidR="00D72D79" w:rsidRPr="00293EE1" w:rsidTr="00C92DD5">
        <w:tc>
          <w:tcPr>
            <w:tcW w:w="5000" w:type="pct"/>
            <w:gridSpan w:val="3"/>
          </w:tcPr>
          <w:p w:rsidR="00D72D79" w:rsidRPr="00293EE1" w:rsidRDefault="00D72D79" w:rsidP="00C92DD5">
            <w:pPr>
              <w:jc w:val="both"/>
              <w:rPr>
                <w:rFonts w:cs="Times New Roman"/>
                <w:sz w:val="20"/>
                <w:szCs w:val="20"/>
              </w:rPr>
            </w:pPr>
          </w:p>
        </w:tc>
      </w:tr>
      <w:tr w:rsidR="00D72D79" w:rsidRPr="00293EE1" w:rsidTr="00C92DD5">
        <w:tc>
          <w:tcPr>
            <w:tcW w:w="5000" w:type="pct"/>
            <w:gridSpan w:val="3"/>
          </w:tcPr>
          <w:p w:rsidR="00D72D79" w:rsidRPr="00293EE1" w:rsidRDefault="00D72D79" w:rsidP="00C92DD5">
            <w:pPr>
              <w:jc w:val="both"/>
              <w:rPr>
                <w:rFonts w:cs="Times New Roman"/>
                <w:sz w:val="20"/>
                <w:szCs w:val="20"/>
              </w:rPr>
            </w:pPr>
            <w:r w:rsidRPr="00293EE1">
              <w:rPr>
                <w:rFonts w:cs="Times New Roman"/>
                <w:sz w:val="20"/>
                <w:szCs w:val="20"/>
              </w:rPr>
              <w:t>The police seized seven kilograms of methamphetamine from the applicant’s car. At trial, he denied possession of the drugs and argued that the police must have planted them. The trial judge rejected the applicant’s argument. After a trial before a judge alone, the applicant was convicted of one count each of possession of methamphetamine for the purpose of trafficking and possession of the proceeds of crime. The Court of Appeal dismissed the appeal from conviction.</w:t>
            </w:r>
          </w:p>
          <w:p w:rsidR="00D72D79" w:rsidRPr="00293EE1" w:rsidRDefault="00D72D79" w:rsidP="00C92DD5">
            <w:pPr>
              <w:jc w:val="both"/>
              <w:rPr>
                <w:rFonts w:cs="Times New Roman"/>
                <w:sz w:val="20"/>
                <w:szCs w:val="20"/>
              </w:rPr>
            </w:pPr>
          </w:p>
        </w:tc>
      </w:tr>
      <w:tr w:rsidR="00D72D79" w:rsidRPr="00293EE1" w:rsidTr="00C92DD5">
        <w:tc>
          <w:tcPr>
            <w:tcW w:w="2427" w:type="pct"/>
          </w:tcPr>
          <w:p w:rsidR="00D72D79" w:rsidRPr="00293EE1" w:rsidRDefault="00D72D79" w:rsidP="00C92DD5">
            <w:pPr>
              <w:jc w:val="both"/>
              <w:rPr>
                <w:rFonts w:cs="Times New Roman"/>
                <w:sz w:val="20"/>
                <w:szCs w:val="20"/>
              </w:rPr>
            </w:pPr>
            <w:r w:rsidRPr="00293EE1">
              <w:rPr>
                <w:rFonts w:cs="Times New Roman"/>
                <w:sz w:val="20"/>
                <w:szCs w:val="20"/>
              </w:rPr>
              <w:t>April 5, 2013</w:t>
            </w:r>
          </w:p>
          <w:p w:rsidR="00D72D79" w:rsidRPr="00293EE1" w:rsidRDefault="00D72D79" w:rsidP="00C92DD5">
            <w:pPr>
              <w:jc w:val="both"/>
              <w:rPr>
                <w:rFonts w:cs="Times New Roman"/>
                <w:sz w:val="20"/>
                <w:szCs w:val="20"/>
              </w:rPr>
            </w:pPr>
            <w:r w:rsidRPr="00293EE1">
              <w:rPr>
                <w:rFonts w:cs="Times New Roman"/>
                <w:sz w:val="20"/>
                <w:szCs w:val="20"/>
              </w:rPr>
              <w:t>Ontario Superior Court of Justice</w:t>
            </w:r>
          </w:p>
          <w:p w:rsidR="00D72D79" w:rsidRPr="00293EE1" w:rsidRDefault="00D72D79" w:rsidP="00C92DD5">
            <w:pPr>
              <w:jc w:val="both"/>
              <w:rPr>
                <w:rFonts w:cs="Times New Roman"/>
                <w:sz w:val="20"/>
                <w:szCs w:val="20"/>
              </w:rPr>
            </w:pPr>
            <w:r w:rsidRPr="00293EE1">
              <w:rPr>
                <w:rFonts w:cs="Times New Roman"/>
                <w:sz w:val="20"/>
                <w:szCs w:val="20"/>
              </w:rPr>
              <w:t>(</w:t>
            </w:r>
            <w:proofErr w:type="spellStart"/>
            <w:r w:rsidRPr="00293EE1">
              <w:rPr>
                <w:rFonts w:cs="Times New Roman"/>
                <w:sz w:val="20"/>
                <w:szCs w:val="20"/>
              </w:rPr>
              <w:t>Dambrot</w:t>
            </w:r>
            <w:proofErr w:type="spellEnd"/>
            <w:r w:rsidRPr="00293EE1">
              <w:rPr>
                <w:rFonts w:cs="Times New Roman"/>
                <w:sz w:val="20"/>
                <w:szCs w:val="20"/>
              </w:rPr>
              <w:t xml:space="preserve"> J.)</w:t>
            </w:r>
          </w:p>
          <w:p w:rsidR="00D72D79" w:rsidRPr="00293EE1" w:rsidRDefault="00D72D79" w:rsidP="00C92DD5">
            <w:pPr>
              <w:jc w:val="both"/>
              <w:rPr>
                <w:rFonts w:cs="Times New Roman"/>
                <w:sz w:val="20"/>
                <w:szCs w:val="20"/>
              </w:rPr>
            </w:pPr>
            <w:r w:rsidRPr="00293EE1">
              <w:rPr>
                <w:rFonts w:cs="Times New Roman"/>
                <w:sz w:val="20"/>
                <w:szCs w:val="20"/>
              </w:rPr>
              <w:t>2013 ONSC 1937</w:t>
            </w: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Conviction: possession of methamphetamine for the purpose of trafficking and possession of the proceeds of crime</w:t>
            </w:r>
          </w:p>
          <w:p w:rsidR="00D72D79" w:rsidRPr="00293EE1" w:rsidRDefault="00D72D79" w:rsidP="00C92DD5">
            <w:pPr>
              <w:jc w:val="both"/>
              <w:rPr>
                <w:rFonts w:cs="Times New Roman"/>
                <w:sz w:val="20"/>
                <w:szCs w:val="20"/>
              </w:rPr>
            </w:pPr>
          </w:p>
          <w:p w:rsidR="00D72D79" w:rsidRPr="00293EE1" w:rsidRDefault="00D72D79" w:rsidP="00C92DD5">
            <w:pPr>
              <w:jc w:val="both"/>
              <w:rPr>
                <w:rFonts w:cs="Times New Roman"/>
                <w:sz w:val="20"/>
                <w:szCs w:val="20"/>
              </w:rPr>
            </w:pPr>
          </w:p>
        </w:tc>
      </w:tr>
      <w:tr w:rsidR="00D72D79" w:rsidRPr="00293EE1" w:rsidTr="00C92DD5">
        <w:tc>
          <w:tcPr>
            <w:tcW w:w="2427" w:type="pct"/>
          </w:tcPr>
          <w:p w:rsidR="00D72D79" w:rsidRPr="00293EE1" w:rsidRDefault="00D72D79" w:rsidP="00C92DD5">
            <w:pPr>
              <w:jc w:val="both"/>
              <w:rPr>
                <w:rFonts w:cs="Times New Roman"/>
                <w:sz w:val="20"/>
                <w:szCs w:val="20"/>
              </w:rPr>
            </w:pPr>
            <w:r w:rsidRPr="00293EE1">
              <w:rPr>
                <w:rFonts w:cs="Times New Roman"/>
                <w:sz w:val="20"/>
                <w:szCs w:val="20"/>
              </w:rPr>
              <w:t>July 19, 2016</w:t>
            </w:r>
          </w:p>
          <w:p w:rsidR="00D72D79" w:rsidRPr="00293EE1" w:rsidRDefault="00D72D79" w:rsidP="00C92DD5">
            <w:pPr>
              <w:jc w:val="both"/>
              <w:rPr>
                <w:rFonts w:cs="Times New Roman"/>
                <w:sz w:val="20"/>
                <w:szCs w:val="20"/>
              </w:rPr>
            </w:pPr>
            <w:r w:rsidRPr="00293EE1">
              <w:rPr>
                <w:rFonts w:cs="Times New Roman"/>
                <w:sz w:val="20"/>
                <w:szCs w:val="20"/>
              </w:rPr>
              <w:t>Court of Appeal for Ontario</w:t>
            </w:r>
          </w:p>
          <w:p w:rsidR="00D72D79" w:rsidRPr="00293EE1" w:rsidRDefault="00D72D79" w:rsidP="00C92DD5">
            <w:pPr>
              <w:jc w:val="both"/>
              <w:rPr>
                <w:rFonts w:cs="Times New Roman"/>
                <w:sz w:val="20"/>
                <w:szCs w:val="20"/>
              </w:rPr>
            </w:pPr>
            <w:r w:rsidRPr="00293EE1">
              <w:rPr>
                <w:rFonts w:cs="Times New Roman"/>
                <w:sz w:val="20"/>
                <w:szCs w:val="20"/>
              </w:rPr>
              <w:t>(Doherty, Watt, Miller JJ.A.)</w:t>
            </w:r>
          </w:p>
          <w:p w:rsidR="00D72D79" w:rsidRPr="00293EE1" w:rsidRDefault="00D72D79" w:rsidP="00C92DD5">
            <w:pPr>
              <w:jc w:val="both"/>
              <w:rPr>
                <w:rFonts w:cs="Times New Roman"/>
                <w:sz w:val="20"/>
                <w:szCs w:val="20"/>
              </w:rPr>
            </w:pPr>
            <w:r w:rsidRPr="00293EE1">
              <w:rPr>
                <w:rFonts w:cs="Times New Roman"/>
                <w:sz w:val="20"/>
                <w:szCs w:val="20"/>
              </w:rPr>
              <w:t>2016 ONCA 576; C57253</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Appeal from conviction dismissed</w:t>
            </w:r>
          </w:p>
          <w:p w:rsidR="00D72D79" w:rsidRPr="00293EE1" w:rsidRDefault="00D72D79" w:rsidP="00C92DD5">
            <w:pPr>
              <w:jc w:val="both"/>
              <w:rPr>
                <w:rFonts w:cs="Times New Roman"/>
                <w:sz w:val="20"/>
                <w:szCs w:val="20"/>
              </w:rPr>
            </w:pPr>
          </w:p>
        </w:tc>
      </w:tr>
      <w:tr w:rsidR="00D72D79" w:rsidRPr="00293EE1" w:rsidTr="00C92DD5">
        <w:tc>
          <w:tcPr>
            <w:tcW w:w="2427" w:type="pct"/>
          </w:tcPr>
          <w:p w:rsidR="00D72D79" w:rsidRPr="00293EE1" w:rsidRDefault="00D72D79" w:rsidP="00C92DD5">
            <w:pPr>
              <w:jc w:val="both"/>
              <w:rPr>
                <w:rFonts w:cs="Times New Roman"/>
                <w:sz w:val="20"/>
                <w:szCs w:val="20"/>
              </w:rPr>
            </w:pPr>
            <w:r w:rsidRPr="00293EE1">
              <w:rPr>
                <w:rFonts w:cs="Times New Roman"/>
                <w:sz w:val="20"/>
                <w:szCs w:val="20"/>
              </w:rPr>
              <w:t>March 15, 2017</w:t>
            </w:r>
          </w:p>
          <w:p w:rsidR="00D72D79" w:rsidRPr="00293EE1" w:rsidRDefault="00D72D79" w:rsidP="00C92DD5">
            <w:pPr>
              <w:jc w:val="both"/>
              <w:rPr>
                <w:rFonts w:cs="Times New Roman"/>
                <w:sz w:val="20"/>
                <w:szCs w:val="20"/>
              </w:rPr>
            </w:pPr>
            <w:r w:rsidRPr="00293EE1">
              <w:rPr>
                <w:rFonts w:cs="Times New Roman"/>
                <w:sz w:val="20"/>
                <w:szCs w:val="20"/>
              </w:rPr>
              <w:t>Supreme Court of Canada</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Motion for an extension of time to serve and file the application for leave to appeal and application for leave to appeal filed</w:t>
            </w:r>
          </w:p>
        </w:tc>
      </w:tr>
    </w:tbl>
    <w:p w:rsidR="00D72D79" w:rsidRPr="00293EE1" w:rsidRDefault="00B2512D" w:rsidP="00D72D79">
      <w:pPr>
        <w:jc w:val="both"/>
        <w:rPr>
          <w:rFonts w:cs="Times New Roman"/>
          <w:sz w:val="20"/>
          <w:szCs w:val="20"/>
        </w:rPr>
      </w:pPr>
      <w:r>
        <w:rPr>
          <w:sz w:val="20"/>
          <w:szCs w:val="20"/>
        </w:rPr>
        <w:pict>
          <v:rect id="_x0000_i1063" style="width:2in;height:1pt" o:hrpct="0" o:hralign="center" o:hrstd="t" o:hrnoshade="t" o:hr="t" fillcolor="black [3213]" stroked="f"/>
        </w:pict>
      </w:r>
    </w:p>
    <w:p w:rsidR="00D72D79" w:rsidRPr="00293EE1" w:rsidRDefault="00D72D79" w:rsidP="00D72D79">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2D79" w:rsidRPr="00293EE1" w:rsidTr="00C92DD5">
        <w:tc>
          <w:tcPr>
            <w:tcW w:w="543" w:type="pct"/>
          </w:tcPr>
          <w:p w:rsidR="00D72D79" w:rsidRPr="00293EE1" w:rsidRDefault="00D72D79" w:rsidP="00C92DD5">
            <w:pPr>
              <w:jc w:val="both"/>
              <w:rPr>
                <w:rFonts w:cs="Times New Roman"/>
                <w:sz w:val="20"/>
                <w:szCs w:val="20"/>
              </w:rPr>
            </w:pPr>
            <w:r w:rsidRPr="00293EE1">
              <w:rPr>
                <w:rStyle w:val="SCCFileNumberChar"/>
                <w:sz w:val="20"/>
                <w:szCs w:val="20"/>
              </w:rPr>
              <w:t>37488</w:t>
            </w:r>
          </w:p>
        </w:tc>
        <w:tc>
          <w:tcPr>
            <w:tcW w:w="4457" w:type="pct"/>
            <w:gridSpan w:val="3"/>
          </w:tcPr>
          <w:p w:rsidR="00D72D79" w:rsidRPr="00293EE1" w:rsidRDefault="00D72D79" w:rsidP="00C92DD5">
            <w:pPr>
              <w:pStyle w:val="SCCLsocParty"/>
              <w:jc w:val="both"/>
              <w:rPr>
                <w:b/>
                <w:sz w:val="20"/>
                <w:szCs w:val="20"/>
              </w:rPr>
            </w:pPr>
            <w:proofErr w:type="spellStart"/>
            <w:r w:rsidRPr="00293EE1">
              <w:rPr>
                <w:b/>
                <w:sz w:val="20"/>
                <w:szCs w:val="20"/>
              </w:rPr>
              <w:t>Velle</w:t>
            </w:r>
            <w:proofErr w:type="spellEnd"/>
            <w:r w:rsidRPr="00293EE1">
              <w:rPr>
                <w:b/>
                <w:sz w:val="20"/>
                <w:szCs w:val="20"/>
              </w:rPr>
              <w:t xml:space="preserve"> </w:t>
            </w:r>
            <w:proofErr w:type="spellStart"/>
            <w:r w:rsidRPr="00293EE1">
              <w:rPr>
                <w:b/>
                <w:sz w:val="20"/>
                <w:szCs w:val="20"/>
              </w:rPr>
              <w:t>Chanmany</w:t>
            </w:r>
            <w:proofErr w:type="spellEnd"/>
            <w:r w:rsidRPr="00293EE1">
              <w:rPr>
                <w:b/>
                <w:sz w:val="20"/>
                <w:szCs w:val="20"/>
              </w:rPr>
              <w:t xml:space="preserve"> c. Sa Majesté la Reine</w:t>
            </w:r>
          </w:p>
          <w:p w:rsidR="00D72D79" w:rsidRPr="00293EE1" w:rsidRDefault="00D72D79" w:rsidP="00C92DD5">
            <w:pPr>
              <w:jc w:val="both"/>
              <w:rPr>
                <w:rFonts w:cs="Times New Roman"/>
                <w:sz w:val="20"/>
                <w:szCs w:val="20"/>
              </w:rPr>
            </w:pPr>
            <w:r w:rsidRPr="00293EE1">
              <w:rPr>
                <w:rFonts w:cs="Times New Roman"/>
                <w:sz w:val="20"/>
                <w:szCs w:val="20"/>
              </w:rPr>
              <w:t>(Ont.) (</w:t>
            </w:r>
            <w:proofErr w:type="spellStart"/>
            <w:r w:rsidRPr="00293EE1">
              <w:rPr>
                <w:rFonts w:cs="Times New Roman"/>
                <w:sz w:val="20"/>
                <w:szCs w:val="20"/>
              </w:rPr>
              <w:t>Criminelle</w:t>
            </w:r>
            <w:proofErr w:type="spellEnd"/>
            <w:r w:rsidRPr="00293EE1">
              <w:rPr>
                <w:rFonts w:cs="Times New Roman"/>
                <w:sz w:val="20"/>
                <w:szCs w:val="20"/>
              </w:rPr>
              <w:t xml:space="preserve">) (Sur </w:t>
            </w:r>
            <w:proofErr w:type="spellStart"/>
            <w:r w:rsidRPr="00293EE1">
              <w:rPr>
                <w:rFonts w:cs="Times New Roman"/>
                <w:sz w:val="20"/>
                <w:szCs w:val="20"/>
              </w:rPr>
              <w:t>autorisation</w:t>
            </w:r>
            <w:proofErr w:type="spellEnd"/>
            <w:r w:rsidRPr="00293EE1">
              <w:rPr>
                <w:rFonts w:cs="Times New Roman"/>
                <w:sz w:val="20"/>
                <w:szCs w:val="20"/>
              </w:rPr>
              <w:t>)</w:t>
            </w:r>
          </w:p>
        </w:tc>
      </w:tr>
      <w:tr w:rsidR="00D72D79" w:rsidRPr="00B2512D" w:rsidTr="00C92DD5">
        <w:tc>
          <w:tcPr>
            <w:tcW w:w="543" w:type="pct"/>
          </w:tcPr>
          <w:p w:rsidR="00D72D79" w:rsidRPr="00293EE1" w:rsidRDefault="00D72D79" w:rsidP="00C92DD5">
            <w:pPr>
              <w:jc w:val="both"/>
              <w:rPr>
                <w:rStyle w:val="SCCFileNumberChar"/>
                <w:sz w:val="20"/>
                <w:szCs w:val="20"/>
              </w:rPr>
            </w:pPr>
            <w:r w:rsidRPr="00293EE1">
              <w:rPr>
                <w:rStyle w:val="SCCFileNumberChar"/>
                <w:sz w:val="20"/>
                <w:szCs w:val="20"/>
              </w:rPr>
              <w:t>Coram:</w:t>
            </w:r>
          </w:p>
        </w:tc>
        <w:tc>
          <w:tcPr>
            <w:tcW w:w="4457" w:type="pct"/>
            <w:gridSpan w:val="3"/>
          </w:tcPr>
          <w:p w:rsidR="00D72D79" w:rsidRPr="00293EE1" w:rsidRDefault="00457BEA" w:rsidP="00C92DD5">
            <w:pPr>
              <w:pStyle w:val="SCCLsocParty"/>
              <w:jc w:val="both"/>
              <w:rPr>
                <w:sz w:val="20"/>
                <w:szCs w:val="20"/>
              </w:rPr>
            </w:pPr>
            <w:r w:rsidRPr="00293EE1">
              <w:rPr>
                <w:sz w:val="20"/>
                <w:szCs w:val="20"/>
              </w:rPr>
              <w:t xml:space="preserve">La juge en chef </w:t>
            </w:r>
            <w:proofErr w:type="spellStart"/>
            <w:r w:rsidRPr="00293EE1">
              <w:rPr>
                <w:sz w:val="20"/>
                <w:szCs w:val="20"/>
              </w:rPr>
              <w:t>McLachlin</w:t>
            </w:r>
            <w:proofErr w:type="spellEnd"/>
            <w:r w:rsidRPr="00293EE1">
              <w:rPr>
                <w:sz w:val="20"/>
                <w:szCs w:val="20"/>
              </w:rPr>
              <w:t xml:space="preserve"> et les juges Abella, </w:t>
            </w:r>
            <w:proofErr w:type="spellStart"/>
            <w:r w:rsidRPr="00293EE1">
              <w:rPr>
                <w:sz w:val="20"/>
                <w:szCs w:val="20"/>
              </w:rPr>
              <w:t>Moldaver</w:t>
            </w:r>
            <w:proofErr w:type="spellEnd"/>
            <w:r w:rsidRPr="00293EE1">
              <w:rPr>
                <w:sz w:val="20"/>
                <w:szCs w:val="20"/>
              </w:rPr>
              <w:t xml:space="preserve">, </w:t>
            </w:r>
            <w:proofErr w:type="spellStart"/>
            <w:r w:rsidRPr="00293EE1">
              <w:rPr>
                <w:sz w:val="20"/>
                <w:szCs w:val="20"/>
              </w:rPr>
              <w:t>Karakatsanis</w:t>
            </w:r>
            <w:proofErr w:type="spellEnd"/>
            <w:r w:rsidRPr="00293EE1">
              <w:rPr>
                <w:sz w:val="20"/>
                <w:szCs w:val="20"/>
              </w:rPr>
              <w:t>, Wagner, Gascon, Côté, Brown et Rowe</w:t>
            </w:r>
          </w:p>
        </w:tc>
      </w:tr>
      <w:tr w:rsidR="00D72D79" w:rsidRPr="00B2512D" w:rsidTr="00D72D79">
        <w:tc>
          <w:tcPr>
            <w:tcW w:w="5000" w:type="pct"/>
            <w:gridSpan w:val="4"/>
          </w:tcPr>
          <w:p w:rsidR="00D72D79" w:rsidRPr="00293EE1" w:rsidRDefault="00457BEA" w:rsidP="00C92DD5">
            <w:pPr>
              <w:pStyle w:val="SCCLsocParty"/>
              <w:jc w:val="both"/>
              <w:rPr>
                <w:sz w:val="20"/>
                <w:szCs w:val="20"/>
              </w:rPr>
            </w:pPr>
            <w:r w:rsidRPr="00293EE1">
              <w:rPr>
                <w:sz w:val="20"/>
                <w:szCs w:val="20"/>
              </w:rPr>
              <w:t>La requête en prorogation du délai de signification et de dépôt de la demande d’autorisation d’appel est accueillie. La demande d’autorisation d’appel de l’arrêt de la Cour d’appel de l’Ontario, numéro C57253, 2016 ONCA 576, daté du 19 juillet 2016, est rejetée.</w:t>
            </w:r>
          </w:p>
          <w:p w:rsidR="00457BEA" w:rsidRPr="00293EE1" w:rsidRDefault="00457BEA" w:rsidP="00457BEA">
            <w:pPr>
              <w:rPr>
                <w:lang w:val="fr-CA"/>
              </w:rPr>
            </w:pPr>
          </w:p>
        </w:tc>
      </w:tr>
      <w:tr w:rsidR="00D72D79" w:rsidRPr="00B2512D" w:rsidTr="00C92DD5">
        <w:tc>
          <w:tcPr>
            <w:tcW w:w="5000" w:type="pct"/>
            <w:gridSpan w:val="4"/>
          </w:tcPr>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Droit criminel – Moyens de défense – Est-il possible de souscrire en appel à une conclusion selon laquelle il n’y avait « aucune preuve » ou « pas l’ombre d’une preuve » pour soutenir un moyen de défense quand il y avait un grand nombre d’éléments de preuve pour le soutenir? – Si un juge de première instance conclut, comme l’a fait celui qui a siégé dans la cause du demandeur, qu’il existe une possibilité qu’un moyen de défense soit valide, </w:t>
            </w:r>
            <w:proofErr w:type="spellStart"/>
            <w:r w:rsidRPr="00293EE1">
              <w:rPr>
                <w:rFonts w:cs="Times New Roman"/>
                <w:sz w:val="20"/>
                <w:szCs w:val="20"/>
                <w:lang w:val="fr-CA"/>
              </w:rPr>
              <w:t>a-t-il</w:t>
            </w:r>
            <w:proofErr w:type="spellEnd"/>
            <w:r w:rsidRPr="00293EE1">
              <w:rPr>
                <w:rFonts w:cs="Times New Roman"/>
                <w:sz w:val="20"/>
                <w:szCs w:val="20"/>
                <w:lang w:val="fr-CA"/>
              </w:rPr>
              <w:t xml:space="preserve">, en fait, conclu qu’il existe un doute raisonnable suffisant pour qu’il faille prononcer un acquittement? </w:t>
            </w:r>
          </w:p>
          <w:p w:rsidR="00D72D79" w:rsidRPr="00293EE1" w:rsidRDefault="00D72D79" w:rsidP="00C92DD5">
            <w:pPr>
              <w:jc w:val="both"/>
              <w:rPr>
                <w:rFonts w:cs="Times New Roman"/>
                <w:sz w:val="20"/>
                <w:szCs w:val="20"/>
                <w:lang w:val="fr-CA"/>
              </w:rPr>
            </w:pP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La police a saisi sept kilogrammes de </w:t>
            </w:r>
            <w:proofErr w:type="spellStart"/>
            <w:r w:rsidRPr="00293EE1">
              <w:rPr>
                <w:rFonts w:cs="Times New Roman"/>
                <w:sz w:val="20"/>
                <w:szCs w:val="20"/>
                <w:lang w:val="fr-CA"/>
              </w:rPr>
              <w:t>méthamphétamine</w:t>
            </w:r>
            <w:proofErr w:type="spellEnd"/>
            <w:r w:rsidRPr="00293EE1">
              <w:rPr>
                <w:rFonts w:cs="Times New Roman"/>
                <w:sz w:val="20"/>
                <w:szCs w:val="20"/>
                <w:lang w:val="fr-CA"/>
              </w:rPr>
              <w:t xml:space="preserve"> présente dans la voiture du demandeur. Au procès, ce dernier a nié avoir été en possession de la drogue et soutenu que la police devait l’avoir elle-même mise dans son véhicule. Le juge du procès a rejeté l’argument du demandeur. Au terme du procès qui s’est déroulé devant un juge seul, le demandeur a été condamné d’un chef respectivement pour possession de </w:t>
            </w:r>
            <w:proofErr w:type="spellStart"/>
            <w:r w:rsidRPr="00293EE1">
              <w:rPr>
                <w:rFonts w:cs="Times New Roman"/>
                <w:sz w:val="20"/>
                <w:szCs w:val="20"/>
                <w:lang w:val="fr-CA"/>
              </w:rPr>
              <w:t>méthamphétamine</w:t>
            </w:r>
            <w:proofErr w:type="spellEnd"/>
            <w:r w:rsidRPr="00293EE1">
              <w:rPr>
                <w:rFonts w:cs="Times New Roman"/>
                <w:sz w:val="20"/>
                <w:szCs w:val="20"/>
                <w:lang w:val="fr-CA"/>
              </w:rPr>
              <w:t xml:space="preserve"> en vue d’en faire le trafic et de possession de produits de la criminalité. La Cour d’appel a rejeté l’appel de la déclaration de culpabilité.  </w:t>
            </w:r>
          </w:p>
        </w:tc>
      </w:tr>
      <w:tr w:rsidR="00D72D79" w:rsidRPr="00B2512D" w:rsidTr="00C92DD5">
        <w:tc>
          <w:tcPr>
            <w:tcW w:w="5000" w:type="pct"/>
            <w:gridSpan w:val="4"/>
          </w:tcPr>
          <w:p w:rsidR="00D72D79" w:rsidRPr="00293EE1" w:rsidRDefault="00D72D79" w:rsidP="00C92DD5">
            <w:pPr>
              <w:jc w:val="both"/>
              <w:rPr>
                <w:rFonts w:cs="Times New Roman"/>
                <w:sz w:val="20"/>
                <w:szCs w:val="20"/>
                <w:lang w:val="fr-CA"/>
              </w:rPr>
            </w:pP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5 avril 2013</w:t>
            </w: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Cour supérieure de justice de l’Ontario </w:t>
            </w:r>
          </w:p>
          <w:p w:rsidR="00D72D79" w:rsidRPr="00293EE1" w:rsidRDefault="00D72D79" w:rsidP="00C92DD5">
            <w:pPr>
              <w:jc w:val="both"/>
              <w:rPr>
                <w:rFonts w:cs="Times New Roman"/>
                <w:sz w:val="20"/>
                <w:szCs w:val="20"/>
              </w:rPr>
            </w:pPr>
            <w:r w:rsidRPr="00293EE1">
              <w:rPr>
                <w:rFonts w:cs="Times New Roman"/>
                <w:sz w:val="20"/>
                <w:szCs w:val="20"/>
              </w:rPr>
              <w:t>(</w:t>
            </w:r>
            <w:proofErr w:type="spellStart"/>
            <w:r w:rsidRPr="00293EE1">
              <w:rPr>
                <w:rFonts w:cs="Times New Roman"/>
                <w:sz w:val="20"/>
                <w:szCs w:val="20"/>
              </w:rPr>
              <w:t>Juge</w:t>
            </w:r>
            <w:proofErr w:type="spellEnd"/>
            <w:r w:rsidRPr="00293EE1">
              <w:rPr>
                <w:rFonts w:cs="Times New Roman"/>
                <w:sz w:val="20"/>
                <w:szCs w:val="20"/>
              </w:rPr>
              <w:t xml:space="preserve"> </w:t>
            </w:r>
            <w:proofErr w:type="spellStart"/>
            <w:r w:rsidRPr="00293EE1">
              <w:rPr>
                <w:rFonts w:cs="Times New Roman"/>
                <w:sz w:val="20"/>
                <w:szCs w:val="20"/>
              </w:rPr>
              <w:t>Dambrot</w:t>
            </w:r>
            <w:proofErr w:type="spellEnd"/>
            <w:r w:rsidRPr="00293EE1">
              <w:rPr>
                <w:rFonts w:cs="Times New Roman"/>
                <w:sz w:val="20"/>
                <w:szCs w:val="20"/>
              </w:rPr>
              <w:t>)</w:t>
            </w:r>
          </w:p>
          <w:p w:rsidR="00D72D79" w:rsidRPr="00293EE1" w:rsidRDefault="00D72D79" w:rsidP="00C92DD5">
            <w:pPr>
              <w:jc w:val="both"/>
              <w:rPr>
                <w:rFonts w:cs="Times New Roman"/>
                <w:sz w:val="20"/>
                <w:szCs w:val="20"/>
              </w:rPr>
            </w:pPr>
            <w:r w:rsidRPr="00293EE1">
              <w:rPr>
                <w:rFonts w:cs="Times New Roman"/>
                <w:sz w:val="20"/>
                <w:szCs w:val="20"/>
              </w:rPr>
              <w:t>2013 ONSC 1937</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Déclaration de culpabilité : possession de </w:t>
            </w:r>
            <w:proofErr w:type="spellStart"/>
            <w:r w:rsidRPr="00293EE1">
              <w:rPr>
                <w:rFonts w:cs="Times New Roman"/>
                <w:sz w:val="20"/>
                <w:szCs w:val="20"/>
                <w:lang w:val="fr-CA"/>
              </w:rPr>
              <w:t>méthamphétamine</w:t>
            </w:r>
            <w:proofErr w:type="spellEnd"/>
            <w:r w:rsidRPr="00293EE1">
              <w:rPr>
                <w:rFonts w:cs="Times New Roman"/>
                <w:sz w:val="20"/>
                <w:szCs w:val="20"/>
                <w:lang w:val="fr-CA"/>
              </w:rPr>
              <w:t xml:space="preserve"> en vue d’en faire le trafic et possession de produits de la criminalité </w:t>
            </w: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19 juillet 2016</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d’appel de l’Ontario</w:t>
            </w:r>
          </w:p>
          <w:p w:rsidR="00D72D79" w:rsidRPr="00293EE1" w:rsidRDefault="00D72D79" w:rsidP="00C92DD5">
            <w:pPr>
              <w:jc w:val="both"/>
              <w:rPr>
                <w:rFonts w:cs="Times New Roman"/>
                <w:sz w:val="20"/>
                <w:szCs w:val="20"/>
                <w:lang w:val="fr-CA"/>
              </w:rPr>
            </w:pPr>
            <w:r w:rsidRPr="00293EE1">
              <w:rPr>
                <w:rFonts w:cs="Times New Roman"/>
                <w:sz w:val="20"/>
                <w:szCs w:val="20"/>
                <w:lang w:val="fr-CA"/>
              </w:rPr>
              <w:t>(Juges Doherty, Watt et Miller)</w:t>
            </w:r>
          </w:p>
          <w:p w:rsidR="00D72D79" w:rsidRPr="00293EE1" w:rsidRDefault="00D72D79" w:rsidP="00C92DD5">
            <w:pPr>
              <w:jc w:val="both"/>
              <w:rPr>
                <w:rFonts w:cs="Times New Roman"/>
                <w:sz w:val="20"/>
                <w:szCs w:val="20"/>
              </w:rPr>
            </w:pPr>
            <w:r w:rsidRPr="00293EE1">
              <w:rPr>
                <w:rFonts w:cs="Times New Roman"/>
                <w:sz w:val="20"/>
                <w:szCs w:val="20"/>
              </w:rPr>
              <w:t>2016 ONCA 576; C57253</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Appel de la déclaration de culpabilité rejeté</w:t>
            </w: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15 mars 2017</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suprême du Canada</w:t>
            </w: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Requête en prorogation du délai pour signifier et déposer une demande d’autorisation d’appel et demande d’autorisation d’appel déposée</w:t>
            </w:r>
          </w:p>
        </w:tc>
      </w:tr>
    </w:tbl>
    <w:p w:rsidR="00D72D79" w:rsidRPr="00293EE1" w:rsidRDefault="00B2512D" w:rsidP="00D72D79">
      <w:pPr>
        <w:jc w:val="both"/>
        <w:rPr>
          <w:rFonts w:cs="Times New Roman"/>
          <w:sz w:val="20"/>
          <w:szCs w:val="20"/>
          <w:lang w:val="fr-CA"/>
        </w:rPr>
      </w:pPr>
      <w:r>
        <w:rPr>
          <w:sz w:val="20"/>
          <w:szCs w:val="20"/>
        </w:rPr>
        <w:pict>
          <v:rect id="_x0000_i1064" style="width:2in;height:1pt" o:hrpct="0" o:hralign="center" o:hrstd="t" o:hrnoshade="t" o:hr="t" fillcolor="black [3213]" stroked="f"/>
        </w:pict>
      </w:r>
    </w:p>
    <w:p w:rsidR="00D72D79" w:rsidRPr="00293EE1" w:rsidRDefault="00D72D79" w:rsidP="00D72D79">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2D79" w:rsidRPr="00293EE1" w:rsidTr="00C92DD5">
        <w:tc>
          <w:tcPr>
            <w:tcW w:w="543" w:type="pct"/>
          </w:tcPr>
          <w:p w:rsidR="00D72D79" w:rsidRPr="00293EE1" w:rsidRDefault="00D72D79" w:rsidP="00C92DD5">
            <w:pPr>
              <w:jc w:val="both"/>
              <w:rPr>
                <w:rFonts w:cs="Times New Roman"/>
                <w:sz w:val="20"/>
                <w:szCs w:val="20"/>
              </w:rPr>
            </w:pPr>
            <w:r w:rsidRPr="00293EE1">
              <w:rPr>
                <w:rStyle w:val="SCCFileNumberChar"/>
                <w:sz w:val="20"/>
                <w:szCs w:val="20"/>
              </w:rPr>
              <w:t>37465</w:t>
            </w:r>
          </w:p>
        </w:tc>
        <w:tc>
          <w:tcPr>
            <w:tcW w:w="4457" w:type="pct"/>
            <w:gridSpan w:val="3"/>
          </w:tcPr>
          <w:p w:rsidR="00D72D79" w:rsidRPr="00293EE1" w:rsidRDefault="00D72D79" w:rsidP="00C92DD5">
            <w:pPr>
              <w:pStyle w:val="SCCLsocParty"/>
              <w:jc w:val="both"/>
              <w:rPr>
                <w:b/>
                <w:sz w:val="20"/>
                <w:szCs w:val="20"/>
                <w:lang w:val="en-US"/>
              </w:rPr>
            </w:pPr>
            <w:r w:rsidRPr="00293EE1">
              <w:rPr>
                <w:b/>
                <w:sz w:val="20"/>
                <w:szCs w:val="20"/>
                <w:lang w:val="en-US"/>
              </w:rPr>
              <w:t>David Styles v. Alberta Investment Management Corporation</w:t>
            </w:r>
          </w:p>
          <w:p w:rsidR="00D72D79" w:rsidRPr="00293EE1" w:rsidRDefault="00D72D79" w:rsidP="00C92DD5">
            <w:pPr>
              <w:jc w:val="both"/>
              <w:rPr>
                <w:rFonts w:cs="Times New Roman"/>
                <w:sz w:val="20"/>
                <w:szCs w:val="20"/>
              </w:rPr>
            </w:pPr>
            <w:r w:rsidRPr="00293EE1">
              <w:rPr>
                <w:rFonts w:cs="Times New Roman"/>
                <w:sz w:val="20"/>
                <w:szCs w:val="20"/>
              </w:rPr>
              <w:t>(Alta.) (Civil) (By Leave)</w:t>
            </w:r>
          </w:p>
        </w:tc>
      </w:tr>
      <w:tr w:rsidR="00D72D79" w:rsidRPr="00293EE1" w:rsidTr="00C92DD5">
        <w:tc>
          <w:tcPr>
            <w:tcW w:w="543" w:type="pct"/>
          </w:tcPr>
          <w:p w:rsidR="00D72D79" w:rsidRPr="00293EE1" w:rsidRDefault="00D72D79" w:rsidP="00C92DD5">
            <w:pPr>
              <w:jc w:val="both"/>
              <w:rPr>
                <w:rStyle w:val="SCCFileNumberChar"/>
                <w:sz w:val="20"/>
                <w:szCs w:val="20"/>
              </w:rPr>
            </w:pPr>
            <w:r w:rsidRPr="00293EE1">
              <w:rPr>
                <w:rStyle w:val="SCCFileNumberChar"/>
                <w:sz w:val="20"/>
                <w:szCs w:val="20"/>
              </w:rPr>
              <w:t>Coram:</w:t>
            </w:r>
          </w:p>
        </w:tc>
        <w:tc>
          <w:tcPr>
            <w:tcW w:w="4457" w:type="pct"/>
            <w:gridSpan w:val="3"/>
          </w:tcPr>
          <w:p w:rsidR="00D72D79" w:rsidRPr="00293EE1" w:rsidRDefault="005A5CF9" w:rsidP="00C92DD5">
            <w:pPr>
              <w:pStyle w:val="SCCLsocParty"/>
              <w:jc w:val="both"/>
              <w:rPr>
                <w:sz w:val="20"/>
                <w:szCs w:val="20"/>
                <w:lang w:val="en-US"/>
              </w:rPr>
            </w:pPr>
            <w:proofErr w:type="spellStart"/>
            <w:r w:rsidRPr="00293EE1">
              <w:rPr>
                <w:sz w:val="20"/>
                <w:szCs w:val="20"/>
                <w:lang w:val="en-US"/>
              </w:rPr>
              <w:t>McLachlin</w:t>
            </w:r>
            <w:proofErr w:type="spellEnd"/>
            <w:r w:rsidRPr="00293EE1">
              <w:rPr>
                <w:sz w:val="20"/>
                <w:szCs w:val="20"/>
                <w:lang w:val="en-US"/>
              </w:rPr>
              <w:t xml:space="preserve"> C.J. and </w:t>
            </w:r>
            <w:proofErr w:type="spellStart"/>
            <w:r w:rsidRPr="00293EE1">
              <w:rPr>
                <w:sz w:val="20"/>
                <w:szCs w:val="20"/>
                <w:lang w:val="en-US"/>
              </w:rPr>
              <w:t>Abella</w:t>
            </w:r>
            <w:proofErr w:type="spellEnd"/>
            <w:r w:rsidRPr="00293EE1">
              <w:rPr>
                <w:sz w:val="20"/>
                <w:szCs w:val="20"/>
                <w:lang w:val="en-US"/>
              </w:rPr>
              <w:t xml:space="preserve">, </w:t>
            </w:r>
            <w:proofErr w:type="spellStart"/>
            <w:r w:rsidRPr="00293EE1">
              <w:rPr>
                <w:sz w:val="20"/>
                <w:szCs w:val="20"/>
                <w:lang w:val="en-US"/>
              </w:rPr>
              <w:t>Moldaver</w:t>
            </w:r>
            <w:proofErr w:type="spellEnd"/>
            <w:r w:rsidRPr="00293EE1">
              <w:rPr>
                <w:sz w:val="20"/>
                <w:szCs w:val="20"/>
                <w:lang w:val="en-US"/>
              </w:rPr>
              <w:t xml:space="preserve">, </w:t>
            </w:r>
            <w:proofErr w:type="spellStart"/>
            <w:r w:rsidRPr="00293EE1">
              <w:rPr>
                <w:sz w:val="20"/>
                <w:szCs w:val="20"/>
                <w:lang w:val="en-US"/>
              </w:rPr>
              <w:t>Karakatsanis</w:t>
            </w:r>
            <w:proofErr w:type="spellEnd"/>
            <w:r w:rsidRPr="00293EE1">
              <w:rPr>
                <w:sz w:val="20"/>
                <w:szCs w:val="20"/>
                <w:lang w:val="en-US"/>
              </w:rPr>
              <w:t xml:space="preserve">, Wagner, </w:t>
            </w:r>
            <w:proofErr w:type="spellStart"/>
            <w:r w:rsidRPr="00293EE1">
              <w:rPr>
                <w:sz w:val="20"/>
                <w:szCs w:val="20"/>
                <w:lang w:val="en-US"/>
              </w:rPr>
              <w:t>Gascon</w:t>
            </w:r>
            <w:proofErr w:type="spellEnd"/>
            <w:r w:rsidRPr="00293EE1">
              <w:rPr>
                <w:sz w:val="20"/>
                <w:szCs w:val="20"/>
                <w:lang w:val="en-US"/>
              </w:rPr>
              <w:t xml:space="preserve">, </w:t>
            </w:r>
            <w:proofErr w:type="spellStart"/>
            <w:r w:rsidRPr="00293EE1">
              <w:rPr>
                <w:sz w:val="20"/>
                <w:szCs w:val="20"/>
                <w:lang w:val="en-US"/>
              </w:rPr>
              <w:t>Côté</w:t>
            </w:r>
            <w:proofErr w:type="spellEnd"/>
            <w:r w:rsidRPr="00293EE1">
              <w:rPr>
                <w:sz w:val="20"/>
                <w:szCs w:val="20"/>
                <w:lang w:val="en-US"/>
              </w:rPr>
              <w:t>, Brown and Rowe JJ.</w:t>
            </w:r>
          </w:p>
        </w:tc>
      </w:tr>
      <w:tr w:rsidR="00D72D79" w:rsidRPr="00293EE1" w:rsidTr="00D72D79">
        <w:tc>
          <w:tcPr>
            <w:tcW w:w="5000" w:type="pct"/>
            <w:gridSpan w:val="4"/>
          </w:tcPr>
          <w:p w:rsidR="00D72D79" w:rsidRPr="00293EE1" w:rsidRDefault="005A5CF9" w:rsidP="00C92DD5">
            <w:pPr>
              <w:pStyle w:val="SCCLsocParty"/>
              <w:jc w:val="both"/>
              <w:rPr>
                <w:sz w:val="20"/>
                <w:szCs w:val="20"/>
                <w:lang w:val="en-US"/>
              </w:rPr>
            </w:pPr>
            <w:r w:rsidRPr="00293EE1">
              <w:rPr>
                <w:sz w:val="20"/>
                <w:szCs w:val="20"/>
                <w:lang w:val="en-US"/>
              </w:rPr>
              <w:t>The application for leave to appeal from the judgment of the Court of Appeal of Alberta (Edmonton), Number 1503-0275-AC, 2017 ABCA 1, dated January 4, 2017, is dismissed with costs.</w:t>
            </w:r>
          </w:p>
          <w:p w:rsidR="005A5CF9" w:rsidRPr="00293EE1" w:rsidRDefault="005A5CF9" w:rsidP="005A5CF9">
            <w:pPr>
              <w:rPr>
                <w:lang w:val="en-US"/>
              </w:rPr>
            </w:pPr>
          </w:p>
        </w:tc>
      </w:tr>
      <w:tr w:rsidR="00D72D79" w:rsidRPr="00293EE1" w:rsidTr="00C92DD5">
        <w:trPr>
          <w:trHeight w:val="1638"/>
        </w:trPr>
        <w:tc>
          <w:tcPr>
            <w:tcW w:w="5000" w:type="pct"/>
            <w:gridSpan w:val="4"/>
          </w:tcPr>
          <w:p w:rsidR="00D72D79" w:rsidRPr="00293EE1" w:rsidRDefault="00D72D79" w:rsidP="00C92DD5">
            <w:pPr>
              <w:pStyle w:val="felskynumbering121"/>
              <w:spacing w:after="0"/>
              <w:rPr>
                <w:sz w:val="20"/>
                <w:szCs w:val="20"/>
              </w:rPr>
            </w:pPr>
            <w:r w:rsidRPr="00293EE1">
              <w:rPr>
                <w:sz w:val="20"/>
                <w:szCs w:val="20"/>
              </w:rPr>
              <w:t>Administrative law ― Appeal ― Standard of review — Applicant employee terminated from employment “without cause” — Court of Appeal finding employee not entitled to any payment or bonus under employer’s Long Term Incentive Plan — Whether Court of Appeal erred in holding that correctness applied to interpretation of  deferred payment compensation plan because plan was standard form contract which applied to a number of employees — Whether modern duty of good faith applies to forfeiture of annual grants when employment was terminated without cause or was doctrine of good faith completely irrelevant — Whether applicant is entitled to relief from forfeiture of annual grants made to him under deferred payment compensation plan.</w:t>
            </w:r>
          </w:p>
          <w:p w:rsidR="00D72D79" w:rsidRPr="00293EE1" w:rsidRDefault="00D72D79" w:rsidP="00C92DD5">
            <w:pPr>
              <w:pStyle w:val="felskynumbering121"/>
              <w:spacing w:after="0"/>
              <w:rPr>
                <w:sz w:val="20"/>
                <w:szCs w:val="20"/>
              </w:rPr>
            </w:pPr>
          </w:p>
        </w:tc>
      </w:tr>
      <w:tr w:rsidR="00D72D79" w:rsidRPr="00293EE1" w:rsidTr="00C92DD5">
        <w:tc>
          <w:tcPr>
            <w:tcW w:w="5000" w:type="pct"/>
            <w:gridSpan w:val="4"/>
          </w:tcPr>
          <w:p w:rsidR="00D72D79" w:rsidRPr="00293EE1" w:rsidRDefault="00D72D79" w:rsidP="00C92DD5">
            <w:pPr>
              <w:pStyle w:val="felskynumbering121"/>
              <w:rPr>
                <w:sz w:val="20"/>
                <w:szCs w:val="20"/>
              </w:rPr>
            </w:pPr>
            <w:r w:rsidRPr="00293EE1">
              <w:rPr>
                <w:sz w:val="20"/>
                <w:szCs w:val="20"/>
              </w:rPr>
              <w:t xml:space="preserve">Mr. Styles moved from Ontario to Alberta in 2010 to take up a position with the Alberta Investment Management Corporation as an investment manager. His employment was governed by a written employment contract which provided for a base salary plus potential bonuses. Mr. Styles could potentially earn bonuses well in excess of his base salary under the Annual Incentive Plan or the Long Term Incentive Plan. </w:t>
            </w:r>
          </w:p>
          <w:p w:rsidR="00D72D79" w:rsidRPr="00293EE1" w:rsidRDefault="00D72D79" w:rsidP="00C92DD5">
            <w:pPr>
              <w:pStyle w:val="felskynumbering121"/>
              <w:rPr>
                <w:sz w:val="20"/>
                <w:szCs w:val="20"/>
              </w:rPr>
            </w:pPr>
            <w:r w:rsidRPr="00293EE1">
              <w:rPr>
                <w:sz w:val="20"/>
                <w:szCs w:val="20"/>
              </w:rPr>
              <w:t xml:space="preserve">Mr. Styles was terminated in 2013 from his employment with the Corporation “without cause”.  The issue in this case is whether Mr. Styles is entitled to any payment or bonus under the employer’s Long Term Incentive Plan.  </w:t>
            </w:r>
          </w:p>
          <w:p w:rsidR="00D72D79" w:rsidRPr="00293EE1" w:rsidRDefault="00D72D79" w:rsidP="00C92DD5">
            <w:pPr>
              <w:jc w:val="both"/>
              <w:rPr>
                <w:rFonts w:cs="Times New Roman"/>
                <w:sz w:val="20"/>
                <w:szCs w:val="20"/>
              </w:rPr>
            </w:pPr>
            <w:r w:rsidRPr="00293EE1">
              <w:rPr>
                <w:rFonts w:cs="Times New Roman"/>
                <w:sz w:val="20"/>
                <w:szCs w:val="20"/>
              </w:rPr>
              <w:t xml:space="preserve">The Court of Queen’s Bench awarded Mr. Styles $444,205 in damages. </w:t>
            </w:r>
            <w:r w:rsidRPr="00293EE1">
              <w:rPr>
                <w:rFonts w:cs="Times New Roman"/>
                <w:sz w:val="20"/>
                <w:szCs w:val="20"/>
                <w:lang w:eastAsia="en-CA"/>
              </w:rPr>
              <w:t xml:space="preserve">The Court of Appeal allowed the appeal and dismissed Mr. Styles’ action.  </w:t>
            </w:r>
          </w:p>
        </w:tc>
      </w:tr>
      <w:tr w:rsidR="00D72D79" w:rsidRPr="00293EE1" w:rsidTr="00C92DD5">
        <w:tc>
          <w:tcPr>
            <w:tcW w:w="5000" w:type="pct"/>
            <w:gridSpan w:val="4"/>
          </w:tcPr>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October 5, 2015</w:t>
            </w:r>
          </w:p>
          <w:p w:rsidR="00D72D79" w:rsidRPr="00293EE1" w:rsidRDefault="00D72D79" w:rsidP="00C92DD5">
            <w:pPr>
              <w:jc w:val="both"/>
              <w:rPr>
                <w:rFonts w:cs="Times New Roman"/>
                <w:sz w:val="20"/>
                <w:szCs w:val="20"/>
              </w:rPr>
            </w:pPr>
            <w:r w:rsidRPr="00293EE1">
              <w:rPr>
                <w:rFonts w:cs="Times New Roman"/>
                <w:sz w:val="20"/>
                <w:szCs w:val="20"/>
              </w:rPr>
              <w:t>Court of Queen’s Bench of Alberta</w:t>
            </w:r>
          </w:p>
          <w:p w:rsidR="00D72D79" w:rsidRPr="00293EE1" w:rsidRDefault="00D72D79" w:rsidP="00C92DD5">
            <w:pPr>
              <w:jc w:val="both"/>
              <w:rPr>
                <w:rFonts w:cs="Times New Roman"/>
                <w:sz w:val="20"/>
                <w:szCs w:val="20"/>
              </w:rPr>
            </w:pPr>
            <w:r w:rsidRPr="00293EE1">
              <w:rPr>
                <w:rFonts w:cs="Times New Roman"/>
                <w:sz w:val="20"/>
                <w:szCs w:val="20"/>
              </w:rPr>
              <w:t>(</w:t>
            </w:r>
            <w:proofErr w:type="spellStart"/>
            <w:r w:rsidRPr="00293EE1">
              <w:rPr>
                <w:rFonts w:cs="Times New Roman"/>
                <w:sz w:val="20"/>
                <w:szCs w:val="20"/>
              </w:rPr>
              <w:t>Yungwirth</w:t>
            </w:r>
            <w:proofErr w:type="spellEnd"/>
            <w:r w:rsidRPr="00293EE1">
              <w:rPr>
                <w:rFonts w:cs="Times New Roman"/>
                <w:sz w:val="20"/>
                <w:szCs w:val="20"/>
              </w:rPr>
              <w:t xml:space="preserve"> J.)</w:t>
            </w:r>
          </w:p>
          <w:p w:rsidR="00D72D79" w:rsidRPr="00293EE1" w:rsidRDefault="00B2512D" w:rsidP="00C92DD5">
            <w:pPr>
              <w:jc w:val="both"/>
              <w:rPr>
                <w:rFonts w:cs="Times New Roman"/>
                <w:sz w:val="20"/>
                <w:szCs w:val="20"/>
              </w:rPr>
            </w:pPr>
            <w:hyperlink r:id="rId53" w:history="1">
              <w:r w:rsidR="00D72D79" w:rsidRPr="00293EE1">
                <w:rPr>
                  <w:rStyle w:val="Hyperlink"/>
                  <w:rFonts w:cs="Times New Roman"/>
                  <w:sz w:val="20"/>
                  <w:szCs w:val="20"/>
                </w:rPr>
                <w:t>2015 ABQB 621</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On summary trial, Mr. Styles’ awarded $444,205 in damages.</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January 4, 2017</w:t>
            </w:r>
          </w:p>
          <w:p w:rsidR="00D72D79" w:rsidRPr="00293EE1" w:rsidRDefault="00D72D79" w:rsidP="00C92DD5">
            <w:pPr>
              <w:jc w:val="both"/>
              <w:rPr>
                <w:rFonts w:cs="Times New Roman"/>
                <w:sz w:val="20"/>
                <w:szCs w:val="20"/>
              </w:rPr>
            </w:pPr>
            <w:r w:rsidRPr="00293EE1">
              <w:rPr>
                <w:rFonts w:cs="Times New Roman"/>
                <w:sz w:val="20"/>
                <w:szCs w:val="20"/>
              </w:rPr>
              <w:t>Court of Appeal of Alberta (Edmonton)</w:t>
            </w:r>
          </w:p>
          <w:p w:rsidR="00D72D79" w:rsidRPr="00293EE1" w:rsidRDefault="00D72D79" w:rsidP="00C92DD5">
            <w:pPr>
              <w:jc w:val="both"/>
              <w:rPr>
                <w:rFonts w:cs="Times New Roman"/>
                <w:sz w:val="20"/>
                <w:szCs w:val="20"/>
              </w:rPr>
            </w:pPr>
            <w:r w:rsidRPr="00293EE1">
              <w:rPr>
                <w:rFonts w:cs="Times New Roman"/>
                <w:sz w:val="20"/>
                <w:szCs w:val="20"/>
              </w:rPr>
              <w:t xml:space="preserve">(Berger, </w:t>
            </w:r>
            <w:proofErr w:type="spellStart"/>
            <w:r w:rsidRPr="00293EE1">
              <w:rPr>
                <w:rFonts w:cs="Times New Roman"/>
                <w:sz w:val="20"/>
                <w:szCs w:val="20"/>
              </w:rPr>
              <w:t>Slatter</w:t>
            </w:r>
            <w:proofErr w:type="spellEnd"/>
            <w:r w:rsidRPr="00293EE1">
              <w:rPr>
                <w:rFonts w:cs="Times New Roman"/>
                <w:sz w:val="20"/>
                <w:szCs w:val="20"/>
              </w:rPr>
              <w:t xml:space="preserve"> and </w:t>
            </w:r>
            <w:proofErr w:type="spellStart"/>
            <w:r w:rsidRPr="00293EE1">
              <w:rPr>
                <w:rFonts w:cs="Times New Roman"/>
                <w:sz w:val="20"/>
                <w:szCs w:val="20"/>
              </w:rPr>
              <w:t>O’Ferrall</w:t>
            </w:r>
            <w:proofErr w:type="spellEnd"/>
            <w:r w:rsidRPr="00293EE1">
              <w:rPr>
                <w:rFonts w:cs="Times New Roman"/>
                <w:sz w:val="20"/>
                <w:szCs w:val="20"/>
              </w:rPr>
              <w:t xml:space="preserve"> JJ.A)</w:t>
            </w:r>
          </w:p>
          <w:p w:rsidR="00D72D79" w:rsidRPr="00293EE1" w:rsidRDefault="00B2512D" w:rsidP="00C92DD5">
            <w:pPr>
              <w:jc w:val="both"/>
              <w:rPr>
                <w:rFonts w:cs="Times New Roman"/>
                <w:sz w:val="20"/>
                <w:szCs w:val="20"/>
              </w:rPr>
            </w:pPr>
            <w:hyperlink r:id="rId54" w:history="1">
              <w:r w:rsidR="00D72D79" w:rsidRPr="00293EE1">
                <w:rPr>
                  <w:rStyle w:val="Hyperlink"/>
                  <w:rFonts w:cs="Times New Roman"/>
                  <w:sz w:val="20"/>
                  <w:szCs w:val="20"/>
                </w:rPr>
                <w:t>2017 ABCA 1</w:t>
              </w:r>
            </w:hyperlink>
          </w:p>
          <w:p w:rsidR="00D72D79" w:rsidRPr="00293EE1" w:rsidRDefault="00D72D79" w:rsidP="00C92DD5">
            <w:pPr>
              <w:jc w:val="both"/>
              <w:rPr>
                <w:rFonts w:cs="Times New Roman"/>
                <w:sz w:val="20"/>
                <w:szCs w:val="20"/>
              </w:rPr>
            </w:pPr>
            <w:r w:rsidRPr="00293EE1">
              <w:rPr>
                <w:rFonts w:cs="Times New Roman"/>
                <w:sz w:val="20"/>
                <w:szCs w:val="20"/>
              </w:rPr>
              <w:t>File No.: 1503-0275-AC</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 xml:space="preserve">Appeal allowed. Mr. Styles’ action dismissed.  </w:t>
            </w:r>
          </w:p>
          <w:p w:rsidR="00D72D79" w:rsidRPr="00293EE1" w:rsidRDefault="00D72D79" w:rsidP="00C92DD5">
            <w:pPr>
              <w:jc w:val="both"/>
              <w:rPr>
                <w:rFonts w:cs="Times New Roman"/>
                <w:sz w:val="20"/>
                <w:szCs w:val="20"/>
              </w:rPr>
            </w:pPr>
          </w:p>
        </w:tc>
      </w:tr>
    </w:tbl>
    <w:p w:rsidR="00016C13" w:rsidRPr="00293EE1" w:rsidRDefault="00016C13">
      <w:r w:rsidRPr="00293EE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2D79" w:rsidRPr="00293EE1" w:rsidTr="00C92DD5">
        <w:tc>
          <w:tcPr>
            <w:tcW w:w="2427" w:type="pct"/>
          </w:tcPr>
          <w:p w:rsidR="00D72D79" w:rsidRPr="00293EE1" w:rsidRDefault="00D72D79" w:rsidP="00C92DD5">
            <w:pPr>
              <w:jc w:val="both"/>
              <w:rPr>
                <w:rFonts w:cs="Times New Roman"/>
                <w:sz w:val="20"/>
                <w:szCs w:val="20"/>
              </w:rPr>
            </w:pPr>
            <w:r w:rsidRPr="00293EE1">
              <w:rPr>
                <w:rFonts w:cs="Times New Roman"/>
                <w:sz w:val="20"/>
                <w:szCs w:val="20"/>
              </w:rPr>
              <w:lastRenderedPageBreak/>
              <w:t>March 1, 2017</w:t>
            </w:r>
          </w:p>
          <w:p w:rsidR="00D72D79" w:rsidRPr="00293EE1" w:rsidRDefault="00D72D79" w:rsidP="00C92DD5">
            <w:pPr>
              <w:jc w:val="both"/>
              <w:rPr>
                <w:rFonts w:cs="Times New Roman"/>
                <w:sz w:val="20"/>
                <w:szCs w:val="20"/>
              </w:rPr>
            </w:pPr>
            <w:r w:rsidRPr="00293EE1">
              <w:rPr>
                <w:rFonts w:cs="Times New Roman"/>
                <w:sz w:val="20"/>
                <w:szCs w:val="20"/>
              </w:rPr>
              <w:t>Supreme Court of Canada</w:t>
            </w: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Application for leave to appeal filed.</w:t>
            </w:r>
          </w:p>
          <w:p w:rsidR="00D72D79" w:rsidRPr="00293EE1" w:rsidRDefault="00D72D79" w:rsidP="00C92DD5">
            <w:pPr>
              <w:jc w:val="both"/>
              <w:rPr>
                <w:rFonts w:cs="Times New Roman"/>
                <w:sz w:val="20"/>
                <w:szCs w:val="20"/>
              </w:rPr>
            </w:pPr>
          </w:p>
        </w:tc>
      </w:tr>
    </w:tbl>
    <w:p w:rsidR="00D72D79" w:rsidRPr="00293EE1" w:rsidRDefault="00B2512D" w:rsidP="00D72D79">
      <w:pPr>
        <w:jc w:val="both"/>
        <w:rPr>
          <w:rFonts w:cs="Times New Roman"/>
          <w:sz w:val="20"/>
          <w:szCs w:val="20"/>
        </w:rPr>
      </w:pPr>
      <w:r>
        <w:rPr>
          <w:sz w:val="20"/>
          <w:szCs w:val="20"/>
        </w:rPr>
        <w:pict>
          <v:rect id="_x0000_i1065" style="width:2in;height:1pt" o:hrpct="0" o:hralign="center" o:hrstd="t" o:hrnoshade="t" o:hr="t" fillcolor="black [3213]" stroked="f"/>
        </w:pict>
      </w:r>
    </w:p>
    <w:p w:rsidR="00D72D79" w:rsidRPr="00293EE1" w:rsidRDefault="00D72D79" w:rsidP="00D72D79">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2D79" w:rsidRPr="00293EE1" w:rsidTr="00C92DD5">
        <w:tc>
          <w:tcPr>
            <w:tcW w:w="543" w:type="pct"/>
          </w:tcPr>
          <w:p w:rsidR="00D72D79" w:rsidRPr="00293EE1" w:rsidRDefault="00D72D79" w:rsidP="00C92DD5">
            <w:pPr>
              <w:jc w:val="both"/>
              <w:rPr>
                <w:rFonts w:cs="Times New Roman"/>
                <w:sz w:val="20"/>
                <w:szCs w:val="20"/>
                <w:lang w:val="fr-CA"/>
              </w:rPr>
            </w:pPr>
            <w:r w:rsidRPr="00293EE1">
              <w:rPr>
                <w:rStyle w:val="SCCFileNumberChar"/>
                <w:sz w:val="20"/>
                <w:szCs w:val="20"/>
                <w:lang w:val="fr-CA"/>
              </w:rPr>
              <w:t>37465</w:t>
            </w:r>
          </w:p>
        </w:tc>
        <w:tc>
          <w:tcPr>
            <w:tcW w:w="4457" w:type="pct"/>
            <w:gridSpan w:val="3"/>
          </w:tcPr>
          <w:p w:rsidR="00D72D79" w:rsidRPr="00293EE1" w:rsidRDefault="00D72D79" w:rsidP="00C92DD5">
            <w:pPr>
              <w:pStyle w:val="SCCLsocParty"/>
              <w:jc w:val="both"/>
              <w:rPr>
                <w:b/>
                <w:sz w:val="20"/>
                <w:szCs w:val="20"/>
                <w:lang w:val="en-US"/>
              </w:rPr>
            </w:pPr>
            <w:r w:rsidRPr="00293EE1">
              <w:rPr>
                <w:b/>
                <w:sz w:val="20"/>
                <w:szCs w:val="20"/>
                <w:lang w:val="en-US"/>
              </w:rPr>
              <w:t>David Styles c. Alberta Investment Management Corporation</w:t>
            </w:r>
          </w:p>
          <w:p w:rsidR="00D72D79" w:rsidRPr="00293EE1" w:rsidRDefault="00D72D79" w:rsidP="00C92DD5">
            <w:pPr>
              <w:jc w:val="both"/>
              <w:rPr>
                <w:rFonts w:cs="Times New Roman"/>
                <w:sz w:val="20"/>
                <w:szCs w:val="20"/>
                <w:lang w:val="fr-CA"/>
              </w:rPr>
            </w:pPr>
            <w:r w:rsidRPr="00293EE1">
              <w:rPr>
                <w:rFonts w:cs="Times New Roman"/>
                <w:sz w:val="20"/>
                <w:szCs w:val="20"/>
                <w:lang w:val="fr-CA"/>
              </w:rPr>
              <w:t>(</w:t>
            </w:r>
            <w:proofErr w:type="spellStart"/>
            <w:r w:rsidRPr="00293EE1">
              <w:rPr>
                <w:rFonts w:cs="Times New Roman"/>
                <w:sz w:val="20"/>
                <w:szCs w:val="20"/>
                <w:lang w:val="fr-CA"/>
              </w:rPr>
              <w:t>Alb</w:t>
            </w:r>
            <w:proofErr w:type="spellEnd"/>
            <w:r w:rsidRPr="00293EE1">
              <w:rPr>
                <w:rFonts w:cs="Times New Roman"/>
                <w:sz w:val="20"/>
                <w:szCs w:val="20"/>
                <w:lang w:val="fr-CA"/>
              </w:rPr>
              <w:t>.) (Civile) (Sur autorisation)</w:t>
            </w:r>
          </w:p>
        </w:tc>
      </w:tr>
      <w:tr w:rsidR="00D72D79" w:rsidRPr="00B2512D" w:rsidTr="00C92DD5">
        <w:tc>
          <w:tcPr>
            <w:tcW w:w="543" w:type="pct"/>
          </w:tcPr>
          <w:p w:rsidR="00D72D79" w:rsidRPr="00293EE1" w:rsidRDefault="00D72D79" w:rsidP="00C92DD5">
            <w:pPr>
              <w:jc w:val="both"/>
              <w:rPr>
                <w:rStyle w:val="SCCFileNumberChar"/>
                <w:sz w:val="20"/>
                <w:szCs w:val="20"/>
                <w:lang w:val="fr-CA"/>
              </w:rPr>
            </w:pPr>
            <w:r w:rsidRPr="00293EE1">
              <w:rPr>
                <w:rStyle w:val="SCCFileNumberChar"/>
                <w:sz w:val="20"/>
                <w:szCs w:val="20"/>
                <w:lang w:val="fr-CA"/>
              </w:rPr>
              <w:t>Coram :</w:t>
            </w:r>
          </w:p>
        </w:tc>
        <w:tc>
          <w:tcPr>
            <w:tcW w:w="4457" w:type="pct"/>
            <w:gridSpan w:val="3"/>
          </w:tcPr>
          <w:p w:rsidR="00D72D79" w:rsidRPr="00293EE1" w:rsidRDefault="005A5CF9" w:rsidP="00C92DD5">
            <w:pPr>
              <w:pStyle w:val="SCCLsocParty"/>
              <w:jc w:val="both"/>
              <w:rPr>
                <w:sz w:val="20"/>
                <w:szCs w:val="20"/>
              </w:rPr>
            </w:pPr>
            <w:r w:rsidRPr="00293EE1">
              <w:rPr>
                <w:sz w:val="20"/>
                <w:szCs w:val="20"/>
              </w:rPr>
              <w:t xml:space="preserve">La juge en chef </w:t>
            </w:r>
            <w:proofErr w:type="spellStart"/>
            <w:r w:rsidRPr="00293EE1">
              <w:rPr>
                <w:sz w:val="20"/>
                <w:szCs w:val="20"/>
              </w:rPr>
              <w:t>McLachlin</w:t>
            </w:r>
            <w:proofErr w:type="spellEnd"/>
            <w:r w:rsidRPr="00293EE1">
              <w:rPr>
                <w:sz w:val="20"/>
                <w:szCs w:val="20"/>
              </w:rPr>
              <w:t xml:space="preserve"> et les juges Abella, </w:t>
            </w:r>
            <w:proofErr w:type="spellStart"/>
            <w:r w:rsidRPr="00293EE1">
              <w:rPr>
                <w:sz w:val="20"/>
                <w:szCs w:val="20"/>
              </w:rPr>
              <w:t>Moldaver</w:t>
            </w:r>
            <w:proofErr w:type="spellEnd"/>
            <w:r w:rsidRPr="00293EE1">
              <w:rPr>
                <w:sz w:val="20"/>
                <w:szCs w:val="20"/>
              </w:rPr>
              <w:t xml:space="preserve">, </w:t>
            </w:r>
            <w:proofErr w:type="spellStart"/>
            <w:r w:rsidRPr="00293EE1">
              <w:rPr>
                <w:sz w:val="20"/>
                <w:szCs w:val="20"/>
              </w:rPr>
              <w:t>Karakatsanis</w:t>
            </w:r>
            <w:proofErr w:type="spellEnd"/>
            <w:r w:rsidRPr="00293EE1">
              <w:rPr>
                <w:sz w:val="20"/>
                <w:szCs w:val="20"/>
              </w:rPr>
              <w:t>, Wagner, Gascon, Côté, Brown et Rowe</w:t>
            </w:r>
          </w:p>
        </w:tc>
      </w:tr>
      <w:tr w:rsidR="00D72D79" w:rsidRPr="00B2512D" w:rsidTr="00D72D79">
        <w:tc>
          <w:tcPr>
            <w:tcW w:w="5000" w:type="pct"/>
            <w:gridSpan w:val="4"/>
          </w:tcPr>
          <w:p w:rsidR="00D72D79" w:rsidRPr="00293EE1" w:rsidRDefault="005A5CF9" w:rsidP="00C92DD5">
            <w:pPr>
              <w:pStyle w:val="SCCLsocParty"/>
              <w:jc w:val="both"/>
              <w:rPr>
                <w:sz w:val="20"/>
                <w:szCs w:val="20"/>
              </w:rPr>
            </w:pPr>
            <w:r w:rsidRPr="00293EE1">
              <w:rPr>
                <w:sz w:val="20"/>
                <w:szCs w:val="20"/>
              </w:rPr>
              <w:t>La demande d’autorisation d’appel de l’arrêt de la Cour d’appel de l’Alberta (Edmonton), numéro 1503-0275-AC, 2017 ABCA 1, daté du 4 janvier 2017, est rejetée avec dépens.</w:t>
            </w:r>
          </w:p>
          <w:p w:rsidR="005A5CF9" w:rsidRPr="00293EE1" w:rsidRDefault="005A5CF9" w:rsidP="005A5CF9">
            <w:pPr>
              <w:rPr>
                <w:lang w:val="fr-CA"/>
              </w:rPr>
            </w:pPr>
          </w:p>
        </w:tc>
      </w:tr>
      <w:tr w:rsidR="00D72D79" w:rsidRPr="00B2512D" w:rsidTr="00C92DD5">
        <w:trPr>
          <w:trHeight w:val="1863"/>
        </w:trPr>
        <w:tc>
          <w:tcPr>
            <w:tcW w:w="5000" w:type="pct"/>
            <w:gridSpan w:val="4"/>
          </w:tcPr>
          <w:p w:rsidR="00D72D79" w:rsidRPr="00293EE1" w:rsidRDefault="00D72D79" w:rsidP="00C92DD5">
            <w:pPr>
              <w:pStyle w:val="felskynumbering121"/>
              <w:spacing w:after="0"/>
              <w:rPr>
                <w:sz w:val="20"/>
                <w:szCs w:val="20"/>
                <w:lang w:val="fr-CA"/>
              </w:rPr>
            </w:pPr>
            <w:r w:rsidRPr="00293EE1">
              <w:rPr>
                <w:sz w:val="20"/>
                <w:szCs w:val="20"/>
                <w:lang w:val="fr-CA"/>
              </w:rPr>
              <w:t xml:space="preserve">Droit administratif ― Appel ― Norme de contrôle — L’employé demandeur a été congédié « sans justification » — La Cour d’appel a conclu que l’employé n’avait pas droit à un paiement ou à une prime en application du régime d’intéressement à long terme de l’employeur — La Cour d’appel a-t-elle eu tort de statuer que la norme de la décision correcte s’appliquait à l’interprétation d’un régime de rémunération à paiement différé parce que le régime était un contrat type qui s’appliquait à plusieurs employés? — L’obligation moderne d’agir de bonne foi s’applique-t-elle à la déchéance d’octrois annuels lorsque l’employé a été l’objet d’un congédiement injustifié ou bien est-ce que la doctrine de la bonne foi était complètement dénuée de pertinence? — Le demandeur </w:t>
            </w:r>
            <w:proofErr w:type="spellStart"/>
            <w:r w:rsidRPr="00293EE1">
              <w:rPr>
                <w:sz w:val="20"/>
                <w:szCs w:val="20"/>
                <w:lang w:val="fr-CA"/>
              </w:rPr>
              <w:t>a-t-il</w:t>
            </w:r>
            <w:proofErr w:type="spellEnd"/>
            <w:r w:rsidRPr="00293EE1">
              <w:rPr>
                <w:sz w:val="20"/>
                <w:szCs w:val="20"/>
                <w:lang w:val="fr-CA"/>
              </w:rPr>
              <w:t xml:space="preserve"> droit à une protection contre la déchéance des octrois annuels qui lui ont été faits en vertu du régime de rémunération à paiement différé?</w:t>
            </w:r>
          </w:p>
          <w:p w:rsidR="00D72D79" w:rsidRPr="00293EE1" w:rsidRDefault="00D72D79" w:rsidP="00C92DD5">
            <w:pPr>
              <w:pStyle w:val="felskynumbering121"/>
              <w:spacing w:after="0"/>
              <w:rPr>
                <w:sz w:val="20"/>
                <w:szCs w:val="20"/>
                <w:lang w:val="fr-CA"/>
              </w:rPr>
            </w:pPr>
          </w:p>
        </w:tc>
      </w:tr>
      <w:tr w:rsidR="00D72D79" w:rsidRPr="00B2512D" w:rsidTr="00C92DD5">
        <w:tc>
          <w:tcPr>
            <w:tcW w:w="5000" w:type="pct"/>
            <w:gridSpan w:val="4"/>
          </w:tcPr>
          <w:p w:rsidR="00D72D79" w:rsidRPr="00293EE1" w:rsidRDefault="00D72D79" w:rsidP="00C92DD5">
            <w:pPr>
              <w:pStyle w:val="felskynumbering121"/>
              <w:rPr>
                <w:sz w:val="20"/>
                <w:szCs w:val="20"/>
                <w:lang w:val="fr-CA"/>
              </w:rPr>
            </w:pPr>
            <w:r w:rsidRPr="00293EE1">
              <w:rPr>
                <w:sz w:val="20"/>
                <w:szCs w:val="20"/>
                <w:lang w:val="fr-CA"/>
              </w:rPr>
              <w:t xml:space="preserve">En 2010, M. Styles est parti de l’Ontario pour s’établir en Alberta pour occuper un poste de directeur des placements à l’Alberta Investment Management Corporation. Son emploi était régi par un contrat de travail écrit qui prévoyait un salaire de base plus des primes éventuelles. Monsieur Styles pouvait éventuellement toucher des primes qui dépassaient largement son salaire de base en application du régime d’intéressement annuel ou du régime d’intéressement à long terme. </w:t>
            </w:r>
          </w:p>
          <w:p w:rsidR="00D72D79" w:rsidRPr="00293EE1" w:rsidRDefault="00D72D79" w:rsidP="00C92DD5">
            <w:pPr>
              <w:pStyle w:val="felskynumbering121"/>
              <w:rPr>
                <w:sz w:val="20"/>
                <w:szCs w:val="20"/>
                <w:lang w:val="fr-CA"/>
              </w:rPr>
            </w:pPr>
            <w:r w:rsidRPr="00293EE1">
              <w:rPr>
                <w:sz w:val="20"/>
                <w:szCs w:val="20"/>
                <w:lang w:val="fr-CA"/>
              </w:rPr>
              <w:t xml:space="preserve">En 2013, M. Styles a été congédié « sans justification ». La question en litige en l’espèce est de savoir si M. Styles a droit à un paiement ou à une prime en application du régime d’intéressement à long terme de l’employeur.  </w:t>
            </w:r>
          </w:p>
          <w:p w:rsidR="00D72D79" w:rsidRPr="00293EE1" w:rsidRDefault="00D72D79" w:rsidP="00C92DD5">
            <w:pPr>
              <w:jc w:val="both"/>
              <w:rPr>
                <w:rFonts w:cs="Times New Roman"/>
                <w:sz w:val="20"/>
                <w:szCs w:val="20"/>
                <w:lang w:val="fr-CA"/>
              </w:rPr>
            </w:pPr>
            <w:r w:rsidRPr="00293EE1">
              <w:rPr>
                <w:rFonts w:cs="Times New Roman"/>
                <w:sz w:val="20"/>
                <w:szCs w:val="20"/>
                <w:lang w:val="fr-CA"/>
              </w:rPr>
              <w:t>La Cour du Banc de la Reine a accordé à M. Styles la somme de 444 205 $ en dommages-intérêts.</w:t>
            </w:r>
            <w:r w:rsidRPr="00293EE1">
              <w:rPr>
                <w:rFonts w:cs="Times New Roman"/>
                <w:sz w:val="20"/>
                <w:szCs w:val="20"/>
                <w:lang w:val="fr-CA" w:eastAsia="en-CA"/>
              </w:rPr>
              <w:t xml:space="preserve"> La Cour d’appel a accueilli l’appel et rejeté l’action de M. Styles.  </w:t>
            </w:r>
          </w:p>
        </w:tc>
      </w:tr>
      <w:tr w:rsidR="00D72D79" w:rsidRPr="00B2512D" w:rsidTr="00C92DD5">
        <w:tc>
          <w:tcPr>
            <w:tcW w:w="5000" w:type="pct"/>
            <w:gridSpan w:val="4"/>
          </w:tcPr>
          <w:p w:rsidR="00D72D79" w:rsidRPr="00293EE1" w:rsidRDefault="00D72D79" w:rsidP="00C92DD5">
            <w:pPr>
              <w:jc w:val="both"/>
              <w:rPr>
                <w:rFonts w:cs="Times New Roman"/>
                <w:sz w:val="20"/>
                <w:szCs w:val="20"/>
                <w:lang w:val="fr-CA"/>
              </w:rPr>
            </w:pPr>
            <w:r w:rsidRPr="00293EE1">
              <w:rPr>
                <w:rFonts w:cs="Times New Roman"/>
                <w:sz w:val="20"/>
                <w:szCs w:val="20"/>
                <w:lang w:val="fr-CA" w:eastAsia="en-CA"/>
              </w:rPr>
              <w:t xml:space="preserve"> </w:t>
            </w: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5 octobre 2015</w:t>
            </w: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Cour du Banc de la Reine de l’Alberta </w:t>
            </w: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(Juge </w:t>
            </w:r>
            <w:proofErr w:type="spellStart"/>
            <w:r w:rsidRPr="00293EE1">
              <w:rPr>
                <w:rFonts w:cs="Times New Roman"/>
                <w:sz w:val="20"/>
                <w:szCs w:val="20"/>
                <w:lang w:val="fr-CA"/>
              </w:rPr>
              <w:t>Yungwirth</w:t>
            </w:r>
            <w:proofErr w:type="spellEnd"/>
            <w:r w:rsidRPr="00293EE1">
              <w:rPr>
                <w:rFonts w:cs="Times New Roman"/>
                <w:sz w:val="20"/>
                <w:szCs w:val="20"/>
                <w:lang w:val="fr-CA"/>
              </w:rPr>
              <w:t>)</w:t>
            </w:r>
          </w:p>
          <w:p w:rsidR="00D72D79" w:rsidRPr="00293EE1" w:rsidRDefault="00B2512D" w:rsidP="00C92DD5">
            <w:pPr>
              <w:jc w:val="both"/>
              <w:rPr>
                <w:rFonts w:cs="Times New Roman"/>
                <w:sz w:val="20"/>
                <w:szCs w:val="20"/>
                <w:lang w:val="fr-CA"/>
              </w:rPr>
            </w:pPr>
            <w:hyperlink r:id="rId55" w:history="1">
              <w:r w:rsidR="00D72D79" w:rsidRPr="00293EE1">
                <w:rPr>
                  <w:rStyle w:val="Hyperlink"/>
                  <w:rFonts w:cs="Times New Roman"/>
                  <w:sz w:val="20"/>
                  <w:szCs w:val="20"/>
                  <w:lang w:val="fr-CA"/>
                </w:rPr>
                <w:t>2015 ABQB 621</w:t>
              </w:r>
            </w:hyperlink>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Jugement au terme d’un procès sommaire accordant à M. Styles la somme de 444 205 $ en dommages-intérêts.</w:t>
            </w:r>
          </w:p>
          <w:p w:rsidR="00D72D79" w:rsidRPr="00293EE1" w:rsidRDefault="00D72D79" w:rsidP="00C92DD5">
            <w:pPr>
              <w:jc w:val="both"/>
              <w:rPr>
                <w:rFonts w:cs="Times New Roman"/>
                <w:sz w:val="20"/>
                <w:szCs w:val="20"/>
                <w:lang w:val="fr-CA"/>
              </w:rPr>
            </w:pP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4 janvier 2017</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d’appel de l’Alberta (Edmonton)</w:t>
            </w: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(Juges Berger, </w:t>
            </w:r>
            <w:proofErr w:type="spellStart"/>
            <w:r w:rsidRPr="00293EE1">
              <w:rPr>
                <w:rFonts w:cs="Times New Roman"/>
                <w:sz w:val="20"/>
                <w:szCs w:val="20"/>
                <w:lang w:val="fr-CA"/>
              </w:rPr>
              <w:t>Slatter</w:t>
            </w:r>
            <w:proofErr w:type="spellEnd"/>
            <w:r w:rsidRPr="00293EE1">
              <w:rPr>
                <w:rFonts w:cs="Times New Roman"/>
                <w:sz w:val="20"/>
                <w:szCs w:val="20"/>
                <w:lang w:val="fr-CA"/>
              </w:rPr>
              <w:t xml:space="preserve"> et </w:t>
            </w:r>
            <w:proofErr w:type="spellStart"/>
            <w:r w:rsidRPr="00293EE1">
              <w:rPr>
                <w:rFonts w:cs="Times New Roman"/>
                <w:sz w:val="20"/>
                <w:szCs w:val="20"/>
                <w:lang w:val="fr-CA"/>
              </w:rPr>
              <w:t>O’Ferrall</w:t>
            </w:r>
            <w:proofErr w:type="spellEnd"/>
            <w:r w:rsidRPr="00293EE1">
              <w:rPr>
                <w:rFonts w:cs="Times New Roman"/>
                <w:sz w:val="20"/>
                <w:szCs w:val="20"/>
                <w:lang w:val="fr-CA"/>
              </w:rPr>
              <w:t>)</w:t>
            </w:r>
          </w:p>
          <w:p w:rsidR="00D72D79" w:rsidRPr="00293EE1" w:rsidRDefault="00B2512D" w:rsidP="00C92DD5">
            <w:pPr>
              <w:jc w:val="both"/>
              <w:rPr>
                <w:rFonts w:cs="Times New Roman"/>
                <w:sz w:val="20"/>
                <w:szCs w:val="20"/>
                <w:lang w:val="fr-CA"/>
              </w:rPr>
            </w:pPr>
            <w:hyperlink r:id="rId56" w:history="1">
              <w:r w:rsidR="00D72D79" w:rsidRPr="00293EE1">
                <w:rPr>
                  <w:rStyle w:val="Hyperlink"/>
                  <w:rFonts w:cs="Times New Roman"/>
                  <w:sz w:val="20"/>
                  <w:szCs w:val="20"/>
                  <w:lang w:val="fr-CA"/>
                </w:rPr>
                <w:t>2017 ABCA 1</w:t>
              </w:r>
            </w:hyperlink>
          </w:p>
          <w:p w:rsidR="00D72D79" w:rsidRPr="00293EE1" w:rsidRDefault="00D72D79" w:rsidP="00C92DD5">
            <w:pPr>
              <w:jc w:val="both"/>
              <w:rPr>
                <w:rFonts w:cs="Times New Roman"/>
                <w:sz w:val="20"/>
                <w:szCs w:val="20"/>
                <w:lang w:val="fr-CA"/>
              </w:rPr>
            </w:pPr>
            <w:r w:rsidRPr="00293EE1">
              <w:rPr>
                <w:rFonts w:cs="Times New Roman"/>
                <w:sz w:val="20"/>
                <w:szCs w:val="20"/>
                <w:lang w:val="fr-CA"/>
              </w:rPr>
              <w:t>N</w:t>
            </w:r>
            <w:r w:rsidRPr="00293EE1">
              <w:rPr>
                <w:rFonts w:cs="Times New Roman"/>
                <w:sz w:val="20"/>
                <w:szCs w:val="20"/>
                <w:vertAlign w:val="superscript"/>
                <w:lang w:val="fr-CA"/>
              </w:rPr>
              <w:t>o</w:t>
            </w:r>
            <w:r w:rsidRPr="00293EE1">
              <w:rPr>
                <w:rFonts w:cs="Times New Roman"/>
                <w:sz w:val="20"/>
                <w:szCs w:val="20"/>
                <w:lang w:val="fr-CA"/>
              </w:rPr>
              <w:t xml:space="preserve"> de dossier : 1503-0275-AC</w:t>
            </w:r>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Arrêt accueillant l’appel et rejetant l’action de M. Styles.  </w:t>
            </w:r>
          </w:p>
          <w:p w:rsidR="00D72D79" w:rsidRPr="00293EE1" w:rsidRDefault="00D72D79" w:rsidP="00C92DD5">
            <w:pPr>
              <w:jc w:val="both"/>
              <w:rPr>
                <w:rFonts w:cs="Times New Roman"/>
                <w:sz w:val="20"/>
                <w:szCs w:val="20"/>
                <w:lang w:val="fr-CA"/>
              </w:rPr>
            </w:pP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1</w:t>
            </w:r>
            <w:r w:rsidRPr="00293EE1">
              <w:rPr>
                <w:rFonts w:cs="Times New Roman"/>
                <w:sz w:val="20"/>
                <w:szCs w:val="20"/>
                <w:vertAlign w:val="superscript"/>
                <w:lang w:val="fr-CA"/>
              </w:rPr>
              <w:t>er</w:t>
            </w:r>
            <w:r w:rsidRPr="00293EE1">
              <w:rPr>
                <w:rFonts w:cs="Times New Roman"/>
                <w:sz w:val="20"/>
                <w:szCs w:val="20"/>
                <w:lang w:val="fr-CA"/>
              </w:rPr>
              <w:t xml:space="preserve"> mars 2017</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suprême du Canada</w:t>
            </w: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Dépôt de la demande d’autorisation d’appel.</w:t>
            </w:r>
          </w:p>
          <w:p w:rsidR="00D72D79" w:rsidRPr="00293EE1" w:rsidRDefault="00D72D79" w:rsidP="00C92DD5">
            <w:pPr>
              <w:jc w:val="both"/>
              <w:rPr>
                <w:rFonts w:cs="Times New Roman"/>
                <w:sz w:val="20"/>
                <w:szCs w:val="20"/>
                <w:lang w:val="fr-CA"/>
              </w:rPr>
            </w:pPr>
          </w:p>
        </w:tc>
      </w:tr>
    </w:tbl>
    <w:p w:rsidR="00D72D79" w:rsidRPr="00293EE1" w:rsidRDefault="00B2512D" w:rsidP="00D72D79">
      <w:pPr>
        <w:jc w:val="both"/>
        <w:rPr>
          <w:rFonts w:cs="Times New Roman"/>
          <w:sz w:val="20"/>
          <w:szCs w:val="20"/>
          <w:lang w:val="fr-CA"/>
        </w:rPr>
      </w:pPr>
      <w:r>
        <w:rPr>
          <w:sz w:val="20"/>
          <w:szCs w:val="20"/>
        </w:rPr>
        <w:pict>
          <v:rect id="_x0000_i1066" style="width:2in;height:1pt" o:hrpct="0" o:hralign="center" o:hrstd="t" o:hrnoshade="t" o:hr="t" fillcolor="black [3213]" stroked="f"/>
        </w:pict>
      </w:r>
    </w:p>
    <w:p w:rsidR="00016C13" w:rsidRPr="00293EE1" w:rsidRDefault="00016C13">
      <w:pPr>
        <w:rPr>
          <w:rFonts w:cs="Times New Roman"/>
          <w:sz w:val="20"/>
          <w:szCs w:val="20"/>
          <w:lang w:val="fr-CA" w:eastAsia="en-CA"/>
        </w:rPr>
      </w:pPr>
    </w:p>
    <w:p w:rsidR="00016C13" w:rsidRPr="00293EE1" w:rsidRDefault="00016C13">
      <w:pPr>
        <w:rPr>
          <w:rFonts w:cs="Times New Roman"/>
          <w:sz w:val="20"/>
          <w:szCs w:val="20"/>
          <w:lang w:val="fr-CA" w:eastAsia="en-CA"/>
        </w:rPr>
      </w:pPr>
      <w:r w:rsidRPr="00293EE1">
        <w:rPr>
          <w:rFonts w:cs="Times New Roman"/>
          <w:sz w:val="20"/>
          <w:szCs w:val="20"/>
          <w:lang w:val="fr-CA" w:eastAsia="en-CA"/>
        </w:rPr>
        <w:br w:type="page"/>
      </w:r>
    </w:p>
    <w:p w:rsidR="00D72D79" w:rsidRPr="00293EE1" w:rsidRDefault="00D72D79" w:rsidP="00D72D79">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2D79" w:rsidRPr="00293EE1" w:rsidTr="00C92DD5">
        <w:tc>
          <w:tcPr>
            <w:tcW w:w="543" w:type="pct"/>
          </w:tcPr>
          <w:p w:rsidR="00D72D79" w:rsidRPr="00293EE1" w:rsidRDefault="00D72D79" w:rsidP="00C92DD5">
            <w:pPr>
              <w:jc w:val="both"/>
              <w:rPr>
                <w:rFonts w:cs="Times New Roman"/>
                <w:sz w:val="20"/>
                <w:szCs w:val="20"/>
              </w:rPr>
            </w:pPr>
            <w:r w:rsidRPr="00293EE1">
              <w:rPr>
                <w:rStyle w:val="SCCFileNumberChar"/>
                <w:sz w:val="20"/>
                <w:szCs w:val="20"/>
              </w:rPr>
              <w:t>37500</w:t>
            </w:r>
          </w:p>
        </w:tc>
        <w:tc>
          <w:tcPr>
            <w:tcW w:w="4457" w:type="pct"/>
            <w:gridSpan w:val="3"/>
          </w:tcPr>
          <w:p w:rsidR="00D72D79" w:rsidRPr="00293EE1" w:rsidRDefault="00D72D79" w:rsidP="00C92DD5">
            <w:pPr>
              <w:pStyle w:val="SCCLsocParty"/>
              <w:jc w:val="both"/>
              <w:rPr>
                <w:b/>
                <w:sz w:val="20"/>
                <w:szCs w:val="20"/>
                <w:lang w:val="en-US"/>
              </w:rPr>
            </w:pPr>
            <w:r w:rsidRPr="00293EE1">
              <w:rPr>
                <w:b/>
                <w:sz w:val="20"/>
                <w:szCs w:val="20"/>
                <w:lang w:val="en-US"/>
              </w:rPr>
              <w:t xml:space="preserve">Her Majesty the Queen in Right of Ontario v. Jason Clive Walters by his Litigation Guardian, </w:t>
            </w:r>
            <w:proofErr w:type="spellStart"/>
            <w:r w:rsidRPr="00293EE1">
              <w:rPr>
                <w:b/>
                <w:sz w:val="20"/>
                <w:szCs w:val="20"/>
                <w:lang w:val="en-US"/>
              </w:rPr>
              <w:t>Pearline</w:t>
            </w:r>
            <w:proofErr w:type="spellEnd"/>
            <w:r w:rsidRPr="00293EE1">
              <w:rPr>
                <w:b/>
                <w:sz w:val="20"/>
                <w:szCs w:val="20"/>
                <w:lang w:val="en-US"/>
              </w:rPr>
              <w:t xml:space="preserve"> </w:t>
            </w:r>
            <w:proofErr w:type="spellStart"/>
            <w:r w:rsidRPr="00293EE1">
              <w:rPr>
                <w:b/>
                <w:sz w:val="20"/>
                <w:szCs w:val="20"/>
                <w:lang w:val="en-US"/>
              </w:rPr>
              <w:t>Samuda</w:t>
            </w:r>
            <w:proofErr w:type="spellEnd"/>
            <w:r w:rsidR="00B90C4D" w:rsidRPr="00293EE1">
              <w:rPr>
                <w:b/>
                <w:sz w:val="20"/>
                <w:szCs w:val="20"/>
                <w:lang w:val="en-US"/>
              </w:rPr>
              <w:t xml:space="preserve"> and</w:t>
            </w:r>
            <w:r w:rsidRPr="00293EE1">
              <w:rPr>
                <w:b/>
                <w:sz w:val="20"/>
                <w:szCs w:val="20"/>
                <w:lang w:val="en-US"/>
              </w:rPr>
              <w:t xml:space="preserve"> </w:t>
            </w:r>
            <w:proofErr w:type="spellStart"/>
            <w:r w:rsidRPr="00293EE1">
              <w:rPr>
                <w:b/>
                <w:sz w:val="20"/>
                <w:szCs w:val="20"/>
                <w:lang w:val="en-US"/>
              </w:rPr>
              <w:t>Pearline</w:t>
            </w:r>
            <w:proofErr w:type="spellEnd"/>
            <w:r w:rsidRPr="00293EE1">
              <w:rPr>
                <w:b/>
                <w:sz w:val="20"/>
                <w:szCs w:val="20"/>
                <w:lang w:val="en-US"/>
              </w:rPr>
              <w:t xml:space="preserve"> </w:t>
            </w:r>
            <w:proofErr w:type="spellStart"/>
            <w:r w:rsidRPr="00293EE1">
              <w:rPr>
                <w:b/>
                <w:sz w:val="20"/>
                <w:szCs w:val="20"/>
                <w:lang w:val="en-US"/>
              </w:rPr>
              <w:t>Samuda</w:t>
            </w:r>
            <w:proofErr w:type="spellEnd"/>
          </w:p>
          <w:p w:rsidR="00D72D79" w:rsidRPr="00293EE1" w:rsidRDefault="00D72D79" w:rsidP="00C92DD5">
            <w:pPr>
              <w:jc w:val="both"/>
              <w:rPr>
                <w:rFonts w:cs="Times New Roman"/>
                <w:sz w:val="20"/>
                <w:szCs w:val="20"/>
              </w:rPr>
            </w:pPr>
            <w:r w:rsidRPr="00293EE1">
              <w:rPr>
                <w:rFonts w:cs="Times New Roman"/>
                <w:sz w:val="20"/>
                <w:szCs w:val="20"/>
              </w:rPr>
              <w:t>(Ont.) (Civil) (By Leave)</w:t>
            </w:r>
          </w:p>
        </w:tc>
      </w:tr>
      <w:tr w:rsidR="00D72D79" w:rsidRPr="00293EE1" w:rsidTr="00C92DD5">
        <w:tc>
          <w:tcPr>
            <w:tcW w:w="543" w:type="pct"/>
          </w:tcPr>
          <w:p w:rsidR="00D72D79" w:rsidRPr="00293EE1" w:rsidRDefault="00D72D79" w:rsidP="00C92DD5">
            <w:pPr>
              <w:jc w:val="both"/>
              <w:rPr>
                <w:rStyle w:val="SCCFileNumberChar"/>
                <w:sz w:val="20"/>
                <w:szCs w:val="20"/>
              </w:rPr>
            </w:pPr>
            <w:r w:rsidRPr="00293EE1">
              <w:rPr>
                <w:rStyle w:val="SCCFileNumberChar"/>
                <w:sz w:val="20"/>
                <w:szCs w:val="20"/>
              </w:rPr>
              <w:t>Coram:</w:t>
            </w:r>
          </w:p>
        </w:tc>
        <w:tc>
          <w:tcPr>
            <w:tcW w:w="4457" w:type="pct"/>
            <w:gridSpan w:val="3"/>
          </w:tcPr>
          <w:p w:rsidR="00D72D79" w:rsidRPr="00293EE1" w:rsidRDefault="001A3EC4" w:rsidP="00C92DD5">
            <w:pPr>
              <w:pStyle w:val="SCCLsocParty"/>
              <w:jc w:val="both"/>
              <w:rPr>
                <w:sz w:val="20"/>
                <w:szCs w:val="20"/>
                <w:lang w:val="en-US"/>
              </w:rPr>
            </w:pPr>
            <w:proofErr w:type="spellStart"/>
            <w:r w:rsidRPr="00293EE1">
              <w:rPr>
                <w:sz w:val="20"/>
                <w:szCs w:val="20"/>
                <w:lang w:val="en-US"/>
              </w:rPr>
              <w:t>McLachlin</w:t>
            </w:r>
            <w:proofErr w:type="spellEnd"/>
            <w:r w:rsidRPr="00293EE1">
              <w:rPr>
                <w:sz w:val="20"/>
                <w:szCs w:val="20"/>
                <w:lang w:val="en-US"/>
              </w:rPr>
              <w:t xml:space="preserve"> C.J. and </w:t>
            </w:r>
            <w:proofErr w:type="spellStart"/>
            <w:r w:rsidRPr="00293EE1">
              <w:rPr>
                <w:sz w:val="20"/>
                <w:szCs w:val="20"/>
                <w:lang w:val="en-US"/>
              </w:rPr>
              <w:t>Abella</w:t>
            </w:r>
            <w:proofErr w:type="spellEnd"/>
            <w:r w:rsidRPr="00293EE1">
              <w:rPr>
                <w:sz w:val="20"/>
                <w:szCs w:val="20"/>
                <w:lang w:val="en-US"/>
              </w:rPr>
              <w:t xml:space="preserve">, </w:t>
            </w:r>
            <w:proofErr w:type="spellStart"/>
            <w:r w:rsidRPr="00293EE1">
              <w:rPr>
                <w:sz w:val="20"/>
                <w:szCs w:val="20"/>
                <w:lang w:val="en-US"/>
              </w:rPr>
              <w:t>Moldaver</w:t>
            </w:r>
            <w:proofErr w:type="spellEnd"/>
            <w:r w:rsidRPr="00293EE1">
              <w:rPr>
                <w:sz w:val="20"/>
                <w:szCs w:val="20"/>
                <w:lang w:val="en-US"/>
              </w:rPr>
              <w:t xml:space="preserve">, </w:t>
            </w:r>
            <w:proofErr w:type="spellStart"/>
            <w:r w:rsidRPr="00293EE1">
              <w:rPr>
                <w:sz w:val="20"/>
                <w:szCs w:val="20"/>
                <w:lang w:val="en-US"/>
              </w:rPr>
              <w:t>Karakatsanis</w:t>
            </w:r>
            <w:proofErr w:type="spellEnd"/>
            <w:r w:rsidRPr="00293EE1">
              <w:rPr>
                <w:sz w:val="20"/>
                <w:szCs w:val="20"/>
                <w:lang w:val="en-US"/>
              </w:rPr>
              <w:t xml:space="preserve">, Wagner, </w:t>
            </w:r>
            <w:proofErr w:type="spellStart"/>
            <w:r w:rsidRPr="00293EE1">
              <w:rPr>
                <w:sz w:val="20"/>
                <w:szCs w:val="20"/>
                <w:lang w:val="en-US"/>
              </w:rPr>
              <w:t>Gascon</w:t>
            </w:r>
            <w:proofErr w:type="spellEnd"/>
            <w:r w:rsidRPr="00293EE1">
              <w:rPr>
                <w:sz w:val="20"/>
                <w:szCs w:val="20"/>
                <w:lang w:val="en-US"/>
              </w:rPr>
              <w:t xml:space="preserve">, </w:t>
            </w:r>
            <w:proofErr w:type="spellStart"/>
            <w:r w:rsidRPr="00293EE1">
              <w:rPr>
                <w:sz w:val="20"/>
                <w:szCs w:val="20"/>
                <w:lang w:val="en-US"/>
              </w:rPr>
              <w:t>Côté</w:t>
            </w:r>
            <w:proofErr w:type="spellEnd"/>
            <w:r w:rsidRPr="00293EE1">
              <w:rPr>
                <w:sz w:val="20"/>
                <w:szCs w:val="20"/>
                <w:lang w:val="en-US"/>
              </w:rPr>
              <w:t>, Brown and Rowe JJ.</w:t>
            </w:r>
          </w:p>
        </w:tc>
      </w:tr>
      <w:tr w:rsidR="00D72D79" w:rsidRPr="00293EE1" w:rsidTr="00D72D79">
        <w:tc>
          <w:tcPr>
            <w:tcW w:w="5000" w:type="pct"/>
            <w:gridSpan w:val="4"/>
          </w:tcPr>
          <w:p w:rsidR="00D72D79" w:rsidRPr="00293EE1" w:rsidRDefault="001A3EC4" w:rsidP="00C92DD5">
            <w:pPr>
              <w:pStyle w:val="SCCLsocParty"/>
              <w:jc w:val="both"/>
              <w:rPr>
                <w:sz w:val="20"/>
                <w:szCs w:val="20"/>
                <w:lang w:val="en-US"/>
              </w:rPr>
            </w:pPr>
            <w:r w:rsidRPr="00293EE1">
              <w:rPr>
                <w:sz w:val="20"/>
                <w:szCs w:val="20"/>
                <w:lang w:val="en-US"/>
              </w:rPr>
              <w:t>The application for leave to appeal from the judgment of the Court of Appeal for Ontario, Number C60985, 2017 ONCA 53, dated January 23, 2017, is dismissed with costs.</w:t>
            </w:r>
          </w:p>
          <w:p w:rsidR="001A3EC4" w:rsidRPr="00293EE1" w:rsidRDefault="001A3EC4" w:rsidP="001A3EC4">
            <w:pPr>
              <w:rPr>
                <w:lang w:val="en-US"/>
              </w:rPr>
            </w:pPr>
          </w:p>
        </w:tc>
      </w:tr>
      <w:tr w:rsidR="00D72D79" w:rsidRPr="00293EE1" w:rsidTr="00C92DD5">
        <w:tc>
          <w:tcPr>
            <w:tcW w:w="5000" w:type="pct"/>
            <w:gridSpan w:val="4"/>
          </w:tcPr>
          <w:p w:rsidR="00D72D79" w:rsidRPr="00293EE1" w:rsidRDefault="00D72D79" w:rsidP="00C92DD5">
            <w:pPr>
              <w:jc w:val="both"/>
              <w:rPr>
                <w:rFonts w:cs="Times New Roman"/>
                <w:sz w:val="20"/>
                <w:szCs w:val="20"/>
              </w:rPr>
            </w:pPr>
            <w:r w:rsidRPr="00293EE1">
              <w:rPr>
                <w:rFonts w:cs="Times New Roman"/>
                <w:sz w:val="20"/>
                <w:szCs w:val="20"/>
              </w:rPr>
              <w:t>Crown law — Crown liability — Tort — Inmates — Inmate incompatibility — Admissions and Discharge manager at detention centre did not consider inmate incompatibility when deciding inmate’s placement — Inmate placed on unit with member of rival gang — Corrections officers had no visual oversight of unit due to unit configuration — Whether the Crown’s immunity from liability for reasonable policy choices applies when determining the standard of care owed by prison officials in the complex institutional context of a pre-trial detention centre.</w:t>
            </w:r>
          </w:p>
        </w:tc>
      </w:tr>
      <w:tr w:rsidR="00D72D79" w:rsidRPr="00293EE1" w:rsidTr="00C92DD5">
        <w:tc>
          <w:tcPr>
            <w:tcW w:w="5000" w:type="pct"/>
            <w:gridSpan w:val="4"/>
          </w:tcPr>
          <w:p w:rsidR="00D72D79" w:rsidRPr="00293EE1" w:rsidRDefault="00D72D79" w:rsidP="00C92DD5">
            <w:pPr>
              <w:jc w:val="both"/>
              <w:rPr>
                <w:rFonts w:cs="Times New Roman"/>
                <w:sz w:val="20"/>
                <w:szCs w:val="20"/>
              </w:rPr>
            </w:pPr>
          </w:p>
        </w:tc>
      </w:tr>
      <w:tr w:rsidR="00D72D79" w:rsidRPr="00293EE1" w:rsidTr="00C92DD5">
        <w:tc>
          <w:tcPr>
            <w:tcW w:w="5000" w:type="pct"/>
            <w:gridSpan w:val="4"/>
          </w:tcPr>
          <w:p w:rsidR="00D72D79" w:rsidRPr="00293EE1" w:rsidRDefault="00D72D79" w:rsidP="00C92DD5">
            <w:pPr>
              <w:jc w:val="both"/>
              <w:rPr>
                <w:rFonts w:cs="Times New Roman"/>
                <w:sz w:val="20"/>
                <w:szCs w:val="20"/>
              </w:rPr>
            </w:pPr>
            <w:r w:rsidRPr="00293EE1">
              <w:rPr>
                <w:rFonts w:cs="Times New Roman"/>
                <w:sz w:val="20"/>
                <w:szCs w:val="20"/>
              </w:rPr>
              <w:t xml:space="preserve">In 2004, a cross-disciplinary committee struck by the Ministry of Community Safety and Correctional Services made several recommendations in respect of housing persons involved or affiliated with gangs or terrorist groups. No formal policy or protocol was ever implemented by the Ministry, but various institutions introduced policies on almost an </w:t>
            </w:r>
            <w:r w:rsidRPr="00293EE1">
              <w:rPr>
                <w:rFonts w:cs="Times New Roman"/>
                <w:i/>
                <w:sz w:val="20"/>
                <w:szCs w:val="20"/>
              </w:rPr>
              <w:t>ad hoc</w:t>
            </w:r>
            <w:r w:rsidRPr="00293EE1">
              <w:rPr>
                <w:rFonts w:cs="Times New Roman"/>
                <w:sz w:val="20"/>
                <w:szCs w:val="20"/>
              </w:rPr>
              <w:t xml:space="preserve"> basis. In July 2008, the Toronto Jail (the “Don Jail”) began numerical balancing of members of the Security Threat Group (“STG”). That group was largely made up of gang members. Where possible, members of the same gang were to be dispersed throughout the jail and housed on separate units. When Mr. Walters was admitted, the Admitting and Discharge Manager placed Mr. Walters based only on numerical balancing. He considered the type of STG the inmates represented and other factors to be outside his mandate. Mr. Walters’ Offender Tracking Information System (“OTIS”) record informed the Admitting and Discharge Department staff of Mr. Walters’ membership in a gang called the Malvern Crew, but did not contain a non-association alert.</w:t>
            </w:r>
          </w:p>
          <w:p w:rsidR="00D72D79" w:rsidRPr="00293EE1" w:rsidRDefault="00D72D79" w:rsidP="00C92DD5">
            <w:pPr>
              <w:jc w:val="both"/>
              <w:rPr>
                <w:rFonts w:cs="Times New Roman"/>
                <w:sz w:val="20"/>
                <w:szCs w:val="20"/>
              </w:rPr>
            </w:pPr>
          </w:p>
          <w:p w:rsidR="00D72D79" w:rsidRPr="00293EE1" w:rsidRDefault="00D72D79" w:rsidP="00C92DD5">
            <w:pPr>
              <w:jc w:val="both"/>
              <w:rPr>
                <w:rFonts w:cs="Times New Roman"/>
                <w:sz w:val="20"/>
                <w:szCs w:val="20"/>
              </w:rPr>
            </w:pPr>
            <w:r w:rsidRPr="00293EE1">
              <w:rPr>
                <w:rFonts w:cs="Times New Roman"/>
                <w:sz w:val="20"/>
                <w:szCs w:val="20"/>
              </w:rPr>
              <w:t xml:space="preserve">The Malvern Crew was engaged in an ongoing turf war with “the Galloway </w:t>
            </w:r>
            <w:proofErr w:type="spellStart"/>
            <w:r w:rsidRPr="00293EE1">
              <w:rPr>
                <w:rFonts w:cs="Times New Roman"/>
                <w:sz w:val="20"/>
                <w:szCs w:val="20"/>
              </w:rPr>
              <w:t>Boyz</w:t>
            </w:r>
            <w:proofErr w:type="spellEnd"/>
            <w:r w:rsidRPr="00293EE1">
              <w:rPr>
                <w:rFonts w:cs="Times New Roman"/>
                <w:sz w:val="20"/>
                <w:szCs w:val="20"/>
              </w:rPr>
              <w:t xml:space="preserve">”. One of the other inmates housed on the unit Mr. Walters was assigned to was either the leader or a senior functionary of the Galloway </w:t>
            </w:r>
            <w:proofErr w:type="spellStart"/>
            <w:r w:rsidRPr="00293EE1">
              <w:rPr>
                <w:rFonts w:cs="Times New Roman"/>
                <w:sz w:val="20"/>
                <w:szCs w:val="20"/>
              </w:rPr>
              <w:t>Boyz</w:t>
            </w:r>
            <w:proofErr w:type="spellEnd"/>
            <w:r w:rsidRPr="00293EE1">
              <w:rPr>
                <w:rFonts w:cs="Times New Roman"/>
                <w:sz w:val="20"/>
                <w:szCs w:val="20"/>
              </w:rPr>
              <w:t>. He was charged with attempted murder of a member of the Malvern Crew. His OTIS record also provided his gang affiliation but no non-association alert. On the evening of November 19, 2008, Mr. Walters was attacked and severely beaten. After the beating, an inmate summoned a custodial officer. Mr. Walters was hospitalized in an acute care facility until early May 2009, then remained at the Toronto Rehabilitation Institute for 16 further months. He suffers from permanent brain damage, hemiplegia and acute aphasia.</w:t>
            </w:r>
          </w:p>
          <w:p w:rsidR="00D72D79" w:rsidRPr="00293EE1" w:rsidRDefault="00D72D79" w:rsidP="00C92DD5">
            <w:pPr>
              <w:jc w:val="both"/>
              <w:rPr>
                <w:rFonts w:cs="Times New Roman"/>
                <w:sz w:val="20"/>
                <w:szCs w:val="20"/>
              </w:rPr>
            </w:pPr>
          </w:p>
          <w:p w:rsidR="00D72D79" w:rsidRPr="00293EE1" w:rsidRDefault="00D72D79" w:rsidP="00C92DD5">
            <w:pPr>
              <w:jc w:val="both"/>
              <w:rPr>
                <w:rFonts w:cs="Times New Roman"/>
                <w:sz w:val="20"/>
                <w:szCs w:val="20"/>
              </w:rPr>
            </w:pPr>
            <w:r w:rsidRPr="00293EE1">
              <w:rPr>
                <w:rFonts w:cs="Times New Roman"/>
                <w:sz w:val="20"/>
                <w:szCs w:val="20"/>
              </w:rPr>
              <w:t xml:space="preserve">The trial judge awarded damages to Mr. Walters and </w:t>
            </w:r>
            <w:proofErr w:type="spellStart"/>
            <w:r w:rsidRPr="00293EE1">
              <w:rPr>
                <w:rFonts w:cs="Times New Roman"/>
                <w:sz w:val="20"/>
                <w:szCs w:val="20"/>
              </w:rPr>
              <w:t>Pearline</w:t>
            </w:r>
            <w:proofErr w:type="spellEnd"/>
            <w:r w:rsidRPr="00293EE1">
              <w:rPr>
                <w:rFonts w:cs="Times New Roman"/>
                <w:sz w:val="20"/>
                <w:szCs w:val="20"/>
              </w:rPr>
              <w:t xml:space="preserve"> </w:t>
            </w:r>
            <w:proofErr w:type="spellStart"/>
            <w:r w:rsidRPr="00293EE1">
              <w:rPr>
                <w:rFonts w:cs="Times New Roman"/>
                <w:sz w:val="20"/>
                <w:szCs w:val="20"/>
              </w:rPr>
              <w:t>Samuda</w:t>
            </w:r>
            <w:proofErr w:type="spellEnd"/>
            <w:r w:rsidRPr="00293EE1">
              <w:rPr>
                <w:rFonts w:cs="Times New Roman"/>
                <w:sz w:val="20"/>
                <w:szCs w:val="20"/>
              </w:rPr>
              <w:t>, minus 15 per cent for contributory negligence. The Court of Appeal dismissed the appeal.</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August 4, 2015</w:t>
            </w:r>
          </w:p>
          <w:p w:rsidR="00D72D79" w:rsidRPr="00293EE1" w:rsidRDefault="00D72D79" w:rsidP="00C92DD5">
            <w:pPr>
              <w:jc w:val="both"/>
              <w:rPr>
                <w:rFonts w:cs="Times New Roman"/>
                <w:sz w:val="20"/>
                <w:szCs w:val="20"/>
              </w:rPr>
            </w:pPr>
            <w:r w:rsidRPr="00293EE1">
              <w:rPr>
                <w:rFonts w:cs="Times New Roman"/>
                <w:sz w:val="20"/>
                <w:szCs w:val="20"/>
              </w:rPr>
              <w:t>Ontario Superior Court of Justice</w:t>
            </w:r>
          </w:p>
          <w:p w:rsidR="00D72D79" w:rsidRPr="00293EE1" w:rsidRDefault="00D72D79" w:rsidP="00C92DD5">
            <w:pPr>
              <w:jc w:val="both"/>
              <w:rPr>
                <w:rFonts w:cs="Times New Roman"/>
                <w:sz w:val="20"/>
                <w:szCs w:val="20"/>
              </w:rPr>
            </w:pPr>
            <w:r w:rsidRPr="00293EE1">
              <w:rPr>
                <w:rFonts w:cs="Times New Roman"/>
                <w:sz w:val="20"/>
                <w:szCs w:val="20"/>
              </w:rPr>
              <w:t>(</w:t>
            </w:r>
            <w:proofErr w:type="spellStart"/>
            <w:r w:rsidRPr="00293EE1">
              <w:rPr>
                <w:rFonts w:cs="Times New Roman"/>
                <w:sz w:val="20"/>
                <w:szCs w:val="20"/>
              </w:rPr>
              <w:t>Gans</w:t>
            </w:r>
            <w:proofErr w:type="spellEnd"/>
            <w:r w:rsidRPr="00293EE1">
              <w:rPr>
                <w:rFonts w:cs="Times New Roman"/>
                <w:sz w:val="20"/>
                <w:szCs w:val="20"/>
              </w:rPr>
              <w:t xml:space="preserve"> J.)</w:t>
            </w:r>
          </w:p>
          <w:p w:rsidR="00D72D79" w:rsidRPr="00293EE1" w:rsidRDefault="00B2512D" w:rsidP="00C92DD5">
            <w:pPr>
              <w:jc w:val="both"/>
              <w:rPr>
                <w:rFonts w:cs="Times New Roman"/>
                <w:sz w:val="20"/>
                <w:szCs w:val="20"/>
              </w:rPr>
            </w:pPr>
            <w:hyperlink r:id="rId57" w:history="1">
              <w:r w:rsidR="00D72D79" w:rsidRPr="00293EE1">
                <w:rPr>
                  <w:rStyle w:val="Hyperlink"/>
                  <w:rFonts w:cs="Times New Roman"/>
                  <w:sz w:val="20"/>
                  <w:szCs w:val="20"/>
                </w:rPr>
                <w:t>2015 ONSC 4855</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 xml:space="preserve">Actions of certain plaintiffs dismissed; damages minus 15 per cent for contributory damages awarded to </w:t>
            </w:r>
            <w:proofErr w:type="spellStart"/>
            <w:r w:rsidRPr="00293EE1">
              <w:rPr>
                <w:rFonts w:cs="Times New Roman"/>
                <w:sz w:val="20"/>
                <w:szCs w:val="20"/>
              </w:rPr>
              <w:t>Pearline</w:t>
            </w:r>
            <w:proofErr w:type="spellEnd"/>
            <w:r w:rsidRPr="00293EE1">
              <w:rPr>
                <w:rFonts w:cs="Times New Roman"/>
                <w:sz w:val="20"/>
                <w:szCs w:val="20"/>
              </w:rPr>
              <w:t xml:space="preserve"> </w:t>
            </w:r>
            <w:proofErr w:type="spellStart"/>
            <w:r w:rsidRPr="00293EE1">
              <w:rPr>
                <w:rFonts w:cs="Times New Roman"/>
                <w:sz w:val="20"/>
                <w:szCs w:val="20"/>
              </w:rPr>
              <w:t>Samuda</w:t>
            </w:r>
            <w:proofErr w:type="spellEnd"/>
            <w:r w:rsidRPr="00293EE1">
              <w:rPr>
                <w:rFonts w:cs="Times New Roman"/>
                <w:sz w:val="20"/>
                <w:szCs w:val="20"/>
              </w:rPr>
              <w:t xml:space="preserve">, Jason Clive Walters, by his Litigation Guardian, </w:t>
            </w:r>
            <w:proofErr w:type="spellStart"/>
            <w:r w:rsidRPr="00293EE1">
              <w:rPr>
                <w:rFonts w:cs="Times New Roman"/>
                <w:sz w:val="20"/>
                <w:szCs w:val="20"/>
              </w:rPr>
              <w:t>Pearline</w:t>
            </w:r>
            <w:proofErr w:type="spellEnd"/>
            <w:r w:rsidRPr="00293EE1">
              <w:rPr>
                <w:rFonts w:cs="Times New Roman"/>
                <w:sz w:val="20"/>
                <w:szCs w:val="20"/>
              </w:rPr>
              <w:t xml:space="preserve"> </w:t>
            </w:r>
            <w:proofErr w:type="spellStart"/>
            <w:r w:rsidRPr="00293EE1">
              <w:rPr>
                <w:rFonts w:cs="Times New Roman"/>
                <w:sz w:val="20"/>
                <w:szCs w:val="20"/>
              </w:rPr>
              <w:t>Samuda</w:t>
            </w:r>
            <w:proofErr w:type="spellEnd"/>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January 23, 2017</w:t>
            </w:r>
          </w:p>
          <w:p w:rsidR="00D72D79" w:rsidRPr="00293EE1" w:rsidRDefault="00D72D79" w:rsidP="00C92DD5">
            <w:pPr>
              <w:jc w:val="both"/>
              <w:rPr>
                <w:rFonts w:cs="Times New Roman"/>
                <w:sz w:val="20"/>
                <w:szCs w:val="20"/>
              </w:rPr>
            </w:pPr>
            <w:r w:rsidRPr="00293EE1">
              <w:rPr>
                <w:rFonts w:cs="Times New Roman"/>
                <w:sz w:val="20"/>
                <w:szCs w:val="20"/>
              </w:rPr>
              <w:t>Court of Appeal for Ontario</w:t>
            </w:r>
          </w:p>
          <w:p w:rsidR="00D72D79" w:rsidRPr="00293EE1" w:rsidRDefault="00D72D79" w:rsidP="00C92DD5">
            <w:pPr>
              <w:jc w:val="both"/>
              <w:rPr>
                <w:rFonts w:cs="Times New Roman"/>
                <w:sz w:val="20"/>
                <w:szCs w:val="20"/>
              </w:rPr>
            </w:pPr>
            <w:r w:rsidRPr="00293EE1">
              <w:rPr>
                <w:rFonts w:cs="Times New Roman"/>
                <w:sz w:val="20"/>
                <w:szCs w:val="20"/>
              </w:rPr>
              <w:t xml:space="preserve">(Strathy, </w:t>
            </w:r>
            <w:proofErr w:type="spellStart"/>
            <w:r w:rsidRPr="00293EE1">
              <w:rPr>
                <w:rFonts w:cs="Times New Roman"/>
                <w:sz w:val="20"/>
                <w:szCs w:val="20"/>
              </w:rPr>
              <w:t>LaForme</w:t>
            </w:r>
            <w:proofErr w:type="spellEnd"/>
            <w:r w:rsidRPr="00293EE1">
              <w:rPr>
                <w:rFonts w:cs="Times New Roman"/>
                <w:sz w:val="20"/>
                <w:szCs w:val="20"/>
              </w:rPr>
              <w:t xml:space="preserve">, van </w:t>
            </w:r>
            <w:proofErr w:type="spellStart"/>
            <w:r w:rsidRPr="00293EE1">
              <w:rPr>
                <w:rFonts w:cs="Times New Roman"/>
                <w:sz w:val="20"/>
                <w:szCs w:val="20"/>
              </w:rPr>
              <w:t>Rensburg</w:t>
            </w:r>
            <w:proofErr w:type="spellEnd"/>
            <w:r w:rsidRPr="00293EE1">
              <w:rPr>
                <w:rFonts w:cs="Times New Roman"/>
                <w:sz w:val="20"/>
                <w:szCs w:val="20"/>
              </w:rPr>
              <w:t xml:space="preserve"> J.A.)</w:t>
            </w:r>
          </w:p>
          <w:p w:rsidR="00D72D79" w:rsidRPr="00293EE1" w:rsidRDefault="00B2512D" w:rsidP="00C92DD5">
            <w:pPr>
              <w:jc w:val="both"/>
              <w:rPr>
                <w:rFonts w:cs="Times New Roman"/>
                <w:sz w:val="20"/>
                <w:szCs w:val="20"/>
              </w:rPr>
            </w:pPr>
            <w:hyperlink r:id="rId58" w:history="1">
              <w:r w:rsidR="00D72D79" w:rsidRPr="00293EE1">
                <w:rPr>
                  <w:rStyle w:val="Hyperlink"/>
                  <w:rFonts w:cs="Times New Roman"/>
                  <w:sz w:val="20"/>
                  <w:szCs w:val="20"/>
                </w:rPr>
                <w:t>2017 ONCA 53</w:t>
              </w:r>
            </w:hyperlink>
            <w:hyperlink r:id="rId59" w:history="1"/>
            <w:r w:rsidR="00D72D79" w:rsidRPr="00293EE1">
              <w:rPr>
                <w:rFonts w:cs="Times New Roman"/>
                <w:sz w:val="20"/>
                <w:szCs w:val="20"/>
              </w:rPr>
              <w:t xml:space="preserve"> </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Appeal dismissed</w:t>
            </w: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March 24, 2017</w:t>
            </w:r>
          </w:p>
          <w:p w:rsidR="00D72D79" w:rsidRPr="00293EE1" w:rsidRDefault="00D72D79" w:rsidP="00C92DD5">
            <w:pPr>
              <w:jc w:val="both"/>
              <w:rPr>
                <w:rFonts w:cs="Times New Roman"/>
                <w:sz w:val="20"/>
                <w:szCs w:val="20"/>
              </w:rPr>
            </w:pPr>
            <w:r w:rsidRPr="00293EE1">
              <w:rPr>
                <w:rFonts w:cs="Times New Roman"/>
                <w:sz w:val="20"/>
                <w:szCs w:val="20"/>
              </w:rPr>
              <w:t>Supreme Court of Canada</w:t>
            </w: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Application for leave to appeal filed</w:t>
            </w:r>
          </w:p>
          <w:p w:rsidR="00D72D79" w:rsidRPr="00293EE1" w:rsidRDefault="00D72D79" w:rsidP="00C92DD5">
            <w:pPr>
              <w:jc w:val="both"/>
              <w:rPr>
                <w:rFonts w:cs="Times New Roman"/>
                <w:sz w:val="20"/>
                <w:szCs w:val="20"/>
              </w:rPr>
            </w:pPr>
          </w:p>
        </w:tc>
      </w:tr>
    </w:tbl>
    <w:p w:rsidR="00D72D79" w:rsidRPr="00293EE1" w:rsidRDefault="00B2512D" w:rsidP="00D72D79">
      <w:pPr>
        <w:jc w:val="both"/>
        <w:rPr>
          <w:rFonts w:cs="Times New Roman"/>
          <w:sz w:val="20"/>
          <w:szCs w:val="20"/>
        </w:rPr>
      </w:pPr>
      <w:r>
        <w:rPr>
          <w:sz w:val="20"/>
          <w:szCs w:val="20"/>
        </w:rPr>
        <w:pict>
          <v:rect id="_x0000_i1067" style="width:2in;height:1pt" o:hrpct="0" o:hralign="center" o:hrstd="t" o:hrnoshade="t" o:hr="t" fillcolor="black [3213]" stroked="f"/>
        </w:pict>
      </w:r>
    </w:p>
    <w:p w:rsidR="00D72D79" w:rsidRPr="00293EE1" w:rsidRDefault="00D72D79" w:rsidP="00D72D79">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2D79" w:rsidRPr="00293EE1" w:rsidTr="00C92DD5">
        <w:tc>
          <w:tcPr>
            <w:tcW w:w="543" w:type="pct"/>
          </w:tcPr>
          <w:p w:rsidR="00D72D79" w:rsidRPr="00293EE1" w:rsidRDefault="00D72D79" w:rsidP="00C92DD5">
            <w:pPr>
              <w:jc w:val="both"/>
              <w:rPr>
                <w:rFonts w:cs="Times New Roman"/>
                <w:sz w:val="20"/>
                <w:szCs w:val="20"/>
                <w:lang w:val="fr-CA"/>
              </w:rPr>
            </w:pPr>
            <w:r w:rsidRPr="00293EE1">
              <w:rPr>
                <w:rStyle w:val="SCCFileNumberChar"/>
                <w:sz w:val="20"/>
                <w:szCs w:val="20"/>
                <w:lang w:val="fr-CA"/>
              </w:rPr>
              <w:lastRenderedPageBreak/>
              <w:t>37500</w:t>
            </w:r>
          </w:p>
        </w:tc>
        <w:tc>
          <w:tcPr>
            <w:tcW w:w="4457" w:type="pct"/>
            <w:gridSpan w:val="3"/>
          </w:tcPr>
          <w:p w:rsidR="00D72D79" w:rsidRPr="00293EE1" w:rsidRDefault="00D72D79" w:rsidP="00C92DD5">
            <w:pPr>
              <w:pStyle w:val="SCCLsocParty"/>
              <w:jc w:val="both"/>
              <w:rPr>
                <w:b/>
                <w:sz w:val="20"/>
                <w:szCs w:val="20"/>
              </w:rPr>
            </w:pPr>
            <w:r w:rsidRPr="00293EE1">
              <w:rPr>
                <w:b/>
                <w:sz w:val="20"/>
                <w:szCs w:val="20"/>
              </w:rPr>
              <w:t xml:space="preserve">Sa Majesté la Reine du chef de l’Ontario c. Jason Clive Walters par sa tutrice à l’instance, </w:t>
            </w:r>
            <w:proofErr w:type="spellStart"/>
            <w:r w:rsidRPr="00293EE1">
              <w:rPr>
                <w:b/>
                <w:sz w:val="20"/>
                <w:szCs w:val="20"/>
              </w:rPr>
              <w:t>Pearline</w:t>
            </w:r>
            <w:proofErr w:type="spellEnd"/>
            <w:r w:rsidRPr="00293EE1">
              <w:rPr>
                <w:b/>
                <w:sz w:val="20"/>
                <w:szCs w:val="20"/>
              </w:rPr>
              <w:t xml:space="preserve"> </w:t>
            </w:r>
            <w:proofErr w:type="spellStart"/>
            <w:r w:rsidRPr="00293EE1">
              <w:rPr>
                <w:b/>
                <w:sz w:val="20"/>
                <w:szCs w:val="20"/>
              </w:rPr>
              <w:t>Samuda</w:t>
            </w:r>
            <w:proofErr w:type="spellEnd"/>
            <w:r w:rsidR="005F639A" w:rsidRPr="00293EE1">
              <w:rPr>
                <w:b/>
                <w:sz w:val="20"/>
                <w:szCs w:val="20"/>
              </w:rPr>
              <w:t xml:space="preserve"> et</w:t>
            </w:r>
            <w:r w:rsidRPr="00293EE1">
              <w:rPr>
                <w:b/>
                <w:sz w:val="20"/>
                <w:szCs w:val="20"/>
              </w:rPr>
              <w:t xml:space="preserve"> </w:t>
            </w:r>
            <w:proofErr w:type="spellStart"/>
            <w:r w:rsidRPr="00293EE1">
              <w:rPr>
                <w:b/>
                <w:sz w:val="20"/>
                <w:szCs w:val="20"/>
              </w:rPr>
              <w:t>Pearline</w:t>
            </w:r>
            <w:proofErr w:type="spellEnd"/>
            <w:r w:rsidRPr="00293EE1">
              <w:rPr>
                <w:b/>
                <w:sz w:val="20"/>
                <w:szCs w:val="20"/>
              </w:rPr>
              <w:t xml:space="preserve"> </w:t>
            </w:r>
            <w:proofErr w:type="spellStart"/>
            <w:r w:rsidRPr="00293EE1">
              <w:rPr>
                <w:b/>
                <w:sz w:val="20"/>
                <w:szCs w:val="20"/>
              </w:rPr>
              <w:t>Samuda</w:t>
            </w:r>
            <w:proofErr w:type="spellEnd"/>
          </w:p>
          <w:p w:rsidR="00D72D79" w:rsidRPr="00293EE1" w:rsidRDefault="00D72D79" w:rsidP="00C92DD5">
            <w:pPr>
              <w:jc w:val="both"/>
              <w:rPr>
                <w:rFonts w:cs="Times New Roman"/>
                <w:sz w:val="20"/>
                <w:szCs w:val="20"/>
                <w:lang w:val="fr-CA"/>
              </w:rPr>
            </w:pPr>
            <w:r w:rsidRPr="00293EE1">
              <w:rPr>
                <w:rFonts w:cs="Times New Roman"/>
                <w:sz w:val="20"/>
                <w:szCs w:val="20"/>
                <w:lang w:val="fr-CA"/>
              </w:rPr>
              <w:t>(Ont.) (Civile) (Sur autorisation)</w:t>
            </w:r>
          </w:p>
        </w:tc>
      </w:tr>
      <w:tr w:rsidR="00D72D79" w:rsidRPr="00B2512D" w:rsidTr="00C92DD5">
        <w:tc>
          <w:tcPr>
            <w:tcW w:w="543" w:type="pct"/>
          </w:tcPr>
          <w:p w:rsidR="00D72D79" w:rsidRPr="00293EE1" w:rsidRDefault="00D72D79" w:rsidP="00C92DD5">
            <w:pPr>
              <w:jc w:val="both"/>
              <w:rPr>
                <w:rStyle w:val="SCCFileNumberChar"/>
                <w:sz w:val="20"/>
                <w:szCs w:val="20"/>
                <w:lang w:val="fr-CA"/>
              </w:rPr>
            </w:pPr>
            <w:r w:rsidRPr="00293EE1">
              <w:rPr>
                <w:rStyle w:val="SCCFileNumberChar"/>
                <w:sz w:val="20"/>
                <w:szCs w:val="20"/>
                <w:lang w:val="fr-CA"/>
              </w:rPr>
              <w:t>Coram :</w:t>
            </w:r>
          </w:p>
        </w:tc>
        <w:tc>
          <w:tcPr>
            <w:tcW w:w="4457" w:type="pct"/>
            <w:gridSpan w:val="3"/>
          </w:tcPr>
          <w:p w:rsidR="00D72D79" w:rsidRPr="00293EE1" w:rsidRDefault="001A3EC4" w:rsidP="00C92DD5">
            <w:pPr>
              <w:pStyle w:val="SCCLsocParty"/>
              <w:jc w:val="both"/>
              <w:rPr>
                <w:sz w:val="20"/>
                <w:szCs w:val="20"/>
              </w:rPr>
            </w:pPr>
            <w:r w:rsidRPr="00293EE1">
              <w:rPr>
                <w:sz w:val="20"/>
                <w:szCs w:val="20"/>
              </w:rPr>
              <w:t xml:space="preserve">La juge en chef </w:t>
            </w:r>
            <w:proofErr w:type="spellStart"/>
            <w:r w:rsidRPr="00293EE1">
              <w:rPr>
                <w:sz w:val="20"/>
                <w:szCs w:val="20"/>
              </w:rPr>
              <w:t>McLachlin</w:t>
            </w:r>
            <w:proofErr w:type="spellEnd"/>
            <w:r w:rsidRPr="00293EE1">
              <w:rPr>
                <w:sz w:val="20"/>
                <w:szCs w:val="20"/>
              </w:rPr>
              <w:t xml:space="preserve"> et les juges Abella, </w:t>
            </w:r>
            <w:proofErr w:type="spellStart"/>
            <w:r w:rsidRPr="00293EE1">
              <w:rPr>
                <w:sz w:val="20"/>
                <w:szCs w:val="20"/>
              </w:rPr>
              <w:t>Moldaver</w:t>
            </w:r>
            <w:proofErr w:type="spellEnd"/>
            <w:r w:rsidRPr="00293EE1">
              <w:rPr>
                <w:sz w:val="20"/>
                <w:szCs w:val="20"/>
              </w:rPr>
              <w:t xml:space="preserve">, </w:t>
            </w:r>
            <w:proofErr w:type="spellStart"/>
            <w:r w:rsidRPr="00293EE1">
              <w:rPr>
                <w:sz w:val="20"/>
                <w:szCs w:val="20"/>
              </w:rPr>
              <w:t>Karakatsanis</w:t>
            </w:r>
            <w:proofErr w:type="spellEnd"/>
            <w:r w:rsidRPr="00293EE1">
              <w:rPr>
                <w:sz w:val="20"/>
                <w:szCs w:val="20"/>
              </w:rPr>
              <w:t>, Wagner, Gascon, Côté, Brown et Rowe</w:t>
            </w:r>
          </w:p>
        </w:tc>
      </w:tr>
      <w:tr w:rsidR="00D72D79" w:rsidRPr="00B2512D" w:rsidTr="00D72D79">
        <w:tc>
          <w:tcPr>
            <w:tcW w:w="5000" w:type="pct"/>
            <w:gridSpan w:val="4"/>
          </w:tcPr>
          <w:p w:rsidR="00D72D79" w:rsidRPr="00293EE1" w:rsidRDefault="001A3EC4" w:rsidP="00C92DD5">
            <w:pPr>
              <w:pStyle w:val="SCCLsocParty"/>
              <w:jc w:val="both"/>
              <w:rPr>
                <w:sz w:val="20"/>
                <w:szCs w:val="20"/>
              </w:rPr>
            </w:pPr>
            <w:r w:rsidRPr="00293EE1">
              <w:rPr>
                <w:sz w:val="20"/>
                <w:szCs w:val="20"/>
              </w:rPr>
              <w:t>La demande d’autorisation d’appel de l’arrêt de la Cour d’appel de l’Ontario, numéro C60985, 2017 ONCA 53, daté du 23 janvier 2017, est rejetée avec dépens.</w:t>
            </w:r>
          </w:p>
          <w:p w:rsidR="001A3EC4" w:rsidRPr="00293EE1" w:rsidRDefault="001A3EC4" w:rsidP="001A3EC4">
            <w:pPr>
              <w:rPr>
                <w:lang w:val="fr-CA"/>
              </w:rPr>
            </w:pPr>
          </w:p>
        </w:tc>
      </w:tr>
      <w:tr w:rsidR="00D72D79" w:rsidRPr="00B2512D" w:rsidTr="00C92DD5">
        <w:tc>
          <w:tcPr>
            <w:tcW w:w="5000" w:type="pct"/>
            <w:gridSpan w:val="4"/>
          </w:tcPr>
          <w:p w:rsidR="00D72D79" w:rsidRPr="00293EE1" w:rsidRDefault="00D72D79" w:rsidP="00C92DD5">
            <w:pPr>
              <w:jc w:val="both"/>
              <w:rPr>
                <w:rFonts w:cs="Times New Roman"/>
                <w:sz w:val="20"/>
                <w:szCs w:val="20"/>
                <w:lang w:val="fr-CA"/>
              </w:rPr>
            </w:pPr>
            <w:r w:rsidRPr="00293EE1">
              <w:rPr>
                <w:rFonts w:cs="Times New Roman"/>
                <w:sz w:val="20"/>
                <w:szCs w:val="20"/>
                <w:lang w:val="fr-CA"/>
              </w:rPr>
              <w:t>Droit de la Couronne — Responsabilité de l’État — Responsabilité délictuelle — Détenus — Incompatibilité entre détenus — Le directeur des admissions et des mises en liberté d’un centre de détention n’a pas pris en compte l’incompatibilité entre détenus lorsqu’il a décidé du placement du détenu intimé — Le détenu a été placé dans une unité avec un membre d’un gang rival — Les agents correctionnels n’exerçaient aucune surveillance visuelle de l’unité en raison de la configuration de celle-ci — L’irresponsabilité de la Couronne à l’égard de choix de principes raisonnables s’applique-t-elle quand il s’agit de déterminer la norme de diligence auxquels sont astreints les responsables de l’administration d’une prison dans un contexte institutionnel complexe d’un centre de détention préalable au procès?</w:t>
            </w:r>
          </w:p>
        </w:tc>
      </w:tr>
      <w:tr w:rsidR="00D72D79" w:rsidRPr="00B2512D" w:rsidTr="00C92DD5">
        <w:tc>
          <w:tcPr>
            <w:tcW w:w="5000" w:type="pct"/>
            <w:gridSpan w:val="4"/>
          </w:tcPr>
          <w:p w:rsidR="00D72D79" w:rsidRPr="00293EE1" w:rsidRDefault="00D72D79" w:rsidP="00C92DD5">
            <w:pPr>
              <w:jc w:val="both"/>
              <w:rPr>
                <w:rFonts w:cs="Times New Roman"/>
                <w:sz w:val="20"/>
                <w:szCs w:val="20"/>
                <w:lang w:val="fr-CA"/>
              </w:rPr>
            </w:pPr>
          </w:p>
        </w:tc>
      </w:tr>
      <w:tr w:rsidR="00D72D79" w:rsidRPr="00293EE1" w:rsidTr="00C92DD5">
        <w:tc>
          <w:tcPr>
            <w:tcW w:w="5000" w:type="pct"/>
            <w:gridSpan w:val="4"/>
          </w:tcPr>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En 2004, un comité pluridisciplinaire établi par le ministère de la Sécurité communautaire et des Services correctionnels a fait plusieurs recommandations relativement à l’hébergement des personnes liées aux gangs ou aux groupes terroristes à quelque titre que ce soit. Le ministère n’a jamais mis en œuvre de politique ou de protocole officiels, mais divers établissements ont introduit des politiques de façon pratiquement ponctuelle. En juillet 2008, la prison de Toronto, (la prison « Don ») a commencé à assurer l’équilibre numérique des membres du « groupe menaçant la sécurité » (« GMS »). Ce groupe était principalement constitué de membres de gangs. Si possible, les membres d’un même gang devaient être dispersés à l’échelle de la prison et hébergés dans des unités distinctes. Lorsque M. Walters a été admis, le directeur des admissions et des mises en liberté l’a placé en tenant compte uniquement de l’équilibre numérique. Il estimait que le type de GMS auquel les détenus appartenaient et d’autres facteurs dépassaient le cadre de son mandat. Le dossier de M. Walters produit par le Système informatique de suivi des contrevenants (« SISC ») informait le personnel du service des admissions et des mises en liberté que M. Walters appartenait à un gang appelé le « Malvern </w:t>
            </w:r>
            <w:proofErr w:type="spellStart"/>
            <w:r w:rsidRPr="00293EE1">
              <w:rPr>
                <w:rFonts w:cs="Times New Roman"/>
                <w:sz w:val="20"/>
                <w:szCs w:val="20"/>
                <w:lang w:val="fr-CA"/>
              </w:rPr>
              <w:t>Crew</w:t>
            </w:r>
            <w:proofErr w:type="spellEnd"/>
            <w:r w:rsidRPr="00293EE1">
              <w:rPr>
                <w:rFonts w:cs="Times New Roman"/>
                <w:sz w:val="20"/>
                <w:szCs w:val="20"/>
                <w:lang w:val="fr-CA"/>
              </w:rPr>
              <w:t> », mais ne renfermait aucune mise en garde contre l’association avec des membres de gangs rivaux.</w:t>
            </w:r>
          </w:p>
          <w:p w:rsidR="00D72D79" w:rsidRPr="00293EE1" w:rsidRDefault="00D72D79" w:rsidP="00C92DD5">
            <w:pPr>
              <w:jc w:val="both"/>
              <w:rPr>
                <w:rFonts w:cs="Times New Roman"/>
                <w:sz w:val="20"/>
                <w:szCs w:val="20"/>
                <w:lang w:val="fr-CA"/>
              </w:rPr>
            </w:pP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Le Malvern </w:t>
            </w:r>
            <w:proofErr w:type="spellStart"/>
            <w:r w:rsidRPr="00293EE1">
              <w:rPr>
                <w:rFonts w:cs="Times New Roman"/>
                <w:sz w:val="20"/>
                <w:szCs w:val="20"/>
                <w:lang w:val="fr-CA"/>
              </w:rPr>
              <w:t>Crew</w:t>
            </w:r>
            <w:proofErr w:type="spellEnd"/>
            <w:r w:rsidRPr="00293EE1">
              <w:rPr>
                <w:rFonts w:cs="Times New Roman"/>
                <w:sz w:val="20"/>
                <w:szCs w:val="20"/>
                <w:lang w:val="fr-CA"/>
              </w:rPr>
              <w:t xml:space="preserve"> était engagé dans une guerre intestine avec les « Galloway </w:t>
            </w:r>
            <w:proofErr w:type="spellStart"/>
            <w:r w:rsidRPr="00293EE1">
              <w:rPr>
                <w:rFonts w:cs="Times New Roman"/>
                <w:sz w:val="20"/>
                <w:szCs w:val="20"/>
                <w:lang w:val="fr-CA"/>
              </w:rPr>
              <w:t>Boyz</w:t>
            </w:r>
            <w:proofErr w:type="spellEnd"/>
            <w:r w:rsidRPr="00293EE1">
              <w:rPr>
                <w:rFonts w:cs="Times New Roman"/>
                <w:sz w:val="20"/>
                <w:szCs w:val="20"/>
                <w:lang w:val="fr-CA"/>
              </w:rPr>
              <w:t xml:space="preserve"> ». Un des autres détenus hébergés dans l’unité à laquelle M. Walters a été affecté était soit le chef, soit un dirigeant important des Galloway </w:t>
            </w:r>
            <w:proofErr w:type="spellStart"/>
            <w:r w:rsidRPr="00293EE1">
              <w:rPr>
                <w:rFonts w:cs="Times New Roman"/>
                <w:sz w:val="20"/>
                <w:szCs w:val="20"/>
                <w:lang w:val="fr-CA"/>
              </w:rPr>
              <w:t>Boyz</w:t>
            </w:r>
            <w:proofErr w:type="spellEnd"/>
            <w:r w:rsidRPr="00293EE1">
              <w:rPr>
                <w:rFonts w:cs="Times New Roman"/>
                <w:sz w:val="20"/>
                <w:szCs w:val="20"/>
                <w:lang w:val="fr-CA"/>
              </w:rPr>
              <w:t xml:space="preserve">. Il était accusé de tentative de meurtre d’un membre du Malvern </w:t>
            </w:r>
            <w:proofErr w:type="spellStart"/>
            <w:r w:rsidRPr="00293EE1">
              <w:rPr>
                <w:rFonts w:cs="Times New Roman"/>
                <w:sz w:val="20"/>
                <w:szCs w:val="20"/>
                <w:lang w:val="fr-CA"/>
              </w:rPr>
              <w:t>Crew</w:t>
            </w:r>
            <w:proofErr w:type="spellEnd"/>
            <w:r w:rsidRPr="00293EE1">
              <w:rPr>
                <w:rFonts w:cs="Times New Roman"/>
                <w:sz w:val="20"/>
                <w:szCs w:val="20"/>
                <w:lang w:val="fr-CA"/>
              </w:rPr>
              <w:t>. Son dossier SISC indiquait aussi son affiliation au gang, mais aucune mise en garde contre l’association avec des membres de gangs rivaux. Dans la soirée du 19 novembre 2008, M. Walters a été agressé et sauvagement battu. Après l’agression, un détenu a alerté un agent de détention. Monsieur Walters a été hospitalisé dans un établissement de soins aigus jusqu’au début de mai 2009, puis est demeuré à l’Institut de réadaptation de Toronto pendant seize mois supplémentaires. Il souffre de lésions cérébrales permanentes, d’hémiplégie et d’aphasie aiguë.</w:t>
            </w:r>
          </w:p>
          <w:p w:rsidR="00D72D79" w:rsidRPr="00293EE1" w:rsidRDefault="00D72D79" w:rsidP="00C92DD5">
            <w:pPr>
              <w:jc w:val="both"/>
              <w:rPr>
                <w:rFonts w:cs="Times New Roman"/>
                <w:sz w:val="20"/>
                <w:szCs w:val="20"/>
                <w:lang w:val="fr-CA"/>
              </w:rPr>
            </w:pP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Le juge de première instance a accordé des dommages-intérêts à M. Walters et à </w:t>
            </w:r>
            <w:proofErr w:type="spellStart"/>
            <w:r w:rsidRPr="00293EE1">
              <w:rPr>
                <w:rFonts w:cs="Times New Roman"/>
                <w:sz w:val="20"/>
                <w:szCs w:val="20"/>
                <w:lang w:val="fr-CA"/>
              </w:rPr>
              <w:t>Pearline</w:t>
            </w:r>
            <w:proofErr w:type="spellEnd"/>
            <w:r w:rsidRPr="00293EE1">
              <w:rPr>
                <w:rFonts w:cs="Times New Roman"/>
                <w:sz w:val="20"/>
                <w:szCs w:val="20"/>
                <w:lang w:val="fr-CA"/>
              </w:rPr>
              <w:t xml:space="preserve"> </w:t>
            </w:r>
            <w:proofErr w:type="spellStart"/>
            <w:r w:rsidRPr="00293EE1">
              <w:rPr>
                <w:rFonts w:cs="Times New Roman"/>
                <w:sz w:val="20"/>
                <w:szCs w:val="20"/>
                <w:lang w:val="fr-CA"/>
              </w:rPr>
              <w:t>Samuda</w:t>
            </w:r>
            <w:proofErr w:type="spellEnd"/>
            <w:r w:rsidRPr="00293EE1">
              <w:rPr>
                <w:rFonts w:cs="Times New Roman"/>
                <w:sz w:val="20"/>
                <w:szCs w:val="20"/>
                <w:lang w:val="fr-CA"/>
              </w:rPr>
              <w:t>, moins 15 pour cent au titre de la négligence de la victime. La Cour d’appel a rejeté l’appel.</w:t>
            </w:r>
          </w:p>
          <w:p w:rsidR="00D72D79" w:rsidRPr="00293EE1" w:rsidRDefault="00D72D79" w:rsidP="00C92DD5">
            <w:pPr>
              <w:jc w:val="both"/>
              <w:rPr>
                <w:rFonts w:cs="Times New Roman"/>
                <w:sz w:val="20"/>
                <w:szCs w:val="20"/>
                <w:lang w:val="fr-CA"/>
              </w:rPr>
            </w:pP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4 août 2015</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supérieure de justice de l’Ontario</w:t>
            </w:r>
          </w:p>
          <w:p w:rsidR="00D72D79" w:rsidRPr="00293EE1" w:rsidRDefault="00D72D79" w:rsidP="00C92DD5">
            <w:pPr>
              <w:jc w:val="both"/>
              <w:rPr>
                <w:rFonts w:cs="Times New Roman"/>
                <w:sz w:val="20"/>
                <w:szCs w:val="20"/>
                <w:lang w:val="fr-CA"/>
              </w:rPr>
            </w:pPr>
            <w:r w:rsidRPr="00293EE1">
              <w:rPr>
                <w:rFonts w:cs="Times New Roman"/>
                <w:sz w:val="20"/>
                <w:szCs w:val="20"/>
                <w:lang w:val="fr-CA"/>
              </w:rPr>
              <w:t>(Juge Gans)</w:t>
            </w:r>
          </w:p>
          <w:p w:rsidR="00D72D79" w:rsidRPr="00293EE1" w:rsidRDefault="00B2512D" w:rsidP="00C92DD5">
            <w:pPr>
              <w:jc w:val="both"/>
              <w:rPr>
                <w:rFonts w:cs="Times New Roman"/>
                <w:sz w:val="20"/>
                <w:szCs w:val="20"/>
                <w:lang w:val="fr-CA"/>
              </w:rPr>
            </w:pPr>
            <w:hyperlink r:id="rId60" w:history="1">
              <w:r w:rsidR="00D72D79" w:rsidRPr="00293EE1">
                <w:rPr>
                  <w:rStyle w:val="Hyperlink"/>
                  <w:rFonts w:cs="Times New Roman"/>
                  <w:sz w:val="20"/>
                  <w:szCs w:val="20"/>
                  <w:lang w:val="fr-CA"/>
                </w:rPr>
                <w:t>2015 ONSC 4855</w:t>
              </w:r>
            </w:hyperlink>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Rejet des actions contre certains demandeurs; octroi de dommages-intérêts moins 15 pour cent au titre de la négligence de la victime à </w:t>
            </w:r>
            <w:proofErr w:type="spellStart"/>
            <w:r w:rsidRPr="00293EE1">
              <w:rPr>
                <w:rFonts w:cs="Times New Roman"/>
                <w:sz w:val="20"/>
                <w:szCs w:val="20"/>
                <w:lang w:val="fr-CA"/>
              </w:rPr>
              <w:t>Pearline</w:t>
            </w:r>
            <w:proofErr w:type="spellEnd"/>
            <w:r w:rsidRPr="00293EE1">
              <w:rPr>
                <w:rFonts w:cs="Times New Roman"/>
                <w:sz w:val="20"/>
                <w:szCs w:val="20"/>
                <w:lang w:val="fr-CA"/>
              </w:rPr>
              <w:t xml:space="preserve"> </w:t>
            </w:r>
            <w:proofErr w:type="spellStart"/>
            <w:r w:rsidRPr="00293EE1">
              <w:rPr>
                <w:rFonts w:cs="Times New Roman"/>
                <w:sz w:val="20"/>
                <w:szCs w:val="20"/>
                <w:lang w:val="fr-CA"/>
              </w:rPr>
              <w:t>Samuda</w:t>
            </w:r>
            <w:proofErr w:type="spellEnd"/>
            <w:r w:rsidRPr="00293EE1">
              <w:rPr>
                <w:rFonts w:cs="Times New Roman"/>
                <w:sz w:val="20"/>
                <w:szCs w:val="20"/>
                <w:lang w:val="fr-CA"/>
              </w:rPr>
              <w:t xml:space="preserve"> et à Jason Clive Walters, par sa tutrice à l’instance, </w:t>
            </w:r>
            <w:proofErr w:type="spellStart"/>
            <w:r w:rsidRPr="00293EE1">
              <w:rPr>
                <w:rFonts w:cs="Times New Roman"/>
                <w:sz w:val="20"/>
                <w:szCs w:val="20"/>
                <w:lang w:val="fr-CA"/>
              </w:rPr>
              <w:t>Pearline</w:t>
            </w:r>
            <w:proofErr w:type="spellEnd"/>
            <w:r w:rsidRPr="00293EE1">
              <w:rPr>
                <w:rFonts w:cs="Times New Roman"/>
                <w:sz w:val="20"/>
                <w:szCs w:val="20"/>
                <w:lang w:val="fr-CA"/>
              </w:rPr>
              <w:t xml:space="preserve"> </w:t>
            </w:r>
            <w:proofErr w:type="spellStart"/>
            <w:r w:rsidRPr="00293EE1">
              <w:rPr>
                <w:rFonts w:cs="Times New Roman"/>
                <w:sz w:val="20"/>
                <w:szCs w:val="20"/>
                <w:lang w:val="fr-CA"/>
              </w:rPr>
              <w:t>Samuda</w:t>
            </w:r>
            <w:proofErr w:type="spellEnd"/>
          </w:p>
          <w:p w:rsidR="00D72D79" w:rsidRPr="00293EE1" w:rsidRDefault="00D72D79" w:rsidP="00C92DD5">
            <w:pPr>
              <w:jc w:val="both"/>
              <w:rPr>
                <w:rFonts w:cs="Times New Roman"/>
                <w:sz w:val="20"/>
                <w:szCs w:val="20"/>
                <w:lang w:val="fr-CA"/>
              </w:rPr>
            </w:pPr>
          </w:p>
        </w:tc>
      </w:tr>
      <w:tr w:rsidR="00D72D79" w:rsidRPr="00293EE1"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23 janvier 2017</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d’appel de l’Ontario</w:t>
            </w: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(Juges </w:t>
            </w:r>
            <w:proofErr w:type="spellStart"/>
            <w:r w:rsidRPr="00293EE1">
              <w:rPr>
                <w:rFonts w:cs="Times New Roman"/>
                <w:sz w:val="20"/>
                <w:szCs w:val="20"/>
                <w:lang w:val="fr-CA"/>
              </w:rPr>
              <w:t>Strathy</w:t>
            </w:r>
            <w:proofErr w:type="spellEnd"/>
            <w:r w:rsidRPr="00293EE1">
              <w:rPr>
                <w:rFonts w:cs="Times New Roman"/>
                <w:sz w:val="20"/>
                <w:szCs w:val="20"/>
                <w:lang w:val="fr-CA"/>
              </w:rPr>
              <w:t xml:space="preserve">, </w:t>
            </w:r>
            <w:proofErr w:type="spellStart"/>
            <w:r w:rsidRPr="00293EE1">
              <w:rPr>
                <w:rFonts w:cs="Times New Roman"/>
                <w:sz w:val="20"/>
                <w:szCs w:val="20"/>
                <w:lang w:val="fr-CA"/>
              </w:rPr>
              <w:t>LaForme</w:t>
            </w:r>
            <w:proofErr w:type="spellEnd"/>
            <w:r w:rsidRPr="00293EE1">
              <w:rPr>
                <w:rFonts w:cs="Times New Roman"/>
                <w:sz w:val="20"/>
                <w:szCs w:val="20"/>
                <w:lang w:val="fr-CA"/>
              </w:rPr>
              <w:t xml:space="preserve"> et van </w:t>
            </w:r>
            <w:proofErr w:type="spellStart"/>
            <w:r w:rsidRPr="00293EE1">
              <w:rPr>
                <w:rFonts w:cs="Times New Roman"/>
                <w:sz w:val="20"/>
                <w:szCs w:val="20"/>
                <w:lang w:val="fr-CA"/>
              </w:rPr>
              <w:t>Rensburg</w:t>
            </w:r>
            <w:proofErr w:type="spellEnd"/>
            <w:r w:rsidRPr="00293EE1">
              <w:rPr>
                <w:rFonts w:cs="Times New Roman"/>
                <w:sz w:val="20"/>
                <w:szCs w:val="20"/>
                <w:lang w:val="fr-CA"/>
              </w:rPr>
              <w:t>)</w:t>
            </w:r>
          </w:p>
          <w:p w:rsidR="00D72D79" w:rsidRPr="00293EE1" w:rsidRDefault="00B2512D" w:rsidP="00C92DD5">
            <w:pPr>
              <w:jc w:val="both"/>
              <w:rPr>
                <w:rFonts w:cs="Times New Roman"/>
                <w:sz w:val="20"/>
                <w:szCs w:val="20"/>
                <w:lang w:val="fr-CA"/>
              </w:rPr>
            </w:pPr>
            <w:hyperlink r:id="rId61" w:history="1">
              <w:r w:rsidR="00D72D79" w:rsidRPr="00293EE1">
                <w:rPr>
                  <w:rStyle w:val="Hyperlink"/>
                  <w:rFonts w:cs="Times New Roman"/>
                  <w:sz w:val="20"/>
                  <w:szCs w:val="20"/>
                  <w:lang w:val="fr-CA"/>
                </w:rPr>
                <w:t>2017 ONCA 53</w:t>
              </w:r>
            </w:hyperlink>
            <w:hyperlink r:id="rId62" w:history="1"/>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Rejet de l’appel</w:t>
            </w: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24 mars 2017</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suprême du Canada</w:t>
            </w: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Dépôt de la demande d’autorisation d’appel</w:t>
            </w:r>
          </w:p>
          <w:p w:rsidR="00D72D79" w:rsidRPr="00293EE1" w:rsidRDefault="00D72D79" w:rsidP="00C92DD5">
            <w:pPr>
              <w:jc w:val="both"/>
              <w:rPr>
                <w:rFonts w:cs="Times New Roman"/>
                <w:sz w:val="20"/>
                <w:szCs w:val="20"/>
                <w:lang w:val="fr-CA"/>
              </w:rPr>
            </w:pPr>
          </w:p>
        </w:tc>
      </w:tr>
    </w:tbl>
    <w:p w:rsidR="00D72D79" w:rsidRPr="00293EE1" w:rsidRDefault="00B2512D" w:rsidP="00D72D79">
      <w:pPr>
        <w:jc w:val="both"/>
        <w:rPr>
          <w:rFonts w:cs="Times New Roman"/>
          <w:sz w:val="20"/>
          <w:szCs w:val="20"/>
          <w:lang w:val="fr-CA"/>
        </w:rPr>
      </w:pPr>
      <w:r>
        <w:rPr>
          <w:sz w:val="20"/>
          <w:szCs w:val="20"/>
        </w:rPr>
        <w:pict>
          <v:rect id="_x0000_i1068" style="width:2in;height:1pt" o:hrpct="0" o:hralign="center" o:hrstd="t" o:hrnoshade="t" o:hr="t" fillcolor="black [3213]" stroked="f"/>
        </w:pict>
      </w:r>
    </w:p>
    <w:p w:rsidR="00D72D79" w:rsidRPr="00293EE1" w:rsidRDefault="00D72D79" w:rsidP="00D72D79">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2D79" w:rsidRPr="00293EE1" w:rsidTr="00C92DD5">
        <w:tc>
          <w:tcPr>
            <w:tcW w:w="543" w:type="pct"/>
          </w:tcPr>
          <w:p w:rsidR="00D72D79" w:rsidRPr="00293EE1" w:rsidRDefault="00D72D79" w:rsidP="00C92DD5">
            <w:pPr>
              <w:jc w:val="both"/>
              <w:rPr>
                <w:rFonts w:cs="Times New Roman"/>
                <w:sz w:val="20"/>
                <w:szCs w:val="20"/>
              </w:rPr>
            </w:pPr>
            <w:r w:rsidRPr="00293EE1">
              <w:rPr>
                <w:rStyle w:val="SCCFileNumberChar"/>
                <w:sz w:val="20"/>
                <w:szCs w:val="20"/>
              </w:rPr>
              <w:t>37478</w:t>
            </w:r>
          </w:p>
        </w:tc>
        <w:tc>
          <w:tcPr>
            <w:tcW w:w="4457" w:type="pct"/>
            <w:gridSpan w:val="3"/>
          </w:tcPr>
          <w:p w:rsidR="00D72D79" w:rsidRPr="00293EE1" w:rsidRDefault="00D72D79" w:rsidP="00C92DD5">
            <w:pPr>
              <w:pStyle w:val="SCCLsocParty"/>
              <w:jc w:val="both"/>
              <w:rPr>
                <w:b/>
                <w:sz w:val="20"/>
                <w:szCs w:val="20"/>
                <w:lang w:val="en-US"/>
              </w:rPr>
            </w:pPr>
            <w:proofErr w:type="spellStart"/>
            <w:r w:rsidRPr="00293EE1">
              <w:rPr>
                <w:b/>
                <w:sz w:val="20"/>
                <w:szCs w:val="20"/>
                <w:lang w:val="en-US"/>
              </w:rPr>
              <w:t>Apotex</w:t>
            </w:r>
            <w:proofErr w:type="spellEnd"/>
            <w:r w:rsidRPr="00293EE1">
              <w:rPr>
                <w:b/>
                <w:sz w:val="20"/>
                <w:szCs w:val="20"/>
                <w:lang w:val="en-US"/>
              </w:rPr>
              <w:t xml:space="preserve"> Inc. v. AstraZeneca Canada Inc., AstraZeneca AB and </w:t>
            </w:r>
            <w:proofErr w:type="spellStart"/>
            <w:r w:rsidRPr="00293EE1">
              <w:rPr>
                <w:b/>
                <w:sz w:val="20"/>
                <w:szCs w:val="20"/>
                <w:lang w:val="en-US"/>
              </w:rPr>
              <w:t>Aktiebolaget</w:t>
            </w:r>
            <w:proofErr w:type="spellEnd"/>
            <w:r w:rsidRPr="00293EE1">
              <w:rPr>
                <w:b/>
                <w:sz w:val="20"/>
                <w:szCs w:val="20"/>
                <w:lang w:val="en-US"/>
              </w:rPr>
              <w:t xml:space="preserve"> </w:t>
            </w:r>
            <w:proofErr w:type="spellStart"/>
            <w:r w:rsidRPr="00293EE1">
              <w:rPr>
                <w:b/>
                <w:sz w:val="20"/>
                <w:szCs w:val="20"/>
                <w:lang w:val="en-US"/>
              </w:rPr>
              <w:t>Hässle</w:t>
            </w:r>
            <w:proofErr w:type="spellEnd"/>
          </w:p>
          <w:p w:rsidR="00D72D79" w:rsidRPr="00293EE1" w:rsidRDefault="00D72D79" w:rsidP="00C92DD5">
            <w:pPr>
              <w:jc w:val="both"/>
              <w:rPr>
                <w:rFonts w:cs="Times New Roman"/>
                <w:sz w:val="20"/>
                <w:szCs w:val="20"/>
              </w:rPr>
            </w:pPr>
            <w:r w:rsidRPr="00293EE1">
              <w:rPr>
                <w:rFonts w:cs="Times New Roman"/>
                <w:sz w:val="20"/>
                <w:szCs w:val="20"/>
              </w:rPr>
              <w:t>(F.C.) (Civil) (By Leave)</w:t>
            </w:r>
          </w:p>
        </w:tc>
      </w:tr>
      <w:tr w:rsidR="00D72D79" w:rsidRPr="00293EE1" w:rsidTr="00C92DD5">
        <w:tc>
          <w:tcPr>
            <w:tcW w:w="543" w:type="pct"/>
          </w:tcPr>
          <w:p w:rsidR="00D72D79" w:rsidRPr="00293EE1" w:rsidRDefault="00D72D79" w:rsidP="00C92DD5">
            <w:pPr>
              <w:jc w:val="both"/>
              <w:rPr>
                <w:rStyle w:val="SCCFileNumberChar"/>
                <w:sz w:val="20"/>
                <w:szCs w:val="20"/>
              </w:rPr>
            </w:pPr>
            <w:r w:rsidRPr="00293EE1">
              <w:rPr>
                <w:rStyle w:val="SCCFileNumberChar"/>
                <w:sz w:val="20"/>
                <w:szCs w:val="20"/>
              </w:rPr>
              <w:t>Coram:</w:t>
            </w:r>
          </w:p>
        </w:tc>
        <w:tc>
          <w:tcPr>
            <w:tcW w:w="4457" w:type="pct"/>
            <w:gridSpan w:val="3"/>
          </w:tcPr>
          <w:p w:rsidR="00D72D79" w:rsidRPr="00293EE1" w:rsidRDefault="001A3EC4" w:rsidP="00C92DD5">
            <w:pPr>
              <w:pStyle w:val="SCCLsocParty"/>
              <w:jc w:val="both"/>
              <w:rPr>
                <w:sz w:val="20"/>
                <w:szCs w:val="20"/>
                <w:lang w:val="en-US"/>
              </w:rPr>
            </w:pPr>
            <w:proofErr w:type="spellStart"/>
            <w:r w:rsidRPr="00293EE1">
              <w:rPr>
                <w:sz w:val="20"/>
                <w:szCs w:val="20"/>
                <w:lang w:val="en-US"/>
              </w:rPr>
              <w:t>McLachlin</w:t>
            </w:r>
            <w:proofErr w:type="spellEnd"/>
            <w:r w:rsidRPr="00293EE1">
              <w:rPr>
                <w:sz w:val="20"/>
                <w:szCs w:val="20"/>
                <w:lang w:val="en-US"/>
              </w:rPr>
              <w:t xml:space="preserve"> C.J. and </w:t>
            </w:r>
            <w:proofErr w:type="spellStart"/>
            <w:r w:rsidRPr="00293EE1">
              <w:rPr>
                <w:sz w:val="20"/>
                <w:szCs w:val="20"/>
                <w:lang w:val="en-US"/>
              </w:rPr>
              <w:t>Abella</w:t>
            </w:r>
            <w:proofErr w:type="spellEnd"/>
            <w:r w:rsidRPr="00293EE1">
              <w:rPr>
                <w:sz w:val="20"/>
                <w:szCs w:val="20"/>
                <w:lang w:val="en-US"/>
              </w:rPr>
              <w:t xml:space="preserve">, </w:t>
            </w:r>
            <w:proofErr w:type="spellStart"/>
            <w:r w:rsidRPr="00293EE1">
              <w:rPr>
                <w:sz w:val="20"/>
                <w:szCs w:val="20"/>
                <w:lang w:val="en-US"/>
              </w:rPr>
              <w:t>Moldaver</w:t>
            </w:r>
            <w:proofErr w:type="spellEnd"/>
            <w:r w:rsidRPr="00293EE1">
              <w:rPr>
                <w:sz w:val="20"/>
                <w:szCs w:val="20"/>
                <w:lang w:val="en-US"/>
              </w:rPr>
              <w:t xml:space="preserve">, </w:t>
            </w:r>
            <w:proofErr w:type="spellStart"/>
            <w:r w:rsidRPr="00293EE1">
              <w:rPr>
                <w:sz w:val="20"/>
                <w:szCs w:val="20"/>
                <w:lang w:val="en-US"/>
              </w:rPr>
              <w:t>Karakatsanis</w:t>
            </w:r>
            <w:proofErr w:type="spellEnd"/>
            <w:r w:rsidRPr="00293EE1">
              <w:rPr>
                <w:sz w:val="20"/>
                <w:szCs w:val="20"/>
                <w:lang w:val="en-US"/>
              </w:rPr>
              <w:t xml:space="preserve">, Wagner, </w:t>
            </w:r>
            <w:proofErr w:type="spellStart"/>
            <w:r w:rsidRPr="00293EE1">
              <w:rPr>
                <w:sz w:val="20"/>
                <w:szCs w:val="20"/>
                <w:lang w:val="en-US"/>
              </w:rPr>
              <w:t>Gascon</w:t>
            </w:r>
            <w:proofErr w:type="spellEnd"/>
            <w:r w:rsidRPr="00293EE1">
              <w:rPr>
                <w:sz w:val="20"/>
                <w:szCs w:val="20"/>
                <w:lang w:val="en-US"/>
              </w:rPr>
              <w:t xml:space="preserve">, </w:t>
            </w:r>
            <w:proofErr w:type="spellStart"/>
            <w:r w:rsidRPr="00293EE1">
              <w:rPr>
                <w:sz w:val="20"/>
                <w:szCs w:val="20"/>
                <w:lang w:val="en-US"/>
              </w:rPr>
              <w:t>Côté</w:t>
            </w:r>
            <w:proofErr w:type="spellEnd"/>
            <w:r w:rsidRPr="00293EE1">
              <w:rPr>
                <w:sz w:val="20"/>
                <w:szCs w:val="20"/>
                <w:lang w:val="en-US"/>
              </w:rPr>
              <w:t>, Brown and Rowe JJ.</w:t>
            </w:r>
          </w:p>
        </w:tc>
      </w:tr>
      <w:tr w:rsidR="00D72D79" w:rsidRPr="00293EE1" w:rsidTr="00D72D79">
        <w:tc>
          <w:tcPr>
            <w:tcW w:w="5000" w:type="pct"/>
            <w:gridSpan w:val="4"/>
          </w:tcPr>
          <w:p w:rsidR="00D72D79" w:rsidRPr="00293EE1" w:rsidRDefault="001A3EC4" w:rsidP="00C92DD5">
            <w:pPr>
              <w:pStyle w:val="SCCLsocParty"/>
              <w:jc w:val="both"/>
              <w:rPr>
                <w:sz w:val="20"/>
                <w:szCs w:val="20"/>
                <w:lang w:val="en-US"/>
              </w:rPr>
            </w:pPr>
            <w:r w:rsidRPr="00293EE1">
              <w:rPr>
                <w:sz w:val="20"/>
                <w:szCs w:val="20"/>
                <w:lang w:val="en-US"/>
              </w:rPr>
              <w:t>The application for leave to appeal from the judgment of the Federal Court of Appeal, Number A-201-15, 2017 FCA 9, dated January 12, 2017, is dismissed with costs.</w:t>
            </w:r>
          </w:p>
          <w:p w:rsidR="001A3EC4" w:rsidRPr="00293EE1" w:rsidRDefault="001A3EC4" w:rsidP="001A3EC4">
            <w:pPr>
              <w:rPr>
                <w:lang w:val="en-US"/>
              </w:rPr>
            </w:pPr>
          </w:p>
        </w:tc>
      </w:tr>
      <w:tr w:rsidR="00D72D79" w:rsidRPr="00293EE1" w:rsidTr="00C92DD5">
        <w:tc>
          <w:tcPr>
            <w:tcW w:w="5000" w:type="pct"/>
            <w:gridSpan w:val="4"/>
          </w:tcPr>
          <w:p w:rsidR="00D72D79" w:rsidRPr="00293EE1" w:rsidRDefault="00D72D79" w:rsidP="00C92DD5">
            <w:pPr>
              <w:jc w:val="both"/>
              <w:rPr>
                <w:rFonts w:cs="Times New Roman"/>
                <w:sz w:val="20"/>
                <w:szCs w:val="20"/>
              </w:rPr>
            </w:pPr>
            <w:r w:rsidRPr="00293EE1">
              <w:rPr>
                <w:rFonts w:cs="Times New Roman"/>
                <w:sz w:val="20"/>
                <w:szCs w:val="20"/>
              </w:rPr>
              <w:t>(SEALING ORDER)</w:t>
            </w:r>
          </w:p>
          <w:p w:rsidR="00D72D79" w:rsidRPr="00293EE1" w:rsidRDefault="00D72D79" w:rsidP="00C92DD5">
            <w:pPr>
              <w:jc w:val="both"/>
              <w:rPr>
                <w:rFonts w:cs="Times New Roman"/>
                <w:sz w:val="20"/>
                <w:szCs w:val="20"/>
              </w:rPr>
            </w:pPr>
          </w:p>
          <w:p w:rsidR="00D72D79" w:rsidRPr="00293EE1" w:rsidRDefault="00D72D79" w:rsidP="00C92DD5">
            <w:pPr>
              <w:jc w:val="both"/>
              <w:rPr>
                <w:rFonts w:cs="Times New Roman"/>
                <w:sz w:val="20"/>
                <w:szCs w:val="20"/>
              </w:rPr>
            </w:pPr>
            <w:r w:rsidRPr="00293EE1">
              <w:rPr>
                <w:rFonts w:cs="Times New Roman"/>
                <w:sz w:val="20"/>
                <w:szCs w:val="20"/>
              </w:rPr>
              <w:t xml:space="preserve">Intellectual property – Patents – Medicines – AstraZeneca’s patent for omeprazole found to be valid and infringed by </w:t>
            </w:r>
            <w:proofErr w:type="spellStart"/>
            <w:r w:rsidRPr="00293EE1">
              <w:rPr>
                <w:rFonts w:cs="Times New Roman"/>
                <w:sz w:val="20"/>
                <w:szCs w:val="20"/>
              </w:rPr>
              <w:t>Apotex’s</w:t>
            </w:r>
            <w:proofErr w:type="spellEnd"/>
            <w:r w:rsidRPr="00293EE1">
              <w:rPr>
                <w:rFonts w:cs="Times New Roman"/>
                <w:sz w:val="20"/>
                <w:szCs w:val="20"/>
              </w:rPr>
              <w:t xml:space="preserve"> generic version of drug – Whether conflicting authority in law of patent construction to make sure that the public can rely on language used in a patent to assess lawfulness of proposed activity, and so as to allow doctrines of insufficiency, ambiguity and overbreadth to function to protect the public from misleading and/or overreaching patents requires resolution – Whether acts that occur within a province leading to the export of goods from that province is activity that occurs other than within a province within the meaning of the </w:t>
            </w:r>
            <w:r w:rsidRPr="00293EE1">
              <w:rPr>
                <w:rFonts w:cs="Times New Roman"/>
                <w:i/>
                <w:sz w:val="20"/>
                <w:szCs w:val="20"/>
              </w:rPr>
              <w:t>Federal Courts Act</w:t>
            </w:r>
            <w:r w:rsidRPr="00293EE1">
              <w:rPr>
                <w:rFonts w:cs="Times New Roman"/>
                <w:sz w:val="20"/>
                <w:szCs w:val="20"/>
              </w:rPr>
              <w:t>, R.S.C., 1985, c. F-7, ss. 39.</w:t>
            </w:r>
          </w:p>
          <w:p w:rsidR="00D72D79" w:rsidRPr="00293EE1" w:rsidRDefault="00D72D79" w:rsidP="00C92DD5">
            <w:pPr>
              <w:jc w:val="both"/>
              <w:rPr>
                <w:rFonts w:cs="Times New Roman"/>
                <w:sz w:val="20"/>
                <w:szCs w:val="20"/>
              </w:rPr>
            </w:pPr>
          </w:p>
          <w:p w:rsidR="00D72D79" w:rsidRPr="00293EE1" w:rsidRDefault="00D72D79" w:rsidP="00C92DD5">
            <w:pPr>
              <w:jc w:val="both"/>
              <w:rPr>
                <w:rFonts w:cs="Times New Roman"/>
                <w:sz w:val="20"/>
                <w:szCs w:val="20"/>
              </w:rPr>
            </w:pPr>
            <w:r w:rsidRPr="00293EE1">
              <w:rPr>
                <w:rFonts w:cs="Times New Roman"/>
                <w:sz w:val="20"/>
                <w:szCs w:val="20"/>
              </w:rPr>
              <w:t xml:space="preserve">The respondents (collectively, “Astra”) are the owners of the 693 Patent for omeprazole, a medicine useful in the treatment of gastrointestinal diseases. Omeprazole was discovered to be a difficult pharmaceutical ingredient to formulate as it has low solubility and is very acid and moisture sensitive. Astra’s solution in the 693 Patent was to finely balance the incompatibility between alkalinity necessary for acceptable storage stability and the preservation of the enteric coating necessary for good gastric acid resistance. Astra commercialized the preparation under the brand name, </w:t>
            </w:r>
            <w:proofErr w:type="spellStart"/>
            <w:r w:rsidRPr="00293EE1">
              <w:rPr>
                <w:rFonts w:cs="Times New Roman"/>
                <w:sz w:val="20"/>
                <w:szCs w:val="20"/>
              </w:rPr>
              <w:t>Losec</w:t>
            </w:r>
            <w:proofErr w:type="spellEnd"/>
            <w:r w:rsidRPr="00293EE1">
              <w:rPr>
                <w:rFonts w:cs="Times New Roman"/>
                <w:sz w:val="20"/>
                <w:szCs w:val="20"/>
              </w:rPr>
              <w:t xml:space="preserve">. </w:t>
            </w:r>
            <w:proofErr w:type="spellStart"/>
            <w:r w:rsidRPr="00293EE1">
              <w:rPr>
                <w:rFonts w:cs="Times New Roman"/>
                <w:sz w:val="20"/>
                <w:szCs w:val="20"/>
              </w:rPr>
              <w:t>Apotex</w:t>
            </w:r>
            <w:proofErr w:type="spellEnd"/>
            <w:r w:rsidRPr="00293EE1">
              <w:rPr>
                <w:rFonts w:cs="Times New Roman"/>
                <w:sz w:val="20"/>
                <w:szCs w:val="20"/>
              </w:rPr>
              <w:t xml:space="preserve"> sought to work around the 693 Patent and thought it had successfully done so by employing a different process than the one covered by Claim 17 and described in the disclosure of the 693 Patent. In January 2004, </w:t>
            </w:r>
            <w:proofErr w:type="spellStart"/>
            <w:r w:rsidRPr="00293EE1">
              <w:rPr>
                <w:rFonts w:cs="Times New Roman"/>
                <w:sz w:val="20"/>
                <w:szCs w:val="20"/>
              </w:rPr>
              <w:t>Apotex</w:t>
            </w:r>
            <w:proofErr w:type="spellEnd"/>
            <w:r w:rsidRPr="00293EE1">
              <w:rPr>
                <w:rFonts w:cs="Times New Roman"/>
                <w:sz w:val="20"/>
                <w:szCs w:val="20"/>
              </w:rPr>
              <w:t xml:space="preserve"> received a Notice of Compliance from Health Canada to market its generic version of the drug. Astra’s scientists conducted tests on </w:t>
            </w:r>
            <w:proofErr w:type="spellStart"/>
            <w:r w:rsidRPr="00293EE1">
              <w:rPr>
                <w:rFonts w:cs="Times New Roman"/>
                <w:sz w:val="20"/>
                <w:szCs w:val="20"/>
              </w:rPr>
              <w:t>Apotex’s</w:t>
            </w:r>
            <w:proofErr w:type="spellEnd"/>
            <w:r w:rsidRPr="00293EE1">
              <w:rPr>
                <w:rFonts w:cs="Times New Roman"/>
                <w:sz w:val="20"/>
                <w:szCs w:val="20"/>
              </w:rPr>
              <w:t xml:space="preserve"> version of the drug and established that its preparation of omeprazole had a core containing omeprazole and an alkaline reacting compound, an outer enteric coat and a </w:t>
            </w:r>
            <w:proofErr w:type="spellStart"/>
            <w:r w:rsidRPr="00293EE1">
              <w:rPr>
                <w:rFonts w:cs="Times New Roman"/>
                <w:sz w:val="20"/>
                <w:szCs w:val="20"/>
              </w:rPr>
              <w:t>subcoat</w:t>
            </w:r>
            <w:proofErr w:type="spellEnd"/>
            <w:r w:rsidRPr="00293EE1">
              <w:rPr>
                <w:rFonts w:cs="Times New Roman"/>
                <w:sz w:val="20"/>
                <w:szCs w:val="20"/>
              </w:rPr>
              <w:t xml:space="preserve"> containing an inert layer of polymeric film as a barrier between the core and the enteric coat. </w:t>
            </w:r>
            <w:proofErr w:type="spellStart"/>
            <w:r w:rsidRPr="00293EE1">
              <w:rPr>
                <w:rFonts w:cs="Times New Roman"/>
                <w:sz w:val="20"/>
                <w:szCs w:val="20"/>
              </w:rPr>
              <w:t>Apotex’s</w:t>
            </w:r>
            <w:proofErr w:type="spellEnd"/>
            <w:r w:rsidRPr="00293EE1">
              <w:rPr>
                <w:rFonts w:cs="Times New Roman"/>
                <w:sz w:val="20"/>
                <w:szCs w:val="20"/>
              </w:rPr>
              <w:t xml:space="preserve"> </w:t>
            </w:r>
            <w:proofErr w:type="spellStart"/>
            <w:r w:rsidRPr="00293EE1">
              <w:rPr>
                <w:rFonts w:cs="Times New Roman"/>
                <w:sz w:val="20"/>
                <w:szCs w:val="20"/>
              </w:rPr>
              <w:t>subcoat</w:t>
            </w:r>
            <w:proofErr w:type="spellEnd"/>
            <w:r w:rsidRPr="00293EE1">
              <w:rPr>
                <w:rFonts w:cs="Times New Roman"/>
                <w:sz w:val="20"/>
                <w:szCs w:val="20"/>
              </w:rPr>
              <w:t xml:space="preserve"> was formed by a chemical reaction between the enteric coating and the core when the enteric coating was applied during manufacture. In Astra’s omeprazole product, the </w:t>
            </w:r>
            <w:proofErr w:type="spellStart"/>
            <w:r w:rsidRPr="00293EE1">
              <w:rPr>
                <w:rFonts w:cs="Times New Roman"/>
                <w:sz w:val="20"/>
                <w:szCs w:val="20"/>
              </w:rPr>
              <w:t>subcoating</w:t>
            </w:r>
            <w:proofErr w:type="spellEnd"/>
            <w:r w:rsidRPr="00293EE1">
              <w:rPr>
                <w:rFonts w:cs="Times New Roman"/>
                <w:sz w:val="20"/>
                <w:szCs w:val="20"/>
              </w:rPr>
              <w:t xml:space="preserve"> was applied to the core. Astra brought an action for patent infringement and </w:t>
            </w:r>
            <w:proofErr w:type="spellStart"/>
            <w:r w:rsidRPr="00293EE1">
              <w:rPr>
                <w:rFonts w:cs="Times New Roman"/>
                <w:sz w:val="20"/>
                <w:szCs w:val="20"/>
              </w:rPr>
              <w:t>Apotex</w:t>
            </w:r>
            <w:proofErr w:type="spellEnd"/>
            <w:r w:rsidRPr="00293EE1">
              <w:rPr>
                <w:rFonts w:cs="Times New Roman"/>
                <w:sz w:val="20"/>
                <w:szCs w:val="20"/>
              </w:rPr>
              <w:t xml:space="preserve"> counterclaimed, claiming that the 693 was invalid on a number of grounds. </w:t>
            </w:r>
          </w:p>
        </w:tc>
      </w:tr>
      <w:tr w:rsidR="00D72D79" w:rsidRPr="00293EE1" w:rsidTr="00C92DD5">
        <w:tc>
          <w:tcPr>
            <w:tcW w:w="5000" w:type="pct"/>
            <w:gridSpan w:val="4"/>
          </w:tcPr>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May 25, 2015</w:t>
            </w:r>
          </w:p>
          <w:p w:rsidR="00D72D79" w:rsidRPr="00293EE1" w:rsidRDefault="00D72D79" w:rsidP="00C92DD5">
            <w:pPr>
              <w:jc w:val="both"/>
              <w:rPr>
                <w:rFonts w:cs="Times New Roman"/>
                <w:sz w:val="20"/>
                <w:szCs w:val="20"/>
              </w:rPr>
            </w:pPr>
            <w:r w:rsidRPr="00293EE1">
              <w:rPr>
                <w:rFonts w:cs="Times New Roman"/>
                <w:sz w:val="20"/>
                <w:szCs w:val="20"/>
              </w:rPr>
              <w:t>Federal Court</w:t>
            </w:r>
          </w:p>
          <w:p w:rsidR="00D72D79" w:rsidRPr="00293EE1" w:rsidRDefault="00D72D79" w:rsidP="00C92DD5">
            <w:pPr>
              <w:jc w:val="both"/>
              <w:rPr>
                <w:rFonts w:cs="Times New Roman"/>
                <w:sz w:val="20"/>
                <w:szCs w:val="20"/>
              </w:rPr>
            </w:pPr>
            <w:r w:rsidRPr="00293EE1">
              <w:rPr>
                <w:rFonts w:cs="Times New Roman"/>
                <w:sz w:val="20"/>
                <w:szCs w:val="20"/>
              </w:rPr>
              <w:t>(Barnes J.)</w:t>
            </w:r>
          </w:p>
          <w:p w:rsidR="00D72D79" w:rsidRPr="00293EE1" w:rsidRDefault="00B2512D" w:rsidP="00C92DD5">
            <w:pPr>
              <w:jc w:val="both"/>
              <w:rPr>
                <w:rFonts w:cs="Times New Roman"/>
                <w:sz w:val="20"/>
                <w:szCs w:val="20"/>
              </w:rPr>
            </w:pPr>
            <w:hyperlink r:id="rId63" w:history="1">
              <w:r w:rsidR="00D72D79" w:rsidRPr="00293EE1">
                <w:rPr>
                  <w:rStyle w:val="Hyperlink"/>
                  <w:rFonts w:cs="Times New Roman"/>
                  <w:sz w:val="20"/>
                  <w:szCs w:val="20"/>
                </w:rPr>
                <w:t>2015 FC 322</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 xml:space="preserve">AstraZeneca’s 693 Patent for omeprazole found to be valid and infringed by </w:t>
            </w:r>
            <w:proofErr w:type="spellStart"/>
            <w:r w:rsidRPr="00293EE1">
              <w:rPr>
                <w:rFonts w:cs="Times New Roman"/>
                <w:sz w:val="20"/>
                <w:szCs w:val="20"/>
              </w:rPr>
              <w:t>Apotex’s</w:t>
            </w:r>
            <w:proofErr w:type="spellEnd"/>
            <w:r w:rsidRPr="00293EE1">
              <w:rPr>
                <w:rFonts w:cs="Times New Roman"/>
                <w:sz w:val="20"/>
                <w:szCs w:val="20"/>
              </w:rPr>
              <w:t xml:space="preserve"> generic product. Patent not invalid for anticipation, obviousness, overbreadth, </w:t>
            </w:r>
            <w:proofErr w:type="spellStart"/>
            <w:r w:rsidRPr="00293EE1">
              <w:rPr>
                <w:rFonts w:cs="Times New Roman"/>
                <w:sz w:val="20"/>
                <w:szCs w:val="20"/>
              </w:rPr>
              <w:t>inutility</w:t>
            </w:r>
            <w:proofErr w:type="spellEnd"/>
            <w:r w:rsidRPr="00293EE1">
              <w:rPr>
                <w:rFonts w:cs="Times New Roman"/>
                <w:sz w:val="20"/>
                <w:szCs w:val="20"/>
              </w:rPr>
              <w:t xml:space="preserve"> or ambiguity</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May 25, 2015</w:t>
            </w:r>
          </w:p>
          <w:p w:rsidR="00D72D79" w:rsidRPr="00293EE1" w:rsidRDefault="00D72D79" w:rsidP="00C92DD5">
            <w:pPr>
              <w:jc w:val="both"/>
              <w:rPr>
                <w:rFonts w:cs="Times New Roman"/>
                <w:sz w:val="20"/>
                <w:szCs w:val="20"/>
              </w:rPr>
            </w:pPr>
            <w:r w:rsidRPr="00293EE1">
              <w:rPr>
                <w:rFonts w:cs="Times New Roman"/>
                <w:sz w:val="20"/>
                <w:szCs w:val="20"/>
              </w:rPr>
              <w:t>Federal Court</w:t>
            </w:r>
          </w:p>
          <w:p w:rsidR="00D72D79" w:rsidRPr="00293EE1" w:rsidRDefault="00D72D79" w:rsidP="00C92DD5">
            <w:pPr>
              <w:jc w:val="both"/>
              <w:rPr>
                <w:rFonts w:cs="Times New Roman"/>
                <w:sz w:val="20"/>
                <w:szCs w:val="20"/>
              </w:rPr>
            </w:pPr>
            <w:r w:rsidRPr="00293EE1">
              <w:rPr>
                <w:rFonts w:cs="Times New Roman"/>
                <w:sz w:val="20"/>
                <w:szCs w:val="20"/>
              </w:rPr>
              <w:t>(Barnes J.)</w:t>
            </w:r>
          </w:p>
          <w:p w:rsidR="00D72D79" w:rsidRPr="00293EE1" w:rsidRDefault="00B2512D" w:rsidP="00C92DD5">
            <w:pPr>
              <w:jc w:val="both"/>
              <w:rPr>
                <w:rFonts w:cs="Times New Roman"/>
                <w:sz w:val="20"/>
                <w:szCs w:val="20"/>
              </w:rPr>
            </w:pPr>
            <w:hyperlink r:id="rId64" w:history="1">
              <w:r w:rsidR="00D72D79" w:rsidRPr="00293EE1">
                <w:rPr>
                  <w:rStyle w:val="Hyperlink"/>
                  <w:rFonts w:cs="Times New Roman"/>
                  <w:sz w:val="20"/>
                  <w:szCs w:val="20"/>
                </w:rPr>
                <w:t>2015 FC 671</w:t>
              </w:r>
            </w:hyperlink>
            <w:r w:rsidR="00D72D79" w:rsidRPr="00293EE1">
              <w:rPr>
                <w:rFonts w:cs="Times New Roman"/>
                <w:sz w:val="20"/>
                <w:szCs w:val="20"/>
              </w:rPr>
              <w:t xml:space="preserve"> </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 xml:space="preserve">Order amending certain wording of judgment pursuant to Rule 397 of </w:t>
            </w:r>
            <w:r w:rsidRPr="00293EE1">
              <w:rPr>
                <w:rFonts w:cs="Times New Roman"/>
                <w:i/>
                <w:sz w:val="20"/>
                <w:szCs w:val="20"/>
              </w:rPr>
              <w:t>Federal Court Rules</w:t>
            </w:r>
            <w:r w:rsidRPr="00293EE1">
              <w:rPr>
                <w:rFonts w:cs="Times New Roman"/>
                <w:sz w:val="20"/>
                <w:szCs w:val="20"/>
              </w:rPr>
              <w:t>, SOR/98-016</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January 12, 2017</w:t>
            </w:r>
          </w:p>
          <w:p w:rsidR="00D72D79" w:rsidRPr="00293EE1" w:rsidRDefault="00D72D79" w:rsidP="00C92DD5">
            <w:pPr>
              <w:jc w:val="both"/>
              <w:rPr>
                <w:rFonts w:cs="Times New Roman"/>
                <w:sz w:val="20"/>
                <w:szCs w:val="20"/>
              </w:rPr>
            </w:pPr>
            <w:r w:rsidRPr="00293EE1">
              <w:rPr>
                <w:rFonts w:cs="Times New Roman"/>
                <w:sz w:val="20"/>
                <w:szCs w:val="20"/>
              </w:rPr>
              <w:t>Federal Court of Appeal</w:t>
            </w:r>
          </w:p>
          <w:p w:rsidR="00D72D79" w:rsidRPr="00293EE1" w:rsidRDefault="00D72D79" w:rsidP="00C92DD5">
            <w:pPr>
              <w:jc w:val="both"/>
              <w:rPr>
                <w:rFonts w:cs="Times New Roman"/>
                <w:sz w:val="20"/>
                <w:szCs w:val="20"/>
              </w:rPr>
            </w:pPr>
            <w:r w:rsidRPr="00293EE1">
              <w:rPr>
                <w:rFonts w:cs="Times New Roman"/>
                <w:sz w:val="20"/>
                <w:szCs w:val="20"/>
              </w:rPr>
              <w:t>(Pelletier, Gauthier and Scott JJ.A.)</w:t>
            </w:r>
          </w:p>
          <w:p w:rsidR="00D72D79" w:rsidRPr="00293EE1" w:rsidRDefault="00B2512D" w:rsidP="00C92DD5">
            <w:pPr>
              <w:jc w:val="both"/>
              <w:rPr>
                <w:rFonts w:cs="Times New Roman"/>
                <w:sz w:val="20"/>
                <w:szCs w:val="20"/>
              </w:rPr>
            </w:pPr>
            <w:hyperlink r:id="rId65" w:history="1">
              <w:r w:rsidR="00D72D79" w:rsidRPr="00293EE1">
                <w:rPr>
                  <w:rStyle w:val="Hyperlink"/>
                  <w:rFonts w:cs="Times New Roman"/>
                  <w:sz w:val="20"/>
                  <w:szCs w:val="20"/>
                </w:rPr>
                <w:t>2017 FCA 9</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proofErr w:type="spellStart"/>
            <w:r w:rsidRPr="00293EE1">
              <w:rPr>
                <w:rFonts w:cs="Times New Roman"/>
                <w:sz w:val="20"/>
                <w:szCs w:val="20"/>
              </w:rPr>
              <w:t>Apotex’s</w:t>
            </w:r>
            <w:proofErr w:type="spellEnd"/>
            <w:r w:rsidRPr="00293EE1">
              <w:rPr>
                <w:rFonts w:cs="Times New Roman"/>
                <w:sz w:val="20"/>
                <w:szCs w:val="20"/>
              </w:rPr>
              <w:t xml:space="preserve"> appeal allowed in part; one paragraph of trial judgment amended;</w:t>
            </w:r>
          </w:p>
          <w:p w:rsidR="00D72D79" w:rsidRPr="00293EE1" w:rsidRDefault="00D72D79" w:rsidP="00C92DD5">
            <w:pPr>
              <w:jc w:val="both"/>
              <w:rPr>
                <w:rFonts w:cs="Times New Roman"/>
                <w:sz w:val="20"/>
                <w:szCs w:val="20"/>
              </w:rPr>
            </w:pPr>
            <w:r w:rsidRPr="00293EE1">
              <w:rPr>
                <w:rFonts w:cs="Times New Roman"/>
                <w:sz w:val="20"/>
                <w:szCs w:val="20"/>
              </w:rPr>
              <w:t>AstraZeneca’s counterclaim dismissed</w:t>
            </w:r>
          </w:p>
          <w:p w:rsidR="00D72D79" w:rsidRPr="00293EE1" w:rsidRDefault="00D72D79" w:rsidP="00C92DD5">
            <w:pPr>
              <w:jc w:val="both"/>
              <w:rPr>
                <w:rFonts w:cs="Times New Roman"/>
                <w:sz w:val="20"/>
                <w:szCs w:val="20"/>
              </w:rPr>
            </w:pPr>
          </w:p>
        </w:tc>
      </w:tr>
      <w:tr w:rsidR="00D72D79" w:rsidRPr="00293EE1" w:rsidTr="00C92DD5">
        <w:tc>
          <w:tcPr>
            <w:tcW w:w="2427" w:type="pct"/>
            <w:gridSpan w:val="2"/>
          </w:tcPr>
          <w:p w:rsidR="00D72D79" w:rsidRPr="00293EE1" w:rsidRDefault="00D72D79" w:rsidP="00C92DD5">
            <w:pPr>
              <w:jc w:val="both"/>
              <w:rPr>
                <w:rFonts w:cs="Times New Roman"/>
                <w:sz w:val="20"/>
                <w:szCs w:val="20"/>
              </w:rPr>
            </w:pPr>
            <w:r w:rsidRPr="00293EE1">
              <w:rPr>
                <w:rFonts w:cs="Times New Roman"/>
                <w:sz w:val="20"/>
                <w:szCs w:val="20"/>
              </w:rPr>
              <w:t>March 13, 2017</w:t>
            </w:r>
          </w:p>
          <w:p w:rsidR="00D72D79" w:rsidRPr="00293EE1" w:rsidRDefault="00D72D79" w:rsidP="00C92DD5">
            <w:pPr>
              <w:jc w:val="both"/>
              <w:rPr>
                <w:rFonts w:cs="Times New Roman"/>
                <w:sz w:val="20"/>
                <w:szCs w:val="20"/>
              </w:rPr>
            </w:pPr>
            <w:r w:rsidRPr="00293EE1">
              <w:rPr>
                <w:rFonts w:cs="Times New Roman"/>
                <w:sz w:val="20"/>
                <w:szCs w:val="20"/>
              </w:rPr>
              <w:t>Supreme Court of Canada</w:t>
            </w: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rPr>
            </w:pPr>
            <w:r w:rsidRPr="00293EE1">
              <w:rPr>
                <w:rFonts w:cs="Times New Roman"/>
                <w:sz w:val="20"/>
                <w:szCs w:val="20"/>
              </w:rPr>
              <w:t>Application for leave to appeal filed</w:t>
            </w:r>
          </w:p>
          <w:p w:rsidR="00D72D79" w:rsidRPr="00293EE1" w:rsidRDefault="00D72D79" w:rsidP="00C92DD5">
            <w:pPr>
              <w:jc w:val="both"/>
              <w:rPr>
                <w:rFonts w:cs="Times New Roman"/>
                <w:sz w:val="20"/>
                <w:szCs w:val="20"/>
              </w:rPr>
            </w:pPr>
          </w:p>
        </w:tc>
      </w:tr>
    </w:tbl>
    <w:p w:rsidR="00D72D79" w:rsidRPr="00293EE1" w:rsidRDefault="00B2512D" w:rsidP="00D72D79">
      <w:pPr>
        <w:jc w:val="both"/>
        <w:rPr>
          <w:rFonts w:cs="Times New Roman"/>
          <w:sz w:val="20"/>
          <w:szCs w:val="20"/>
        </w:rPr>
      </w:pPr>
      <w:r>
        <w:rPr>
          <w:sz w:val="20"/>
          <w:szCs w:val="20"/>
        </w:rPr>
        <w:pict>
          <v:rect id="_x0000_i1069" style="width:2in;height:1pt" o:hrpct="0" o:hralign="center" o:hrstd="t" o:hrnoshade="t" o:hr="t" fillcolor="black [3213]" stroked="f"/>
        </w:pict>
      </w:r>
    </w:p>
    <w:p w:rsidR="00D72D79" w:rsidRPr="00293EE1" w:rsidRDefault="00D72D79" w:rsidP="00D72D79">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2D79" w:rsidRPr="00B2512D" w:rsidTr="00C92DD5">
        <w:tc>
          <w:tcPr>
            <w:tcW w:w="543" w:type="pct"/>
          </w:tcPr>
          <w:p w:rsidR="00D72D79" w:rsidRPr="00293EE1" w:rsidRDefault="00D72D79" w:rsidP="00C92DD5">
            <w:pPr>
              <w:jc w:val="both"/>
              <w:rPr>
                <w:rFonts w:cs="Times New Roman"/>
                <w:sz w:val="20"/>
                <w:szCs w:val="20"/>
              </w:rPr>
            </w:pPr>
            <w:r w:rsidRPr="00293EE1">
              <w:rPr>
                <w:rStyle w:val="SCCFileNumberChar"/>
                <w:sz w:val="20"/>
                <w:szCs w:val="20"/>
              </w:rPr>
              <w:t>37478</w:t>
            </w:r>
          </w:p>
        </w:tc>
        <w:tc>
          <w:tcPr>
            <w:tcW w:w="4457" w:type="pct"/>
            <w:gridSpan w:val="3"/>
          </w:tcPr>
          <w:p w:rsidR="00D72D79" w:rsidRPr="00293EE1" w:rsidRDefault="00D72D79" w:rsidP="00C92DD5">
            <w:pPr>
              <w:pStyle w:val="SCCLsocParty"/>
              <w:jc w:val="both"/>
              <w:rPr>
                <w:b/>
                <w:sz w:val="20"/>
                <w:szCs w:val="20"/>
                <w:lang w:val="en-US"/>
              </w:rPr>
            </w:pPr>
            <w:proofErr w:type="spellStart"/>
            <w:r w:rsidRPr="00293EE1">
              <w:rPr>
                <w:b/>
                <w:sz w:val="20"/>
                <w:szCs w:val="20"/>
                <w:lang w:val="en-US"/>
              </w:rPr>
              <w:t>Apotex</w:t>
            </w:r>
            <w:proofErr w:type="spellEnd"/>
            <w:r w:rsidRPr="00293EE1">
              <w:rPr>
                <w:b/>
                <w:sz w:val="20"/>
                <w:szCs w:val="20"/>
                <w:lang w:val="en-US"/>
              </w:rPr>
              <w:t xml:space="preserve"> Inc. c. AstraZeneca Canada Inc., AstraZeneca AB et </w:t>
            </w:r>
            <w:proofErr w:type="spellStart"/>
            <w:r w:rsidRPr="00293EE1">
              <w:rPr>
                <w:b/>
                <w:sz w:val="20"/>
                <w:szCs w:val="20"/>
                <w:lang w:val="en-US"/>
              </w:rPr>
              <w:t>Aktiebolaget</w:t>
            </w:r>
            <w:proofErr w:type="spellEnd"/>
            <w:r w:rsidRPr="00293EE1">
              <w:rPr>
                <w:b/>
                <w:sz w:val="20"/>
                <w:szCs w:val="20"/>
                <w:lang w:val="en-US"/>
              </w:rPr>
              <w:t xml:space="preserve"> </w:t>
            </w:r>
            <w:proofErr w:type="spellStart"/>
            <w:r w:rsidRPr="00293EE1">
              <w:rPr>
                <w:b/>
                <w:sz w:val="20"/>
                <w:szCs w:val="20"/>
                <w:lang w:val="en-US"/>
              </w:rPr>
              <w:t>Hässle</w:t>
            </w:r>
            <w:proofErr w:type="spellEnd"/>
          </w:p>
          <w:p w:rsidR="00D72D79" w:rsidRPr="00293EE1" w:rsidRDefault="00D72D79" w:rsidP="00C92DD5">
            <w:pPr>
              <w:jc w:val="both"/>
              <w:rPr>
                <w:rFonts w:cs="Times New Roman"/>
                <w:sz w:val="20"/>
                <w:szCs w:val="20"/>
                <w:lang w:val="fr-CA"/>
              </w:rPr>
            </w:pPr>
            <w:r w:rsidRPr="00293EE1">
              <w:rPr>
                <w:rFonts w:cs="Times New Roman"/>
                <w:sz w:val="20"/>
                <w:szCs w:val="20"/>
                <w:lang w:val="fr-CA"/>
              </w:rPr>
              <w:t>(C.F.) (Civile) (Sur autorisation)</w:t>
            </w:r>
          </w:p>
        </w:tc>
      </w:tr>
      <w:tr w:rsidR="00D72D79" w:rsidRPr="00B2512D" w:rsidTr="00C92DD5">
        <w:tc>
          <w:tcPr>
            <w:tcW w:w="543" w:type="pct"/>
          </w:tcPr>
          <w:p w:rsidR="00D72D79" w:rsidRPr="00293EE1" w:rsidRDefault="00D72D79" w:rsidP="00C92DD5">
            <w:pPr>
              <w:jc w:val="both"/>
              <w:rPr>
                <w:rStyle w:val="SCCFileNumberChar"/>
                <w:sz w:val="20"/>
                <w:szCs w:val="20"/>
              </w:rPr>
            </w:pPr>
            <w:r w:rsidRPr="00293EE1">
              <w:rPr>
                <w:rStyle w:val="SCCFileNumberChar"/>
                <w:sz w:val="20"/>
                <w:szCs w:val="20"/>
              </w:rPr>
              <w:t>Coram:</w:t>
            </w:r>
          </w:p>
        </w:tc>
        <w:tc>
          <w:tcPr>
            <w:tcW w:w="4457" w:type="pct"/>
            <w:gridSpan w:val="3"/>
          </w:tcPr>
          <w:p w:rsidR="00D72D79" w:rsidRPr="00293EE1" w:rsidRDefault="001A3EC4" w:rsidP="00C92DD5">
            <w:pPr>
              <w:pStyle w:val="SCCLsocParty"/>
              <w:jc w:val="both"/>
              <w:rPr>
                <w:sz w:val="20"/>
                <w:szCs w:val="20"/>
              </w:rPr>
            </w:pPr>
            <w:r w:rsidRPr="00293EE1">
              <w:rPr>
                <w:sz w:val="20"/>
                <w:szCs w:val="20"/>
              </w:rPr>
              <w:t xml:space="preserve">La juge en chef </w:t>
            </w:r>
            <w:proofErr w:type="spellStart"/>
            <w:r w:rsidRPr="00293EE1">
              <w:rPr>
                <w:sz w:val="20"/>
                <w:szCs w:val="20"/>
              </w:rPr>
              <w:t>McLachlin</w:t>
            </w:r>
            <w:proofErr w:type="spellEnd"/>
            <w:r w:rsidRPr="00293EE1">
              <w:rPr>
                <w:sz w:val="20"/>
                <w:szCs w:val="20"/>
              </w:rPr>
              <w:t xml:space="preserve"> et les juges Abella, </w:t>
            </w:r>
            <w:proofErr w:type="spellStart"/>
            <w:r w:rsidRPr="00293EE1">
              <w:rPr>
                <w:sz w:val="20"/>
                <w:szCs w:val="20"/>
              </w:rPr>
              <w:t>Moldaver</w:t>
            </w:r>
            <w:proofErr w:type="spellEnd"/>
            <w:r w:rsidRPr="00293EE1">
              <w:rPr>
                <w:sz w:val="20"/>
                <w:szCs w:val="20"/>
              </w:rPr>
              <w:t xml:space="preserve">, </w:t>
            </w:r>
            <w:proofErr w:type="spellStart"/>
            <w:r w:rsidRPr="00293EE1">
              <w:rPr>
                <w:sz w:val="20"/>
                <w:szCs w:val="20"/>
              </w:rPr>
              <w:t>Karakatsanis</w:t>
            </w:r>
            <w:proofErr w:type="spellEnd"/>
            <w:r w:rsidRPr="00293EE1">
              <w:rPr>
                <w:sz w:val="20"/>
                <w:szCs w:val="20"/>
              </w:rPr>
              <w:t>, Wagner, Gascon, Côté, Brown et Rowe</w:t>
            </w:r>
          </w:p>
        </w:tc>
      </w:tr>
      <w:tr w:rsidR="00D72D79" w:rsidRPr="00B2512D" w:rsidTr="00D72D79">
        <w:tc>
          <w:tcPr>
            <w:tcW w:w="5000" w:type="pct"/>
            <w:gridSpan w:val="4"/>
          </w:tcPr>
          <w:p w:rsidR="00D72D79" w:rsidRPr="00293EE1" w:rsidRDefault="001A3EC4" w:rsidP="00C92DD5">
            <w:pPr>
              <w:pStyle w:val="SCCLsocParty"/>
              <w:jc w:val="both"/>
              <w:rPr>
                <w:sz w:val="20"/>
                <w:szCs w:val="20"/>
              </w:rPr>
            </w:pPr>
            <w:r w:rsidRPr="00293EE1">
              <w:rPr>
                <w:sz w:val="20"/>
                <w:szCs w:val="20"/>
              </w:rPr>
              <w:t>La demande d’autorisation d’appel de l’arrêt de la Cour d’appel fédérale, numéro A-201-15, 2017 CAF 9, daté du 12 janvier 2017, est rejetée avec dépens.</w:t>
            </w:r>
          </w:p>
          <w:p w:rsidR="001A3EC4" w:rsidRPr="00293EE1" w:rsidRDefault="001A3EC4" w:rsidP="001A3EC4">
            <w:pPr>
              <w:rPr>
                <w:lang w:val="fr-CA"/>
              </w:rPr>
            </w:pPr>
          </w:p>
        </w:tc>
      </w:tr>
      <w:tr w:rsidR="00D72D79" w:rsidRPr="00B2512D" w:rsidTr="00C92DD5">
        <w:tc>
          <w:tcPr>
            <w:tcW w:w="5000" w:type="pct"/>
            <w:gridSpan w:val="4"/>
          </w:tcPr>
          <w:p w:rsidR="00D72D79" w:rsidRPr="00293EE1" w:rsidRDefault="00D72D79" w:rsidP="00C92DD5">
            <w:pPr>
              <w:jc w:val="both"/>
              <w:rPr>
                <w:rFonts w:cs="Times New Roman"/>
                <w:sz w:val="20"/>
                <w:szCs w:val="20"/>
                <w:lang w:val="fr-CA"/>
              </w:rPr>
            </w:pPr>
            <w:r w:rsidRPr="00293EE1">
              <w:rPr>
                <w:rFonts w:cs="Times New Roman"/>
                <w:sz w:val="20"/>
                <w:szCs w:val="20"/>
                <w:lang w:val="fr-CA"/>
              </w:rPr>
              <w:t>(ORDONNANCE DE MISE SOUS SCELLÉS)</w:t>
            </w:r>
          </w:p>
          <w:p w:rsidR="00D72D79" w:rsidRPr="00293EE1" w:rsidRDefault="00D72D79" w:rsidP="00C92DD5">
            <w:pPr>
              <w:jc w:val="both"/>
              <w:rPr>
                <w:rFonts w:cs="Times New Roman"/>
                <w:sz w:val="20"/>
                <w:szCs w:val="20"/>
                <w:lang w:val="fr-CA"/>
              </w:rPr>
            </w:pPr>
          </w:p>
          <w:p w:rsidR="00D72D79" w:rsidRPr="00293EE1" w:rsidRDefault="00D72D79" w:rsidP="00C92DD5">
            <w:pPr>
              <w:jc w:val="both"/>
              <w:rPr>
                <w:rFonts w:cs="Times New Roman"/>
                <w:sz w:val="20"/>
                <w:szCs w:val="20"/>
                <w:lang w:val="fr-CA"/>
              </w:rPr>
            </w:pPr>
            <w:r w:rsidRPr="00293EE1">
              <w:rPr>
                <w:rFonts w:cs="Times New Roman"/>
                <w:sz w:val="20"/>
                <w:szCs w:val="20"/>
                <w:lang w:val="fr-CA"/>
              </w:rPr>
              <w:t>Propriété intellectuelle – Brevets – Médicaments – Le brevet d’</w:t>
            </w:r>
            <w:proofErr w:type="spellStart"/>
            <w:r w:rsidRPr="00293EE1">
              <w:rPr>
                <w:rFonts w:cs="Times New Roman"/>
                <w:sz w:val="20"/>
                <w:szCs w:val="20"/>
                <w:lang w:val="fr-CA"/>
              </w:rPr>
              <w:t>AstraZeneca</w:t>
            </w:r>
            <w:proofErr w:type="spellEnd"/>
            <w:r w:rsidRPr="00293EE1">
              <w:rPr>
                <w:rFonts w:cs="Times New Roman"/>
                <w:sz w:val="20"/>
                <w:szCs w:val="20"/>
                <w:lang w:val="fr-CA"/>
              </w:rPr>
              <w:t xml:space="preserve"> relatif à l’</w:t>
            </w:r>
            <w:proofErr w:type="spellStart"/>
            <w:r w:rsidRPr="00293EE1">
              <w:rPr>
                <w:rFonts w:cs="Times New Roman"/>
                <w:sz w:val="20"/>
                <w:szCs w:val="20"/>
                <w:lang w:val="fr-CA"/>
              </w:rPr>
              <w:t>oméprazole</w:t>
            </w:r>
            <w:proofErr w:type="spellEnd"/>
            <w:r w:rsidRPr="00293EE1">
              <w:rPr>
                <w:rFonts w:cs="Times New Roman"/>
                <w:sz w:val="20"/>
                <w:szCs w:val="20"/>
                <w:lang w:val="fr-CA"/>
              </w:rPr>
              <w:t xml:space="preserve"> jugé valide, mais aussi contrefait par la version générique du médicament produite par </w:t>
            </w:r>
            <w:proofErr w:type="spellStart"/>
            <w:r w:rsidRPr="00293EE1">
              <w:rPr>
                <w:rFonts w:cs="Times New Roman"/>
                <w:sz w:val="20"/>
                <w:szCs w:val="20"/>
                <w:lang w:val="fr-CA"/>
              </w:rPr>
              <w:t>Apotex</w:t>
            </w:r>
            <w:proofErr w:type="spellEnd"/>
            <w:r w:rsidRPr="00293EE1">
              <w:rPr>
                <w:rFonts w:cs="Times New Roman"/>
                <w:sz w:val="20"/>
                <w:szCs w:val="20"/>
                <w:lang w:val="fr-CA"/>
              </w:rPr>
              <w:t xml:space="preserve"> – Faut-il clarifier la jurisprudence contradictoire en ce qui a trait à l’interprétation en droit des brevets pour garantir que le public peut se fier sur le libellé d’un brevet pour juger de la légalité de l’activité proposée et pour permettre le fonctionnement des doctrines de l’insuffisance, de l’ambigüité et de la portée excessive de manière à ce qu’elles protègent le public des brevets trompeurs et à la portée excessive? – Les actes qui sont posés dans une province en prévision de l’exportation de biens à l’extérieur de cette province constituent-ils des activités survenues ailleurs que dans la province au sens de la </w:t>
            </w:r>
            <w:r w:rsidRPr="00293EE1">
              <w:rPr>
                <w:rFonts w:cs="Times New Roman"/>
                <w:i/>
                <w:sz w:val="20"/>
                <w:szCs w:val="20"/>
                <w:lang w:val="fr-CA"/>
              </w:rPr>
              <w:t>Loi sur les Cours fédérales</w:t>
            </w:r>
            <w:r w:rsidRPr="00293EE1">
              <w:rPr>
                <w:rFonts w:cs="Times New Roman"/>
                <w:sz w:val="20"/>
                <w:szCs w:val="20"/>
                <w:lang w:val="fr-CA"/>
              </w:rPr>
              <w:t>, L.R.C., 1985, c. F-7, art. 39?</w:t>
            </w:r>
          </w:p>
          <w:p w:rsidR="00D72D79" w:rsidRPr="00293EE1" w:rsidRDefault="00D72D79" w:rsidP="00C92DD5">
            <w:pPr>
              <w:jc w:val="both"/>
              <w:rPr>
                <w:rFonts w:cs="Times New Roman"/>
                <w:sz w:val="20"/>
                <w:szCs w:val="20"/>
                <w:lang w:val="fr-CA"/>
              </w:rPr>
            </w:pPr>
          </w:p>
          <w:p w:rsidR="00D72D79" w:rsidRPr="00293EE1" w:rsidRDefault="00D72D79" w:rsidP="00C92DD5">
            <w:pPr>
              <w:jc w:val="both"/>
              <w:rPr>
                <w:rFonts w:cs="Times New Roman"/>
                <w:sz w:val="20"/>
                <w:szCs w:val="20"/>
                <w:lang w:val="fr-CA"/>
              </w:rPr>
            </w:pPr>
            <w:r w:rsidRPr="00293EE1">
              <w:rPr>
                <w:rFonts w:cs="Times New Roman"/>
                <w:sz w:val="20"/>
                <w:szCs w:val="20"/>
                <w:lang w:val="fr-CA"/>
              </w:rPr>
              <w:t>Les intimés (collectivement « Astra ») sont propriétaires du brevet 693 relatifs à l’</w:t>
            </w:r>
            <w:proofErr w:type="spellStart"/>
            <w:r w:rsidRPr="00293EE1">
              <w:rPr>
                <w:rFonts w:cs="Times New Roman"/>
                <w:sz w:val="20"/>
                <w:szCs w:val="20"/>
                <w:lang w:val="fr-CA"/>
              </w:rPr>
              <w:t>oméprazole</w:t>
            </w:r>
            <w:proofErr w:type="spellEnd"/>
            <w:r w:rsidRPr="00293EE1">
              <w:rPr>
                <w:rFonts w:cs="Times New Roman"/>
                <w:sz w:val="20"/>
                <w:szCs w:val="20"/>
                <w:lang w:val="fr-CA"/>
              </w:rPr>
              <w:t>, un médicament utile pour le traitement de maladies gastro-intestinales. Il a été découvert que l’</w:t>
            </w:r>
            <w:proofErr w:type="spellStart"/>
            <w:r w:rsidRPr="00293EE1">
              <w:rPr>
                <w:rFonts w:cs="Times New Roman"/>
                <w:sz w:val="20"/>
                <w:szCs w:val="20"/>
                <w:lang w:val="fr-CA"/>
              </w:rPr>
              <w:t>oméprazole</w:t>
            </w:r>
            <w:proofErr w:type="spellEnd"/>
            <w:r w:rsidRPr="00293EE1">
              <w:rPr>
                <w:rFonts w:cs="Times New Roman"/>
                <w:sz w:val="20"/>
                <w:szCs w:val="20"/>
                <w:lang w:val="fr-CA"/>
              </w:rPr>
              <w:t xml:space="preserve"> était un produit pharmaceutique difficile à synthétiser puisqu’il est peu soluble, très acide et sensible à l’humidité. La solution d’Astra, qui fait l’objet du brevet 693, a consisté à trouver l’équilibre précis entre l’alcalinité nécessaire pour que le médicament ait la stabilité nécessaire à sa conservation et la préservation de l’enrobage gastro-résistant nécessaire pour bien résister à l’acide gastrique. Astra a mis le produit en marché sous le nom commercial </w:t>
            </w:r>
            <w:proofErr w:type="spellStart"/>
            <w:r w:rsidRPr="00293EE1">
              <w:rPr>
                <w:rFonts w:cs="Times New Roman"/>
                <w:sz w:val="20"/>
                <w:szCs w:val="20"/>
                <w:lang w:val="fr-CA"/>
              </w:rPr>
              <w:t>Losec</w:t>
            </w:r>
            <w:proofErr w:type="spellEnd"/>
            <w:r w:rsidRPr="00293EE1">
              <w:rPr>
                <w:rFonts w:cs="Times New Roman"/>
                <w:sz w:val="20"/>
                <w:szCs w:val="20"/>
                <w:lang w:val="fr-CA"/>
              </w:rPr>
              <w:t xml:space="preserve">. </w:t>
            </w:r>
            <w:proofErr w:type="spellStart"/>
            <w:r w:rsidRPr="00293EE1">
              <w:rPr>
                <w:rFonts w:cs="Times New Roman"/>
                <w:sz w:val="20"/>
                <w:szCs w:val="20"/>
                <w:lang w:val="fr-CA"/>
              </w:rPr>
              <w:t>Apotex</w:t>
            </w:r>
            <w:proofErr w:type="spellEnd"/>
            <w:r w:rsidRPr="00293EE1">
              <w:rPr>
                <w:rFonts w:cs="Times New Roman"/>
                <w:sz w:val="20"/>
                <w:szCs w:val="20"/>
                <w:lang w:val="fr-CA"/>
              </w:rPr>
              <w:t xml:space="preserve"> a souhaité contourner le brevet 693 et croyait avoir réussi à le faire en employant un processus différent de celui visé par la revendication 17 et décrit dans la divulgation du brevet 693. En janvier 2004, </w:t>
            </w:r>
            <w:proofErr w:type="spellStart"/>
            <w:r w:rsidRPr="00293EE1">
              <w:rPr>
                <w:rFonts w:cs="Times New Roman"/>
                <w:sz w:val="20"/>
                <w:szCs w:val="20"/>
                <w:lang w:val="fr-CA"/>
              </w:rPr>
              <w:t>Apotex</w:t>
            </w:r>
            <w:proofErr w:type="spellEnd"/>
            <w:r w:rsidRPr="00293EE1">
              <w:rPr>
                <w:rFonts w:cs="Times New Roman"/>
                <w:sz w:val="20"/>
                <w:szCs w:val="20"/>
                <w:lang w:val="fr-CA"/>
              </w:rPr>
              <w:t xml:space="preserve"> a reçu un avis de conformité de Santé Canada en vue de la commercialisation de sa version générique du médicament. Les scientifiques d’Astra ont fait des tests sur la version d’</w:t>
            </w:r>
            <w:proofErr w:type="spellStart"/>
            <w:r w:rsidRPr="00293EE1">
              <w:rPr>
                <w:rFonts w:cs="Times New Roman"/>
                <w:sz w:val="20"/>
                <w:szCs w:val="20"/>
                <w:lang w:val="fr-CA"/>
              </w:rPr>
              <w:t>Apotex</w:t>
            </w:r>
            <w:proofErr w:type="spellEnd"/>
            <w:r w:rsidRPr="00293EE1">
              <w:rPr>
                <w:rFonts w:cs="Times New Roman"/>
                <w:sz w:val="20"/>
                <w:szCs w:val="20"/>
                <w:lang w:val="fr-CA"/>
              </w:rPr>
              <w:t xml:space="preserve"> du médicament et ont établi que sa préparation de l’</w:t>
            </w:r>
            <w:proofErr w:type="spellStart"/>
            <w:r w:rsidRPr="00293EE1">
              <w:rPr>
                <w:rFonts w:cs="Times New Roman"/>
                <w:sz w:val="20"/>
                <w:szCs w:val="20"/>
                <w:lang w:val="fr-CA"/>
              </w:rPr>
              <w:t>oméprazole</w:t>
            </w:r>
            <w:proofErr w:type="spellEnd"/>
            <w:r w:rsidRPr="00293EE1">
              <w:rPr>
                <w:rFonts w:cs="Times New Roman"/>
                <w:sz w:val="20"/>
                <w:szCs w:val="20"/>
                <w:lang w:val="fr-CA"/>
              </w:rPr>
              <w:t xml:space="preserve"> est faite à base d’</w:t>
            </w:r>
            <w:proofErr w:type="spellStart"/>
            <w:r w:rsidRPr="00293EE1">
              <w:rPr>
                <w:rFonts w:cs="Times New Roman"/>
                <w:sz w:val="20"/>
                <w:szCs w:val="20"/>
                <w:lang w:val="fr-CA"/>
              </w:rPr>
              <w:t>oméprazole</w:t>
            </w:r>
            <w:proofErr w:type="spellEnd"/>
            <w:r w:rsidRPr="00293EE1">
              <w:rPr>
                <w:rFonts w:cs="Times New Roman"/>
                <w:sz w:val="20"/>
                <w:szCs w:val="20"/>
                <w:lang w:val="fr-CA"/>
              </w:rPr>
              <w:t xml:space="preserve"> et d’un composé alcalin réactif, d’un enrobage gastro-résistant extérieur et d’un sous-enrobage dont la strate intérieure faite d’une pellicule de polymère inerte sert de barrière entre le noyau et l’enrobage gastro-résistant. Le sous-enrobage du produit d’</w:t>
            </w:r>
            <w:proofErr w:type="spellStart"/>
            <w:r w:rsidRPr="00293EE1">
              <w:rPr>
                <w:rFonts w:cs="Times New Roman"/>
                <w:sz w:val="20"/>
                <w:szCs w:val="20"/>
                <w:lang w:val="fr-CA"/>
              </w:rPr>
              <w:t>Apotex</w:t>
            </w:r>
            <w:proofErr w:type="spellEnd"/>
            <w:r w:rsidRPr="00293EE1">
              <w:rPr>
                <w:rFonts w:cs="Times New Roman"/>
                <w:sz w:val="20"/>
                <w:szCs w:val="20"/>
                <w:lang w:val="fr-CA"/>
              </w:rPr>
              <w:t xml:space="preserve"> est formé au moyen d’une réaction chimique entre l’enrobage gastro-résistant et les noyaux au moment de l’application du premier durant le processus de fabrication. Dans le produit d’</w:t>
            </w:r>
            <w:proofErr w:type="spellStart"/>
            <w:r w:rsidRPr="00293EE1">
              <w:rPr>
                <w:rFonts w:cs="Times New Roman"/>
                <w:sz w:val="20"/>
                <w:szCs w:val="20"/>
                <w:lang w:val="fr-CA"/>
              </w:rPr>
              <w:t>oméprazole</w:t>
            </w:r>
            <w:proofErr w:type="spellEnd"/>
            <w:r w:rsidRPr="00293EE1">
              <w:rPr>
                <w:rFonts w:cs="Times New Roman"/>
                <w:sz w:val="20"/>
                <w:szCs w:val="20"/>
                <w:lang w:val="fr-CA"/>
              </w:rPr>
              <w:t xml:space="preserve"> d’Astra, la couche intermédiaire est appliquée sur les produits principaux. Astra a intenté un recours pour violation de brevet et </w:t>
            </w:r>
            <w:proofErr w:type="spellStart"/>
            <w:r w:rsidRPr="00293EE1">
              <w:rPr>
                <w:rFonts w:cs="Times New Roman"/>
                <w:sz w:val="20"/>
                <w:szCs w:val="20"/>
                <w:lang w:val="fr-CA"/>
              </w:rPr>
              <w:t>Apotex</w:t>
            </w:r>
            <w:proofErr w:type="spellEnd"/>
            <w:r w:rsidRPr="00293EE1">
              <w:rPr>
                <w:rFonts w:cs="Times New Roman"/>
                <w:sz w:val="20"/>
                <w:szCs w:val="20"/>
                <w:lang w:val="fr-CA"/>
              </w:rPr>
              <w:t xml:space="preserve"> a présenté un recours reconventionnel, faisant valoir l’invalidité du brevet 693 pour un grand nombre de motifs. </w:t>
            </w:r>
          </w:p>
        </w:tc>
      </w:tr>
      <w:tr w:rsidR="00D72D79" w:rsidRPr="00B2512D" w:rsidTr="00C92DD5">
        <w:tc>
          <w:tcPr>
            <w:tcW w:w="5000" w:type="pct"/>
            <w:gridSpan w:val="4"/>
          </w:tcPr>
          <w:p w:rsidR="00D72D79" w:rsidRPr="00293EE1" w:rsidRDefault="00D72D79" w:rsidP="00C92DD5">
            <w:pPr>
              <w:jc w:val="both"/>
              <w:rPr>
                <w:rFonts w:cs="Times New Roman"/>
                <w:sz w:val="20"/>
                <w:szCs w:val="20"/>
                <w:lang w:val="fr-CA"/>
              </w:rPr>
            </w:pP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25 mai 2015</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fédérale</w:t>
            </w:r>
          </w:p>
          <w:p w:rsidR="00D72D79" w:rsidRPr="00293EE1" w:rsidRDefault="00D72D79" w:rsidP="00C92DD5">
            <w:pPr>
              <w:jc w:val="both"/>
              <w:rPr>
                <w:rFonts w:cs="Times New Roman"/>
                <w:sz w:val="20"/>
                <w:szCs w:val="20"/>
                <w:lang w:val="fr-CA"/>
              </w:rPr>
            </w:pPr>
            <w:r w:rsidRPr="00293EE1">
              <w:rPr>
                <w:rFonts w:cs="Times New Roman"/>
                <w:sz w:val="20"/>
                <w:szCs w:val="20"/>
                <w:lang w:val="fr-CA"/>
              </w:rPr>
              <w:t>(Juge Barnes)</w:t>
            </w:r>
          </w:p>
          <w:p w:rsidR="00D72D79" w:rsidRPr="00293EE1" w:rsidRDefault="00B2512D" w:rsidP="00C92DD5">
            <w:pPr>
              <w:jc w:val="both"/>
              <w:rPr>
                <w:rFonts w:cs="Times New Roman"/>
                <w:sz w:val="20"/>
                <w:szCs w:val="20"/>
              </w:rPr>
            </w:pPr>
            <w:hyperlink r:id="rId66" w:history="1">
              <w:r w:rsidR="00D72D79" w:rsidRPr="00293EE1">
                <w:rPr>
                  <w:rStyle w:val="Hyperlink"/>
                  <w:rFonts w:cs="Times New Roman"/>
                  <w:sz w:val="20"/>
                  <w:szCs w:val="20"/>
                </w:rPr>
                <w:t>2015 FC 322</w:t>
              </w:r>
            </w:hyperlink>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Brevet 693 d’</w:t>
            </w:r>
            <w:proofErr w:type="spellStart"/>
            <w:r w:rsidRPr="00293EE1">
              <w:rPr>
                <w:rFonts w:cs="Times New Roman"/>
                <w:sz w:val="20"/>
                <w:szCs w:val="20"/>
                <w:lang w:val="fr-CA"/>
              </w:rPr>
              <w:t>AstraZeneca</w:t>
            </w:r>
            <w:proofErr w:type="spellEnd"/>
            <w:r w:rsidRPr="00293EE1">
              <w:rPr>
                <w:rFonts w:cs="Times New Roman"/>
                <w:sz w:val="20"/>
                <w:szCs w:val="20"/>
                <w:lang w:val="fr-CA"/>
              </w:rPr>
              <w:t xml:space="preserve"> pour l’</w:t>
            </w:r>
            <w:proofErr w:type="spellStart"/>
            <w:r w:rsidRPr="00293EE1">
              <w:rPr>
                <w:rFonts w:cs="Times New Roman"/>
                <w:sz w:val="20"/>
                <w:szCs w:val="20"/>
                <w:lang w:val="fr-CA"/>
              </w:rPr>
              <w:t>oméprazole</w:t>
            </w:r>
            <w:proofErr w:type="spellEnd"/>
            <w:r w:rsidRPr="00293EE1">
              <w:rPr>
                <w:rFonts w:cs="Times New Roman"/>
                <w:sz w:val="20"/>
                <w:szCs w:val="20"/>
                <w:lang w:val="fr-CA"/>
              </w:rPr>
              <w:t xml:space="preserve"> jugé valide, mais aussi contrefait par le produit générique d’</w:t>
            </w:r>
            <w:proofErr w:type="spellStart"/>
            <w:r w:rsidRPr="00293EE1">
              <w:rPr>
                <w:rFonts w:cs="Times New Roman"/>
                <w:sz w:val="20"/>
                <w:szCs w:val="20"/>
                <w:lang w:val="fr-CA"/>
              </w:rPr>
              <w:t>Apotex</w:t>
            </w:r>
            <w:proofErr w:type="spellEnd"/>
            <w:r w:rsidRPr="00293EE1">
              <w:rPr>
                <w:rFonts w:cs="Times New Roman"/>
                <w:sz w:val="20"/>
                <w:szCs w:val="20"/>
                <w:lang w:val="fr-CA"/>
              </w:rPr>
              <w:t xml:space="preserve">. Brevet non invalide pour antériorité, évidence, portée excessive, inutilité ou ambiguïté </w:t>
            </w:r>
          </w:p>
          <w:p w:rsidR="00D72D79" w:rsidRPr="00293EE1" w:rsidRDefault="00D72D79" w:rsidP="00C92DD5">
            <w:pPr>
              <w:jc w:val="both"/>
              <w:rPr>
                <w:rFonts w:cs="Times New Roman"/>
                <w:sz w:val="20"/>
                <w:szCs w:val="20"/>
                <w:lang w:val="fr-CA"/>
              </w:rPr>
            </w:pP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25 mai 2015</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fédérale</w:t>
            </w:r>
          </w:p>
          <w:p w:rsidR="00D72D79" w:rsidRPr="00293EE1" w:rsidRDefault="00D72D79" w:rsidP="00C92DD5">
            <w:pPr>
              <w:jc w:val="both"/>
              <w:rPr>
                <w:rFonts w:cs="Times New Roman"/>
                <w:sz w:val="20"/>
                <w:szCs w:val="20"/>
                <w:lang w:val="fr-CA"/>
              </w:rPr>
            </w:pPr>
            <w:r w:rsidRPr="00293EE1">
              <w:rPr>
                <w:rFonts w:cs="Times New Roman"/>
                <w:sz w:val="20"/>
                <w:szCs w:val="20"/>
                <w:lang w:val="fr-CA"/>
              </w:rPr>
              <w:t>(Juge Barnes)</w:t>
            </w:r>
          </w:p>
          <w:p w:rsidR="00D72D79" w:rsidRPr="00293EE1" w:rsidRDefault="00B2512D" w:rsidP="00C92DD5">
            <w:pPr>
              <w:jc w:val="both"/>
              <w:rPr>
                <w:rFonts w:cs="Times New Roman"/>
                <w:sz w:val="20"/>
                <w:szCs w:val="20"/>
              </w:rPr>
            </w:pPr>
            <w:hyperlink r:id="rId67" w:history="1">
              <w:r w:rsidR="00D72D79" w:rsidRPr="00293EE1">
                <w:rPr>
                  <w:rStyle w:val="Hyperlink"/>
                  <w:rFonts w:cs="Times New Roman"/>
                  <w:sz w:val="20"/>
                  <w:szCs w:val="20"/>
                </w:rPr>
                <w:t>2015 FC 671</w:t>
              </w:r>
            </w:hyperlink>
            <w:r w:rsidR="00D72D79" w:rsidRPr="00293EE1">
              <w:rPr>
                <w:rFonts w:cs="Times New Roman"/>
                <w:sz w:val="20"/>
                <w:szCs w:val="20"/>
              </w:rPr>
              <w:t xml:space="preserve"> </w:t>
            </w:r>
          </w:p>
          <w:p w:rsidR="00D72D79" w:rsidRPr="00293EE1" w:rsidRDefault="00D72D79" w:rsidP="00C92DD5">
            <w:pPr>
              <w:jc w:val="both"/>
              <w:rPr>
                <w:rFonts w:cs="Times New Roman"/>
                <w:sz w:val="20"/>
                <w:szCs w:val="20"/>
              </w:rPr>
            </w:pPr>
          </w:p>
        </w:tc>
        <w:tc>
          <w:tcPr>
            <w:tcW w:w="243" w:type="pct"/>
          </w:tcPr>
          <w:p w:rsidR="00D72D79" w:rsidRPr="00293EE1" w:rsidRDefault="00D72D79" w:rsidP="00C92DD5">
            <w:pPr>
              <w:jc w:val="both"/>
              <w:rPr>
                <w:rFonts w:cs="Times New Roman"/>
                <w:sz w:val="20"/>
                <w:szCs w:val="20"/>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Ordonnance modifiant le libellé du jugement prononcé en application de l’art. 397 des </w:t>
            </w:r>
            <w:r w:rsidRPr="00293EE1">
              <w:rPr>
                <w:rFonts w:cs="Times New Roman"/>
                <w:i/>
                <w:sz w:val="20"/>
                <w:szCs w:val="20"/>
                <w:lang w:val="fr-CA"/>
              </w:rPr>
              <w:t>Règles de la Cour fédérale</w:t>
            </w:r>
            <w:r w:rsidRPr="00293EE1">
              <w:rPr>
                <w:rFonts w:cs="Times New Roman"/>
                <w:sz w:val="20"/>
                <w:szCs w:val="20"/>
                <w:lang w:val="fr-CA"/>
              </w:rPr>
              <w:t xml:space="preserve">, DORS/98-016. </w:t>
            </w:r>
          </w:p>
          <w:p w:rsidR="00D72D79" w:rsidRPr="00293EE1" w:rsidRDefault="00D72D79" w:rsidP="00C92DD5">
            <w:pPr>
              <w:jc w:val="both"/>
              <w:rPr>
                <w:rFonts w:cs="Times New Roman"/>
                <w:sz w:val="20"/>
                <w:szCs w:val="20"/>
                <w:lang w:val="fr-CA"/>
              </w:rPr>
            </w:pPr>
          </w:p>
        </w:tc>
      </w:tr>
      <w:tr w:rsidR="00D72D79" w:rsidRPr="00B2512D"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lastRenderedPageBreak/>
              <w:t>12 janvier 2017</w:t>
            </w:r>
          </w:p>
          <w:p w:rsidR="00D72D79" w:rsidRPr="00293EE1" w:rsidRDefault="00D72D79" w:rsidP="00C92DD5">
            <w:pPr>
              <w:jc w:val="both"/>
              <w:rPr>
                <w:rFonts w:cs="Times New Roman"/>
                <w:sz w:val="20"/>
                <w:szCs w:val="20"/>
                <w:lang w:val="fr-CA"/>
              </w:rPr>
            </w:pPr>
            <w:r w:rsidRPr="00293EE1">
              <w:rPr>
                <w:rFonts w:cs="Times New Roman"/>
                <w:sz w:val="20"/>
                <w:szCs w:val="20"/>
                <w:lang w:val="fr-CA"/>
              </w:rPr>
              <w:t>Cour d’appel fédérale</w:t>
            </w:r>
          </w:p>
          <w:p w:rsidR="00D72D79" w:rsidRPr="00293EE1" w:rsidRDefault="00D72D79" w:rsidP="00C92DD5">
            <w:pPr>
              <w:jc w:val="both"/>
              <w:rPr>
                <w:rFonts w:cs="Times New Roman"/>
                <w:sz w:val="20"/>
                <w:szCs w:val="20"/>
                <w:lang w:val="fr-CA"/>
              </w:rPr>
            </w:pPr>
            <w:r w:rsidRPr="00293EE1">
              <w:rPr>
                <w:rFonts w:cs="Times New Roman"/>
                <w:sz w:val="20"/>
                <w:szCs w:val="20"/>
                <w:lang w:val="fr-CA"/>
              </w:rPr>
              <w:t>(Juges Pelletier, Gauthier et Scott)</w:t>
            </w:r>
          </w:p>
          <w:p w:rsidR="00D72D79" w:rsidRPr="00293EE1" w:rsidRDefault="00B2512D" w:rsidP="00C92DD5">
            <w:pPr>
              <w:jc w:val="both"/>
              <w:rPr>
                <w:rFonts w:cs="Times New Roman"/>
                <w:sz w:val="20"/>
                <w:szCs w:val="20"/>
                <w:lang w:val="fr-CA"/>
              </w:rPr>
            </w:pPr>
            <w:hyperlink r:id="rId68" w:history="1">
              <w:r w:rsidR="00D72D79" w:rsidRPr="00293EE1">
                <w:rPr>
                  <w:rStyle w:val="Hyperlink"/>
                  <w:rFonts w:cs="Times New Roman"/>
                  <w:sz w:val="20"/>
                  <w:szCs w:val="20"/>
                  <w:lang w:val="fr-CA"/>
                </w:rPr>
                <w:t>2017 FCA 9</w:t>
              </w:r>
            </w:hyperlink>
          </w:p>
          <w:p w:rsidR="00D72D79" w:rsidRPr="00293EE1" w:rsidRDefault="00D72D79" w:rsidP="00C92DD5">
            <w:pPr>
              <w:jc w:val="both"/>
              <w:rPr>
                <w:rFonts w:cs="Times New Roman"/>
                <w:sz w:val="20"/>
                <w:szCs w:val="20"/>
                <w:lang w:val="fr-CA"/>
              </w:rPr>
            </w:pPr>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lang w:val="fr-CA"/>
              </w:rPr>
            </w:pPr>
            <w:r w:rsidRPr="00293EE1">
              <w:rPr>
                <w:rFonts w:cs="Times New Roman"/>
                <w:sz w:val="20"/>
                <w:szCs w:val="20"/>
                <w:lang w:val="fr-CA"/>
              </w:rPr>
              <w:t>Appel d’</w:t>
            </w:r>
            <w:proofErr w:type="spellStart"/>
            <w:r w:rsidRPr="00293EE1">
              <w:rPr>
                <w:rFonts w:cs="Times New Roman"/>
                <w:sz w:val="20"/>
                <w:szCs w:val="20"/>
                <w:lang w:val="fr-CA"/>
              </w:rPr>
              <w:t>Apotex</w:t>
            </w:r>
            <w:proofErr w:type="spellEnd"/>
            <w:r w:rsidRPr="00293EE1">
              <w:rPr>
                <w:rFonts w:cs="Times New Roman"/>
                <w:sz w:val="20"/>
                <w:szCs w:val="20"/>
                <w:lang w:val="fr-CA"/>
              </w:rPr>
              <w:t xml:space="preserve"> accueilli en partie; un paragraphe du jugement de première instance modifié; demande reconventionnelle d’</w:t>
            </w:r>
            <w:proofErr w:type="spellStart"/>
            <w:r w:rsidRPr="00293EE1">
              <w:rPr>
                <w:rFonts w:cs="Times New Roman"/>
                <w:sz w:val="20"/>
                <w:szCs w:val="20"/>
                <w:lang w:val="fr-CA"/>
              </w:rPr>
              <w:t>AstraZeneca</w:t>
            </w:r>
            <w:proofErr w:type="spellEnd"/>
            <w:r w:rsidRPr="00293EE1">
              <w:rPr>
                <w:rFonts w:cs="Times New Roman"/>
                <w:sz w:val="20"/>
                <w:szCs w:val="20"/>
                <w:lang w:val="fr-CA"/>
              </w:rPr>
              <w:t xml:space="preserve"> rejetée </w:t>
            </w:r>
          </w:p>
          <w:p w:rsidR="00D72D79" w:rsidRPr="00293EE1" w:rsidRDefault="00D72D79" w:rsidP="00C92DD5">
            <w:pPr>
              <w:jc w:val="both"/>
              <w:rPr>
                <w:rFonts w:cs="Times New Roman"/>
                <w:sz w:val="20"/>
                <w:szCs w:val="20"/>
                <w:lang w:val="fr-CA"/>
              </w:rPr>
            </w:pPr>
          </w:p>
        </w:tc>
      </w:tr>
      <w:tr w:rsidR="00D72D79" w:rsidRPr="00293EE1" w:rsidTr="00C92DD5">
        <w:tc>
          <w:tcPr>
            <w:tcW w:w="2427" w:type="pct"/>
            <w:gridSpan w:val="2"/>
          </w:tcPr>
          <w:p w:rsidR="00D72D79" w:rsidRPr="00293EE1" w:rsidRDefault="00D72D79" w:rsidP="00C92DD5">
            <w:pPr>
              <w:jc w:val="both"/>
              <w:rPr>
                <w:rFonts w:cs="Times New Roman"/>
                <w:sz w:val="20"/>
                <w:szCs w:val="20"/>
                <w:lang w:val="fr-CA"/>
              </w:rPr>
            </w:pPr>
            <w:r w:rsidRPr="00293EE1">
              <w:rPr>
                <w:rFonts w:cs="Times New Roman"/>
                <w:sz w:val="20"/>
                <w:szCs w:val="20"/>
                <w:lang w:val="fr-CA"/>
              </w:rPr>
              <w:t>13 mars 2017</w:t>
            </w:r>
          </w:p>
          <w:p w:rsidR="00D72D79" w:rsidRPr="00293EE1" w:rsidRDefault="00D72D79" w:rsidP="00C92DD5">
            <w:pPr>
              <w:jc w:val="both"/>
              <w:rPr>
                <w:rFonts w:cs="Times New Roman"/>
                <w:sz w:val="20"/>
                <w:szCs w:val="20"/>
                <w:lang w:val="fr-CA"/>
              </w:rPr>
            </w:pPr>
            <w:r w:rsidRPr="00293EE1">
              <w:rPr>
                <w:rFonts w:cs="Times New Roman"/>
                <w:sz w:val="20"/>
                <w:szCs w:val="20"/>
                <w:lang w:val="fr-CA"/>
              </w:rPr>
              <w:t xml:space="preserve">Cour suprême du Canada </w:t>
            </w:r>
            <w:proofErr w:type="spellStart"/>
            <w:r w:rsidRPr="00293EE1">
              <w:rPr>
                <w:rFonts w:cs="Times New Roman"/>
                <w:sz w:val="20"/>
                <w:szCs w:val="20"/>
                <w:lang w:val="fr-CA"/>
              </w:rPr>
              <w:t>Canada</w:t>
            </w:r>
            <w:proofErr w:type="spellEnd"/>
          </w:p>
        </w:tc>
        <w:tc>
          <w:tcPr>
            <w:tcW w:w="243" w:type="pct"/>
          </w:tcPr>
          <w:p w:rsidR="00D72D79" w:rsidRPr="00293EE1" w:rsidRDefault="00D72D79" w:rsidP="00C92DD5">
            <w:pPr>
              <w:jc w:val="both"/>
              <w:rPr>
                <w:rFonts w:cs="Times New Roman"/>
                <w:sz w:val="20"/>
                <w:szCs w:val="20"/>
                <w:lang w:val="fr-CA"/>
              </w:rPr>
            </w:pPr>
          </w:p>
        </w:tc>
        <w:tc>
          <w:tcPr>
            <w:tcW w:w="2330" w:type="pct"/>
          </w:tcPr>
          <w:p w:rsidR="00D72D79" w:rsidRPr="00293EE1" w:rsidRDefault="00D72D79" w:rsidP="00C92DD5">
            <w:pPr>
              <w:jc w:val="both"/>
              <w:rPr>
                <w:rFonts w:cs="Times New Roman"/>
                <w:sz w:val="20"/>
                <w:szCs w:val="20"/>
              </w:rPr>
            </w:pPr>
            <w:proofErr w:type="spellStart"/>
            <w:r w:rsidRPr="00293EE1">
              <w:rPr>
                <w:rFonts w:cs="Times New Roman"/>
                <w:sz w:val="20"/>
                <w:szCs w:val="20"/>
              </w:rPr>
              <w:t>Demande</w:t>
            </w:r>
            <w:proofErr w:type="spellEnd"/>
            <w:r w:rsidRPr="00293EE1">
              <w:rPr>
                <w:rFonts w:cs="Times New Roman"/>
                <w:sz w:val="20"/>
                <w:szCs w:val="20"/>
              </w:rPr>
              <w:t xml:space="preserve"> </w:t>
            </w:r>
            <w:proofErr w:type="spellStart"/>
            <w:r w:rsidRPr="00293EE1">
              <w:rPr>
                <w:rFonts w:cs="Times New Roman"/>
                <w:sz w:val="20"/>
                <w:szCs w:val="20"/>
              </w:rPr>
              <w:t>d’autorisation</w:t>
            </w:r>
            <w:proofErr w:type="spellEnd"/>
            <w:r w:rsidRPr="00293EE1">
              <w:rPr>
                <w:rFonts w:cs="Times New Roman"/>
                <w:sz w:val="20"/>
                <w:szCs w:val="20"/>
              </w:rPr>
              <w:t xml:space="preserve"> </w:t>
            </w:r>
            <w:proofErr w:type="spellStart"/>
            <w:r w:rsidRPr="00293EE1">
              <w:rPr>
                <w:rFonts w:cs="Times New Roman"/>
                <w:sz w:val="20"/>
                <w:szCs w:val="20"/>
              </w:rPr>
              <w:t>d’appel</w:t>
            </w:r>
            <w:proofErr w:type="spellEnd"/>
            <w:r w:rsidRPr="00293EE1">
              <w:rPr>
                <w:rFonts w:cs="Times New Roman"/>
                <w:sz w:val="20"/>
                <w:szCs w:val="20"/>
              </w:rPr>
              <w:t xml:space="preserve"> </w:t>
            </w:r>
            <w:proofErr w:type="spellStart"/>
            <w:r w:rsidRPr="00293EE1">
              <w:rPr>
                <w:rFonts w:cs="Times New Roman"/>
                <w:sz w:val="20"/>
                <w:szCs w:val="20"/>
              </w:rPr>
              <w:t>déposée</w:t>
            </w:r>
            <w:proofErr w:type="spellEnd"/>
            <w:r w:rsidRPr="00293EE1">
              <w:rPr>
                <w:rFonts w:cs="Times New Roman"/>
                <w:sz w:val="20"/>
                <w:szCs w:val="20"/>
              </w:rPr>
              <w:t xml:space="preserve"> </w:t>
            </w:r>
          </w:p>
        </w:tc>
      </w:tr>
    </w:tbl>
    <w:p w:rsidR="00D72D79" w:rsidRPr="00293EE1" w:rsidRDefault="00D72D79" w:rsidP="00D72D79">
      <w:pPr>
        <w:ind w:left="360" w:hanging="360"/>
        <w:jc w:val="both"/>
        <w:rPr>
          <w:rFonts w:cs="Times New Roman"/>
          <w:sz w:val="20"/>
          <w:szCs w:val="20"/>
          <w:lang w:val="fr-CA" w:eastAsia="en-CA"/>
        </w:rPr>
      </w:pPr>
    </w:p>
    <w:p w:rsidR="00E8544A" w:rsidRPr="00293EE1" w:rsidRDefault="00E8544A" w:rsidP="00E8544A">
      <w:pPr>
        <w:rPr>
          <w:sz w:val="20"/>
          <w:szCs w:val="20"/>
        </w:rPr>
      </w:pPr>
    </w:p>
    <w:p w:rsidR="00E8544A" w:rsidRPr="00293EE1" w:rsidRDefault="00B2512D" w:rsidP="00E8544A">
      <w:pPr>
        <w:jc w:val="both"/>
        <w:rPr>
          <w:sz w:val="20"/>
          <w:lang w:val="fr-CA"/>
        </w:rPr>
      </w:pPr>
      <w:r>
        <w:rPr>
          <w:sz w:val="20"/>
          <w:szCs w:val="20"/>
        </w:rPr>
        <w:pict>
          <v:rect id="_x0000_i1070" style="width:2in;height:1pt" o:hrpct="0" o:hralign="center" o:hrstd="t" o:hrnoshade="t" o:hr="t" fillcolor="black" stroked="f"/>
        </w:pict>
      </w:r>
    </w:p>
    <w:p w:rsidR="00E8544A" w:rsidRPr="00293EE1" w:rsidRDefault="00E8544A" w:rsidP="00E8544A">
      <w:pPr>
        <w:ind w:left="360" w:hanging="360"/>
        <w:jc w:val="both"/>
        <w:rPr>
          <w:sz w:val="20"/>
          <w:lang w:val="fr-CA" w:eastAsia="en-CA"/>
        </w:rPr>
      </w:pPr>
    </w:p>
    <w:p w:rsidR="00E8544A" w:rsidRPr="00293EE1" w:rsidRDefault="00E8544A" w:rsidP="000E2959">
      <w:pPr>
        <w:rPr>
          <w:sz w:val="20"/>
          <w:szCs w:val="20"/>
        </w:rPr>
      </w:pPr>
    </w:p>
    <w:p w:rsidR="008D292F" w:rsidRPr="00293EE1" w:rsidRDefault="008D292F" w:rsidP="008D292F">
      <w:pPr>
        <w:rPr>
          <w:sz w:val="20"/>
          <w:szCs w:val="20"/>
          <w:lang w:val="fr-CA"/>
        </w:rPr>
      </w:pPr>
    </w:p>
    <w:p w:rsidR="00890FEB" w:rsidRPr="00293EE1" w:rsidRDefault="00890FEB" w:rsidP="008D292F">
      <w:pPr>
        <w:rPr>
          <w:sz w:val="20"/>
          <w:szCs w:val="20"/>
          <w:lang w:val="fr-CA"/>
        </w:rPr>
      </w:pPr>
    </w:p>
    <w:p w:rsidR="00890FEB" w:rsidRPr="00293EE1" w:rsidRDefault="00890FEB" w:rsidP="008D292F">
      <w:pPr>
        <w:rPr>
          <w:b/>
          <w:sz w:val="20"/>
          <w:szCs w:val="20"/>
          <w:lang w:val="fr-CA"/>
        </w:rPr>
        <w:sectPr w:rsidR="00890FEB" w:rsidRPr="00293EE1" w:rsidSect="008D292F">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293EE1" w:rsidTr="00BA6468">
        <w:tc>
          <w:tcPr>
            <w:tcW w:w="4230" w:type="dxa"/>
            <w:shd w:val="clear" w:color="auto" w:fill="auto"/>
            <w:tcMar>
              <w:left w:w="0" w:type="dxa"/>
              <w:right w:w="0" w:type="dxa"/>
            </w:tcMar>
          </w:tcPr>
          <w:p w:rsidR="00890FEB" w:rsidRPr="00293EE1" w:rsidRDefault="00890FEB" w:rsidP="00EB2B90">
            <w:pPr>
              <w:keepNext/>
              <w:keepLines/>
              <w:tabs>
                <w:tab w:val="left" w:pos="-1440"/>
                <w:tab w:val="left" w:pos="-720"/>
              </w:tabs>
              <w:jc w:val="both"/>
              <w:rPr>
                <w:szCs w:val="24"/>
              </w:rPr>
            </w:pPr>
            <w:r w:rsidRPr="00293EE1">
              <w:rPr>
                <w:b/>
                <w:szCs w:val="24"/>
              </w:rPr>
              <w:lastRenderedPageBreak/>
              <w:t>MOTIONS</w:t>
            </w:r>
          </w:p>
        </w:tc>
        <w:tc>
          <w:tcPr>
            <w:tcW w:w="1170" w:type="dxa"/>
            <w:shd w:val="clear" w:color="auto" w:fill="auto"/>
            <w:tcMar>
              <w:left w:w="0" w:type="dxa"/>
              <w:right w:w="0" w:type="dxa"/>
            </w:tcMar>
          </w:tcPr>
          <w:p w:rsidR="00890FEB" w:rsidRPr="00293EE1" w:rsidRDefault="00890FEB" w:rsidP="00890FEB">
            <w:pPr>
              <w:keepNext/>
              <w:keepLines/>
              <w:tabs>
                <w:tab w:val="left" w:pos="-1440"/>
                <w:tab w:val="left" w:pos="-720"/>
              </w:tabs>
              <w:jc w:val="center"/>
              <w:rPr>
                <w:szCs w:val="24"/>
              </w:rPr>
            </w:pPr>
          </w:p>
          <w:p w:rsidR="00890FEB" w:rsidRPr="00293EE1"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293EE1" w:rsidRDefault="00890FEB" w:rsidP="00831CA9">
            <w:pPr>
              <w:keepNext/>
              <w:keepLines/>
              <w:tabs>
                <w:tab w:val="left" w:pos="-1440"/>
                <w:tab w:val="left" w:pos="-720"/>
              </w:tabs>
              <w:rPr>
                <w:szCs w:val="24"/>
                <w:lang w:val="fr-CA"/>
              </w:rPr>
            </w:pPr>
            <w:r w:rsidRPr="00293EE1">
              <w:rPr>
                <w:b/>
                <w:szCs w:val="24"/>
                <w:lang w:val="fr-CA"/>
              </w:rPr>
              <w:t>REQUÊTES</w:t>
            </w:r>
          </w:p>
        </w:tc>
      </w:tr>
    </w:tbl>
    <w:p w:rsidR="00890FEB" w:rsidRPr="00293EE1" w:rsidRDefault="00890FEB" w:rsidP="00890FEB">
      <w:pPr>
        <w:rPr>
          <w:sz w:val="20"/>
          <w:szCs w:val="20"/>
        </w:rPr>
      </w:pPr>
    </w:p>
    <w:p w:rsidR="00930822" w:rsidRPr="00293EE1" w:rsidRDefault="00930822" w:rsidP="00890FEB">
      <w:pPr>
        <w:rPr>
          <w:sz w:val="20"/>
          <w:szCs w:val="20"/>
        </w:rPr>
      </w:pPr>
      <w:r w:rsidRPr="00293EE1">
        <w:rPr>
          <w:sz w:val="20"/>
          <w:szCs w:val="20"/>
        </w:rPr>
        <w:t>24.05.2017</w:t>
      </w:r>
    </w:p>
    <w:p w:rsidR="00930822" w:rsidRPr="00293EE1" w:rsidRDefault="00930822" w:rsidP="00890FEB">
      <w:pPr>
        <w:rPr>
          <w:sz w:val="20"/>
          <w:szCs w:val="20"/>
        </w:rPr>
      </w:pPr>
    </w:p>
    <w:p w:rsidR="00930822" w:rsidRPr="00293EE1" w:rsidRDefault="00930822" w:rsidP="00890FEB">
      <w:pPr>
        <w:rPr>
          <w:sz w:val="20"/>
          <w:szCs w:val="20"/>
          <w:lang w:val="fr-CA"/>
        </w:rPr>
      </w:pPr>
      <w:proofErr w:type="spellStart"/>
      <w:r w:rsidRPr="00293EE1">
        <w:rPr>
          <w:sz w:val="20"/>
          <w:szCs w:val="20"/>
          <w:lang w:val="fr-CA"/>
        </w:rPr>
        <w:t>Before</w:t>
      </w:r>
      <w:proofErr w:type="spellEnd"/>
      <w:r w:rsidRPr="00293EE1">
        <w:rPr>
          <w:sz w:val="20"/>
          <w:szCs w:val="20"/>
          <w:lang w:val="fr-CA"/>
        </w:rPr>
        <w:t xml:space="preserve"> / Devant :   MOLDAVER J. / LE JUGE MOLDAVER</w:t>
      </w:r>
    </w:p>
    <w:p w:rsidR="00930822" w:rsidRPr="00293EE1" w:rsidRDefault="00930822" w:rsidP="00890FEB">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930822" w:rsidRPr="00293EE1" w:rsidTr="00A263CB">
        <w:trPr>
          <w:trHeight w:val="151"/>
        </w:trPr>
        <w:tc>
          <w:tcPr>
            <w:tcW w:w="4338" w:type="dxa"/>
          </w:tcPr>
          <w:p w:rsidR="00930822" w:rsidRPr="00293EE1" w:rsidRDefault="00930822" w:rsidP="00A263CB">
            <w:pPr>
              <w:tabs>
                <w:tab w:val="left" w:pos="-1440"/>
                <w:tab w:val="left" w:pos="-720"/>
              </w:tabs>
              <w:jc w:val="both"/>
              <w:rPr>
                <w:sz w:val="20"/>
                <w:szCs w:val="20"/>
                <w:lang w:val="fr-CA"/>
              </w:rPr>
            </w:pPr>
            <w:r w:rsidRPr="00293EE1">
              <w:rPr>
                <w:sz w:val="20"/>
                <w:szCs w:val="20"/>
              </w:rPr>
              <w:fldChar w:fldCharType="begin"/>
            </w:r>
            <w:r w:rsidRPr="00293EE1">
              <w:rPr>
                <w:sz w:val="20"/>
                <w:szCs w:val="20"/>
                <w:lang w:val="fr-CA"/>
              </w:rPr>
              <w:instrText xml:space="preserve"> SEQ CHAPTER \h \r 1</w:instrText>
            </w:r>
            <w:r w:rsidRPr="00293EE1">
              <w:rPr>
                <w:sz w:val="20"/>
                <w:szCs w:val="20"/>
              </w:rPr>
              <w:fldChar w:fldCharType="end"/>
            </w:r>
            <w:proofErr w:type="spellStart"/>
            <w:r w:rsidRPr="00293EE1">
              <w:rPr>
                <w:b/>
                <w:bCs/>
                <w:sz w:val="20"/>
                <w:szCs w:val="20"/>
                <w:lang w:val="fr-CA"/>
              </w:rPr>
              <w:t>Order</w:t>
            </w:r>
            <w:proofErr w:type="spellEnd"/>
          </w:p>
          <w:p w:rsidR="00930822" w:rsidRPr="00293EE1" w:rsidRDefault="00930822" w:rsidP="00A263CB">
            <w:pPr>
              <w:tabs>
                <w:tab w:val="left" w:pos="-1440"/>
                <w:tab w:val="left" w:pos="-720"/>
              </w:tabs>
              <w:jc w:val="both"/>
              <w:rPr>
                <w:sz w:val="20"/>
                <w:szCs w:val="20"/>
                <w:lang w:val="fr-CA"/>
              </w:rPr>
            </w:pPr>
            <w:r w:rsidRPr="00293EE1">
              <w:rPr>
                <w:sz w:val="20"/>
                <w:szCs w:val="20"/>
              </w:rPr>
              <w:fldChar w:fldCharType="begin"/>
            </w:r>
            <w:r w:rsidRPr="00293EE1">
              <w:rPr>
                <w:sz w:val="20"/>
                <w:szCs w:val="20"/>
                <w:lang w:val="fr-CA"/>
              </w:rPr>
              <w:instrText xml:space="preserve"> SEQ CHAPTER \h \r 1</w:instrText>
            </w:r>
            <w:r w:rsidRPr="00293EE1">
              <w:rPr>
                <w:sz w:val="20"/>
                <w:szCs w:val="20"/>
              </w:rPr>
              <w:fldChar w:fldCharType="end"/>
            </w:r>
          </w:p>
        </w:tc>
        <w:tc>
          <w:tcPr>
            <w:tcW w:w="1170" w:type="dxa"/>
          </w:tcPr>
          <w:p w:rsidR="00930822" w:rsidRPr="00293EE1" w:rsidRDefault="00930822" w:rsidP="00A263CB">
            <w:pPr>
              <w:jc w:val="both"/>
              <w:rPr>
                <w:sz w:val="20"/>
                <w:szCs w:val="20"/>
                <w:lang w:val="fr-CA"/>
              </w:rPr>
            </w:pPr>
          </w:p>
          <w:p w:rsidR="00930822" w:rsidRPr="00293EE1" w:rsidRDefault="00930822" w:rsidP="00A263CB">
            <w:pPr>
              <w:jc w:val="both"/>
              <w:rPr>
                <w:sz w:val="20"/>
                <w:szCs w:val="20"/>
                <w:lang w:val="fr-CA"/>
              </w:rPr>
            </w:pPr>
          </w:p>
        </w:tc>
        <w:tc>
          <w:tcPr>
            <w:tcW w:w="4327" w:type="dxa"/>
          </w:tcPr>
          <w:p w:rsidR="00930822" w:rsidRPr="00293EE1" w:rsidRDefault="00930822" w:rsidP="00A263CB">
            <w:pPr>
              <w:jc w:val="both"/>
              <w:rPr>
                <w:b/>
                <w:sz w:val="20"/>
                <w:szCs w:val="20"/>
                <w:lang w:val="fr-CA"/>
              </w:rPr>
            </w:pPr>
            <w:r w:rsidRPr="00293EE1">
              <w:rPr>
                <w:sz w:val="20"/>
                <w:szCs w:val="20"/>
              </w:rPr>
              <w:fldChar w:fldCharType="begin"/>
            </w:r>
            <w:r w:rsidRPr="00293EE1">
              <w:rPr>
                <w:sz w:val="20"/>
                <w:szCs w:val="20"/>
                <w:lang w:val="fr-CA"/>
              </w:rPr>
              <w:instrText xml:space="preserve"> SEQ CHAPTER \h \r 1</w:instrText>
            </w:r>
            <w:r w:rsidRPr="00293EE1">
              <w:rPr>
                <w:sz w:val="20"/>
                <w:szCs w:val="20"/>
              </w:rPr>
              <w:fldChar w:fldCharType="end"/>
            </w:r>
            <w:r w:rsidRPr="00293EE1">
              <w:rPr>
                <w:b/>
                <w:bCs/>
                <w:sz w:val="20"/>
                <w:szCs w:val="20"/>
                <w:lang w:val="fr-CA"/>
              </w:rPr>
              <w:t>Ordonnance</w:t>
            </w:r>
          </w:p>
          <w:p w:rsidR="00930822" w:rsidRPr="00293EE1" w:rsidRDefault="00930822" w:rsidP="00A263CB">
            <w:pPr>
              <w:jc w:val="both"/>
              <w:rPr>
                <w:b/>
                <w:sz w:val="20"/>
                <w:szCs w:val="20"/>
                <w:lang w:val="fr-CA"/>
              </w:rPr>
            </w:pPr>
            <w:r w:rsidRPr="00293EE1">
              <w:rPr>
                <w:b/>
                <w:sz w:val="20"/>
                <w:szCs w:val="20"/>
              </w:rPr>
              <w:fldChar w:fldCharType="begin"/>
            </w:r>
            <w:r w:rsidRPr="00293EE1">
              <w:rPr>
                <w:b/>
                <w:sz w:val="20"/>
                <w:szCs w:val="20"/>
                <w:lang w:val="fr-CA"/>
              </w:rPr>
              <w:instrText xml:space="preserve"> SEQ CHAPTER \h \r 1</w:instrText>
            </w:r>
            <w:r w:rsidRPr="00293EE1">
              <w:rPr>
                <w:b/>
                <w:sz w:val="20"/>
                <w:szCs w:val="20"/>
              </w:rPr>
              <w:fldChar w:fldCharType="end"/>
            </w:r>
            <w:r w:rsidRPr="00293EE1">
              <w:rPr>
                <w:b/>
                <w:sz w:val="20"/>
                <w:szCs w:val="20"/>
              </w:rPr>
              <w:fldChar w:fldCharType="begin"/>
            </w:r>
            <w:r w:rsidRPr="00293EE1">
              <w:rPr>
                <w:b/>
                <w:sz w:val="20"/>
                <w:szCs w:val="20"/>
                <w:lang w:val="fr-CA"/>
              </w:rPr>
              <w:instrText xml:space="preserve"> SEQ CHAPTER \h \r 1</w:instrText>
            </w:r>
            <w:r w:rsidRPr="00293EE1">
              <w:rPr>
                <w:b/>
                <w:sz w:val="20"/>
                <w:szCs w:val="20"/>
              </w:rPr>
              <w:fldChar w:fldCharType="end"/>
            </w:r>
          </w:p>
        </w:tc>
      </w:tr>
      <w:tr w:rsidR="00930822" w:rsidRPr="00293EE1" w:rsidTr="00A263CB">
        <w:trPr>
          <w:trHeight w:val="150"/>
        </w:trPr>
        <w:tc>
          <w:tcPr>
            <w:tcW w:w="4338" w:type="dxa"/>
          </w:tcPr>
          <w:p w:rsidR="00930822" w:rsidRPr="00293EE1" w:rsidRDefault="00930822" w:rsidP="00A263CB">
            <w:pPr>
              <w:tabs>
                <w:tab w:val="left" w:pos="-1440"/>
                <w:tab w:val="left" w:pos="-720"/>
              </w:tabs>
              <w:jc w:val="both"/>
              <w:rPr>
                <w:b/>
                <w:sz w:val="20"/>
                <w:szCs w:val="20"/>
                <w:lang w:val="fr-CA"/>
              </w:rPr>
            </w:pPr>
            <w:r w:rsidRPr="00293EE1">
              <w:rPr>
                <w:b/>
                <w:sz w:val="20"/>
                <w:szCs w:val="20"/>
                <w:lang w:val="fr-CA"/>
              </w:rPr>
              <w:t>Gillian Frank et al.</w:t>
            </w:r>
          </w:p>
          <w:p w:rsidR="00930822" w:rsidRPr="00293EE1" w:rsidRDefault="00930822" w:rsidP="00A263CB">
            <w:pPr>
              <w:tabs>
                <w:tab w:val="left" w:pos="-1440"/>
                <w:tab w:val="left" w:pos="-720"/>
              </w:tabs>
              <w:jc w:val="both"/>
              <w:rPr>
                <w:b/>
                <w:sz w:val="20"/>
                <w:szCs w:val="20"/>
                <w:lang w:val="fr-CA"/>
              </w:rPr>
            </w:pPr>
          </w:p>
          <w:p w:rsidR="00930822" w:rsidRPr="00293EE1" w:rsidRDefault="00930822" w:rsidP="00A263CB">
            <w:pPr>
              <w:tabs>
                <w:tab w:val="left" w:pos="-1440"/>
                <w:tab w:val="left" w:pos="-720"/>
              </w:tabs>
              <w:jc w:val="both"/>
              <w:rPr>
                <w:sz w:val="20"/>
                <w:szCs w:val="20"/>
                <w:lang w:val="fr-CA"/>
              </w:rPr>
            </w:pPr>
            <w:r w:rsidRPr="00293EE1">
              <w:rPr>
                <w:sz w:val="20"/>
                <w:szCs w:val="20"/>
                <w:lang w:val="fr-CA"/>
              </w:rPr>
              <w:tab/>
              <w:t>v. (36645)</w:t>
            </w:r>
          </w:p>
          <w:p w:rsidR="00930822" w:rsidRPr="00293EE1" w:rsidRDefault="00930822" w:rsidP="00A263CB">
            <w:pPr>
              <w:tabs>
                <w:tab w:val="left" w:pos="-1440"/>
                <w:tab w:val="left" w:pos="-720"/>
              </w:tabs>
              <w:jc w:val="both"/>
              <w:rPr>
                <w:sz w:val="20"/>
                <w:szCs w:val="20"/>
                <w:lang w:val="fr-CA"/>
              </w:rPr>
            </w:pPr>
          </w:p>
          <w:p w:rsidR="00930822" w:rsidRPr="00293EE1" w:rsidRDefault="00930822" w:rsidP="00A263CB">
            <w:pPr>
              <w:tabs>
                <w:tab w:val="left" w:pos="-1440"/>
                <w:tab w:val="left" w:pos="-720"/>
              </w:tabs>
              <w:jc w:val="both"/>
              <w:rPr>
                <w:b/>
                <w:sz w:val="20"/>
                <w:szCs w:val="20"/>
              </w:rPr>
            </w:pPr>
            <w:r w:rsidRPr="00293EE1">
              <w:rPr>
                <w:b/>
                <w:sz w:val="20"/>
                <w:szCs w:val="20"/>
              </w:rPr>
              <w:t>Attorney General of Canada (Ont.)</w:t>
            </w:r>
          </w:p>
        </w:tc>
        <w:tc>
          <w:tcPr>
            <w:tcW w:w="1170" w:type="dxa"/>
          </w:tcPr>
          <w:p w:rsidR="00930822" w:rsidRPr="00293EE1" w:rsidRDefault="00930822" w:rsidP="00A263CB">
            <w:pPr>
              <w:jc w:val="both"/>
              <w:rPr>
                <w:sz w:val="20"/>
                <w:szCs w:val="20"/>
              </w:rPr>
            </w:pPr>
          </w:p>
        </w:tc>
        <w:tc>
          <w:tcPr>
            <w:tcW w:w="4327" w:type="dxa"/>
          </w:tcPr>
          <w:p w:rsidR="00930822" w:rsidRPr="00293EE1" w:rsidRDefault="00930822" w:rsidP="00A263CB">
            <w:pPr>
              <w:jc w:val="both"/>
              <w:rPr>
                <w:sz w:val="20"/>
                <w:szCs w:val="20"/>
              </w:rPr>
            </w:pPr>
          </w:p>
        </w:tc>
      </w:tr>
    </w:tbl>
    <w:p w:rsidR="00930822" w:rsidRPr="00293EE1" w:rsidRDefault="00930822" w:rsidP="00890FEB">
      <w:pPr>
        <w:rPr>
          <w:sz w:val="20"/>
          <w:szCs w:val="20"/>
        </w:rPr>
      </w:pPr>
    </w:p>
    <w:p w:rsidR="00930822" w:rsidRPr="00293EE1" w:rsidRDefault="00930822" w:rsidP="00930822">
      <w:pPr>
        <w:spacing w:line="233" w:lineRule="auto"/>
        <w:jc w:val="both"/>
        <w:rPr>
          <w:rFonts w:cs="Times New Roman"/>
          <w:sz w:val="20"/>
          <w:szCs w:val="20"/>
        </w:rPr>
      </w:pPr>
      <w:r w:rsidRPr="00293EE1">
        <w:rPr>
          <w:rFonts w:cs="Times New Roman"/>
          <w:b/>
          <w:bCs/>
          <w:sz w:val="20"/>
          <w:szCs w:val="20"/>
        </w:rPr>
        <w:t xml:space="preserve">FURTHER TO THE ORDER </w:t>
      </w:r>
      <w:r w:rsidRPr="00293EE1">
        <w:rPr>
          <w:rFonts w:cs="Times New Roman"/>
          <w:bCs/>
          <w:sz w:val="20"/>
          <w:szCs w:val="20"/>
        </w:rPr>
        <w:t>dated October 14, 2016, granting leave to intervene to</w:t>
      </w:r>
      <w:r w:rsidRPr="00293EE1">
        <w:rPr>
          <w:rFonts w:cs="Times New Roman"/>
          <w:sz w:val="20"/>
          <w:szCs w:val="20"/>
        </w:rPr>
        <w:t xml:space="preserve"> the Canadian American Bar Association; the Canadian Expat Association; the David Asper Center for Constitutional Rights; the Canadian Civil Liberties Association; the British Columbia Civil Liberties Association and the Metro Toronto Chinese and Southeast Asian Legal Clinic;</w:t>
      </w:r>
    </w:p>
    <w:p w:rsidR="00930822" w:rsidRPr="00293EE1" w:rsidRDefault="00930822" w:rsidP="00930822">
      <w:pPr>
        <w:spacing w:line="233" w:lineRule="auto"/>
        <w:jc w:val="both"/>
        <w:rPr>
          <w:rFonts w:cs="Times New Roman"/>
          <w:sz w:val="20"/>
          <w:szCs w:val="20"/>
        </w:rPr>
      </w:pPr>
    </w:p>
    <w:p w:rsidR="00930822" w:rsidRPr="00293EE1" w:rsidRDefault="00930822" w:rsidP="00930822">
      <w:pPr>
        <w:spacing w:line="233" w:lineRule="auto"/>
        <w:jc w:val="both"/>
        <w:rPr>
          <w:rFonts w:cs="Times New Roman"/>
          <w:b/>
          <w:sz w:val="20"/>
          <w:szCs w:val="20"/>
        </w:rPr>
      </w:pPr>
      <w:r w:rsidRPr="00293EE1">
        <w:rPr>
          <w:rFonts w:cs="Times New Roman"/>
          <w:b/>
          <w:sz w:val="20"/>
          <w:szCs w:val="20"/>
        </w:rPr>
        <w:t xml:space="preserve">IT IS HEREBY FURTHER ORDERED THAT: </w:t>
      </w:r>
    </w:p>
    <w:p w:rsidR="00930822" w:rsidRPr="00293EE1" w:rsidRDefault="00930822" w:rsidP="00930822">
      <w:pPr>
        <w:spacing w:line="233" w:lineRule="auto"/>
        <w:jc w:val="both"/>
        <w:rPr>
          <w:rFonts w:cs="Times New Roman"/>
          <w:sz w:val="20"/>
          <w:szCs w:val="20"/>
        </w:rPr>
      </w:pPr>
    </w:p>
    <w:p w:rsidR="00930822" w:rsidRPr="00293EE1" w:rsidRDefault="00930822" w:rsidP="00930822">
      <w:pPr>
        <w:widowControl w:val="0"/>
        <w:numPr>
          <w:ilvl w:val="0"/>
          <w:numId w:val="42"/>
        </w:numPr>
        <w:autoSpaceDE w:val="0"/>
        <w:autoSpaceDN w:val="0"/>
        <w:adjustRightInd w:val="0"/>
        <w:spacing w:line="233" w:lineRule="auto"/>
        <w:jc w:val="both"/>
        <w:rPr>
          <w:rFonts w:cs="Times New Roman"/>
          <w:sz w:val="20"/>
          <w:szCs w:val="20"/>
        </w:rPr>
      </w:pPr>
      <w:r w:rsidRPr="00293EE1">
        <w:rPr>
          <w:rFonts w:cs="Times New Roman"/>
          <w:sz w:val="20"/>
          <w:szCs w:val="20"/>
        </w:rPr>
        <w:t>The said interveners are each granted permission to present oral argument not exceeding five (5) minutes at the hearing of the appeal; and</w:t>
      </w:r>
    </w:p>
    <w:p w:rsidR="00930822" w:rsidRPr="00293EE1" w:rsidRDefault="00930822" w:rsidP="00930822">
      <w:pPr>
        <w:spacing w:line="233" w:lineRule="auto"/>
        <w:jc w:val="both"/>
        <w:rPr>
          <w:rFonts w:cs="Times New Roman"/>
          <w:sz w:val="20"/>
          <w:szCs w:val="20"/>
        </w:rPr>
      </w:pPr>
    </w:p>
    <w:p w:rsidR="00930822" w:rsidRPr="00293EE1" w:rsidRDefault="00930822" w:rsidP="00930822">
      <w:pPr>
        <w:widowControl w:val="0"/>
        <w:numPr>
          <w:ilvl w:val="0"/>
          <w:numId w:val="42"/>
        </w:numPr>
        <w:autoSpaceDE w:val="0"/>
        <w:autoSpaceDN w:val="0"/>
        <w:adjustRightInd w:val="0"/>
        <w:spacing w:line="233" w:lineRule="auto"/>
        <w:jc w:val="both"/>
        <w:rPr>
          <w:rFonts w:cs="Times New Roman"/>
          <w:sz w:val="20"/>
          <w:szCs w:val="20"/>
        </w:rPr>
      </w:pPr>
      <w:r w:rsidRPr="00293EE1">
        <w:rPr>
          <w:rFonts w:cs="Times New Roman"/>
          <w:sz w:val="20"/>
          <w:szCs w:val="20"/>
        </w:rPr>
        <w:t>The Attorney General of Quebec is granted permission to present oral argument not exceeding five (5) minutes at the hearing of the appeal.</w:t>
      </w:r>
    </w:p>
    <w:p w:rsidR="00930822" w:rsidRPr="00293EE1" w:rsidRDefault="00930822" w:rsidP="00930822">
      <w:pPr>
        <w:spacing w:line="233" w:lineRule="auto"/>
        <w:jc w:val="both"/>
        <w:rPr>
          <w:rFonts w:cs="Times New Roman"/>
          <w:sz w:val="20"/>
          <w:szCs w:val="20"/>
        </w:rPr>
      </w:pPr>
    </w:p>
    <w:p w:rsidR="00930822" w:rsidRPr="00293EE1" w:rsidRDefault="00930822" w:rsidP="00930822">
      <w:pPr>
        <w:spacing w:line="233" w:lineRule="auto"/>
        <w:jc w:val="both"/>
        <w:rPr>
          <w:rFonts w:cs="Times New Roman"/>
          <w:sz w:val="20"/>
          <w:szCs w:val="20"/>
        </w:rPr>
      </w:pPr>
    </w:p>
    <w:p w:rsidR="00930822" w:rsidRPr="00293EE1" w:rsidRDefault="00930822" w:rsidP="00930822">
      <w:pPr>
        <w:spacing w:line="233" w:lineRule="auto"/>
        <w:jc w:val="both"/>
        <w:rPr>
          <w:rFonts w:cs="Times New Roman"/>
          <w:sz w:val="20"/>
          <w:szCs w:val="20"/>
          <w:lang w:val="fr-CA"/>
        </w:rPr>
      </w:pPr>
      <w:r w:rsidRPr="00293EE1">
        <w:rPr>
          <w:rFonts w:cs="Times New Roman"/>
          <w:b/>
          <w:sz w:val="20"/>
          <w:szCs w:val="20"/>
          <w:lang w:val="fr-CA"/>
        </w:rPr>
        <w:t>À LA SUITE DE L’ORDONNANCE</w:t>
      </w:r>
      <w:r w:rsidRPr="00293EE1">
        <w:rPr>
          <w:rFonts w:cs="Times New Roman"/>
          <w:sz w:val="20"/>
          <w:szCs w:val="20"/>
          <w:lang w:val="fr-CA"/>
        </w:rPr>
        <w:t xml:space="preserve"> datée du </w:t>
      </w:r>
      <w:r w:rsidRPr="00293EE1">
        <w:rPr>
          <w:rFonts w:cs="Times New Roman"/>
          <w:sz w:val="20"/>
          <w:szCs w:val="20"/>
          <w:lang w:val="fr-FR"/>
        </w:rPr>
        <w:t xml:space="preserve">14 octobre 2016, autorisant la </w:t>
      </w:r>
      <w:r w:rsidRPr="00293EE1">
        <w:rPr>
          <w:rFonts w:cs="Times New Roman"/>
          <w:sz w:val="20"/>
          <w:szCs w:val="20"/>
          <w:lang w:val="fr-CA"/>
        </w:rPr>
        <w:t xml:space="preserve">Canadian American Bar Association; la Canadian </w:t>
      </w:r>
      <w:proofErr w:type="spellStart"/>
      <w:r w:rsidRPr="00293EE1">
        <w:rPr>
          <w:rFonts w:cs="Times New Roman"/>
          <w:sz w:val="20"/>
          <w:szCs w:val="20"/>
          <w:lang w:val="fr-CA"/>
        </w:rPr>
        <w:t>Expat</w:t>
      </w:r>
      <w:proofErr w:type="spellEnd"/>
      <w:r w:rsidRPr="00293EE1">
        <w:rPr>
          <w:rFonts w:cs="Times New Roman"/>
          <w:sz w:val="20"/>
          <w:szCs w:val="20"/>
          <w:lang w:val="fr-CA"/>
        </w:rPr>
        <w:t xml:space="preserve"> Association; le David </w:t>
      </w:r>
      <w:proofErr w:type="spellStart"/>
      <w:r w:rsidRPr="00293EE1">
        <w:rPr>
          <w:rFonts w:cs="Times New Roman"/>
          <w:sz w:val="20"/>
          <w:szCs w:val="20"/>
          <w:lang w:val="fr-CA"/>
        </w:rPr>
        <w:t>Asper</w:t>
      </w:r>
      <w:proofErr w:type="spellEnd"/>
      <w:r w:rsidRPr="00293EE1">
        <w:rPr>
          <w:rFonts w:cs="Times New Roman"/>
          <w:sz w:val="20"/>
          <w:szCs w:val="20"/>
          <w:lang w:val="fr-CA"/>
        </w:rPr>
        <w:t xml:space="preserve"> Center for </w:t>
      </w:r>
      <w:proofErr w:type="spellStart"/>
      <w:r w:rsidRPr="00293EE1">
        <w:rPr>
          <w:rFonts w:cs="Times New Roman"/>
          <w:sz w:val="20"/>
          <w:szCs w:val="20"/>
          <w:lang w:val="fr-CA"/>
        </w:rPr>
        <w:t>Constitutional</w:t>
      </w:r>
      <w:proofErr w:type="spellEnd"/>
      <w:r w:rsidRPr="00293EE1">
        <w:rPr>
          <w:rFonts w:cs="Times New Roman"/>
          <w:sz w:val="20"/>
          <w:szCs w:val="20"/>
          <w:lang w:val="fr-CA"/>
        </w:rPr>
        <w:t xml:space="preserve"> </w:t>
      </w:r>
      <w:proofErr w:type="spellStart"/>
      <w:r w:rsidRPr="00293EE1">
        <w:rPr>
          <w:rFonts w:cs="Times New Roman"/>
          <w:sz w:val="20"/>
          <w:szCs w:val="20"/>
          <w:lang w:val="fr-CA"/>
        </w:rPr>
        <w:t>Rights</w:t>
      </w:r>
      <w:proofErr w:type="spellEnd"/>
      <w:r w:rsidRPr="00293EE1">
        <w:rPr>
          <w:rFonts w:cs="Times New Roman"/>
          <w:sz w:val="20"/>
          <w:szCs w:val="20"/>
          <w:lang w:val="fr-CA"/>
        </w:rPr>
        <w:t>; l’Association canadienne des libertés civiles; l’Association des libertés civiles de la Colombie-Britannique</w:t>
      </w:r>
      <w:r w:rsidRPr="00293EE1">
        <w:rPr>
          <w:rFonts w:cs="Times New Roman"/>
          <w:sz w:val="20"/>
          <w:szCs w:val="20"/>
          <w:lang w:val="fr-FR"/>
        </w:rPr>
        <w:t xml:space="preserve"> et la Metro Toronto </w:t>
      </w:r>
      <w:proofErr w:type="spellStart"/>
      <w:r w:rsidRPr="00293EE1">
        <w:rPr>
          <w:rFonts w:cs="Times New Roman"/>
          <w:sz w:val="20"/>
          <w:szCs w:val="20"/>
          <w:lang w:val="fr-FR"/>
        </w:rPr>
        <w:t>Chinese</w:t>
      </w:r>
      <w:proofErr w:type="spellEnd"/>
      <w:r w:rsidRPr="00293EE1">
        <w:rPr>
          <w:rFonts w:cs="Times New Roman"/>
          <w:sz w:val="20"/>
          <w:szCs w:val="20"/>
          <w:lang w:val="fr-FR"/>
        </w:rPr>
        <w:t xml:space="preserve"> and </w:t>
      </w:r>
      <w:proofErr w:type="spellStart"/>
      <w:r w:rsidRPr="00293EE1">
        <w:rPr>
          <w:rFonts w:cs="Times New Roman"/>
          <w:sz w:val="20"/>
          <w:szCs w:val="20"/>
          <w:lang w:val="fr-FR"/>
        </w:rPr>
        <w:t>Southeast</w:t>
      </w:r>
      <w:proofErr w:type="spellEnd"/>
      <w:r w:rsidRPr="00293EE1">
        <w:rPr>
          <w:rFonts w:cs="Times New Roman"/>
          <w:sz w:val="20"/>
          <w:szCs w:val="20"/>
          <w:lang w:val="fr-FR"/>
        </w:rPr>
        <w:t xml:space="preserve"> Asian </w:t>
      </w:r>
      <w:proofErr w:type="spellStart"/>
      <w:r w:rsidRPr="00293EE1">
        <w:rPr>
          <w:rFonts w:cs="Times New Roman"/>
          <w:sz w:val="20"/>
          <w:szCs w:val="20"/>
          <w:lang w:val="fr-FR"/>
        </w:rPr>
        <w:t>Legal</w:t>
      </w:r>
      <w:proofErr w:type="spellEnd"/>
      <w:r w:rsidRPr="00293EE1">
        <w:rPr>
          <w:rFonts w:cs="Times New Roman"/>
          <w:sz w:val="20"/>
          <w:szCs w:val="20"/>
          <w:lang w:val="fr-FR"/>
        </w:rPr>
        <w:t xml:space="preserve"> </w:t>
      </w:r>
      <w:proofErr w:type="spellStart"/>
      <w:r w:rsidRPr="00293EE1">
        <w:rPr>
          <w:rFonts w:cs="Times New Roman"/>
          <w:sz w:val="20"/>
          <w:szCs w:val="20"/>
          <w:lang w:val="fr-FR"/>
        </w:rPr>
        <w:t>Clinic</w:t>
      </w:r>
      <w:proofErr w:type="spellEnd"/>
      <w:r w:rsidRPr="00293EE1">
        <w:rPr>
          <w:rFonts w:cs="Times New Roman"/>
          <w:bCs/>
          <w:sz w:val="20"/>
          <w:szCs w:val="20"/>
          <w:lang w:val="fr-CA"/>
        </w:rPr>
        <w:t xml:space="preserve"> </w:t>
      </w:r>
      <w:r w:rsidRPr="00293EE1">
        <w:rPr>
          <w:rFonts w:cs="Times New Roman"/>
          <w:sz w:val="20"/>
          <w:szCs w:val="20"/>
          <w:lang w:val="fr-CA"/>
        </w:rPr>
        <w:t>à intervenir;</w:t>
      </w:r>
    </w:p>
    <w:p w:rsidR="00930822" w:rsidRPr="00293EE1" w:rsidRDefault="00930822" w:rsidP="00930822">
      <w:pPr>
        <w:spacing w:line="233" w:lineRule="auto"/>
        <w:jc w:val="both"/>
        <w:rPr>
          <w:rFonts w:cs="Times New Roman"/>
          <w:sz w:val="20"/>
          <w:szCs w:val="20"/>
          <w:lang w:val="fr-CA"/>
        </w:rPr>
      </w:pPr>
    </w:p>
    <w:p w:rsidR="00930822" w:rsidRPr="00293EE1" w:rsidRDefault="00930822" w:rsidP="00930822">
      <w:pPr>
        <w:spacing w:line="233" w:lineRule="auto"/>
        <w:jc w:val="both"/>
        <w:rPr>
          <w:rFonts w:cs="Times New Roman"/>
          <w:b/>
          <w:bCs/>
          <w:sz w:val="20"/>
          <w:szCs w:val="20"/>
          <w:lang w:val="fr-CA"/>
        </w:rPr>
      </w:pPr>
      <w:r w:rsidRPr="00293EE1">
        <w:rPr>
          <w:rFonts w:cs="Times New Roman"/>
          <w:b/>
          <w:bCs/>
          <w:sz w:val="20"/>
          <w:szCs w:val="20"/>
          <w:lang w:val="fr-CA"/>
        </w:rPr>
        <w:t xml:space="preserve">IL EST EN OUTRE ORDONNÉ QUE : </w:t>
      </w:r>
    </w:p>
    <w:p w:rsidR="00930822" w:rsidRPr="00293EE1" w:rsidRDefault="00930822" w:rsidP="00930822">
      <w:pPr>
        <w:spacing w:line="233" w:lineRule="auto"/>
        <w:jc w:val="both"/>
        <w:rPr>
          <w:rFonts w:cs="Times New Roman"/>
          <w:b/>
          <w:bCs/>
          <w:sz w:val="20"/>
          <w:szCs w:val="20"/>
          <w:lang w:val="fr-CA"/>
        </w:rPr>
      </w:pPr>
    </w:p>
    <w:p w:rsidR="00930822" w:rsidRPr="00293EE1" w:rsidRDefault="00930822" w:rsidP="00930822">
      <w:pPr>
        <w:widowControl w:val="0"/>
        <w:numPr>
          <w:ilvl w:val="0"/>
          <w:numId w:val="43"/>
        </w:numPr>
        <w:autoSpaceDE w:val="0"/>
        <w:autoSpaceDN w:val="0"/>
        <w:adjustRightInd w:val="0"/>
        <w:spacing w:line="233" w:lineRule="auto"/>
        <w:jc w:val="both"/>
        <w:rPr>
          <w:rFonts w:cs="Times New Roman"/>
          <w:b/>
          <w:bCs/>
          <w:sz w:val="20"/>
          <w:szCs w:val="20"/>
          <w:lang w:val="fr-CA"/>
        </w:rPr>
      </w:pPr>
      <w:r w:rsidRPr="00293EE1">
        <w:rPr>
          <w:rFonts w:cs="Times New Roman"/>
          <w:sz w:val="20"/>
          <w:szCs w:val="20"/>
          <w:lang w:val="fr-CA"/>
        </w:rPr>
        <w:t>Les intervenants auront chacun le droit de présenter une plaidoirie orale d’au plus cinq (5) minutes lors de l’audition de l’appel; et</w:t>
      </w:r>
    </w:p>
    <w:p w:rsidR="00930822" w:rsidRPr="00293EE1" w:rsidRDefault="00930822" w:rsidP="00930822">
      <w:pPr>
        <w:spacing w:line="233" w:lineRule="auto"/>
        <w:jc w:val="both"/>
        <w:rPr>
          <w:rFonts w:cs="Times New Roman"/>
          <w:sz w:val="20"/>
          <w:szCs w:val="20"/>
          <w:lang w:val="fr-CA"/>
        </w:rPr>
      </w:pPr>
    </w:p>
    <w:p w:rsidR="00930822" w:rsidRPr="00293EE1" w:rsidRDefault="00930822" w:rsidP="00930822">
      <w:pPr>
        <w:pStyle w:val="ListParagraph"/>
        <w:widowControl w:val="0"/>
        <w:numPr>
          <w:ilvl w:val="0"/>
          <w:numId w:val="44"/>
        </w:numPr>
        <w:autoSpaceDE w:val="0"/>
        <w:autoSpaceDN w:val="0"/>
        <w:adjustRightInd w:val="0"/>
        <w:spacing w:line="233" w:lineRule="auto"/>
        <w:jc w:val="both"/>
        <w:rPr>
          <w:rFonts w:cs="Times New Roman"/>
          <w:sz w:val="20"/>
          <w:szCs w:val="20"/>
          <w:lang w:val="fr-CA"/>
        </w:rPr>
      </w:pPr>
      <w:r w:rsidRPr="00293EE1">
        <w:rPr>
          <w:rFonts w:cs="Times New Roman"/>
          <w:bCs/>
          <w:sz w:val="20"/>
          <w:szCs w:val="20"/>
          <w:lang w:val="fr-CA"/>
        </w:rPr>
        <w:t>L</w:t>
      </w:r>
      <w:r w:rsidRPr="00293EE1">
        <w:rPr>
          <w:rFonts w:cs="Times New Roman"/>
          <w:sz w:val="20"/>
          <w:szCs w:val="20"/>
          <w:lang w:val="fr-CA"/>
        </w:rPr>
        <w:t>a Procureure générale du Québec aura le droit de présenter une plaidoirie orale d’au plus cinq (5) minutes lors de l’audition de l’appel.</w:t>
      </w:r>
    </w:p>
    <w:p w:rsidR="00183454" w:rsidRPr="00293EE1" w:rsidRDefault="00183454" w:rsidP="00183454">
      <w:pPr>
        <w:tabs>
          <w:tab w:val="left" w:pos="-1440"/>
          <w:tab w:val="left" w:pos="-720"/>
        </w:tabs>
        <w:jc w:val="both"/>
        <w:rPr>
          <w:rFonts w:eastAsia="Times New Roman" w:cs="Times New Roman"/>
          <w:sz w:val="20"/>
          <w:szCs w:val="20"/>
          <w:lang w:val="fr-CA" w:eastAsia="en-CA"/>
        </w:rPr>
      </w:pPr>
    </w:p>
    <w:p w:rsidR="00CA2DEA" w:rsidRPr="00293EE1" w:rsidRDefault="00CA2DEA" w:rsidP="00CA2DEA">
      <w:pPr>
        <w:widowControl w:val="0"/>
        <w:rPr>
          <w:rFonts w:eastAsia="Times New Roman" w:cs="Times New Roman"/>
          <w:sz w:val="20"/>
          <w:szCs w:val="20"/>
          <w:lang w:val="fr-CA" w:eastAsia="en-CA"/>
        </w:rPr>
      </w:pPr>
    </w:p>
    <w:p w:rsidR="00CA2DEA" w:rsidRPr="00293EE1" w:rsidRDefault="00B2512D"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73" style="width:2in;height:1pt" o:hrpct="0" o:hralign="center" o:hrstd="t" o:hrnoshade="t" o:hr="t" fillcolor="black [3213]" stroked="f"/>
        </w:pict>
      </w:r>
    </w:p>
    <w:p w:rsidR="00CA2DEA" w:rsidRPr="00293EE1" w:rsidRDefault="00CA2DEA" w:rsidP="00CA2DEA">
      <w:pPr>
        <w:widowControl w:val="0"/>
        <w:rPr>
          <w:rFonts w:eastAsia="Times New Roman" w:cs="Times New Roman"/>
          <w:sz w:val="20"/>
          <w:szCs w:val="20"/>
          <w:lang w:val="en-US" w:eastAsia="en-CA"/>
        </w:rPr>
      </w:pPr>
    </w:p>
    <w:p w:rsidR="00CA2DEA" w:rsidRPr="00293EE1" w:rsidRDefault="00CA2DEA" w:rsidP="0010587F">
      <w:pPr>
        <w:tabs>
          <w:tab w:val="left" w:pos="-1440"/>
          <w:tab w:val="left" w:pos="-720"/>
        </w:tabs>
        <w:jc w:val="both"/>
        <w:rPr>
          <w:sz w:val="20"/>
          <w:szCs w:val="20"/>
          <w:lang w:val="fr-CA"/>
        </w:rPr>
      </w:pPr>
    </w:p>
    <w:p w:rsidR="00890FEB" w:rsidRPr="00293EE1" w:rsidRDefault="00890FEB" w:rsidP="00831CA9">
      <w:pPr>
        <w:jc w:val="both"/>
        <w:rPr>
          <w:sz w:val="20"/>
          <w:szCs w:val="20"/>
          <w:lang w:val="fr-CA"/>
        </w:rPr>
      </w:pPr>
    </w:p>
    <w:p w:rsidR="00831CA9" w:rsidRPr="00293EE1" w:rsidRDefault="00831CA9" w:rsidP="00831CA9">
      <w:pPr>
        <w:jc w:val="both"/>
        <w:rPr>
          <w:sz w:val="20"/>
          <w:szCs w:val="20"/>
          <w:lang w:val="fr-CA"/>
        </w:rPr>
        <w:sectPr w:rsidR="00831CA9" w:rsidRPr="00293EE1" w:rsidSect="00831CA9">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B2512D" w:rsidTr="00EB2B90">
        <w:tc>
          <w:tcPr>
            <w:tcW w:w="4200" w:type="dxa"/>
            <w:shd w:val="clear" w:color="auto" w:fill="auto"/>
            <w:tcMar>
              <w:left w:w="0" w:type="dxa"/>
              <w:right w:w="0" w:type="dxa"/>
            </w:tcMar>
          </w:tcPr>
          <w:p w:rsidR="00F40249" w:rsidRPr="00293EE1" w:rsidRDefault="00F40249" w:rsidP="00EB2B90">
            <w:pPr>
              <w:rPr>
                <w:b/>
                <w:szCs w:val="24"/>
              </w:rPr>
            </w:pPr>
            <w:r w:rsidRPr="00293EE1">
              <w:rPr>
                <w:b/>
                <w:szCs w:val="24"/>
              </w:rPr>
              <w:lastRenderedPageBreak/>
              <w:t>NOTICES OF APPEAL FILED SINCE LAST ISSUE</w:t>
            </w:r>
          </w:p>
        </w:tc>
        <w:tc>
          <w:tcPr>
            <w:tcW w:w="1200" w:type="dxa"/>
            <w:shd w:val="clear" w:color="auto" w:fill="auto"/>
            <w:tcMar>
              <w:left w:w="0" w:type="dxa"/>
              <w:right w:w="0" w:type="dxa"/>
            </w:tcMar>
          </w:tcPr>
          <w:p w:rsidR="00F40249" w:rsidRPr="00293EE1" w:rsidRDefault="00F40249" w:rsidP="00F40249">
            <w:pPr>
              <w:jc w:val="center"/>
              <w:rPr>
                <w:szCs w:val="24"/>
              </w:rPr>
            </w:pPr>
          </w:p>
          <w:p w:rsidR="00F33CCE" w:rsidRPr="00293EE1" w:rsidRDefault="00F33CCE" w:rsidP="00F40249">
            <w:pPr>
              <w:jc w:val="center"/>
              <w:rPr>
                <w:szCs w:val="24"/>
              </w:rPr>
            </w:pPr>
          </w:p>
          <w:p w:rsidR="00F33CCE" w:rsidRPr="00293EE1" w:rsidRDefault="00F33CCE" w:rsidP="00F40249">
            <w:pPr>
              <w:jc w:val="center"/>
              <w:rPr>
                <w:szCs w:val="24"/>
              </w:rPr>
            </w:pPr>
          </w:p>
        </w:tc>
        <w:tc>
          <w:tcPr>
            <w:tcW w:w="4230" w:type="dxa"/>
            <w:shd w:val="clear" w:color="auto" w:fill="auto"/>
            <w:tcMar>
              <w:left w:w="0" w:type="dxa"/>
              <w:right w:w="0" w:type="dxa"/>
            </w:tcMar>
          </w:tcPr>
          <w:p w:rsidR="00F40249" w:rsidRPr="00293EE1" w:rsidRDefault="00F40249" w:rsidP="00EB2B90">
            <w:pPr>
              <w:rPr>
                <w:b/>
                <w:szCs w:val="24"/>
                <w:lang w:val="fr-CA"/>
              </w:rPr>
            </w:pPr>
            <w:r w:rsidRPr="00293EE1">
              <w:rPr>
                <w:b/>
                <w:szCs w:val="24"/>
                <w:lang w:val="fr-CA"/>
              </w:rPr>
              <w:t>AVIS D’APPEL DÉPOSÉS DEPUIS LA DERNIÈRE PARUTION</w:t>
            </w:r>
          </w:p>
        </w:tc>
      </w:tr>
    </w:tbl>
    <w:p w:rsidR="00F40249" w:rsidRPr="00293EE1"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293EE1" w:rsidTr="005F1ED8">
        <w:trPr>
          <w:cantSplit/>
        </w:trPr>
        <w:tc>
          <w:tcPr>
            <w:tcW w:w="2206" w:type="pct"/>
            <w:tcMar>
              <w:left w:w="0" w:type="dxa"/>
              <w:right w:w="0" w:type="dxa"/>
            </w:tcMar>
          </w:tcPr>
          <w:p w:rsidR="00C92DD5" w:rsidRPr="00293EE1" w:rsidRDefault="00C92DD5" w:rsidP="005F1ED8">
            <w:pPr>
              <w:rPr>
                <w:sz w:val="20"/>
                <w:szCs w:val="20"/>
                <w:lang w:val="fr-CA"/>
              </w:rPr>
            </w:pPr>
            <w:r w:rsidRPr="00293EE1">
              <w:rPr>
                <w:sz w:val="20"/>
                <w:szCs w:val="20"/>
                <w:lang w:val="fr-CA"/>
              </w:rPr>
              <w:t>2017.05.19</w:t>
            </w:r>
          </w:p>
          <w:p w:rsidR="00C92DD5" w:rsidRPr="00293EE1" w:rsidRDefault="00C92DD5" w:rsidP="005F1ED8">
            <w:pPr>
              <w:rPr>
                <w:b/>
                <w:sz w:val="20"/>
                <w:szCs w:val="20"/>
                <w:lang w:val="fr-CA"/>
              </w:rPr>
            </w:pPr>
          </w:p>
          <w:p w:rsidR="0086340B" w:rsidRPr="00293EE1" w:rsidRDefault="00C92DD5" w:rsidP="005F1ED8">
            <w:pPr>
              <w:rPr>
                <w:b/>
                <w:sz w:val="20"/>
                <w:szCs w:val="20"/>
                <w:lang w:val="fr-CA"/>
              </w:rPr>
            </w:pPr>
            <w:r w:rsidRPr="00293EE1">
              <w:rPr>
                <w:b/>
                <w:sz w:val="20"/>
                <w:szCs w:val="20"/>
                <w:lang w:val="fr-CA"/>
              </w:rPr>
              <w:t>X.</w:t>
            </w:r>
          </w:p>
          <w:p w:rsidR="00C92DD5" w:rsidRPr="00293EE1" w:rsidRDefault="00C92DD5" w:rsidP="005F1ED8">
            <w:pPr>
              <w:rPr>
                <w:b/>
                <w:sz w:val="20"/>
                <w:szCs w:val="20"/>
                <w:lang w:val="fr-CA"/>
              </w:rPr>
            </w:pPr>
          </w:p>
          <w:p w:rsidR="00C92DD5" w:rsidRPr="00293EE1" w:rsidRDefault="00C92DD5" w:rsidP="005F1ED8">
            <w:pPr>
              <w:rPr>
                <w:b/>
                <w:sz w:val="20"/>
                <w:szCs w:val="20"/>
                <w:lang w:val="fr-CA"/>
              </w:rPr>
            </w:pPr>
            <w:r w:rsidRPr="00293EE1">
              <w:rPr>
                <w:b/>
                <w:sz w:val="20"/>
                <w:szCs w:val="20"/>
                <w:lang w:val="fr-CA"/>
              </w:rPr>
              <w:tab/>
              <w:t>c. (37577)</w:t>
            </w:r>
          </w:p>
          <w:p w:rsidR="006468A7" w:rsidRPr="00293EE1" w:rsidRDefault="006468A7" w:rsidP="005F1ED8">
            <w:pPr>
              <w:rPr>
                <w:sz w:val="20"/>
                <w:szCs w:val="20"/>
                <w:lang w:val="fr-CA"/>
              </w:rPr>
            </w:pPr>
          </w:p>
          <w:p w:rsidR="006468A7" w:rsidRPr="00293EE1" w:rsidRDefault="00C92DD5" w:rsidP="005F1ED8">
            <w:pPr>
              <w:rPr>
                <w:b/>
                <w:sz w:val="20"/>
                <w:szCs w:val="20"/>
                <w:lang w:val="fr-CA"/>
              </w:rPr>
            </w:pPr>
            <w:r w:rsidRPr="00293EE1">
              <w:rPr>
                <w:b/>
                <w:sz w:val="20"/>
                <w:szCs w:val="20"/>
                <w:lang w:val="fr-CA"/>
              </w:rPr>
              <w:t>Sa Majesté la Reine (</w:t>
            </w:r>
            <w:proofErr w:type="spellStart"/>
            <w:r w:rsidRPr="00293EE1">
              <w:rPr>
                <w:b/>
                <w:sz w:val="20"/>
                <w:szCs w:val="20"/>
                <w:lang w:val="fr-CA"/>
              </w:rPr>
              <w:t>Qc</w:t>
            </w:r>
            <w:proofErr w:type="spellEnd"/>
            <w:r w:rsidRPr="00293EE1">
              <w:rPr>
                <w:b/>
                <w:sz w:val="20"/>
                <w:szCs w:val="20"/>
                <w:lang w:val="fr-CA"/>
              </w:rPr>
              <w:t>)</w:t>
            </w:r>
          </w:p>
          <w:p w:rsidR="00C92DD5" w:rsidRPr="00293EE1" w:rsidRDefault="00C92DD5" w:rsidP="005F1ED8">
            <w:pPr>
              <w:rPr>
                <w:b/>
                <w:sz w:val="20"/>
                <w:szCs w:val="20"/>
                <w:lang w:val="fr-CA"/>
              </w:rPr>
            </w:pPr>
          </w:p>
          <w:p w:rsidR="00C92DD5" w:rsidRPr="00293EE1" w:rsidRDefault="00C92DD5" w:rsidP="005F1ED8">
            <w:pPr>
              <w:rPr>
                <w:sz w:val="20"/>
                <w:szCs w:val="20"/>
                <w:lang w:val="fr-CA"/>
              </w:rPr>
            </w:pPr>
            <w:r w:rsidRPr="00293EE1">
              <w:rPr>
                <w:sz w:val="20"/>
                <w:szCs w:val="20"/>
                <w:lang w:val="fr-CA"/>
              </w:rPr>
              <w:t>(De plein droit)</w:t>
            </w:r>
          </w:p>
          <w:p w:rsidR="006468A7" w:rsidRPr="00293EE1" w:rsidRDefault="006468A7" w:rsidP="005F1ED8">
            <w:pPr>
              <w:rPr>
                <w:sz w:val="20"/>
                <w:szCs w:val="20"/>
                <w:lang w:val="fr-CA"/>
              </w:rPr>
            </w:pPr>
          </w:p>
          <w:p w:rsidR="0086340B" w:rsidRPr="00293EE1" w:rsidRDefault="00B2512D" w:rsidP="005F1ED8">
            <w:pPr>
              <w:rPr>
                <w:sz w:val="20"/>
                <w:szCs w:val="20"/>
                <w:lang w:val="fr-CA"/>
              </w:rPr>
            </w:pPr>
            <w:r>
              <w:rPr>
                <w:sz w:val="20"/>
                <w:szCs w:val="20"/>
                <w:lang w:val="fr-CA"/>
              </w:rPr>
              <w:pict>
                <v:rect id="_x0000_i1076" style="width:106.1pt;height:1pt" o:hrpct="500" o:hralign="center" o:hrstd="t" o:hrnoshade="t" o:hr="t" fillcolor="black [3213]" stroked="f"/>
              </w:pict>
            </w:r>
          </w:p>
          <w:p w:rsidR="000E410D" w:rsidRPr="00293EE1" w:rsidRDefault="000E410D" w:rsidP="005F1ED8">
            <w:pPr>
              <w:rPr>
                <w:sz w:val="20"/>
                <w:szCs w:val="20"/>
                <w:lang w:val="fr-CA"/>
              </w:rPr>
            </w:pPr>
          </w:p>
        </w:tc>
        <w:tc>
          <w:tcPr>
            <w:tcW w:w="588" w:type="pct"/>
          </w:tcPr>
          <w:p w:rsidR="0086340B" w:rsidRPr="00293EE1" w:rsidRDefault="0086340B" w:rsidP="005F1ED8">
            <w:pPr>
              <w:jc w:val="center"/>
              <w:rPr>
                <w:sz w:val="20"/>
                <w:szCs w:val="20"/>
              </w:rPr>
            </w:pPr>
          </w:p>
          <w:p w:rsidR="0086340B" w:rsidRPr="00293EE1" w:rsidRDefault="0086340B" w:rsidP="005F1ED8">
            <w:pPr>
              <w:jc w:val="center"/>
              <w:rPr>
                <w:sz w:val="20"/>
                <w:szCs w:val="20"/>
              </w:rPr>
            </w:pPr>
          </w:p>
        </w:tc>
        <w:tc>
          <w:tcPr>
            <w:tcW w:w="2206" w:type="pct"/>
          </w:tcPr>
          <w:p w:rsidR="000E410D" w:rsidRPr="00293EE1" w:rsidRDefault="000E410D" w:rsidP="000E410D">
            <w:pPr>
              <w:rPr>
                <w:sz w:val="20"/>
                <w:szCs w:val="20"/>
                <w:lang w:val="en-US"/>
              </w:rPr>
            </w:pPr>
            <w:r w:rsidRPr="00293EE1">
              <w:rPr>
                <w:sz w:val="20"/>
                <w:szCs w:val="20"/>
                <w:lang w:val="en-US"/>
              </w:rPr>
              <w:t>2017.05.</w:t>
            </w:r>
            <w:r w:rsidR="00A31E70" w:rsidRPr="00293EE1">
              <w:rPr>
                <w:sz w:val="20"/>
                <w:szCs w:val="20"/>
                <w:lang w:val="en-US"/>
              </w:rPr>
              <w:t>26</w:t>
            </w:r>
          </w:p>
          <w:p w:rsidR="000E410D" w:rsidRPr="00293EE1" w:rsidRDefault="000E410D" w:rsidP="000E410D">
            <w:pPr>
              <w:rPr>
                <w:b/>
                <w:sz w:val="20"/>
                <w:szCs w:val="20"/>
                <w:lang w:val="en-US"/>
              </w:rPr>
            </w:pPr>
          </w:p>
          <w:p w:rsidR="000E410D" w:rsidRPr="00293EE1" w:rsidRDefault="00A31E70" w:rsidP="000E410D">
            <w:pPr>
              <w:rPr>
                <w:b/>
                <w:sz w:val="20"/>
                <w:szCs w:val="20"/>
                <w:lang w:val="en-US"/>
              </w:rPr>
            </w:pPr>
            <w:r w:rsidRPr="00293EE1">
              <w:rPr>
                <w:b/>
                <w:sz w:val="20"/>
                <w:szCs w:val="20"/>
                <w:lang w:val="en-US"/>
              </w:rPr>
              <w:t>Her Majesty the Queen</w:t>
            </w:r>
          </w:p>
          <w:p w:rsidR="000E410D" w:rsidRPr="00293EE1" w:rsidRDefault="000E410D" w:rsidP="000E410D">
            <w:pPr>
              <w:rPr>
                <w:b/>
                <w:sz w:val="20"/>
                <w:szCs w:val="20"/>
                <w:lang w:val="en-US"/>
              </w:rPr>
            </w:pPr>
          </w:p>
          <w:p w:rsidR="000E410D" w:rsidRPr="00293EE1" w:rsidRDefault="000E410D" w:rsidP="000E410D">
            <w:pPr>
              <w:rPr>
                <w:b/>
                <w:sz w:val="20"/>
                <w:szCs w:val="20"/>
                <w:lang w:val="en-US"/>
              </w:rPr>
            </w:pPr>
            <w:r w:rsidRPr="00293EE1">
              <w:rPr>
                <w:b/>
                <w:sz w:val="20"/>
                <w:szCs w:val="20"/>
                <w:lang w:val="en-US"/>
              </w:rPr>
              <w:tab/>
            </w:r>
            <w:r w:rsidR="00A31E70" w:rsidRPr="00293EE1">
              <w:rPr>
                <w:b/>
                <w:sz w:val="20"/>
                <w:szCs w:val="20"/>
                <w:lang w:val="en-US"/>
              </w:rPr>
              <w:t>v</w:t>
            </w:r>
            <w:r w:rsidRPr="00293EE1">
              <w:rPr>
                <w:b/>
                <w:sz w:val="20"/>
                <w:szCs w:val="20"/>
                <w:lang w:val="en-US"/>
              </w:rPr>
              <w:t>. (37</w:t>
            </w:r>
            <w:r w:rsidR="00A31E70" w:rsidRPr="00293EE1">
              <w:rPr>
                <w:b/>
                <w:sz w:val="20"/>
                <w:szCs w:val="20"/>
                <w:lang w:val="en-US"/>
              </w:rPr>
              <w:t>398</w:t>
            </w:r>
            <w:r w:rsidRPr="00293EE1">
              <w:rPr>
                <w:b/>
                <w:sz w:val="20"/>
                <w:szCs w:val="20"/>
                <w:lang w:val="en-US"/>
              </w:rPr>
              <w:t>)</w:t>
            </w:r>
          </w:p>
          <w:p w:rsidR="000E410D" w:rsidRPr="00293EE1" w:rsidRDefault="000E410D" w:rsidP="000E410D">
            <w:pPr>
              <w:rPr>
                <w:sz w:val="20"/>
                <w:szCs w:val="20"/>
                <w:lang w:val="en-US"/>
              </w:rPr>
            </w:pPr>
          </w:p>
          <w:p w:rsidR="000E410D" w:rsidRPr="00293EE1" w:rsidRDefault="00A31E70" w:rsidP="000E410D">
            <w:pPr>
              <w:rPr>
                <w:b/>
                <w:sz w:val="20"/>
                <w:szCs w:val="20"/>
                <w:lang w:val="en-US"/>
              </w:rPr>
            </w:pPr>
            <w:r w:rsidRPr="00293EE1">
              <w:rPr>
                <w:b/>
                <w:sz w:val="20"/>
                <w:szCs w:val="20"/>
                <w:lang w:val="en-US"/>
              </w:rPr>
              <w:t>Gerard Comeau</w:t>
            </w:r>
            <w:r w:rsidR="000E410D" w:rsidRPr="00293EE1">
              <w:rPr>
                <w:b/>
                <w:sz w:val="20"/>
                <w:szCs w:val="20"/>
                <w:lang w:val="en-US"/>
              </w:rPr>
              <w:t xml:space="preserve"> (</w:t>
            </w:r>
            <w:r w:rsidRPr="00293EE1">
              <w:rPr>
                <w:b/>
                <w:sz w:val="20"/>
                <w:szCs w:val="20"/>
                <w:lang w:val="en-US"/>
              </w:rPr>
              <w:t>N.B.</w:t>
            </w:r>
            <w:r w:rsidR="000E410D" w:rsidRPr="00293EE1">
              <w:rPr>
                <w:b/>
                <w:sz w:val="20"/>
                <w:szCs w:val="20"/>
                <w:lang w:val="en-US"/>
              </w:rPr>
              <w:t>)</w:t>
            </w:r>
          </w:p>
          <w:p w:rsidR="000E410D" w:rsidRPr="00293EE1" w:rsidRDefault="000E410D" w:rsidP="000E410D">
            <w:pPr>
              <w:rPr>
                <w:b/>
                <w:sz w:val="20"/>
                <w:szCs w:val="20"/>
                <w:lang w:val="en-US"/>
              </w:rPr>
            </w:pPr>
          </w:p>
          <w:p w:rsidR="000E410D" w:rsidRPr="00293EE1" w:rsidRDefault="000E410D" w:rsidP="000E410D">
            <w:pPr>
              <w:rPr>
                <w:sz w:val="20"/>
                <w:szCs w:val="20"/>
                <w:lang w:val="en-US"/>
              </w:rPr>
            </w:pPr>
            <w:r w:rsidRPr="00293EE1">
              <w:rPr>
                <w:sz w:val="20"/>
                <w:szCs w:val="20"/>
                <w:lang w:val="en-US"/>
              </w:rPr>
              <w:t>(</w:t>
            </w:r>
            <w:r w:rsidR="00A31E70" w:rsidRPr="00293EE1">
              <w:rPr>
                <w:sz w:val="20"/>
                <w:szCs w:val="20"/>
                <w:lang w:val="en-US"/>
              </w:rPr>
              <w:t>By Leave</w:t>
            </w:r>
            <w:r w:rsidRPr="00293EE1">
              <w:rPr>
                <w:sz w:val="20"/>
                <w:szCs w:val="20"/>
                <w:lang w:val="en-US"/>
              </w:rPr>
              <w:t>)</w:t>
            </w:r>
          </w:p>
          <w:p w:rsidR="000E410D" w:rsidRPr="00293EE1" w:rsidRDefault="000E410D" w:rsidP="000E410D">
            <w:pPr>
              <w:rPr>
                <w:sz w:val="20"/>
                <w:szCs w:val="20"/>
                <w:lang w:val="en-US"/>
              </w:rPr>
            </w:pPr>
          </w:p>
          <w:p w:rsidR="0086340B" w:rsidRPr="00293EE1" w:rsidRDefault="00B2512D" w:rsidP="000E410D">
            <w:pPr>
              <w:rPr>
                <w:sz w:val="20"/>
                <w:szCs w:val="20"/>
              </w:rPr>
            </w:pPr>
            <w:r>
              <w:rPr>
                <w:sz w:val="20"/>
                <w:szCs w:val="20"/>
                <w:lang w:val="fr-CA"/>
              </w:rPr>
              <w:pict>
                <v:rect id="_x0000_i1077" style="width:106.1pt;height:1pt" o:hrpct="500" o:hralign="center" o:hrstd="t" o:hrnoshade="t" o:hr="t" fillcolor="black [3213]" stroked="f"/>
              </w:pict>
            </w:r>
          </w:p>
        </w:tc>
      </w:tr>
      <w:tr w:rsidR="000E410D" w:rsidRPr="00293EE1" w:rsidTr="005F1ED8">
        <w:trPr>
          <w:cantSplit/>
        </w:trPr>
        <w:tc>
          <w:tcPr>
            <w:tcW w:w="2206" w:type="pct"/>
            <w:tcMar>
              <w:left w:w="0" w:type="dxa"/>
              <w:right w:w="0" w:type="dxa"/>
            </w:tcMar>
          </w:tcPr>
          <w:p w:rsidR="000E410D" w:rsidRPr="00293EE1" w:rsidRDefault="000E410D" w:rsidP="000E410D">
            <w:pPr>
              <w:rPr>
                <w:sz w:val="20"/>
                <w:szCs w:val="20"/>
                <w:lang w:val="en-US"/>
              </w:rPr>
            </w:pPr>
            <w:r w:rsidRPr="00293EE1">
              <w:rPr>
                <w:sz w:val="20"/>
                <w:szCs w:val="20"/>
                <w:lang w:val="en-US"/>
              </w:rPr>
              <w:t>2017.05.</w:t>
            </w:r>
            <w:r w:rsidR="00907383" w:rsidRPr="00293EE1">
              <w:rPr>
                <w:sz w:val="20"/>
                <w:szCs w:val="20"/>
                <w:lang w:val="en-US"/>
              </w:rPr>
              <w:t>29</w:t>
            </w:r>
          </w:p>
          <w:p w:rsidR="000E410D" w:rsidRPr="00293EE1" w:rsidRDefault="000E410D" w:rsidP="000E410D">
            <w:pPr>
              <w:rPr>
                <w:b/>
                <w:sz w:val="20"/>
                <w:szCs w:val="20"/>
                <w:lang w:val="en-US"/>
              </w:rPr>
            </w:pPr>
          </w:p>
          <w:p w:rsidR="000E410D" w:rsidRPr="00293EE1" w:rsidRDefault="00907383" w:rsidP="000E410D">
            <w:pPr>
              <w:rPr>
                <w:b/>
                <w:sz w:val="20"/>
                <w:szCs w:val="20"/>
                <w:lang w:val="en-US"/>
              </w:rPr>
            </w:pPr>
            <w:r w:rsidRPr="00293EE1">
              <w:rPr>
                <w:b/>
                <w:sz w:val="20"/>
                <w:szCs w:val="20"/>
                <w:lang w:val="en-US"/>
              </w:rPr>
              <w:t>Office of the Children’s Lawyer</w:t>
            </w:r>
          </w:p>
          <w:p w:rsidR="000E410D" w:rsidRPr="00293EE1" w:rsidRDefault="000E410D" w:rsidP="000E410D">
            <w:pPr>
              <w:rPr>
                <w:b/>
                <w:sz w:val="20"/>
                <w:szCs w:val="20"/>
                <w:lang w:val="en-US"/>
              </w:rPr>
            </w:pPr>
          </w:p>
          <w:p w:rsidR="000E410D" w:rsidRPr="00293EE1" w:rsidRDefault="000E410D" w:rsidP="000E410D">
            <w:pPr>
              <w:rPr>
                <w:b/>
                <w:sz w:val="20"/>
                <w:szCs w:val="20"/>
                <w:lang w:val="en-US"/>
              </w:rPr>
            </w:pPr>
            <w:r w:rsidRPr="00293EE1">
              <w:rPr>
                <w:b/>
                <w:sz w:val="20"/>
                <w:szCs w:val="20"/>
                <w:lang w:val="en-US"/>
              </w:rPr>
              <w:tab/>
            </w:r>
            <w:r w:rsidR="00907383" w:rsidRPr="00293EE1">
              <w:rPr>
                <w:b/>
                <w:sz w:val="20"/>
                <w:szCs w:val="20"/>
                <w:lang w:val="en-US"/>
              </w:rPr>
              <w:t>v</w:t>
            </w:r>
            <w:r w:rsidRPr="00293EE1">
              <w:rPr>
                <w:b/>
                <w:sz w:val="20"/>
                <w:szCs w:val="20"/>
                <w:lang w:val="en-US"/>
              </w:rPr>
              <w:t>. (37</w:t>
            </w:r>
            <w:r w:rsidR="00907383" w:rsidRPr="00293EE1">
              <w:rPr>
                <w:b/>
                <w:sz w:val="20"/>
                <w:szCs w:val="20"/>
                <w:lang w:val="en-US"/>
              </w:rPr>
              <w:t>250</w:t>
            </w:r>
            <w:r w:rsidRPr="00293EE1">
              <w:rPr>
                <w:b/>
                <w:sz w:val="20"/>
                <w:szCs w:val="20"/>
                <w:lang w:val="en-US"/>
              </w:rPr>
              <w:t>)</w:t>
            </w:r>
          </w:p>
          <w:p w:rsidR="000E410D" w:rsidRPr="00293EE1" w:rsidRDefault="000E410D" w:rsidP="000E410D">
            <w:pPr>
              <w:rPr>
                <w:sz w:val="20"/>
                <w:szCs w:val="20"/>
                <w:lang w:val="en-US"/>
              </w:rPr>
            </w:pPr>
          </w:p>
          <w:p w:rsidR="000E410D" w:rsidRPr="00293EE1" w:rsidRDefault="00907383" w:rsidP="000E410D">
            <w:pPr>
              <w:rPr>
                <w:b/>
                <w:sz w:val="20"/>
                <w:szCs w:val="20"/>
                <w:lang w:val="fr-CA"/>
              </w:rPr>
            </w:pPr>
            <w:r w:rsidRPr="00293EE1">
              <w:rPr>
                <w:b/>
                <w:sz w:val="20"/>
                <w:szCs w:val="20"/>
                <w:lang w:val="fr-CA"/>
              </w:rPr>
              <w:t>J.P.B. et al.</w:t>
            </w:r>
            <w:r w:rsidR="000E410D" w:rsidRPr="00293EE1">
              <w:rPr>
                <w:b/>
                <w:sz w:val="20"/>
                <w:szCs w:val="20"/>
                <w:lang w:val="fr-CA"/>
              </w:rPr>
              <w:t xml:space="preserve"> (</w:t>
            </w:r>
            <w:r w:rsidRPr="00293EE1">
              <w:rPr>
                <w:b/>
                <w:sz w:val="20"/>
                <w:szCs w:val="20"/>
                <w:lang w:val="fr-CA"/>
              </w:rPr>
              <w:t>Ont.</w:t>
            </w:r>
            <w:r w:rsidR="000E410D" w:rsidRPr="00293EE1">
              <w:rPr>
                <w:b/>
                <w:sz w:val="20"/>
                <w:szCs w:val="20"/>
                <w:lang w:val="fr-CA"/>
              </w:rPr>
              <w:t>)</w:t>
            </w:r>
          </w:p>
          <w:p w:rsidR="000E410D" w:rsidRPr="00293EE1" w:rsidRDefault="000E410D" w:rsidP="000E410D">
            <w:pPr>
              <w:rPr>
                <w:b/>
                <w:sz w:val="20"/>
                <w:szCs w:val="20"/>
                <w:lang w:val="fr-CA"/>
              </w:rPr>
            </w:pPr>
          </w:p>
          <w:p w:rsidR="000E410D" w:rsidRPr="00293EE1" w:rsidRDefault="000E410D" w:rsidP="000E410D">
            <w:pPr>
              <w:rPr>
                <w:sz w:val="20"/>
                <w:szCs w:val="20"/>
                <w:lang w:val="fr-CA"/>
              </w:rPr>
            </w:pPr>
            <w:r w:rsidRPr="00293EE1">
              <w:rPr>
                <w:sz w:val="20"/>
                <w:szCs w:val="20"/>
                <w:lang w:val="fr-CA"/>
              </w:rPr>
              <w:t>(</w:t>
            </w:r>
            <w:r w:rsidR="00907383" w:rsidRPr="00293EE1">
              <w:rPr>
                <w:sz w:val="20"/>
                <w:szCs w:val="20"/>
                <w:lang w:val="fr-CA"/>
              </w:rPr>
              <w:t xml:space="preserve">By </w:t>
            </w:r>
            <w:proofErr w:type="spellStart"/>
            <w:r w:rsidR="00907383" w:rsidRPr="00293EE1">
              <w:rPr>
                <w:sz w:val="20"/>
                <w:szCs w:val="20"/>
                <w:lang w:val="fr-CA"/>
              </w:rPr>
              <w:t>Leave</w:t>
            </w:r>
            <w:proofErr w:type="spellEnd"/>
            <w:r w:rsidRPr="00293EE1">
              <w:rPr>
                <w:sz w:val="20"/>
                <w:szCs w:val="20"/>
                <w:lang w:val="fr-CA"/>
              </w:rPr>
              <w:t>)</w:t>
            </w:r>
          </w:p>
          <w:p w:rsidR="000E410D" w:rsidRPr="00293EE1" w:rsidRDefault="000E410D" w:rsidP="000E410D">
            <w:pPr>
              <w:rPr>
                <w:sz w:val="20"/>
                <w:szCs w:val="20"/>
                <w:lang w:val="fr-CA"/>
              </w:rPr>
            </w:pPr>
          </w:p>
          <w:p w:rsidR="000E410D" w:rsidRPr="00293EE1" w:rsidRDefault="00B2512D" w:rsidP="000E410D">
            <w:pPr>
              <w:rPr>
                <w:sz w:val="20"/>
                <w:szCs w:val="20"/>
                <w:lang w:val="fr-CA"/>
              </w:rPr>
            </w:pPr>
            <w:r>
              <w:rPr>
                <w:sz w:val="20"/>
                <w:szCs w:val="20"/>
                <w:lang w:val="fr-CA"/>
              </w:rPr>
              <w:pict>
                <v:rect id="_x0000_i1078" style="width:106.1pt;height:1pt" o:hrpct="500" o:hralign="center" o:hrstd="t" o:hrnoshade="t" o:hr="t" fillcolor="black [3213]" stroked="f"/>
              </w:pict>
            </w:r>
          </w:p>
        </w:tc>
        <w:tc>
          <w:tcPr>
            <w:tcW w:w="588" w:type="pct"/>
          </w:tcPr>
          <w:p w:rsidR="000E410D" w:rsidRPr="00293EE1" w:rsidRDefault="000E410D" w:rsidP="005F1ED8">
            <w:pPr>
              <w:jc w:val="center"/>
              <w:rPr>
                <w:sz w:val="20"/>
                <w:szCs w:val="20"/>
              </w:rPr>
            </w:pPr>
          </w:p>
        </w:tc>
        <w:tc>
          <w:tcPr>
            <w:tcW w:w="2206" w:type="pct"/>
          </w:tcPr>
          <w:p w:rsidR="00907383" w:rsidRPr="00293EE1" w:rsidRDefault="00907383" w:rsidP="00907383">
            <w:pPr>
              <w:rPr>
                <w:sz w:val="20"/>
                <w:szCs w:val="20"/>
                <w:lang w:val="fr-CA"/>
              </w:rPr>
            </w:pPr>
            <w:r w:rsidRPr="00293EE1">
              <w:rPr>
                <w:sz w:val="20"/>
                <w:szCs w:val="20"/>
                <w:lang w:val="fr-CA"/>
              </w:rPr>
              <w:t>2017.05.29</w:t>
            </w:r>
          </w:p>
          <w:p w:rsidR="00907383" w:rsidRPr="00293EE1" w:rsidRDefault="00907383" w:rsidP="00907383">
            <w:pPr>
              <w:rPr>
                <w:b/>
                <w:sz w:val="20"/>
                <w:szCs w:val="20"/>
                <w:lang w:val="fr-CA"/>
              </w:rPr>
            </w:pPr>
          </w:p>
          <w:p w:rsidR="00907383" w:rsidRPr="00293EE1" w:rsidRDefault="00907383" w:rsidP="00907383">
            <w:pPr>
              <w:rPr>
                <w:b/>
                <w:sz w:val="20"/>
                <w:szCs w:val="20"/>
                <w:lang w:val="fr-CA"/>
              </w:rPr>
            </w:pPr>
            <w:r w:rsidRPr="00293EE1">
              <w:rPr>
                <w:b/>
                <w:sz w:val="20"/>
                <w:szCs w:val="20"/>
                <w:lang w:val="fr-CA"/>
              </w:rPr>
              <w:t>Procureure générale du Québec</w:t>
            </w:r>
          </w:p>
          <w:p w:rsidR="00907383" w:rsidRPr="00293EE1" w:rsidRDefault="00907383" w:rsidP="00907383">
            <w:pPr>
              <w:rPr>
                <w:b/>
                <w:sz w:val="20"/>
                <w:szCs w:val="20"/>
                <w:lang w:val="fr-CA"/>
              </w:rPr>
            </w:pPr>
          </w:p>
          <w:p w:rsidR="00907383" w:rsidRPr="00293EE1" w:rsidRDefault="00907383" w:rsidP="00907383">
            <w:pPr>
              <w:rPr>
                <w:b/>
                <w:sz w:val="20"/>
                <w:szCs w:val="20"/>
                <w:lang w:val="fr-CA"/>
              </w:rPr>
            </w:pPr>
            <w:r w:rsidRPr="00293EE1">
              <w:rPr>
                <w:b/>
                <w:sz w:val="20"/>
                <w:szCs w:val="20"/>
                <w:lang w:val="fr-CA"/>
              </w:rPr>
              <w:tab/>
              <w:t>c. (37347)</w:t>
            </w:r>
          </w:p>
          <w:p w:rsidR="00907383" w:rsidRPr="00293EE1" w:rsidRDefault="00907383" w:rsidP="00907383">
            <w:pPr>
              <w:rPr>
                <w:sz w:val="20"/>
                <w:szCs w:val="20"/>
                <w:lang w:val="fr-CA"/>
              </w:rPr>
            </w:pPr>
          </w:p>
          <w:p w:rsidR="00907383" w:rsidRPr="00293EE1" w:rsidRDefault="00907383" w:rsidP="00907383">
            <w:pPr>
              <w:rPr>
                <w:b/>
                <w:sz w:val="20"/>
                <w:szCs w:val="20"/>
                <w:lang w:val="fr-CA"/>
              </w:rPr>
            </w:pPr>
            <w:r w:rsidRPr="00293EE1">
              <w:rPr>
                <w:b/>
                <w:sz w:val="20"/>
                <w:szCs w:val="20"/>
                <w:lang w:val="fr-CA"/>
              </w:rPr>
              <w:t>Alliance du personnel professionnel et technique de la santé et des services sociaux et autres (</w:t>
            </w:r>
            <w:proofErr w:type="spellStart"/>
            <w:r w:rsidRPr="00293EE1">
              <w:rPr>
                <w:b/>
                <w:sz w:val="20"/>
                <w:szCs w:val="20"/>
                <w:lang w:val="fr-CA"/>
              </w:rPr>
              <w:t>Qc</w:t>
            </w:r>
            <w:proofErr w:type="spellEnd"/>
            <w:r w:rsidRPr="00293EE1">
              <w:rPr>
                <w:b/>
                <w:sz w:val="20"/>
                <w:szCs w:val="20"/>
                <w:lang w:val="fr-CA"/>
              </w:rPr>
              <w:t>)</w:t>
            </w:r>
          </w:p>
          <w:p w:rsidR="00907383" w:rsidRPr="00293EE1" w:rsidRDefault="00907383" w:rsidP="00907383">
            <w:pPr>
              <w:rPr>
                <w:b/>
                <w:sz w:val="20"/>
                <w:szCs w:val="20"/>
                <w:lang w:val="fr-CA"/>
              </w:rPr>
            </w:pPr>
          </w:p>
          <w:p w:rsidR="00907383" w:rsidRPr="00293EE1" w:rsidRDefault="00907383" w:rsidP="00907383">
            <w:pPr>
              <w:rPr>
                <w:sz w:val="20"/>
                <w:szCs w:val="20"/>
                <w:lang w:val="fr-CA"/>
              </w:rPr>
            </w:pPr>
            <w:r w:rsidRPr="00293EE1">
              <w:rPr>
                <w:sz w:val="20"/>
                <w:szCs w:val="20"/>
                <w:lang w:val="fr-CA"/>
              </w:rPr>
              <w:t>(Autorisation)</w:t>
            </w:r>
          </w:p>
          <w:p w:rsidR="00907383" w:rsidRPr="00293EE1" w:rsidRDefault="00907383" w:rsidP="00907383">
            <w:pPr>
              <w:rPr>
                <w:sz w:val="20"/>
                <w:szCs w:val="20"/>
                <w:lang w:val="fr-CA"/>
              </w:rPr>
            </w:pPr>
          </w:p>
          <w:p w:rsidR="00907383" w:rsidRPr="00293EE1" w:rsidRDefault="00B2512D" w:rsidP="00907383">
            <w:pPr>
              <w:rPr>
                <w:sz w:val="20"/>
                <w:szCs w:val="20"/>
                <w:lang w:val="fr-CA"/>
              </w:rPr>
            </w:pPr>
            <w:r>
              <w:rPr>
                <w:sz w:val="20"/>
                <w:szCs w:val="20"/>
                <w:lang w:val="fr-CA"/>
              </w:rPr>
              <w:pict>
                <v:rect id="_x0000_i1079" style="width:106.1pt;height:1pt" o:hrpct="500" o:hralign="center" o:hrstd="t" o:hrnoshade="t" o:hr="t" fillcolor="black [3213]" stroked="f"/>
              </w:pict>
            </w:r>
          </w:p>
          <w:p w:rsidR="000E410D" w:rsidRPr="00293EE1" w:rsidRDefault="000E410D" w:rsidP="006468A7">
            <w:pPr>
              <w:rPr>
                <w:sz w:val="20"/>
                <w:szCs w:val="20"/>
                <w:lang w:val="fr-CA"/>
              </w:rPr>
            </w:pPr>
          </w:p>
        </w:tc>
      </w:tr>
    </w:tbl>
    <w:p w:rsidR="00F40249" w:rsidRPr="00293EE1" w:rsidRDefault="00F40249" w:rsidP="00F40249">
      <w:pPr>
        <w:rPr>
          <w:sz w:val="20"/>
          <w:szCs w:val="20"/>
          <w:lang w:val="fr-CA"/>
        </w:rPr>
      </w:pPr>
    </w:p>
    <w:p w:rsidR="00913315" w:rsidRPr="00293EE1" w:rsidRDefault="00913315" w:rsidP="00F40249">
      <w:pPr>
        <w:rPr>
          <w:sz w:val="20"/>
          <w:szCs w:val="20"/>
          <w:lang w:val="fr-CA"/>
        </w:rPr>
      </w:pPr>
    </w:p>
    <w:p w:rsidR="0010587F" w:rsidRPr="00293EE1" w:rsidRDefault="0010587F" w:rsidP="00F40249">
      <w:pPr>
        <w:rPr>
          <w:sz w:val="20"/>
          <w:szCs w:val="20"/>
          <w:lang w:val="fr-CA"/>
        </w:rPr>
      </w:pPr>
    </w:p>
    <w:p w:rsidR="00EB2B90" w:rsidRPr="00293EE1" w:rsidRDefault="00EB2B90" w:rsidP="00F40249">
      <w:pPr>
        <w:rPr>
          <w:sz w:val="20"/>
          <w:szCs w:val="20"/>
          <w:lang w:val="fr-CA"/>
        </w:rPr>
        <w:sectPr w:rsidR="00EB2B90" w:rsidRPr="00293EE1" w:rsidSect="00F40249">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B2512D" w:rsidTr="0085476B">
        <w:tc>
          <w:tcPr>
            <w:tcW w:w="4230" w:type="dxa"/>
            <w:shd w:val="clear" w:color="auto" w:fill="auto"/>
            <w:tcMar>
              <w:left w:w="0" w:type="dxa"/>
              <w:right w:w="0" w:type="dxa"/>
            </w:tcMar>
          </w:tcPr>
          <w:p w:rsidR="00802863" w:rsidRPr="00293EE1" w:rsidRDefault="00802863" w:rsidP="00697C62">
            <w:pPr>
              <w:rPr>
                <w:b/>
                <w:szCs w:val="24"/>
              </w:rPr>
            </w:pPr>
            <w:r w:rsidRPr="00293EE1">
              <w:rPr>
                <w:b/>
                <w:szCs w:val="24"/>
              </w:rPr>
              <w:lastRenderedPageBreak/>
              <w:t>NOTICES OF DISCONTINUANCE FILED SINCE LAST ISSUE</w:t>
            </w:r>
          </w:p>
        </w:tc>
        <w:tc>
          <w:tcPr>
            <w:tcW w:w="1080" w:type="dxa"/>
            <w:shd w:val="clear" w:color="auto" w:fill="auto"/>
            <w:tcMar>
              <w:left w:w="0" w:type="dxa"/>
              <w:right w:w="0" w:type="dxa"/>
            </w:tcMar>
          </w:tcPr>
          <w:p w:rsidR="00802863" w:rsidRPr="00293EE1" w:rsidRDefault="00802863" w:rsidP="00802863">
            <w:pPr>
              <w:jc w:val="center"/>
              <w:rPr>
                <w:b/>
                <w:szCs w:val="24"/>
              </w:rPr>
            </w:pPr>
          </w:p>
          <w:p w:rsidR="00802863" w:rsidRPr="00293EE1" w:rsidRDefault="00802863" w:rsidP="00802863">
            <w:pPr>
              <w:jc w:val="center"/>
              <w:rPr>
                <w:b/>
                <w:szCs w:val="24"/>
              </w:rPr>
            </w:pPr>
          </w:p>
          <w:p w:rsidR="00802863" w:rsidRPr="00293EE1" w:rsidRDefault="00802863" w:rsidP="00802863">
            <w:pPr>
              <w:jc w:val="center"/>
              <w:rPr>
                <w:b/>
                <w:szCs w:val="24"/>
              </w:rPr>
            </w:pPr>
          </w:p>
        </w:tc>
        <w:tc>
          <w:tcPr>
            <w:tcW w:w="4410" w:type="dxa"/>
            <w:shd w:val="clear" w:color="auto" w:fill="auto"/>
            <w:tcMar>
              <w:left w:w="0" w:type="dxa"/>
              <w:right w:w="0" w:type="dxa"/>
            </w:tcMar>
          </w:tcPr>
          <w:p w:rsidR="00802863" w:rsidRPr="00293EE1" w:rsidRDefault="00802863" w:rsidP="00697C62">
            <w:pPr>
              <w:rPr>
                <w:b/>
                <w:szCs w:val="24"/>
                <w:lang w:val="fr-CA"/>
              </w:rPr>
            </w:pPr>
            <w:r w:rsidRPr="00293EE1">
              <w:rPr>
                <w:b/>
                <w:szCs w:val="24"/>
                <w:lang w:val="fr-CA"/>
              </w:rPr>
              <w:t>AVIS DE DÉSISTEMENT DÉPOSÉS DEPUIS LA DERNIÈRE PARUTION</w:t>
            </w:r>
          </w:p>
        </w:tc>
      </w:tr>
    </w:tbl>
    <w:p w:rsidR="00802863" w:rsidRPr="00293EE1"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293EE1" w:rsidTr="00E8544A">
        <w:trPr>
          <w:cantSplit/>
        </w:trPr>
        <w:tc>
          <w:tcPr>
            <w:tcW w:w="4251" w:type="dxa"/>
            <w:shd w:val="clear" w:color="auto" w:fill="auto"/>
          </w:tcPr>
          <w:p w:rsidR="00C92DD5" w:rsidRPr="00293EE1" w:rsidRDefault="00C92DD5" w:rsidP="00C92DD5">
            <w:pPr>
              <w:rPr>
                <w:sz w:val="20"/>
                <w:szCs w:val="20"/>
                <w:lang w:val="fr-CA"/>
              </w:rPr>
            </w:pPr>
            <w:r w:rsidRPr="00293EE1">
              <w:rPr>
                <w:sz w:val="20"/>
                <w:szCs w:val="20"/>
                <w:lang w:val="fr-CA"/>
              </w:rPr>
              <w:t>2017.05.19</w:t>
            </w:r>
          </w:p>
          <w:p w:rsidR="00C92DD5" w:rsidRPr="00293EE1" w:rsidRDefault="00C92DD5" w:rsidP="00C92DD5">
            <w:pPr>
              <w:rPr>
                <w:b/>
                <w:sz w:val="20"/>
                <w:szCs w:val="20"/>
                <w:lang w:val="fr-CA"/>
              </w:rPr>
            </w:pPr>
          </w:p>
          <w:p w:rsidR="00C92DD5" w:rsidRPr="00293EE1" w:rsidRDefault="00F03341" w:rsidP="00C92DD5">
            <w:pPr>
              <w:rPr>
                <w:b/>
                <w:sz w:val="20"/>
                <w:szCs w:val="20"/>
                <w:lang w:val="fr-CA"/>
              </w:rPr>
            </w:pPr>
            <w:r w:rsidRPr="00293EE1">
              <w:rPr>
                <w:b/>
                <w:sz w:val="20"/>
                <w:szCs w:val="20"/>
                <w:lang w:val="fr-CA"/>
              </w:rPr>
              <w:t>X.</w:t>
            </w:r>
          </w:p>
          <w:p w:rsidR="00C92DD5" w:rsidRPr="00293EE1" w:rsidRDefault="00C92DD5" w:rsidP="00C92DD5">
            <w:pPr>
              <w:rPr>
                <w:b/>
                <w:sz w:val="20"/>
                <w:szCs w:val="20"/>
                <w:lang w:val="fr-CA"/>
              </w:rPr>
            </w:pPr>
          </w:p>
          <w:p w:rsidR="00C92DD5" w:rsidRPr="00293EE1" w:rsidRDefault="00C92DD5" w:rsidP="00C92DD5">
            <w:pPr>
              <w:rPr>
                <w:b/>
                <w:sz w:val="20"/>
                <w:szCs w:val="20"/>
                <w:lang w:val="fr-CA"/>
              </w:rPr>
            </w:pPr>
            <w:r w:rsidRPr="00293EE1">
              <w:rPr>
                <w:b/>
                <w:sz w:val="20"/>
                <w:szCs w:val="20"/>
                <w:lang w:val="fr-CA"/>
              </w:rPr>
              <w:tab/>
              <w:t>c. (37577)</w:t>
            </w:r>
          </w:p>
          <w:p w:rsidR="00C92DD5" w:rsidRPr="00293EE1" w:rsidRDefault="00C92DD5" w:rsidP="00C92DD5">
            <w:pPr>
              <w:rPr>
                <w:sz w:val="20"/>
                <w:szCs w:val="20"/>
                <w:lang w:val="fr-CA"/>
              </w:rPr>
            </w:pPr>
          </w:p>
          <w:p w:rsidR="00C92DD5" w:rsidRPr="00293EE1" w:rsidRDefault="00C92DD5" w:rsidP="00C92DD5">
            <w:pPr>
              <w:rPr>
                <w:b/>
                <w:sz w:val="20"/>
                <w:szCs w:val="20"/>
                <w:lang w:val="fr-CA"/>
              </w:rPr>
            </w:pPr>
            <w:r w:rsidRPr="00293EE1">
              <w:rPr>
                <w:b/>
                <w:sz w:val="20"/>
                <w:szCs w:val="20"/>
                <w:lang w:val="fr-CA"/>
              </w:rPr>
              <w:t>Sa Majesté la Reine (</w:t>
            </w:r>
            <w:proofErr w:type="spellStart"/>
            <w:r w:rsidRPr="00293EE1">
              <w:rPr>
                <w:b/>
                <w:sz w:val="20"/>
                <w:szCs w:val="20"/>
                <w:lang w:val="fr-CA"/>
              </w:rPr>
              <w:t>Qc</w:t>
            </w:r>
            <w:proofErr w:type="spellEnd"/>
            <w:r w:rsidRPr="00293EE1">
              <w:rPr>
                <w:b/>
                <w:sz w:val="20"/>
                <w:szCs w:val="20"/>
                <w:lang w:val="fr-CA"/>
              </w:rPr>
              <w:t>)</w:t>
            </w:r>
          </w:p>
          <w:p w:rsidR="00C92DD5" w:rsidRPr="00293EE1" w:rsidRDefault="00C92DD5" w:rsidP="00C92DD5">
            <w:pPr>
              <w:rPr>
                <w:b/>
                <w:sz w:val="20"/>
                <w:szCs w:val="20"/>
                <w:lang w:val="fr-CA"/>
              </w:rPr>
            </w:pPr>
          </w:p>
          <w:p w:rsidR="00C92DD5" w:rsidRPr="00293EE1" w:rsidRDefault="00C92DD5" w:rsidP="00C92DD5">
            <w:pPr>
              <w:rPr>
                <w:sz w:val="20"/>
                <w:szCs w:val="20"/>
                <w:lang w:val="fr-CA"/>
              </w:rPr>
            </w:pPr>
            <w:r w:rsidRPr="00293EE1">
              <w:rPr>
                <w:sz w:val="20"/>
                <w:szCs w:val="20"/>
                <w:lang w:val="fr-CA"/>
              </w:rPr>
              <w:t>(De plein droit)</w:t>
            </w:r>
          </w:p>
          <w:p w:rsidR="006468A7" w:rsidRPr="00293EE1" w:rsidRDefault="006468A7" w:rsidP="00697C62">
            <w:pPr>
              <w:rPr>
                <w:sz w:val="20"/>
                <w:szCs w:val="20"/>
              </w:rPr>
            </w:pPr>
          </w:p>
          <w:p w:rsidR="00802863" w:rsidRPr="00293EE1" w:rsidRDefault="00B2512D" w:rsidP="00697C62">
            <w:pPr>
              <w:rPr>
                <w:sz w:val="20"/>
                <w:szCs w:val="20"/>
                <w:lang w:val="fr-CA"/>
              </w:rPr>
            </w:pPr>
            <w:r>
              <w:rPr>
                <w:sz w:val="20"/>
                <w:szCs w:val="20"/>
                <w:lang w:val="fr-CA"/>
              </w:rPr>
              <w:pict>
                <v:rect id="_x0000_i1082" style="width:108pt;height:1pt" o:hrpct="0" o:hralign="center" o:hrstd="t" o:hrnoshade="t" o:hr="t" fillcolor="black [3213]" stroked="f"/>
              </w:pict>
            </w:r>
          </w:p>
        </w:tc>
        <w:tc>
          <w:tcPr>
            <w:tcW w:w="1042" w:type="dxa"/>
            <w:shd w:val="clear" w:color="auto" w:fill="auto"/>
          </w:tcPr>
          <w:p w:rsidR="003B3977" w:rsidRPr="00293EE1" w:rsidRDefault="003B3977" w:rsidP="00802863">
            <w:pPr>
              <w:jc w:val="center"/>
              <w:rPr>
                <w:sz w:val="20"/>
                <w:szCs w:val="20"/>
                <w:lang w:val="fr-CA"/>
              </w:rPr>
            </w:pPr>
          </w:p>
        </w:tc>
        <w:tc>
          <w:tcPr>
            <w:tcW w:w="4326" w:type="dxa"/>
            <w:shd w:val="clear" w:color="auto" w:fill="auto"/>
          </w:tcPr>
          <w:p w:rsidR="00802863" w:rsidRPr="00293EE1" w:rsidRDefault="00802863" w:rsidP="00802863">
            <w:pPr>
              <w:rPr>
                <w:sz w:val="20"/>
                <w:szCs w:val="20"/>
                <w:lang w:val="fr-CA"/>
              </w:rPr>
            </w:pPr>
          </w:p>
        </w:tc>
      </w:tr>
    </w:tbl>
    <w:p w:rsidR="00802863" w:rsidRPr="00293EE1" w:rsidRDefault="00802863" w:rsidP="00802863">
      <w:pPr>
        <w:rPr>
          <w:sz w:val="20"/>
          <w:szCs w:val="20"/>
          <w:lang w:val="fr-CA"/>
        </w:rPr>
      </w:pPr>
    </w:p>
    <w:p w:rsidR="00E8544A" w:rsidRPr="00293EE1" w:rsidRDefault="00E8544A" w:rsidP="00802863">
      <w:pPr>
        <w:rPr>
          <w:sz w:val="20"/>
          <w:szCs w:val="20"/>
          <w:lang w:val="fr-CA"/>
        </w:rPr>
      </w:pPr>
    </w:p>
    <w:p w:rsidR="00D94028" w:rsidRPr="00293EE1" w:rsidRDefault="00D94028" w:rsidP="00802863">
      <w:pPr>
        <w:rPr>
          <w:sz w:val="20"/>
          <w:szCs w:val="20"/>
          <w:lang w:val="fr-CA"/>
        </w:rPr>
      </w:pPr>
    </w:p>
    <w:p w:rsidR="00802863" w:rsidRPr="00293EE1" w:rsidRDefault="00802863" w:rsidP="00802863">
      <w:pPr>
        <w:rPr>
          <w:sz w:val="20"/>
          <w:szCs w:val="20"/>
        </w:rPr>
      </w:pPr>
    </w:p>
    <w:p w:rsidR="00802863" w:rsidRPr="00293EE1" w:rsidRDefault="00802863" w:rsidP="00831CA9">
      <w:pPr>
        <w:jc w:val="both"/>
        <w:rPr>
          <w:sz w:val="20"/>
          <w:szCs w:val="20"/>
        </w:rPr>
        <w:sectPr w:rsidR="00802863" w:rsidRPr="00293EE1" w:rsidSect="00802863">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B2512D" w:rsidTr="0085476B">
        <w:trPr>
          <w:cantSplit/>
        </w:trPr>
        <w:tc>
          <w:tcPr>
            <w:tcW w:w="4410" w:type="dxa"/>
            <w:tcMar>
              <w:left w:w="0" w:type="dxa"/>
              <w:right w:w="0" w:type="dxa"/>
            </w:tcMar>
          </w:tcPr>
          <w:p w:rsidR="00C1697B" w:rsidRPr="00293EE1" w:rsidRDefault="00732DB7" w:rsidP="00697C62">
            <w:pPr>
              <w:keepNext/>
              <w:keepLines/>
              <w:widowControl w:val="0"/>
              <w:jc w:val="both"/>
              <w:rPr>
                <w:b/>
                <w:szCs w:val="24"/>
              </w:rPr>
            </w:pPr>
            <w:r w:rsidRPr="00293EE1">
              <w:rPr>
                <w:b/>
                <w:szCs w:val="24"/>
              </w:rPr>
              <w:lastRenderedPageBreak/>
              <w:t>APPEALS HEARD SINCE LAST ISSUE AND DISPOSITION</w:t>
            </w:r>
          </w:p>
          <w:p w:rsidR="00732DB7" w:rsidRPr="00293EE1" w:rsidRDefault="00732DB7" w:rsidP="00C1697B">
            <w:pPr>
              <w:tabs>
                <w:tab w:val="left" w:pos="1116"/>
              </w:tabs>
              <w:rPr>
                <w:szCs w:val="24"/>
              </w:rPr>
            </w:pPr>
          </w:p>
        </w:tc>
        <w:tc>
          <w:tcPr>
            <w:tcW w:w="720" w:type="dxa"/>
            <w:tcMar>
              <w:left w:w="0" w:type="dxa"/>
              <w:right w:w="0" w:type="dxa"/>
            </w:tcMar>
          </w:tcPr>
          <w:p w:rsidR="00732DB7" w:rsidRPr="00293EE1" w:rsidRDefault="00732DB7" w:rsidP="00732DB7">
            <w:pPr>
              <w:keepNext/>
              <w:keepLines/>
              <w:widowControl w:val="0"/>
              <w:jc w:val="center"/>
              <w:rPr>
                <w:b/>
                <w:szCs w:val="24"/>
              </w:rPr>
            </w:pPr>
          </w:p>
          <w:p w:rsidR="00732DB7" w:rsidRPr="00293EE1" w:rsidRDefault="00732DB7" w:rsidP="00732DB7">
            <w:pPr>
              <w:keepNext/>
              <w:keepLines/>
              <w:widowControl w:val="0"/>
              <w:jc w:val="center"/>
              <w:rPr>
                <w:b/>
                <w:szCs w:val="24"/>
              </w:rPr>
            </w:pPr>
          </w:p>
          <w:p w:rsidR="00732DB7" w:rsidRPr="00293EE1" w:rsidRDefault="00732DB7" w:rsidP="00732DB7">
            <w:pPr>
              <w:keepNext/>
              <w:keepLines/>
              <w:widowControl w:val="0"/>
              <w:jc w:val="center"/>
              <w:rPr>
                <w:b/>
                <w:szCs w:val="24"/>
              </w:rPr>
            </w:pPr>
          </w:p>
        </w:tc>
        <w:tc>
          <w:tcPr>
            <w:tcW w:w="4350" w:type="dxa"/>
            <w:tcMar>
              <w:left w:w="0" w:type="dxa"/>
              <w:right w:w="0" w:type="dxa"/>
            </w:tcMar>
          </w:tcPr>
          <w:p w:rsidR="00732DB7" w:rsidRPr="00293EE1" w:rsidRDefault="00732DB7" w:rsidP="00697C62">
            <w:pPr>
              <w:keepNext/>
              <w:keepLines/>
              <w:widowControl w:val="0"/>
              <w:jc w:val="both"/>
              <w:rPr>
                <w:b/>
                <w:szCs w:val="24"/>
                <w:lang w:val="fr-CA"/>
              </w:rPr>
            </w:pPr>
            <w:r w:rsidRPr="00293EE1">
              <w:rPr>
                <w:b/>
                <w:szCs w:val="24"/>
                <w:lang w:val="fr-CA"/>
              </w:rPr>
              <w:t>APPELS ENTENDUS DEPUIS LA DERNIÈRE PARUTION ET RÉSULTAT</w:t>
            </w:r>
          </w:p>
        </w:tc>
      </w:tr>
    </w:tbl>
    <w:p w:rsidR="00732DB7" w:rsidRPr="00293EE1" w:rsidRDefault="00732DB7" w:rsidP="00732DB7">
      <w:pPr>
        <w:widowControl w:val="0"/>
        <w:rPr>
          <w:sz w:val="20"/>
          <w:szCs w:val="20"/>
          <w:lang w:val="fr-CA"/>
        </w:rPr>
      </w:pPr>
    </w:p>
    <w:p w:rsidR="007C47C2" w:rsidRPr="00293EE1" w:rsidRDefault="001A5BE7" w:rsidP="007C47C2">
      <w:pPr>
        <w:widowControl w:val="0"/>
        <w:rPr>
          <w:sz w:val="20"/>
          <w:szCs w:val="20"/>
          <w:lang w:val="en-US"/>
        </w:rPr>
      </w:pPr>
      <w:r w:rsidRPr="00293EE1">
        <w:rPr>
          <w:sz w:val="20"/>
          <w:szCs w:val="20"/>
          <w:lang w:val="en-US"/>
        </w:rPr>
        <w:t>26.05.2017</w:t>
      </w:r>
    </w:p>
    <w:p w:rsidR="007C47C2" w:rsidRPr="00293EE1" w:rsidRDefault="007C47C2" w:rsidP="007C47C2">
      <w:pPr>
        <w:widowControl w:val="0"/>
        <w:rPr>
          <w:sz w:val="20"/>
          <w:szCs w:val="20"/>
          <w:lang w:val="en-US"/>
        </w:rPr>
      </w:pPr>
    </w:p>
    <w:p w:rsidR="007C47C2" w:rsidRPr="00293EE1" w:rsidRDefault="007C47C2" w:rsidP="007C47C2">
      <w:pPr>
        <w:widowControl w:val="0"/>
        <w:ind w:left="720" w:hanging="720"/>
        <w:rPr>
          <w:sz w:val="20"/>
          <w:szCs w:val="20"/>
          <w:u w:val="single"/>
          <w:lang w:val="en-US"/>
        </w:rPr>
      </w:pPr>
      <w:r w:rsidRPr="00293EE1">
        <w:rPr>
          <w:sz w:val="20"/>
          <w:szCs w:val="20"/>
          <w:lang w:val="en-US"/>
        </w:rPr>
        <w:t xml:space="preserve">Coram: </w:t>
      </w:r>
      <w:r w:rsidRPr="00293EE1">
        <w:rPr>
          <w:sz w:val="20"/>
          <w:szCs w:val="20"/>
          <w:lang w:val="en-US"/>
        </w:rPr>
        <w:tab/>
      </w:r>
      <w:proofErr w:type="spellStart"/>
      <w:r w:rsidR="00FF11DE" w:rsidRPr="00293EE1">
        <w:rPr>
          <w:sz w:val="20"/>
          <w:szCs w:val="20"/>
          <w:u w:val="single"/>
          <w:lang w:val="en-US"/>
        </w:rPr>
        <w:t>McLachlin</w:t>
      </w:r>
      <w:proofErr w:type="spellEnd"/>
      <w:r w:rsidR="00FF11DE" w:rsidRPr="00293EE1">
        <w:rPr>
          <w:sz w:val="20"/>
          <w:szCs w:val="20"/>
          <w:u w:val="single"/>
          <w:lang w:val="en-US"/>
        </w:rPr>
        <w:t xml:space="preserve"> C.J. and </w:t>
      </w:r>
      <w:proofErr w:type="spellStart"/>
      <w:r w:rsidR="00FF11DE" w:rsidRPr="00293EE1">
        <w:rPr>
          <w:sz w:val="20"/>
          <w:szCs w:val="20"/>
          <w:u w:val="single"/>
          <w:lang w:val="en-US"/>
        </w:rPr>
        <w:t>Abella</w:t>
      </w:r>
      <w:proofErr w:type="spellEnd"/>
      <w:r w:rsidR="00FF11DE" w:rsidRPr="00293EE1">
        <w:rPr>
          <w:sz w:val="20"/>
          <w:szCs w:val="20"/>
          <w:u w:val="single"/>
          <w:lang w:val="en-US"/>
        </w:rPr>
        <w:t xml:space="preserve">, </w:t>
      </w:r>
      <w:proofErr w:type="spellStart"/>
      <w:r w:rsidR="00FF11DE" w:rsidRPr="00293EE1">
        <w:rPr>
          <w:sz w:val="20"/>
          <w:szCs w:val="20"/>
          <w:u w:val="single"/>
          <w:lang w:val="en-US"/>
        </w:rPr>
        <w:t>Moldaver</w:t>
      </w:r>
      <w:proofErr w:type="spellEnd"/>
      <w:r w:rsidR="00FF11DE" w:rsidRPr="00293EE1">
        <w:rPr>
          <w:sz w:val="20"/>
          <w:szCs w:val="20"/>
          <w:u w:val="single"/>
          <w:lang w:val="en-US"/>
        </w:rPr>
        <w:t xml:space="preserve">, </w:t>
      </w:r>
      <w:proofErr w:type="spellStart"/>
      <w:r w:rsidR="00FF11DE" w:rsidRPr="00293EE1">
        <w:rPr>
          <w:sz w:val="20"/>
          <w:szCs w:val="20"/>
          <w:u w:val="single"/>
          <w:lang w:val="en-US"/>
        </w:rPr>
        <w:t>Karakatsanis</w:t>
      </w:r>
      <w:proofErr w:type="spellEnd"/>
      <w:r w:rsidR="00FF11DE" w:rsidRPr="00293EE1">
        <w:rPr>
          <w:sz w:val="20"/>
          <w:szCs w:val="20"/>
          <w:u w:val="single"/>
          <w:lang w:val="en-US"/>
        </w:rPr>
        <w:t xml:space="preserve">, Wagner, </w:t>
      </w:r>
      <w:proofErr w:type="spellStart"/>
      <w:r w:rsidR="00FF11DE" w:rsidRPr="00293EE1">
        <w:rPr>
          <w:sz w:val="20"/>
          <w:szCs w:val="20"/>
          <w:u w:val="single"/>
          <w:lang w:val="en-US"/>
        </w:rPr>
        <w:t>Gascon</w:t>
      </w:r>
      <w:proofErr w:type="spellEnd"/>
      <w:r w:rsidR="00FF11DE" w:rsidRPr="00293EE1">
        <w:rPr>
          <w:sz w:val="20"/>
          <w:szCs w:val="20"/>
          <w:u w:val="single"/>
          <w:lang w:val="en-US"/>
        </w:rPr>
        <w:t xml:space="preserve">, </w:t>
      </w:r>
      <w:proofErr w:type="spellStart"/>
      <w:r w:rsidR="00FF11DE" w:rsidRPr="00293EE1">
        <w:rPr>
          <w:sz w:val="20"/>
          <w:szCs w:val="20"/>
          <w:u w:val="single"/>
          <w:lang w:val="en-US"/>
        </w:rPr>
        <w:t>Côté</w:t>
      </w:r>
      <w:proofErr w:type="spellEnd"/>
      <w:r w:rsidR="00FF11DE" w:rsidRPr="00293EE1">
        <w:rPr>
          <w:sz w:val="20"/>
          <w:szCs w:val="20"/>
          <w:u w:val="single"/>
          <w:lang w:val="en-US"/>
        </w:rPr>
        <w:t>, Brown and Rowe JJ.</w:t>
      </w:r>
    </w:p>
    <w:p w:rsidR="007C47C2" w:rsidRPr="00293EE1"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293EE1" w:rsidTr="00E942C2">
        <w:tc>
          <w:tcPr>
            <w:tcW w:w="4380" w:type="dxa"/>
            <w:tcMar>
              <w:left w:w="0" w:type="dxa"/>
              <w:right w:w="0" w:type="dxa"/>
            </w:tcMar>
          </w:tcPr>
          <w:p w:rsidR="007C47C2" w:rsidRPr="00293EE1" w:rsidRDefault="00FF11DE" w:rsidP="00E942C2">
            <w:pPr>
              <w:widowControl w:val="0"/>
              <w:rPr>
                <w:b/>
                <w:sz w:val="20"/>
                <w:szCs w:val="20"/>
                <w:lang w:val="en-US"/>
              </w:rPr>
            </w:pPr>
            <w:r w:rsidRPr="00293EE1">
              <w:rPr>
                <w:b/>
                <w:sz w:val="20"/>
                <w:szCs w:val="20"/>
                <w:lang w:val="en-US"/>
              </w:rPr>
              <w:t xml:space="preserve">Max Wayne Cowper-Smith </w:t>
            </w:r>
          </w:p>
          <w:p w:rsidR="00FF11DE" w:rsidRPr="00293EE1" w:rsidRDefault="00FF11DE" w:rsidP="00E942C2">
            <w:pPr>
              <w:widowControl w:val="0"/>
              <w:rPr>
                <w:b/>
                <w:sz w:val="20"/>
                <w:szCs w:val="20"/>
                <w:lang w:val="en-US"/>
              </w:rPr>
            </w:pPr>
          </w:p>
          <w:p w:rsidR="007C47C2" w:rsidRPr="00293EE1" w:rsidRDefault="007C47C2" w:rsidP="00E942C2">
            <w:pPr>
              <w:widowControl w:val="0"/>
              <w:rPr>
                <w:sz w:val="20"/>
                <w:szCs w:val="20"/>
                <w:lang w:val="en-US"/>
              </w:rPr>
            </w:pPr>
            <w:r w:rsidRPr="00293EE1">
              <w:rPr>
                <w:b/>
                <w:sz w:val="20"/>
                <w:szCs w:val="20"/>
                <w:lang w:val="en-US"/>
              </w:rPr>
              <w:tab/>
            </w:r>
            <w:r w:rsidR="00FF11DE" w:rsidRPr="00293EE1">
              <w:rPr>
                <w:b/>
                <w:sz w:val="20"/>
                <w:szCs w:val="20"/>
                <w:lang w:val="en-US"/>
              </w:rPr>
              <w:t>v</w:t>
            </w:r>
            <w:r w:rsidRPr="00293EE1">
              <w:rPr>
                <w:b/>
                <w:sz w:val="20"/>
                <w:szCs w:val="20"/>
                <w:lang w:val="en-US"/>
              </w:rPr>
              <w:t xml:space="preserve">. </w:t>
            </w:r>
            <w:r w:rsidRPr="00293EE1">
              <w:rPr>
                <w:sz w:val="20"/>
                <w:szCs w:val="20"/>
                <w:lang w:val="en-US"/>
              </w:rPr>
              <w:t>(</w:t>
            </w:r>
            <w:hyperlink r:id="rId93" w:history="1">
              <w:r w:rsidRPr="00293EE1">
                <w:rPr>
                  <w:rStyle w:val="Hyperlink"/>
                  <w:sz w:val="20"/>
                  <w:szCs w:val="20"/>
                  <w:lang w:val="en-US"/>
                </w:rPr>
                <w:t>3</w:t>
              </w:r>
              <w:r w:rsidR="00FF11DE" w:rsidRPr="00293EE1">
                <w:rPr>
                  <w:rStyle w:val="Hyperlink"/>
                  <w:sz w:val="20"/>
                  <w:szCs w:val="20"/>
                  <w:lang w:val="en-US"/>
                </w:rPr>
                <w:t>7120</w:t>
              </w:r>
            </w:hyperlink>
            <w:r w:rsidRPr="00293EE1">
              <w:rPr>
                <w:sz w:val="20"/>
                <w:szCs w:val="20"/>
                <w:lang w:val="en-US"/>
              </w:rPr>
              <w:t>)</w:t>
            </w:r>
          </w:p>
          <w:p w:rsidR="00FF11DE" w:rsidRPr="00293EE1" w:rsidRDefault="00FF11DE" w:rsidP="00E942C2">
            <w:pPr>
              <w:widowControl w:val="0"/>
              <w:rPr>
                <w:b/>
                <w:sz w:val="20"/>
                <w:szCs w:val="20"/>
                <w:lang w:val="en-US"/>
              </w:rPr>
            </w:pPr>
          </w:p>
          <w:p w:rsidR="007C47C2" w:rsidRPr="00293EE1" w:rsidRDefault="00FF11DE" w:rsidP="00E942C2">
            <w:pPr>
              <w:widowControl w:val="0"/>
              <w:rPr>
                <w:sz w:val="20"/>
                <w:szCs w:val="20"/>
                <w:lang w:val="fr-CA"/>
              </w:rPr>
            </w:pPr>
            <w:r w:rsidRPr="00293EE1">
              <w:rPr>
                <w:b/>
                <w:sz w:val="20"/>
                <w:szCs w:val="20"/>
                <w:lang w:val="en-US"/>
              </w:rPr>
              <w:t xml:space="preserve">Gloria Lynn Morgan and Gloria Lynn Morgan Executor of the Will of the Late Elizabeth Flora Cowper-Smith, Deceased </w:t>
            </w:r>
            <w:r w:rsidRPr="00293EE1">
              <w:rPr>
                <w:sz w:val="20"/>
                <w:szCs w:val="20"/>
                <w:lang w:val="en-US"/>
              </w:rPr>
              <w:t xml:space="preserve">(B.C.) </w:t>
            </w:r>
            <w:r w:rsidRPr="00293EE1">
              <w:rPr>
                <w:sz w:val="20"/>
                <w:szCs w:val="20"/>
                <w:lang w:val="fr-CA"/>
              </w:rPr>
              <w:t xml:space="preserve">(Civil) (By </w:t>
            </w:r>
            <w:proofErr w:type="spellStart"/>
            <w:r w:rsidRPr="00293EE1">
              <w:rPr>
                <w:sz w:val="20"/>
                <w:szCs w:val="20"/>
                <w:lang w:val="fr-CA"/>
              </w:rPr>
              <w:t>Leave</w:t>
            </w:r>
            <w:proofErr w:type="spellEnd"/>
            <w:r w:rsidRPr="00293EE1">
              <w:rPr>
                <w:sz w:val="20"/>
                <w:szCs w:val="20"/>
                <w:lang w:val="fr-CA"/>
              </w:rPr>
              <w:t>)</w:t>
            </w:r>
          </w:p>
        </w:tc>
        <w:tc>
          <w:tcPr>
            <w:tcW w:w="720" w:type="dxa"/>
            <w:tcMar>
              <w:left w:w="0" w:type="dxa"/>
              <w:right w:w="0" w:type="dxa"/>
            </w:tcMar>
          </w:tcPr>
          <w:p w:rsidR="007C47C2" w:rsidRPr="00293EE1" w:rsidRDefault="007C47C2" w:rsidP="00E942C2">
            <w:pPr>
              <w:widowControl w:val="0"/>
              <w:jc w:val="center"/>
              <w:rPr>
                <w:sz w:val="20"/>
                <w:szCs w:val="20"/>
                <w:lang w:val="fr-CA"/>
              </w:rPr>
            </w:pPr>
          </w:p>
        </w:tc>
        <w:tc>
          <w:tcPr>
            <w:tcW w:w="4380" w:type="dxa"/>
            <w:tcMar>
              <w:left w:w="0" w:type="dxa"/>
              <w:right w:w="0" w:type="dxa"/>
            </w:tcMar>
          </w:tcPr>
          <w:p w:rsidR="007C47C2" w:rsidRPr="00293EE1" w:rsidRDefault="00FF11DE" w:rsidP="00E942C2">
            <w:pPr>
              <w:widowControl w:val="0"/>
              <w:jc w:val="both"/>
              <w:rPr>
                <w:sz w:val="20"/>
                <w:szCs w:val="20"/>
                <w:lang w:val="en-US"/>
              </w:rPr>
            </w:pPr>
            <w:r w:rsidRPr="00293EE1">
              <w:rPr>
                <w:sz w:val="20"/>
                <w:szCs w:val="20"/>
                <w:lang w:val="en-US"/>
              </w:rPr>
              <w:t>G. Darren Williams, Ellen Vandergrift and Moira Dillon for the appellant.</w:t>
            </w:r>
          </w:p>
          <w:p w:rsidR="00FF11DE" w:rsidRPr="00293EE1" w:rsidRDefault="00FF11DE" w:rsidP="00E942C2">
            <w:pPr>
              <w:widowControl w:val="0"/>
              <w:jc w:val="both"/>
              <w:rPr>
                <w:sz w:val="20"/>
                <w:szCs w:val="20"/>
                <w:lang w:val="en-US"/>
              </w:rPr>
            </w:pPr>
          </w:p>
          <w:p w:rsidR="00FF11DE" w:rsidRPr="00293EE1" w:rsidRDefault="00FF11DE" w:rsidP="00E942C2">
            <w:pPr>
              <w:widowControl w:val="0"/>
              <w:jc w:val="both"/>
              <w:rPr>
                <w:sz w:val="20"/>
                <w:szCs w:val="20"/>
                <w:lang w:val="en-US"/>
              </w:rPr>
            </w:pPr>
            <w:r w:rsidRPr="00293EE1">
              <w:rPr>
                <w:sz w:val="20"/>
                <w:szCs w:val="20"/>
                <w:lang w:val="en-US"/>
              </w:rPr>
              <w:t xml:space="preserve">Claire E. Hunter and Ryan J.M. </w:t>
            </w:r>
            <w:proofErr w:type="spellStart"/>
            <w:r w:rsidRPr="00293EE1">
              <w:rPr>
                <w:sz w:val="20"/>
                <w:szCs w:val="20"/>
                <w:lang w:val="en-US"/>
              </w:rPr>
              <w:t>Androsoff</w:t>
            </w:r>
            <w:proofErr w:type="spellEnd"/>
            <w:r w:rsidRPr="00293EE1">
              <w:rPr>
                <w:sz w:val="20"/>
                <w:szCs w:val="20"/>
                <w:lang w:val="en-US"/>
              </w:rPr>
              <w:t xml:space="preserve"> for the respondent. </w:t>
            </w:r>
          </w:p>
        </w:tc>
      </w:tr>
    </w:tbl>
    <w:p w:rsidR="007C47C2" w:rsidRPr="00293EE1" w:rsidRDefault="007C47C2" w:rsidP="007C47C2">
      <w:pPr>
        <w:widowControl w:val="0"/>
        <w:rPr>
          <w:sz w:val="20"/>
          <w:szCs w:val="20"/>
          <w:lang w:val="en-US"/>
        </w:rPr>
      </w:pPr>
    </w:p>
    <w:p w:rsidR="007C47C2" w:rsidRPr="00293EE1" w:rsidRDefault="007C47C2" w:rsidP="007C47C2">
      <w:pPr>
        <w:widowControl w:val="0"/>
        <w:rPr>
          <w:sz w:val="20"/>
          <w:szCs w:val="20"/>
        </w:rPr>
      </w:pPr>
      <w:r w:rsidRPr="00293EE1">
        <w:rPr>
          <w:b/>
          <w:sz w:val="20"/>
          <w:szCs w:val="20"/>
        </w:rPr>
        <w:t xml:space="preserve">RESERVED / </w:t>
      </w:r>
      <w:r w:rsidRPr="00293EE1">
        <w:rPr>
          <w:b/>
          <w:sz w:val="20"/>
          <w:szCs w:val="20"/>
          <w:lang w:val="en-US"/>
        </w:rPr>
        <w:t>EN DÉLIBÉRÉ</w:t>
      </w:r>
    </w:p>
    <w:p w:rsidR="007C47C2" w:rsidRPr="00293EE1"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B2512D" w:rsidTr="00E942C2">
        <w:tc>
          <w:tcPr>
            <w:tcW w:w="4380" w:type="dxa"/>
            <w:tcMar>
              <w:left w:w="0" w:type="dxa"/>
              <w:right w:w="0" w:type="dxa"/>
            </w:tcMar>
          </w:tcPr>
          <w:p w:rsidR="007C47C2" w:rsidRPr="00293EE1" w:rsidRDefault="007C47C2" w:rsidP="00E942C2">
            <w:pPr>
              <w:widowControl w:val="0"/>
              <w:jc w:val="both"/>
              <w:rPr>
                <w:b/>
                <w:sz w:val="20"/>
                <w:szCs w:val="20"/>
                <w:u w:val="single"/>
              </w:rPr>
            </w:pPr>
            <w:r w:rsidRPr="00293EE1">
              <w:rPr>
                <w:b/>
                <w:sz w:val="20"/>
                <w:szCs w:val="20"/>
                <w:u w:val="single"/>
              </w:rPr>
              <w:t>Nature of the case:</w:t>
            </w:r>
          </w:p>
          <w:p w:rsidR="007C47C2" w:rsidRPr="00293EE1" w:rsidRDefault="007C47C2" w:rsidP="00E942C2">
            <w:pPr>
              <w:widowControl w:val="0"/>
              <w:jc w:val="both"/>
              <w:rPr>
                <w:b/>
                <w:sz w:val="20"/>
                <w:szCs w:val="20"/>
              </w:rPr>
            </w:pPr>
          </w:p>
          <w:p w:rsidR="007C47C2" w:rsidRPr="00293EE1" w:rsidRDefault="00FF11DE" w:rsidP="00E942C2">
            <w:pPr>
              <w:widowControl w:val="0"/>
              <w:jc w:val="both"/>
              <w:rPr>
                <w:b/>
                <w:sz w:val="20"/>
                <w:szCs w:val="20"/>
              </w:rPr>
            </w:pPr>
            <w:r w:rsidRPr="00293EE1">
              <w:rPr>
                <w:sz w:val="20"/>
                <w:szCs w:val="20"/>
              </w:rPr>
              <w:t xml:space="preserve">Wills and estates - Wills - Beneficiaries - Undue influence - Property - Proprietary estoppel - Elderly testatrix executing will dividing estate into equal shares between her three children - Testatrix effecting certain </w:t>
            </w:r>
            <w:r w:rsidRPr="00293EE1">
              <w:rPr>
                <w:i/>
                <w:sz w:val="20"/>
                <w:szCs w:val="20"/>
              </w:rPr>
              <w:t xml:space="preserve">inter </w:t>
            </w:r>
            <w:proofErr w:type="spellStart"/>
            <w:r w:rsidRPr="00293EE1">
              <w:rPr>
                <w:i/>
                <w:sz w:val="20"/>
                <w:szCs w:val="20"/>
              </w:rPr>
              <w:t>vivos</w:t>
            </w:r>
            <w:proofErr w:type="spellEnd"/>
            <w:r w:rsidRPr="00293EE1">
              <w:rPr>
                <w:sz w:val="20"/>
                <w:szCs w:val="20"/>
              </w:rPr>
              <w:t xml:space="preserve"> transfers of her bulk of her property in favour of respondent after receiving legal advice - Applicant residing with and caring for testatrix in years prior to her death believing he would be entitled to one third of estate and that respondent would permit him to purchase her interest in testatrix’s home - After testatrix’s death, respondent maintaining assets were hers absolutely - Siblings seeking declaration that respondent held the assets in trust for estate to be equally divided - What is the proper test for proprietary estoppel in Canada? - Should promise-based proprietary estoppel include claims where, at the time the promise was made, the promisor’s interest in the property was a contingent future interest?</w:t>
            </w:r>
          </w:p>
        </w:tc>
        <w:tc>
          <w:tcPr>
            <w:tcW w:w="720" w:type="dxa"/>
            <w:tcMar>
              <w:left w:w="0" w:type="dxa"/>
              <w:right w:w="0" w:type="dxa"/>
            </w:tcMar>
          </w:tcPr>
          <w:p w:rsidR="007C47C2" w:rsidRPr="00293EE1" w:rsidRDefault="007C47C2" w:rsidP="00E942C2">
            <w:pPr>
              <w:widowControl w:val="0"/>
              <w:jc w:val="center"/>
              <w:rPr>
                <w:sz w:val="20"/>
                <w:szCs w:val="20"/>
              </w:rPr>
            </w:pPr>
          </w:p>
        </w:tc>
        <w:tc>
          <w:tcPr>
            <w:tcW w:w="4380" w:type="dxa"/>
            <w:tcMar>
              <w:left w:w="0" w:type="dxa"/>
              <w:right w:w="0" w:type="dxa"/>
            </w:tcMar>
          </w:tcPr>
          <w:p w:rsidR="007C47C2" w:rsidRPr="00293EE1" w:rsidRDefault="007C47C2" w:rsidP="00E942C2">
            <w:pPr>
              <w:widowControl w:val="0"/>
              <w:jc w:val="both"/>
              <w:rPr>
                <w:b/>
                <w:sz w:val="20"/>
                <w:szCs w:val="20"/>
                <w:u w:val="single"/>
                <w:lang w:val="fr-CA"/>
              </w:rPr>
            </w:pPr>
            <w:r w:rsidRPr="00293EE1">
              <w:rPr>
                <w:b/>
                <w:sz w:val="20"/>
                <w:szCs w:val="20"/>
                <w:u w:val="single"/>
                <w:lang w:val="fr-CA"/>
              </w:rPr>
              <w:t>Nature de la cause :</w:t>
            </w:r>
          </w:p>
          <w:p w:rsidR="007C47C2" w:rsidRPr="00293EE1" w:rsidRDefault="007C47C2" w:rsidP="00E942C2">
            <w:pPr>
              <w:widowControl w:val="0"/>
              <w:jc w:val="both"/>
              <w:rPr>
                <w:sz w:val="20"/>
                <w:szCs w:val="20"/>
                <w:lang w:val="fr-CA"/>
              </w:rPr>
            </w:pPr>
          </w:p>
          <w:p w:rsidR="007C47C2" w:rsidRPr="00293EE1" w:rsidRDefault="00FF11DE" w:rsidP="00E942C2">
            <w:pPr>
              <w:widowControl w:val="0"/>
              <w:jc w:val="both"/>
              <w:rPr>
                <w:sz w:val="20"/>
                <w:szCs w:val="20"/>
                <w:lang w:val="fr-CA"/>
              </w:rPr>
            </w:pPr>
            <w:r w:rsidRPr="00293EE1">
              <w:rPr>
                <w:sz w:val="20"/>
                <w:szCs w:val="20"/>
                <w:lang w:val="fr-CA"/>
              </w:rPr>
              <w:t xml:space="preserve">Successions - Testaments - Bénéficiaires - Influence indue - Biens - </w:t>
            </w:r>
            <w:proofErr w:type="spellStart"/>
            <w:r w:rsidRPr="00293EE1">
              <w:rPr>
                <w:sz w:val="20"/>
                <w:szCs w:val="20"/>
                <w:lang w:val="fr-CA"/>
              </w:rPr>
              <w:t>Préclusion</w:t>
            </w:r>
            <w:proofErr w:type="spellEnd"/>
            <w:r w:rsidRPr="00293EE1">
              <w:rPr>
                <w:sz w:val="20"/>
                <w:szCs w:val="20"/>
                <w:lang w:val="fr-CA"/>
              </w:rPr>
              <w:t xml:space="preserve"> </w:t>
            </w:r>
            <w:proofErr w:type="spellStart"/>
            <w:r w:rsidRPr="00293EE1">
              <w:rPr>
                <w:sz w:val="20"/>
                <w:szCs w:val="20"/>
                <w:lang w:val="fr-CA"/>
              </w:rPr>
              <w:t>propriétale</w:t>
            </w:r>
            <w:proofErr w:type="spellEnd"/>
            <w:r w:rsidRPr="00293EE1">
              <w:rPr>
                <w:sz w:val="20"/>
                <w:szCs w:val="20"/>
                <w:lang w:val="fr-CA"/>
              </w:rPr>
              <w:t xml:space="preserve"> - La testatrice âgée a fait un testament dans lequel elle a légué ses biens à ses trois enfants en parts égales - La testatrice a effectué certains transferts entre vifs portant sur l’ensemble de ses biens en faveur de l’intimée après avoir reçu des conseils juridiques - Le demandeur résidait avec la testatrice et prenait soin d’elle dans les années qui ont précédé son décès, croyant qu’il aurait droit à un tiers de la succession et que l’intimée lui permettrait d’acheter la part de cette dernière dans la maison de la testatrice - Après le décès de la testatrice, l’intimée a soutenu que les biens lui appartenaient à titre absolu - Les frères de l’intimée demandent un jugement déclarant que l’intimée détenait les biens en fiducie pour la succession en vue de leur partage en parts égales - Quel est le critère à appliquer pour analyser la </w:t>
            </w:r>
            <w:proofErr w:type="spellStart"/>
            <w:r w:rsidRPr="00293EE1">
              <w:rPr>
                <w:sz w:val="20"/>
                <w:szCs w:val="20"/>
                <w:lang w:val="fr-CA"/>
              </w:rPr>
              <w:t>préclusion</w:t>
            </w:r>
            <w:proofErr w:type="spellEnd"/>
            <w:r w:rsidRPr="00293EE1">
              <w:rPr>
                <w:sz w:val="20"/>
                <w:szCs w:val="20"/>
                <w:lang w:val="fr-CA"/>
              </w:rPr>
              <w:t xml:space="preserve"> </w:t>
            </w:r>
            <w:proofErr w:type="spellStart"/>
            <w:r w:rsidRPr="00293EE1">
              <w:rPr>
                <w:sz w:val="20"/>
                <w:szCs w:val="20"/>
                <w:lang w:val="fr-CA"/>
              </w:rPr>
              <w:t>propriétale</w:t>
            </w:r>
            <w:proofErr w:type="spellEnd"/>
            <w:r w:rsidRPr="00293EE1">
              <w:rPr>
                <w:sz w:val="20"/>
                <w:szCs w:val="20"/>
                <w:lang w:val="fr-CA"/>
              </w:rPr>
              <w:t xml:space="preserve"> au Canada? - La </w:t>
            </w:r>
            <w:proofErr w:type="spellStart"/>
            <w:r w:rsidRPr="00293EE1">
              <w:rPr>
                <w:sz w:val="20"/>
                <w:szCs w:val="20"/>
                <w:lang w:val="fr-CA"/>
              </w:rPr>
              <w:t>préclusion</w:t>
            </w:r>
            <w:proofErr w:type="spellEnd"/>
            <w:r w:rsidRPr="00293EE1">
              <w:rPr>
                <w:sz w:val="20"/>
                <w:szCs w:val="20"/>
                <w:lang w:val="fr-CA"/>
              </w:rPr>
              <w:t xml:space="preserve"> </w:t>
            </w:r>
            <w:proofErr w:type="spellStart"/>
            <w:r w:rsidRPr="00293EE1">
              <w:rPr>
                <w:sz w:val="20"/>
                <w:szCs w:val="20"/>
                <w:lang w:val="fr-CA"/>
              </w:rPr>
              <w:t>propriétale</w:t>
            </w:r>
            <w:proofErr w:type="spellEnd"/>
            <w:r w:rsidRPr="00293EE1">
              <w:rPr>
                <w:sz w:val="20"/>
                <w:szCs w:val="20"/>
                <w:lang w:val="fr-CA"/>
              </w:rPr>
              <w:t xml:space="preserve"> fondée sur une promesse </w:t>
            </w:r>
            <w:proofErr w:type="spellStart"/>
            <w:r w:rsidRPr="00293EE1">
              <w:rPr>
                <w:sz w:val="20"/>
                <w:szCs w:val="20"/>
                <w:lang w:val="fr-CA"/>
              </w:rPr>
              <w:t>doit-elle</w:t>
            </w:r>
            <w:proofErr w:type="spellEnd"/>
            <w:r w:rsidRPr="00293EE1">
              <w:rPr>
                <w:sz w:val="20"/>
                <w:szCs w:val="20"/>
                <w:lang w:val="fr-CA"/>
              </w:rPr>
              <w:t xml:space="preserve"> comprendre les demandes où, au moment où la promesse a été faite, l’intérêt du promettant à l’égard des biens était un intérêt futur éventuel?</w:t>
            </w:r>
          </w:p>
        </w:tc>
      </w:tr>
    </w:tbl>
    <w:p w:rsidR="007C47C2" w:rsidRPr="00293EE1" w:rsidRDefault="007C47C2" w:rsidP="007C47C2">
      <w:pPr>
        <w:widowControl w:val="0"/>
        <w:rPr>
          <w:sz w:val="20"/>
          <w:szCs w:val="20"/>
          <w:lang w:val="fr-CA"/>
        </w:rPr>
      </w:pPr>
    </w:p>
    <w:p w:rsidR="002A27D1" w:rsidRPr="00293EE1" w:rsidRDefault="00B2512D" w:rsidP="002A27D1">
      <w:pPr>
        <w:widowControl w:val="0"/>
        <w:rPr>
          <w:sz w:val="20"/>
          <w:szCs w:val="20"/>
        </w:rPr>
      </w:pPr>
      <w:r>
        <w:rPr>
          <w:sz w:val="20"/>
          <w:szCs w:val="20"/>
          <w:lang w:val="fr-CA"/>
        </w:rPr>
        <w:pict>
          <v:rect id="_x0000_i1085" style="width:2in;height:1pt" o:hrpct="0" o:hralign="center" o:hrstd="t" o:hrnoshade="t" o:hr="t" fillcolor="black [3213]" stroked="f"/>
        </w:pict>
      </w:r>
    </w:p>
    <w:p w:rsidR="002A27D1" w:rsidRPr="00293EE1" w:rsidRDefault="002A27D1" w:rsidP="002A27D1">
      <w:pPr>
        <w:widowControl w:val="0"/>
        <w:rPr>
          <w:sz w:val="20"/>
          <w:szCs w:val="20"/>
        </w:rPr>
      </w:pPr>
    </w:p>
    <w:p w:rsidR="00E940EB" w:rsidRPr="00293EE1" w:rsidRDefault="00E940EB" w:rsidP="00732DB7">
      <w:pPr>
        <w:widowControl w:val="0"/>
        <w:rPr>
          <w:sz w:val="20"/>
          <w:szCs w:val="20"/>
          <w:lang w:val="en-US"/>
        </w:rPr>
      </w:pPr>
    </w:p>
    <w:p w:rsidR="00D004FC" w:rsidRPr="00293EE1" w:rsidRDefault="00D004FC" w:rsidP="00732DB7">
      <w:pPr>
        <w:widowControl w:val="0"/>
        <w:rPr>
          <w:sz w:val="20"/>
          <w:szCs w:val="20"/>
          <w:lang w:val="en-US"/>
        </w:rPr>
      </w:pPr>
    </w:p>
    <w:p w:rsidR="0056248C" w:rsidRPr="00293EE1" w:rsidRDefault="0056248C" w:rsidP="00732DB7">
      <w:pPr>
        <w:widowControl w:val="0"/>
        <w:rPr>
          <w:sz w:val="20"/>
          <w:szCs w:val="20"/>
          <w:lang w:val="en-US"/>
        </w:rPr>
      </w:pPr>
    </w:p>
    <w:p w:rsidR="00732DB7" w:rsidRPr="00293EE1" w:rsidRDefault="00732DB7" w:rsidP="00732DB7">
      <w:pPr>
        <w:widowControl w:val="0"/>
        <w:rPr>
          <w:sz w:val="20"/>
          <w:szCs w:val="20"/>
          <w:lang w:val="en-US"/>
        </w:rPr>
      </w:pPr>
    </w:p>
    <w:p w:rsidR="00732DB7" w:rsidRPr="00293EE1" w:rsidRDefault="00732DB7" w:rsidP="00732DB7">
      <w:pPr>
        <w:widowControl w:val="0"/>
        <w:rPr>
          <w:sz w:val="20"/>
          <w:szCs w:val="20"/>
          <w:lang w:val="en-US"/>
        </w:rPr>
        <w:sectPr w:rsidR="00732DB7" w:rsidRPr="00293EE1" w:rsidSect="00732DB7">
          <w:headerReference w:type="even" r:id="rId94"/>
          <w:headerReference w:type="default" r:id="rId95"/>
          <w:footerReference w:type="even" r:id="rId96"/>
          <w:footerReference w:type="default" r:id="rId97"/>
          <w:headerReference w:type="first" r:id="rId98"/>
          <w:footerReference w:type="first" r:id="rId99"/>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B2512D" w:rsidTr="0085476B">
        <w:tc>
          <w:tcPr>
            <w:tcW w:w="4200" w:type="dxa"/>
            <w:tcMar>
              <w:left w:w="0" w:type="dxa"/>
              <w:right w:w="0" w:type="dxa"/>
            </w:tcMar>
          </w:tcPr>
          <w:p w:rsidR="00FF6EEC" w:rsidRPr="00293EE1" w:rsidRDefault="00FF6EEC" w:rsidP="0085476B">
            <w:pPr>
              <w:keepNext/>
              <w:keepLines/>
              <w:tabs>
                <w:tab w:val="left" w:pos="-1440"/>
                <w:tab w:val="left" w:pos="-720"/>
              </w:tabs>
              <w:rPr>
                <w:b/>
                <w:szCs w:val="24"/>
              </w:rPr>
            </w:pPr>
            <w:r w:rsidRPr="00293EE1">
              <w:rPr>
                <w:b/>
                <w:szCs w:val="24"/>
              </w:rPr>
              <w:lastRenderedPageBreak/>
              <w:t>PRONOUNCEMENTS OF APPEALS</w:t>
            </w:r>
            <w:r w:rsidR="0085476B" w:rsidRPr="00293EE1">
              <w:rPr>
                <w:b/>
                <w:szCs w:val="24"/>
              </w:rPr>
              <w:t xml:space="preserve"> </w:t>
            </w:r>
            <w:r w:rsidRPr="00293EE1">
              <w:rPr>
                <w:b/>
                <w:szCs w:val="24"/>
              </w:rPr>
              <w:t>RESERVED</w:t>
            </w:r>
          </w:p>
          <w:p w:rsidR="00FF6EEC" w:rsidRPr="00293EE1"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293EE1"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293EE1">
              <w:rPr>
                <w:b/>
                <w:szCs w:val="24"/>
              </w:rPr>
              <w:t>Reasons for judgment are available</w:t>
            </w:r>
          </w:p>
        </w:tc>
        <w:tc>
          <w:tcPr>
            <w:tcW w:w="1200" w:type="dxa"/>
            <w:tcMar>
              <w:left w:w="0" w:type="dxa"/>
              <w:right w:w="0" w:type="dxa"/>
            </w:tcMar>
          </w:tcPr>
          <w:p w:rsidR="00FF6EEC" w:rsidRPr="00293EE1" w:rsidRDefault="00FF6EEC" w:rsidP="00FF6EEC">
            <w:pPr>
              <w:keepNext/>
              <w:keepLines/>
              <w:tabs>
                <w:tab w:val="left" w:pos="-1440"/>
                <w:tab w:val="left" w:pos="-720"/>
              </w:tabs>
              <w:jc w:val="center"/>
              <w:rPr>
                <w:b/>
                <w:szCs w:val="24"/>
              </w:rPr>
            </w:pPr>
          </w:p>
          <w:p w:rsidR="00FF6EEC" w:rsidRPr="00293EE1" w:rsidRDefault="00FF6EEC" w:rsidP="00FF6EEC">
            <w:pPr>
              <w:keepNext/>
              <w:keepLines/>
              <w:tabs>
                <w:tab w:val="left" w:pos="-1440"/>
                <w:tab w:val="left" w:pos="-720"/>
              </w:tabs>
              <w:jc w:val="center"/>
              <w:rPr>
                <w:b/>
                <w:szCs w:val="24"/>
              </w:rPr>
            </w:pPr>
          </w:p>
          <w:p w:rsidR="00FF6EEC" w:rsidRPr="00293EE1" w:rsidRDefault="00FF6EEC" w:rsidP="00FF6EEC">
            <w:pPr>
              <w:keepNext/>
              <w:keepLines/>
              <w:tabs>
                <w:tab w:val="left" w:pos="-1440"/>
                <w:tab w:val="left" w:pos="-720"/>
              </w:tabs>
              <w:jc w:val="center"/>
              <w:rPr>
                <w:b/>
                <w:szCs w:val="24"/>
              </w:rPr>
            </w:pPr>
          </w:p>
          <w:p w:rsidR="00FF6EEC" w:rsidRPr="00293EE1" w:rsidRDefault="00FF6EEC" w:rsidP="00FF6EEC">
            <w:pPr>
              <w:keepNext/>
              <w:keepLines/>
              <w:tabs>
                <w:tab w:val="left" w:pos="-1440"/>
                <w:tab w:val="left" w:pos="-720"/>
              </w:tabs>
              <w:jc w:val="center"/>
              <w:rPr>
                <w:b/>
                <w:szCs w:val="24"/>
              </w:rPr>
            </w:pPr>
          </w:p>
          <w:p w:rsidR="00FF6EEC" w:rsidRPr="00293EE1"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293EE1" w:rsidRDefault="00FF6EEC" w:rsidP="00FF6EEC">
            <w:pPr>
              <w:keepNext/>
              <w:keepLines/>
              <w:tabs>
                <w:tab w:val="left" w:pos="-1440"/>
                <w:tab w:val="left" w:pos="-720"/>
              </w:tabs>
              <w:rPr>
                <w:b/>
                <w:szCs w:val="24"/>
                <w:lang w:val="fr-CA"/>
              </w:rPr>
            </w:pPr>
            <w:r w:rsidRPr="00293EE1">
              <w:rPr>
                <w:b/>
                <w:szCs w:val="24"/>
                <w:lang w:val="fr-CA"/>
              </w:rPr>
              <w:t>JUGEMENTS RENDUS SUR LES APPELS EN DÉLIBÉRÉ</w:t>
            </w:r>
          </w:p>
          <w:p w:rsidR="00FF6EEC" w:rsidRPr="00293EE1"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293EE1"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293EE1">
              <w:rPr>
                <w:b/>
                <w:szCs w:val="24"/>
                <w:lang w:val="fr-CA"/>
              </w:rPr>
              <w:t>Les motifs de jugement sont disponibles</w:t>
            </w:r>
          </w:p>
        </w:tc>
      </w:tr>
    </w:tbl>
    <w:p w:rsidR="00FF6EEC" w:rsidRPr="00293EE1" w:rsidRDefault="00FF6EEC" w:rsidP="00FF6EEC">
      <w:pPr>
        <w:rPr>
          <w:b/>
          <w:sz w:val="20"/>
          <w:szCs w:val="20"/>
          <w:lang w:val="fr-CA"/>
        </w:rPr>
      </w:pPr>
    </w:p>
    <w:p w:rsidR="0052229C" w:rsidRPr="00293EE1" w:rsidRDefault="00C64C2D" w:rsidP="0052229C">
      <w:pPr>
        <w:rPr>
          <w:b/>
          <w:sz w:val="20"/>
          <w:szCs w:val="20"/>
          <w:lang w:val="en-US"/>
        </w:rPr>
      </w:pPr>
      <w:r w:rsidRPr="00293EE1">
        <w:rPr>
          <w:b/>
          <w:sz w:val="20"/>
          <w:szCs w:val="20"/>
          <w:lang w:val="en-US"/>
        </w:rPr>
        <w:t>JUNE 1</w:t>
      </w:r>
      <w:r w:rsidR="0052229C" w:rsidRPr="00293EE1">
        <w:rPr>
          <w:b/>
          <w:sz w:val="20"/>
          <w:szCs w:val="20"/>
          <w:lang w:val="en-US"/>
        </w:rPr>
        <w:t>, 201</w:t>
      </w:r>
      <w:r w:rsidR="0056248C" w:rsidRPr="00293EE1">
        <w:rPr>
          <w:b/>
          <w:sz w:val="20"/>
          <w:szCs w:val="20"/>
          <w:lang w:val="en-US"/>
        </w:rPr>
        <w:t>7</w:t>
      </w:r>
      <w:r w:rsidR="0052229C" w:rsidRPr="00293EE1">
        <w:rPr>
          <w:b/>
          <w:sz w:val="20"/>
          <w:szCs w:val="20"/>
          <w:lang w:val="en-US"/>
        </w:rPr>
        <w:t xml:space="preserve"> / LE 1</w:t>
      </w:r>
      <w:r w:rsidRPr="00293EE1">
        <w:rPr>
          <w:b/>
          <w:sz w:val="20"/>
          <w:szCs w:val="20"/>
          <w:lang w:val="en-US"/>
        </w:rPr>
        <w:t xml:space="preserve"> JUIN</w:t>
      </w:r>
      <w:r w:rsidR="0052229C" w:rsidRPr="00293EE1">
        <w:rPr>
          <w:b/>
          <w:sz w:val="20"/>
          <w:szCs w:val="20"/>
          <w:lang w:val="en-US"/>
        </w:rPr>
        <w:t xml:space="preserve"> 201</w:t>
      </w:r>
      <w:r w:rsidR="0056248C" w:rsidRPr="00293EE1">
        <w:rPr>
          <w:b/>
          <w:sz w:val="20"/>
          <w:szCs w:val="20"/>
          <w:lang w:val="en-US"/>
        </w:rPr>
        <w:t>7</w:t>
      </w:r>
    </w:p>
    <w:p w:rsidR="0052229C" w:rsidRPr="00293EE1" w:rsidRDefault="0052229C" w:rsidP="0052229C">
      <w:pPr>
        <w:rPr>
          <w:sz w:val="20"/>
          <w:szCs w:val="20"/>
          <w:lang w:val="en-US"/>
        </w:rPr>
      </w:pPr>
    </w:p>
    <w:p w:rsidR="0052229C" w:rsidRPr="00293EE1" w:rsidRDefault="000E27A5" w:rsidP="0052229C">
      <w:pPr>
        <w:ind w:left="1440" w:hanging="1440"/>
        <w:jc w:val="both"/>
        <w:rPr>
          <w:sz w:val="20"/>
          <w:lang w:val="en-US"/>
        </w:rPr>
      </w:pPr>
      <w:r w:rsidRPr="00293EE1">
        <w:rPr>
          <w:b/>
          <w:sz w:val="20"/>
        </w:rPr>
        <w:fldChar w:fldCharType="begin"/>
      </w:r>
      <w:r w:rsidR="0052229C" w:rsidRPr="00293EE1">
        <w:rPr>
          <w:b/>
          <w:sz w:val="20"/>
          <w:lang w:val="en-US"/>
        </w:rPr>
        <w:instrText xml:space="preserve"> SEQ CHAPTER \h \r 1</w:instrText>
      </w:r>
      <w:r w:rsidRPr="00293EE1">
        <w:rPr>
          <w:b/>
          <w:sz w:val="20"/>
        </w:rPr>
        <w:fldChar w:fldCharType="end"/>
      </w:r>
      <w:r w:rsidR="00B034EF" w:rsidRPr="00293EE1">
        <w:rPr>
          <w:b/>
          <w:sz w:val="20"/>
        </w:rPr>
        <w:t>36783</w:t>
      </w:r>
      <w:r w:rsidR="0052229C" w:rsidRPr="00293EE1">
        <w:rPr>
          <w:sz w:val="20"/>
          <w:lang w:val="en-US"/>
        </w:rPr>
        <w:tab/>
      </w:r>
      <w:r w:rsidR="003F22B6" w:rsidRPr="00293EE1">
        <w:rPr>
          <w:b/>
          <w:iCs/>
          <w:sz w:val="20"/>
          <w:u w:val="single"/>
        </w:rPr>
        <w:t>Her Majesty the Queen in Right of Canada v. Kevin Antic – and – Canadian Civil Liberties Association and Criminal Lawyers’ Association (Ontario)</w:t>
      </w:r>
      <w:r w:rsidR="00B034EF" w:rsidRPr="00293EE1">
        <w:rPr>
          <w:b/>
          <w:sz w:val="20"/>
          <w:lang w:val="en-US"/>
        </w:rPr>
        <w:t xml:space="preserve"> </w:t>
      </w:r>
      <w:r w:rsidR="00B034EF" w:rsidRPr="00293EE1">
        <w:rPr>
          <w:iCs/>
          <w:sz w:val="20"/>
          <w:lang w:val="en-US"/>
        </w:rPr>
        <w:t>(Ont.</w:t>
      </w:r>
      <w:r w:rsidR="0052229C" w:rsidRPr="00293EE1">
        <w:rPr>
          <w:iCs/>
          <w:sz w:val="20"/>
          <w:lang w:val="en-US"/>
        </w:rPr>
        <w:t>)</w:t>
      </w:r>
    </w:p>
    <w:p w:rsidR="0052229C" w:rsidRPr="00293EE1"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293EE1">
        <w:rPr>
          <w:b/>
          <w:sz w:val="20"/>
          <w:lang w:val="en-US"/>
        </w:rPr>
        <w:t>201</w:t>
      </w:r>
      <w:r w:rsidR="0056248C" w:rsidRPr="00293EE1">
        <w:rPr>
          <w:b/>
          <w:sz w:val="20"/>
          <w:lang w:val="en-US"/>
        </w:rPr>
        <w:t>7</w:t>
      </w:r>
      <w:r w:rsidR="00B034EF" w:rsidRPr="00293EE1">
        <w:rPr>
          <w:b/>
          <w:sz w:val="20"/>
          <w:lang w:val="en-US"/>
        </w:rPr>
        <w:t xml:space="preserve"> SCC 27</w:t>
      </w:r>
      <w:r w:rsidRPr="00293EE1">
        <w:rPr>
          <w:b/>
          <w:sz w:val="20"/>
          <w:lang w:val="en-US"/>
        </w:rPr>
        <w:t xml:space="preserve"> / 201</w:t>
      </w:r>
      <w:r w:rsidR="0056248C" w:rsidRPr="00293EE1">
        <w:rPr>
          <w:b/>
          <w:sz w:val="20"/>
          <w:lang w:val="en-US"/>
        </w:rPr>
        <w:t>7</w:t>
      </w:r>
      <w:r w:rsidR="00B034EF" w:rsidRPr="00293EE1">
        <w:rPr>
          <w:b/>
          <w:sz w:val="20"/>
          <w:lang w:val="en-US"/>
        </w:rPr>
        <w:t xml:space="preserve"> CSC 27</w:t>
      </w:r>
    </w:p>
    <w:p w:rsidR="0052229C" w:rsidRPr="00293EE1"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293EE1" w:rsidRDefault="0052229C" w:rsidP="0056248C">
      <w:pPr>
        <w:widowControl w:val="0"/>
        <w:ind w:left="720" w:hanging="720"/>
        <w:rPr>
          <w:sz w:val="20"/>
          <w:szCs w:val="20"/>
          <w:u w:val="single"/>
          <w:lang w:val="en-US"/>
        </w:rPr>
      </w:pPr>
      <w:r w:rsidRPr="00293EE1">
        <w:rPr>
          <w:sz w:val="20"/>
          <w:lang w:val="en-US"/>
        </w:rPr>
        <w:t>Coram:</w:t>
      </w:r>
      <w:r w:rsidRPr="00293EE1">
        <w:rPr>
          <w:sz w:val="20"/>
          <w:lang w:val="en-US"/>
        </w:rPr>
        <w:tab/>
      </w:r>
      <w:r w:rsidR="00CB40D5">
        <w:rPr>
          <w:sz w:val="20"/>
          <w:lang w:val="en-US"/>
        </w:rPr>
        <w:tab/>
      </w:r>
      <w:proofErr w:type="spellStart"/>
      <w:r w:rsidR="00EB1ED5" w:rsidRPr="00293EE1">
        <w:rPr>
          <w:sz w:val="20"/>
          <w:szCs w:val="20"/>
          <w:u w:val="single"/>
          <w:lang w:val="en-US"/>
        </w:rPr>
        <w:t>McLachlin</w:t>
      </w:r>
      <w:proofErr w:type="spellEnd"/>
      <w:r w:rsidR="00EB1ED5" w:rsidRPr="00293EE1">
        <w:rPr>
          <w:sz w:val="20"/>
          <w:szCs w:val="20"/>
          <w:u w:val="single"/>
          <w:lang w:val="en-US"/>
        </w:rPr>
        <w:t xml:space="preserve"> C.J. and </w:t>
      </w:r>
      <w:proofErr w:type="spellStart"/>
      <w:r w:rsidR="00EB1ED5" w:rsidRPr="00293EE1">
        <w:rPr>
          <w:sz w:val="20"/>
          <w:szCs w:val="20"/>
          <w:u w:val="single"/>
          <w:lang w:val="en-US"/>
        </w:rPr>
        <w:t>Abella</w:t>
      </w:r>
      <w:proofErr w:type="spellEnd"/>
      <w:r w:rsidR="00EB1ED5" w:rsidRPr="00293EE1">
        <w:rPr>
          <w:sz w:val="20"/>
          <w:szCs w:val="20"/>
          <w:u w:val="single"/>
          <w:lang w:val="en-US"/>
        </w:rPr>
        <w:t xml:space="preserve">, </w:t>
      </w:r>
      <w:proofErr w:type="spellStart"/>
      <w:r w:rsidR="00EB1ED5" w:rsidRPr="00293EE1">
        <w:rPr>
          <w:sz w:val="20"/>
          <w:szCs w:val="20"/>
          <w:u w:val="single"/>
          <w:lang w:val="en-US"/>
        </w:rPr>
        <w:t>Moldaver</w:t>
      </w:r>
      <w:proofErr w:type="spellEnd"/>
      <w:r w:rsidR="00EB1ED5" w:rsidRPr="00293EE1">
        <w:rPr>
          <w:sz w:val="20"/>
          <w:szCs w:val="20"/>
          <w:u w:val="single"/>
          <w:lang w:val="en-US"/>
        </w:rPr>
        <w:t xml:space="preserve">, </w:t>
      </w:r>
      <w:proofErr w:type="spellStart"/>
      <w:r w:rsidR="00EB1ED5" w:rsidRPr="00293EE1">
        <w:rPr>
          <w:sz w:val="20"/>
          <w:szCs w:val="20"/>
          <w:u w:val="single"/>
          <w:lang w:val="en-US"/>
        </w:rPr>
        <w:t>Karakatsanis</w:t>
      </w:r>
      <w:proofErr w:type="spellEnd"/>
      <w:r w:rsidR="00EB1ED5" w:rsidRPr="00293EE1">
        <w:rPr>
          <w:sz w:val="20"/>
          <w:szCs w:val="20"/>
          <w:u w:val="single"/>
          <w:lang w:val="en-US"/>
        </w:rPr>
        <w:t xml:space="preserve">, Wagner, </w:t>
      </w:r>
      <w:proofErr w:type="spellStart"/>
      <w:r w:rsidR="00EB1ED5" w:rsidRPr="00293EE1">
        <w:rPr>
          <w:sz w:val="20"/>
          <w:szCs w:val="20"/>
          <w:u w:val="single"/>
          <w:lang w:val="en-US"/>
        </w:rPr>
        <w:t>Gascon</w:t>
      </w:r>
      <w:proofErr w:type="spellEnd"/>
      <w:r w:rsidR="00EB1ED5" w:rsidRPr="00293EE1">
        <w:rPr>
          <w:sz w:val="20"/>
          <w:szCs w:val="20"/>
          <w:u w:val="single"/>
          <w:lang w:val="en-US"/>
        </w:rPr>
        <w:t xml:space="preserve">, </w:t>
      </w:r>
      <w:proofErr w:type="spellStart"/>
      <w:r w:rsidR="00EB1ED5" w:rsidRPr="00293EE1">
        <w:rPr>
          <w:sz w:val="20"/>
          <w:szCs w:val="20"/>
          <w:u w:val="single"/>
          <w:lang w:val="en-US"/>
        </w:rPr>
        <w:t>Côté</w:t>
      </w:r>
      <w:proofErr w:type="spellEnd"/>
      <w:r w:rsidR="00EB1ED5" w:rsidRPr="00293EE1">
        <w:rPr>
          <w:sz w:val="20"/>
          <w:szCs w:val="20"/>
          <w:u w:val="single"/>
          <w:lang w:val="en-US"/>
        </w:rPr>
        <w:t>, Brown and Rowe JJ.</w:t>
      </w:r>
    </w:p>
    <w:p w:rsidR="0052229C" w:rsidRPr="00293EE1" w:rsidRDefault="0052229C" w:rsidP="0052229C">
      <w:pPr>
        <w:ind w:left="1440" w:hanging="1440"/>
        <w:rPr>
          <w:sz w:val="16"/>
          <w:u w:val="single"/>
          <w:lang w:val="en-US"/>
        </w:rPr>
      </w:pPr>
    </w:p>
    <w:p w:rsidR="00CB40D5" w:rsidRPr="00751250" w:rsidRDefault="00CB40D5" w:rsidP="00CB40D5">
      <w:pPr>
        <w:jc w:val="both"/>
        <w:rPr>
          <w:sz w:val="20"/>
          <w:szCs w:val="20"/>
        </w:rPr>
      </w:pPr>
      <w:r w:rsidRPr="00751250">
        <w:rPr>
          <w:sz w:val="20"/>
          <w:szCs w:val="20"/>
        </w:rPr>
        <w:t xml:space="preserve">The appeal from the judgment of the Ontario Superior Court of Justice, Number CR-15-3465-BR, 2015 ONSC 6593, dated October 23, 2015, heard on December 2, 2016, is </w:t>
      </w:r>
      <w:r w:rsidRPr="00751250">
        <w:rPr>
          <w:rFonts w:cs="Times New Roman"/>
          <w:sz w:val="20"/>
          <w:szCs w:val="20"/>
        </w:rPr>
        <w:t>allowed. The bail review judge’s declaration of unconstitutionality is reversed and the cash-plus-surety release order is replaced with a cash-only release order on the same terms as those that he imposed</w:t>
      </w:r>
      <w:r w:rsidRPr="00751250">
        <w:rPr>
          <w:sz w:val="20"/>
          <w:szCs w:val="20"/>
        </w:rPr>
        <w:t>.</w:t>
      </w:r>
    </w:p>
    <w:p w:rsidR="00EB1ED5" w:rsidRPr="00293EE1" w:rsidRDefault="00EB1ED5" w:rsidP="00EB1ED5">
      <w:pPr>
        <w:jc w:val="both"/>
        <w:rPr>
          <w:sz w:val="20"/>
        </w:rPr>
      </w:pPr>
    </w:p>
    <w:p w:rsidR="00CB40D5" w:rsidRPr="00751250" w:rsidRDefault="00CB40D5" w:rsidP="00CB40D5">
      <w:pPr>
        <w:jc w:val="both"/>
        <w:rPr>
          <w:sz w:val="20"/>
          <w:szCs w:val="20"/>
          <w:lang w:val="fr-CA"/>
        </w:rPr>
      </w:pPr>
      <w:r w:rsidRPr="00751250">
        <w:rPr>
          <w:sz w:val="20"/>
          <w:szCs w:val="20"/>
          <w:lang w:val="fr-CA"/>
        </w:rPr>
        <w:t xml:space="preserve">L’appel interjeté contre l’arrêt de la Cour supérieure de justice de l’Ontario, numéro CR-15-3465-BR, 2015 ONSC 6593, daté du 23 octobre 2015, entendu le 2 décembre 2016, est </w:t>
      </w:r>
      <w:r w:rsidRPr="00751250">
        <w:rPr>
          <w:rFonts w:cs="Times New Roman"/>
          <w:sz w:val="20"/>
          <w:szCs w:val="20"/>
          <w:lang w:val="fr-CA"/>
        </w:rPr>
        <w:t>accueilli. La déclaration d’inconstitutionnalité prononcée par le juge saisi de la demande de révision est infirmée et l’ordonnance de mise en liberté avec dépôt d’argent et caution est remplacée par une ordonnance de mise en liberté avec dépôt d’argent seulement, assortie des mêmes conditions que celles imposées par celui</w:t>
      </w:r>
      <w:r w:rsidRPr="00751250">
        <w:rPr>
          <w:rFonts w:cs="Times New Roman"/>
          <w:sz w:val="20"/>
          <w:szCs w:val="20"/>
          <w:lang w:val="fr-CA"/>
        </w:rPr>
        <w:noBreakHyphen/>
        <w:t>ci</w:t>
      </w:r>
      <w:r w:rsidRPr="00751250">
        <w:rPr>
          <w:sz w:val="20"/>
          <w:szCs w:val="20"/>
          <w:lang w:val="fr-CA"/>
        </w:rPr>
        <w:t>.</w:t>
      </w:r>
    </w:p>
    <w:p w:rsidR="0052229C" w:rsidRPr="00293EE1" w:rsidRDefault="0052229C" w:rsidP="0052229C">
      <w:pPr>
        <w:rPr>
          <w:sz w:val="20"/>
          <w:szCs w:val="20"/>
          <w:lang w:val="fr-CA"/>
        </w:rPr>
      </w:pPr>
    </w:p>
    <w:p w:rsidR="0052229C" w:rsidRPr="00293EE1" w:rsidRDefault="00B2512D" w:rsidP="0052229C">
      <w:pPr>
        <w:spacing w:line="0" w:lineRule="atLeast"/>
        <w:rPr>
          <w:sz w:val="20"/>
          <w:szCs w:val="20"/>
        </w:rPr>
      </w:pPr>
      <w:r>
        <w:rPr>
          <w:b/>
          <w:sz w:val="20"/>
          <w:szCs w:val="20"/>
        </w:rPr>
        <w:pict>
          <v:rect id="_x0000_i1088" style="width:144.3pt;height:1pt" o:hrpct="300" o:hralign="center" o:hrstd="t" o:hrnoshade="t" o:hr="t" fillcolor="black [3213]" stroked="f"/>
        </w:pict>
      </w:r>
    </w:p>
    <w:p w:rsidR="0052229C" w:rsidRPr="00293EE1" w:rsidRDefault="0052229C" w:rsidP="0052229C">
      <w:pPr>
        <w:spacing w:line="0" w:lineRule="atLeast"/>
        <w:rPr>
          <w:sz w:val="20"/>
          <w:szCs w:val="20"/>
        </w:rPr>
      </w:pPr>
    </w:p>
    <w:p w:rsidR="00C64C2D" w:rsidRPr="00293EE1" w:rsidRDefault="00C64C2D" w:rsidP="00C64C2D">
      <w:pPr>
        <w:rPr>
          <w:b/>
          <w:sz w:val="20"/>
          <w:szCs w:val="20"/>
        </w:rPr>
      </w:pPr>
      <w:r w:rsidRPr="00293EE1">
        <w:rPr>
          <w:b/>
          <w:sz w:val="20"/>
          <w:szCs w:val="20"/>
        </w:rPr>
        <w:t>JUNE 2, 2017 / LE 2 JUIN 2017</w:t>
      </w:r>
    </w:p>
    <w:p w:rsidR="00D004FC" w:rsidRPr="00293EE1"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B034EF" w:rsidRPr="00293EE1" w:rsidRDefault="003F22B6" w:rsidP="003F22B6">
      <w:pPr>
        <w:ind w:left="1440" w:hanging="1440"/>
        <w:jc w:val="both"/>
        <w:rPr>
          <w:sz w:val="20"/>
          <w:szCs w:val="20"/>
        </w:rPr>
      </w:pPr>
      <w:r w:rsidRPr="00293EE1">
        <w:rPr>
          <w:b/>
          <w:sz w:val="20"/>
          <w:szCs w:val="20"/>
        </w:rPr>
        <w:t xml:space="preserve">36703 </w:t>
      </w:r>
      <w:r w:rsidRPr="00293EE1">
        <w:rPr>
          <w:b/>
          <w:sz w:val="20"/>
          <w:szCs w:val="20"/>
        </w:rPr>
        <w:tab/>
      </w:r>
      <w:r w:rsidRPr="00293EE1">
        <w:rPr>
          <w:b/>
          <w:iCs/>
          <w:sz w:val="20"/>
          <w:u w:val="single"/>
        </w:rPr>
        <w:t xml:space="preserve">Mohsen </w:t>
      </w:r>
      <w:proofErr w:type="spellStart"/>
      <w:r w:rsidRPr="00293EE1">
        <w:rPr>
          <w:b/>
          <w:iCs/>
          <w:sz w:val="20"/>
          <w:u w:val="single"/>
        </w:rPr>
        <w:t>Saadati</w:t>
      </w:r>
      <w:proofErr w:type="spellEnd"/>
      <w:r w:rsidRPr="00293EE1">
        <w:rPr>
          <w:b/>
          <w:iCs/>
          <w:sz w:val="20"/>
          <w:u w:val="single"/>
        </w:rPr>
        <w:t xml:space="preserve">, by his Litigation Guardian, Sara </w:t>
      </w:r>
      <w:proofErr w:type="spellStart"/>
      <w:r w:rsidRPr="00293EE1">
        <w:rPr>
          <w:b/>
          <w:iCs/>
          <w:sz w:val="20"/>
          <w:u w:val="single"/>
        </w:rPr>
        <w:t>Zarei</w:t>
      </w:r>
      <w:proofErr w:type="spellEnd"/>
      <w:r w:rsidRPr="00293EE1">
        <w:rPr>
          <w:b/>
          <w:iCs/>
          <w:sz w:val="20"/>
          <w:u w:val="single"/>
        </w:rPr>
        <w:t xml:space="preserve"> v. Grant Iain Moorhead, Able Leasing (2001) Ltd. and </w:t>
      </w:r>
      <w:proofErr w:type="spellStart"/>
      <w:r w:rsidRPr="00293EE1">
        <w:rPr>
          <w:b/>
          <w:iCs/>
          <w:sz w:val="20"/>
          <w:u w:val="single"/>
        </w:rPr>
        <w:t>Thi</w:t>
      </w:r>
      <w:proofErr w:type="spellEnd"/>
      <w:r w:rsidRPr="00293EE1">
        <w:rPr>
          <w:b/>
          <w:iCs/>
          <w:sz w:val="20"/>
          <w:u w:val="single"/>
        </w:rPr>
        <w:t xml:space="preserve"> </w:t>
      </w:r>
      <w:proofErr w:type="spellStart"/>
      <w:r w:rsidRPr="00293EE1">
        <w:rPr>
          <w:b/>
          <w:iCs/>
          <w:sz w:val="20"/>
          <w:u w:val="single"/>
        </w:rPr>
        <w:t>Hao</w:t>
      </w:r>
      <w:proofErr w:type="spellEnd"/>
      <w:r w:rsidRPr="00293EE1">
        <w:rPr>
          <w:b/>
          <w:iCs/>
          <w:sz w:val="20"/>
          <w:u w:val="single"/>
        </w:rPr>
        <w:t xml:space="preserve"> Hoang – and – Insurance Bureau of Canada</w:t>
      </w:r>
      <w:r w:rsidR="00B034EF" w:rsidRPr="00293EE1">
        <w:rPr>
          <w:sz w:val="20"/>
          <w:szCs w:val="20"/>
        </w:rPr>
        <w:t xml:space="preserve"> (B.C.) </w:t>
      </w:r>
    </w:p>
    <w:p w:rsidR="00B034EF" w:rsidRPr="00293EE1" w:rsidRDefault="00B034EF" w:rsidP="00B034EF">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93EE1">
        <w:rPr>
          <w:b/>
          <w:sz w:val="20"/>
        </w:rPr>
        <w:t>2017 SCC 28 / 2017 CSC 28</w:t>
      </w:r>
    </w:p>
    <w:p w:rsidR="00B034EF" w:rsidRPr="00293EE1" w:rsidRDefault="00B034EF" w:rsidP="00B034EF">
      <w:pPr>
        <w:ind w:left="810" w:hanging="810"/>
        <w:jc w:val="both"/>
        <w:rPr>
          <w:sz w:val="20"/>
          <w:szCs w:val="20"/>
        </w:rPr>
      </w:pPr>
    </w:p>
    <w:p w:rsidR="00031F04" w:rsidRPr="00293EE1" w:rsidRDefault="00031F04" w:rsidP="00031F04">
      <w:pPr>
        <w:widowControl w:val="0"/>
        <w:ind w:left="720" w:hanging="720"/>
        <w:rPr>
          <w:sz w:val="20"/>
          <w:szCs w:val="20"/>
          <w:u w:val="single"/>
          <w:lang w:val="en-US"/>
        </w:rPr>
      </w:pPr>
      <w:r w:rsidRPr="00293EE1">
        <w:rPr>
          <w:sz w:val="20"/>
          <w:lang w:val="en-US"/>
        </w:rPr>
        <w:t>Coram:</w:t>
      </w:r>
      <w:r w:rsidRPr="00293EE1">
        <w:rPr>
          <w:sz w:val="20"/>
          <w:lang w:val="en-US"/>
        </w:rPr>
        <w:tab/>
      </w:r>
      <w:r w:rsidR="00CB40D5">
        <w:rPr>
          <w:sz w:val="20"/>
          <w:lang w:val="en-US"/>
        </w:rPr>
        <w:tab/>
      </w:r>
      <w:proofErr w:type="spellStart"/>
      <w:r w:rsidR="0031688C" w:rsidRPr="00293EE1">
        <w:rPr>
          <w:sz w:val="20"/>
          <w:u w:val="single"/>
        </w:rPr>
        <w:t>McLachlin</w:t>
      </w:r>
      <w:proofErr w:type="spellEnd"/>
      <w:r w:rsidR="0031688C" w:rsidRPr="00293EE1">
        <w:rPr>
          <w:sz w:val="20"/>
          <w:u w:val="single"/>
        </w:rPr>
        <w:t xml:space="preserve"> C.J. and </w:t>
      </w:r>
      <w:proofErr w:type="spellStart"/>
      <w:r w:rsidR="0031688C" w:rsidRPr="00293EE1">
        <w:rPr>
          <w:sz w:val="20"/>
          <w:u w:val="single"/>
        </w:rPr>
        <w:t>Abella</w:t>
      </w:r>
      <w:proofErr w:type="spellEnd"/>
      <w:r w:rsidR="0031688C" w:rsidRPr="00293EE1">
        <w:rPr>
          <w:sz w:val="20"/>
          <w:u w:val="single"/>
        </w:rPr>
        <w:t xml:space="preserve">, </w:t>
      </w:r>
      <w:proofErr w:type="spellStart"/>
      <w:r w:rsidR="0031688C" w:rsidRPr="00293EE1">
        <w:rPr>
          <w:sz w:val="20"/>
          <w:u w:val="single"/>
        </w:rPr>
        <w:t>Moldaver</w:t>
      </w:r>
      <w:proofErr w:type="spellEnd"/>
      <w:r w:rsidR="0031688C" w:rsidRPr="00293EE1">
        <w:rPr>
          <w:sz w:val="20"/>
          <w:u w:val="single"/>
        </w:rPr>
        <w:t xml:space="preserve">, </w:t>
      </w:r>
      <w:proofErr w:type="spellStart"/>
      <w:r w:rsidR="0031688C" w:rsidRPr="00293EE1">
        <w:rPr>
          <w:sz w:val="20"/>
          <w:u w:val="single"/>
        </w:rPr>
        <w:t>Karakatsanis</w:t>
      </w:r>
      <w:proofErr w:type="spellEnd"/>
      <w:r w:rsidR="0031688C" w:rsidRPr="00293EE1">
        <w:rPr>
          <w:sz w:val="20"/>
          <w:u w:val="single"/>
        </w:rPr>
        <w:t xml:space="preserve">, Wagner, </w:t>
      </w:r>
      <w:proofErr w:type="spellStart"/>
      <w:r w:rsidR="0031688C" w:rsidRPr="00293EE1">
        <w:rPr>
          <w:sz w:val="20"/>
          <w:u w:val="single"/>
        </w:rPr>
        <w:t>Gascon</w:t>
      </w:r>
      <w:proofErr w:type="spellEnd"/>
      <w:r w:rsidR="0031688C" w:rsidRPr="00293EE1">
        <w:rPr>
          <w:sz w:val="20"/>
          <w:u w:val="single"/>
        </w:rPr>
        <w:t xml:space="preserve">, </w:t>
      </w:r>
      <w:proofErr w:type="spellStart"/>
      <w:r w:rsidR="0031688C" w:rsidRPr="00293EE1">
        <w:rPr>
          <w:sz w:val="20"/>
          <w:u w:val="single"/>
        </w:rPr>
        <w:t>Côté</w:t>
      </w:r>
      <w:proofErr w:type="spellEnd"/>
      <w:r w:rsidR="0031688C" w:rsidRPr="00293EE1">
        <w:rPr>
          <w:sz w:val="20"/>
          <w:u w:val="single"/>
        </w:rPr>
        <w:t>, Brown and Rowe JJ</w:t>
      </w:r>
    </w:p>
    <w:p w:rsidR="00031F04" w:rsidRPr="00293EE1" w:rsidRDefault="00031F04" w:rsidP="00031F04">
      <w:pPr>
        <w:ind w:left="1440" w:hanging="1440"/>
        <w:rPr>
          <w:sz w:val="16"/>
          <w:u w:val="single"/>
          <w:lang w:val="en-US"/>
        </w:rPr>
      </w:pPr>
    </w:p>
    <w:p w:rsidR="0031688C" w:rsidRPr="00293EE1" w:rsidRDefault="0031688C" w:rsidP="0031688C">
      <w:pPr>
        <w:rPr>
          <w:sz w:val="20"/>
        </w:rPr>
      </w:pPr>
      <w:r w:rsidRPr="00293EE1">
        <w:rPr>
          <w:sz w:val="20"/>
        </w:rPr>
        <w:t>The appeal from the judgment of the Court of Appeal for British Columbia (Vancouver), Number CA42075, 2015 BCCA 393, dated September 23, 2015, heard on January 16, 2017, is allowed and the trial judge’s award is restored. The appellant is entitled to costs in this Court and in the courts below.</w:t>
      </w:r>
    </w:p>
    <w:p w:rsidR="0031688C" w:rsidRPr="00293EE1" w:rsidRDefault="0031688C" w:rsidP="0031688C">
      <w:pPr>
        <w:rPr>
          <w:sz w:val="20"/>
        </w:rPr>
      </w:pPr>
    </w:p>
    <w:p w:rsidR="0031688C" w:rsidRPr="00293EE1" w:rsidRDefault="0031688C" w:rsidP="0031688C">
      <w:pPr>
        <w:jc w:val="both"/>
        <w:rPr>
          <w:sz w:val="20"/>
          <w:lang w:val="fr-CA"/>
        </w:rPr>
      </w:pPr>
      <w:r w:rsidRPr="00293EE1">
        <w:rPr>
          <w:sz w:val="20"/>
          <w:lang w:val="fr-CA"/>
        </w:rPr>
        <w:t>L’appel interjeté contre l’arrêt de la Cour d’appel de la Colombie-Britannique (Vancouver), numéro CA42075, 2015 BCCA 393, daté du 23 septembre 2015, entendu le 16 janvier 2017, est accueilli et l’indemnisation accordée en première instance est rétablie. L’appelant a droit aux dépens devant la Cour et devant les juridictions inférieures.</w:t>
      </w:r>
    </w:p>
    <w:p w:rsidR="0031688C" w:rsidRPr="00293EE1" w:rsidRDefault="0031688C" w:rsidP="0031688C">
      <w:pPr>
        <w:jc w:val="both"/>
        <w:rPr>
          <w:sz w:val="20"/>
          <w:lang w:val="fr-CA"/>
        </w:rPr>
      </w:pPr>
    </w:p>
    <w:p w:rsidR="00B034EF" w:rsidRPr="00293EE1" w:rsidRDefault="00B2512D" w:rsidP="0031688C">
      <w:pPr>
        <w:jc w:val="both"/>
        <w:rPr>
          <w:sz w:val="20"/>
          <w:szCs w:val="20"/>
          <w:lang w:val="fr-CA"/>
        </w:rPr>
      </w:pPr>
      <w:r>
        <w:rPr>
          <w:b/>
          <w:sz w:val="20"/>
          <w:szCs w:val="20"/>
        </w:rPr>
        <w:pict>
          <v:rect id="_x0000_i1089" style="width:144.3pt;height:1pt" o:hrpct="300" o:hralign="center" o:hrstd="t" o:hrnoshade="t" o:hr="t" fillcolor="black [3213]" stroked="f"/>
        </w:pict>
      </w:r>
    </w:p>
    <w:p w:rsidR="00C64C2D" w:rsidRPr="00293EE1" w:rsidRDefault="00C64C2D"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C64C2D" w:rsidRPr="00293EE1" w:rsidRDefault="00C64C2D"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C64C2D" w:rsidRPr="00293EE1" w:rsidRDefault="00C64C2D"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C64C2D" w:rsidRPr="00293EE1" w:rsidRDefault="00C64C2D"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293EE1" w:rsidRDefault="00732DB7" w:rsidP="00732DB7">
      <w:pPr>
        <w:widowControl w:val="0"/>
        <w:rPr>
          <w:sz w:val="20"/>
          <w:szCs w:val="20"/>
          <w:lang w:val="fr-CA"/>
        </w:rPr>
      </w:pPr>
    </w:p>
    <w:p w:rsidR="00697C62" w:rsidRPr="00293EE1" w:rsidRDefault="00697C62" w:rsidP="00732DB7">
      <w:pPr>
        <w:widowControl w:val="0"/>
        <w:rPr>
          <w:sz w:val="20"/>
          <w:szCs w:val="20"/>
          <w:lang w:val="fr-CA"/>
        </w:rPr>
        <w:sectPr w:rsidR="00697C62" w:rsidRPr="00293EE1" w:rsidSect="00782AE4">
          <w:headerReference w:type="even" r:id="rId100"/>
          <w:headerReference w:type="default" r:id="rId101"/>
          <w:footerReference w:type="even" r:id="rId102"/>
          <w:footerReference w:type="default" r:id="rId103"/>
          <w:headerReference w:type="first" r:id="rId104"/>
          <w:footerReference w:type="first" r:id="rId10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293EE1" w:rsidTr="0085476B">
        <w:tc>
          <w:tcPr>
            <w:tcW w:w="4200" w:type="dxa"/>
            <w:tcMar>
              <w:left w:w="0" w:type="dxa"/>
              <w:right w:w="0" w:type="dxa"/>
            </w:tcMar>
          </w:tcPr>
          <w:p w:rsidR="00782AE4" w:rsidRPr="00293EE1" w:rsidRDefault="00782AE4" w:rsidP="00782AE4">
            <w:pPr>
              <w:keepNext/>
              <w:keepLines/>
              <w:jc w:val="both"/>
              <w:rPr>
                <w:b/>
                <w:szCs w:val="24"/>
                <w:lang w:val="fr-CA"/>
              </w:rPr>
            </w:pPr>
            <w:r w:rsidRPr="00293EE1">
              <w:rPr>
                <w:b/>
                <w:szCs w:val="24"/>
                <w:lang w:val="fr-CA"/>
              </w:rPr>
              <w:lastRenderedPageBreak/>
              <w:t>HEADNOTES OF RECENT</w:t>
            </w:r>
          </w:p>
          <w:p w:rsidR="00782AE4" w:rsidRPr="00293EE1" w:rsidRDefault="00782AE4" w:rsidP="00782AE4">
            <w:pPr>
              <w:keepNext/>
              <w:keepLines/>
              <w:jc w:val="both"/>
              <w:rPr>
                <w:b/>
                <w:szCs w:val="24"/>
                <w:lang w:val="fr-CA"/>
              </w:rPr>
            </w:pPr>
            <w:r w:rsidRPr="00293EE1">
              <w:rPr>
                <w:b/>
                <w:szCs w:val="24"/>
                <w:lang w:val="fr-CA"/>
              </w:rPr>
              <w:t>JUDGMENTS</w:t>
            </w:r>
          </w:p>
        </w:tc>
        <w:tc>
          <w:tcPr>
            <w:tcW w:w="1200" w:type="dxa"/>
            <w:tcMar>
              <w:left w:w="0" w:type="dxa"/>
              <w:right w:w="0" w:type="dxa"/>
            </w:tcMar>
          </w:tcPr>
          <w:p w:rsidR="00782AE4" w:rsidRPr="00293EE1" w:rsidRDefault="00782AE4" w:rsidP="00102926">
            <w:pPr>
              <w:keepNext/>
              <w:keepLines/>
              <w:jc w:val="center"/>
              <w:rPr>
                <w:b/>
                <w:szCs w:val="24"/>
                <w:lang w:val="fr-CA"/>
              </w:rPr>
            </w:pPr>
          </w:p>
          <w:p w:rsidR="00782AE4" w:rsidRPr="00293EE1" w:rsidRDefault="00782AE4" w:rsidP="00102926">
            <w:pPr>
              <w:keepNext/>
              <w:keepLines/>
              <w:jc w:val="center"/>
              <w:rPr>
                <w:b/>
                <w:szCs w:val="24"/>
                <w:lang w:val="fr-CA"/>
              </w:rPr>
            </w:pPr>
          </w:p>
          <w:p w:rsidR="00782AE4" w:rsidRPr="00293EE1" w:rsidRDefault="00782AE4" w:rsidP="00102926">
            <w:pPr>
              <w:keepNext/>
              <w:keepLines/>
              <w:jc w:val="center"/>
              <w:rPr>
                <w:b/>
                <w:szCs w:val="24"/>
                <w:lang w:val="fr-CA"/>
              </w:rPr>
            </w:pPr>
          </w:p>
        </w:tc>
        <w:tc>
          <w:tcPr>
            <w:tcW w:w="4080" w:type="dxa"/>
            <w:tcMar>
              <w:left w:w="0" w:type="dxa"/>
              <w:right w:w="0" w:type="dxa"/>
            </w:tcMar>
          </w:tcPr>
          <w:p w:rsidR="00782AE4" w:rsidRPr="00293EE1" w:rsidRDefault="00782AE4" w:rsidP="00782AE4">
            <w:pPr>
              <w:keepNext/>
              <w:keepLines/>
              <w:rPr>
                <w:b/>
                <w:szCs w:val="24"/>
                <w:lang w:val="fr-CA"/>
              </w:rPr>
            </w:pPr>
            <w:r w:rsidRPr="00293EE1">
              <w:rPr>
                <w:b/>
                <w:szCs w:val="24"/>
                <w:lang w:val="fr-CA"/>
              </w:rPr>
              <w:t>SOMMAIRES DE JUGEMENTS RÉCENTS</w:t>
            </w:r>
          </w:p>
        </w:tc>
      </w:tr>
    </w:tbl>
    <w:p w:rsidR="003B3977" w:rsidRPr="00293EE1" w:rsidRDefault="003B3977" w:rsidP="005C6840">
      <w:pPr>
        <w:rPr>
          <w:rFonts w:cs="Times New Roman"/>
          <w:i/>
          <w:sz w:val="20"/>
          <w:szCs w:val="20"/>
          <w:lang w:val="fr-CA"/>
        </w:rPr>
      </w:pPr>
    </w:p>
    <w:p w:rsidR="0052229C" w:rsidRPr="00293EE1" w:rsidRDefault="00031F04" w:rsidP="0052229C">
      <w:pPr>
        <w:ind w:left="1440" w:hanging="1440"/>
        <w:jc w:val="both"/>
        <w:rPr>
          <w:sz w:val="20"/>
          <w:szCs w:val="20"/>
          <w:lang w:val="en-US"/>
        </w:rPr>
      </w:pPr>
      <w:r w:rsidRPr="00293EE1">
        <w:rPr>
          <w:rFonts w:eastAsia="Calibri"/>
          <w:i/>
          <w:sz w:val="20"/>
          <w:szCs w:val="20"/>
          <w:lang w:val="en-US"/>
        </w:rPr>
        <w:t xml:space="preserve">Her Majesty the Queen in Right of Canada v. Kevin Antic </w:t>
      </w:r>
      <w:r w:rsidR="0052229C" w:rsidRPr="00293EE1">
        <w:rPr>
          <w:sz w:val="20"/>
          <w:szCs w:val="20"/>
          <w:lang w:val="en-US"/>
        </w:rPr>
        <w:t>(</w:t>
      </w:r>
      <w:r w:rsidRPr="00293EE1">
        <w:rPr>
          <w:sz w:val="20"/>
          <w:szCs w:val="20"/>
          <w:lang w:val="en-US"/>
        </w:rPr>
        <w:t>Ont.</w:t>
      </w:r>
      <w:r w:rsidR="0052229C" w:rsidRPr="00293EE1">
        <w:rPr>
          <w:sz w:val="20"/>
          <w:szCs w:val="20"/>
          <w:lang w:val="en-US"/>
        </w:rPr>
        <w:t>) (</w:t>
      </w:r>
      <w:hyperlink r:id="rId106" w:history="1">
        <w:r w:rsidR="0052229C" w:rsidRPr="00293EE1">
          <w:rPr>
            <w:rStyle w:val="Hyperlink"/>
            <w:sz w:val="20"/>
            <w:szCs w:val="20"/>
            <w:lang w:val="en-US"/>
          </w:rPr>
          <w:t>3</w:t>
        </w:r>
        <w:r w:rsidRPr="00293EE1">
          <w:rPr>
            <w:rStyle w:val="Hyperlink"/>
            <w:sz w:val="20"/>
            <w:szCs w:val="20"/>
            <w:lang w:val="en-US"/>
          </w:rPr>
          <w:t>6783</w:t>
        </w:r>
      </w:hyperlink>
      <w:r w:rsidR="0052229C" w:rsidRPr="00293EE1">
        <w:rPr>
          <w:sz w:val="20"/>
          <w:szCs w:val="20"/>
          <w:lang w:val="en-US"/>
        </w:rPr>
        <w:t>)</w:t>
      </w:r>
    </w:p>
    <w:p w:rsidR="0052229C" w:rsidRPr="00293EE1" w:rsidRDefault="0052229C" w:rsidP="0052229C">
      <w:pPr>
        <w:jc w:val="both"/>
        <w:rPr>
          <w:b/>
          <w:sz w:val="20"/>
          <w:szCs w:val="20"/>
          <w:lang w:val="en-US"/>
        </w:rPr>
      </w:pPr>
      <w:r w:rsidRPr="00293EE1">
        <w:rPr>
          <w:b/>
          <w:sz w:val="20"/>
          <w:szCs w:val="20"/>
          <w:lang w:val="en-US"/>
        </w:rPr>
        <w:t xml:space="preserve">Indexed as:  </w:t>
      </w:r>
      <w:r w:rsidR="006176E6" w:rsidRPr="00293EE1">
        <w:rPr>
          <w:b/>
          <w:sz w:val="20"/>
          <w:szCs w:val="20"/>
          <w:lang w:val="en-US"/>
        </w:rPr>
        <w:t>R.</w:t>
      </w:r>
      <w:r w:rsidRPr="00293EE1">
        <w:rPr>
          <w:b/>
          <w:sz w:val="20"/>
          <w:szCs w:val="20"/>
          <w:lang w:val="en-US"/>
        </w:rPr>
        <w:t xml:space="preserve"> </w:t>
      </w:r>
      <w:r w:rsidRPr="00293EE1">
        <w:rPr>
          <w:b/>
          <w:i/>
          <w:sz w:val="20"/>
          <w:szCs w:val="20"/>
          <w:lang w:val="en-US"/>
        </w:rPr>
        <w:t>v.</w:t>
      </w:r>
      <w:r w:rsidRPr="00293EE1">
        <w:rPr>
          <w:b/>
          <w:sz w:val="20"/>
          <w:szCs w:val="20"/>
          <w:lang w:val="en-US"/>
        </w:rPr>
        <w:t xml:space="preserve"> </w:t>
      </w:r>
      <w:r w:rsidR="006176E6" w:rsidRPr="00293EE1">
        <w:rPr>
          <w:b/>
          <w:sz w:val="20"/>
          <w:szCs w:val="20"/>
          <w:lang w:val="en-US"/>
        </w:rPr>
        <w:t>Antic</w:t>
      </w:r>
      <w:r w:rsidRPr="00293EE1">
        <w:rPr>
          <w:rStyle w:val="SCCRespondentForIndexChar"/>
          <w:rFonts w:eastAsiaTheme="minorHAnsi"/>
          <w:sz w:val="20"/>
          <w:lang w:val="en-US"/>
        </w:rPr>
        <w:t xml:space="preserve"> / </w:t>
      </w:r>
      <w:proofErr w:type="spellStart"/>
      <w:proofErr w:type="gramStart"/>
      <w:r w:rsidRPr="00293EE1">
        <w:rPr>
          <w:b/>
          <w:sz w:val="20"/>
          <w:szCs w:val="20"/>
          <w:lang w:val="en-US"/>
        </w:rPr>
        <w:t>Répertorié</w:t>
      </w:r>
      <w:proofErr w:type="spellEnd"/>
      <w:r w:rsidRPr="00293EE1">
        <w:rPr>
          <w:b/>
          <w:sz w:val="20"/>
          <w:szCs w:val="20"/>
          <w:lang w:val="en-US"/>
        </w:rPr>
        <w:t> :</w:t>
      </w:r>
      <w:proofErr w:type="gramEnd"/>
      <w:r w:rsidRPr="00293EE1">
        <w:rPr>
          <w:b/>
          <w:sz w:val="20"/>
          <w:szCs w:val="20"/>
          <w:lang w:val="en-US"/>
        </w:rPr>
        <w:t> </w:t>
      </w:r>
      <w:r w:rsidR="006176E6" w:rsidRPr="00293EE1">
        <w:rPr>
          <w:b/>
          <w:sz w:val="20"/>
          <w:szCs w:val="20"/>
          <w:lang w:val="en-US"/>
        </w:rPr>
        <w:t>R.</w:t>
      </w:r>
      <w:r w:rsidRPr="00293EE1">
        <w:rPr>
          <w:b/>
          <w:sz w:val="20"/>
          <w:szCs w:val="20"/>
          <w:lang w:val="en-US"/>
        </w:rPr>
        <w:t xml:space="preserve"> </w:t>
      </w:r>
      <w:r w:rsidRPr="00293EE1">
        <w:rPr>
          <w:b/>
          <w:i/>
          <w:sz w:val="20"/>
          <w:szCs w:val="20"/>
          <w:lang w:val="en-US"/>
        </w:rPr>
        <w:t>c.</w:t>
      </w:r>
      <w:r w:rsidRPr="00293EE1">
        <w:rPr>
          <w:b/>
          <w:sz w:val="20"/>
          <w:szCs w:val="20"/>
          <w:lang w:val="en-US"/>
        </w:rPr>
        <w:t xml:space="preserve"> </w:t>
      </w:r>
      <w:r w:rsidR="006176E6" w:rsidRPr="00293EE1">
        <w:rPr>
          <w:b/>
          <w:sz w:val="20"/>
          <w:szCs w:val="20"/>
          <w:lang w:val="en-US"/>
        </w:rPr>
        <w:t>Antic</w:t>
      </w:r>
    </w:p>
    <w:p w:rsidR="0052229C" w:rsidRPr="00293EE1" w:rsidRDefault="0052229C" w:rsidP="0052229C">
      <w:pPr>
        <w:pStyle w:val="SCCSystemYear"/>
        <w:jc w:val="both"/>
        <w:rPr>
          <w:sz w:val="20"/>
        </w:rPr>
      </w:pPr>
      <w:proofErr w:type="spellStart"/>
      <w:r w:rsidRPr="00293EE1">
        <w:rPr>
          <w:sz w:val="20"/>
        </w:rPr>
        <w:t>Neutral</w:t>
      </w:r>
      <w:proofErr w:type="spellEnd"/>
      <w:r w:rsidRPr="00293EE1">
        <w:rPr>
          <w:sz w:val="20"/>
        </w:rPr>
        <w:t xml:space="preserve"> citation</w:t>
      </w:r>
      <w:proofErr w:type="gramStart"/>
      <w:r w:rsidRPr="00293EE1">
        <w:rPr>
          <w:sz w:val="20"/>
        </w:rPr>
        <w:t xml:space="preserve">:  </w:t>
      </w:r>
      <w:r w:rsidR="0030050B" w:rsidRPr="00293EE1">
        <w:rPr>
          <w:sz w:val="20"/>
        </w:rPr>
        <w:t>201</w:t>
      </w:r>
      <w:r w:rsidR="0056248C" w:rsidRPr="00293EE1">
        <w:rPr>
          <w:sz w:val="20"/>
        </w:rPr>
        <w:t>7</w:t>
      </w:r>
      <w:proofErr w:type="gramEnd"/>
      <w:r w:rsidRPr="00293EE1">
        <w:rPr>
          <w:sz w:val="20"/>
        </w:rPr>
        <w:t xml:space="preserve"> SCC </w:t>
      </w:r>
      <w:r w:rsidR="00031F04" w:rsidRPr="00293EE1">
        <w:rPr>
          <w:sz w:val="20"/>
        </w:rPr>
        <w:t>27</w:t>
      </w:r>
      <w:r w:rsidRPr="00293EE1">
        <w:rPr>
          <w:sz w:val="20"/>
        </w:rPr>
        <w:t xml:space="preserve"> / Référence neutre : </w:t>
      </w:r>
      <w:r w:rsidR="0030050B" w:rsidRPr="00293EE1">
        <w:rPr>
          <w:sz w:val="20"/>
        </w:rPr>
        <w:t>201</w:t>
      </w:r>
      <w:r w:rsidR="0056248C" w:rsidRPr="00293EE1">
        <w:rPr>
          <w:sz w:val="20"/>
        </w:rPr>
        <w:t>7</w:t>
      </w:r>
      <w:r w:rsidR="00031F04" w:rsidRPr="00293EE1">
        <w:rPr>
          <w:sz w:val="20"/>
        </w:rPr>
        <w:t xml:space="preserve"> CSC 27</w:t>
      </w:r>
    </w:p>
    <w:p w:rsidR="0052229C" w:rsidRPr="00293EE1" w:rsidRDefault="0052229C" w:rsidP="0052229C">
      <w:pPr>
        <w:rPr>
          <w:rFonts w:cs="Times New Roman"/>
          <w:sz w:val="20"/>
          <w:szCs w:val="20"/>
          <w:lang w:val="fr-CA"/>
        </w:rPr>
      </w:pPr>
      <w:proofErr w:type="spellStart"/>
      <w:r w:rsidRPr="00293EE1">
        <w:rPr>
          <w:rFonts w:cs="Times New Roman"/>
          <w:sz w:val="20"/>
          <w:szCs w:val="20"/>
          <w:lang w:val="fr-CA"/>
        </w:rPr>
        <w:t>Hearing</w:t>
      </w:r>
      <w:proofErr w:type="spellEnd"/>
      <w:proofErr w:type="gramStart"/>
      <w:r w:rsidRPr="00293EE1">
        <w:rPr>
          <w:rFonts w:cs="Times New Roman"/>
          <w:sz w:val="20"/>
          <w:szCs w:val="20"/>
          <w:lang w:val="fr-CA"/>
        </w:rPr>
        <w:t xml:space="preserve">:  </w:t>
      </w:r>
      <w:proofErr w:type="spellStart"/>
      <w:r w:rsidR="006176E6" w:rsidRPr="00293EE1">
        <w:rPr>
          <w:rFonts w:cs="Times New Roman"/>
          <w:sz w:val="20"/>
          <w:szCs w:val="20"/>
          <w:lang w:val="fr-CA"/>
        </w:rPr>
        <w:t>December</w:t>
      </w:r>
      <w:proofErr w:type="spellEnd"/>
      <w:proofErr w:type="gramEnd"/>
      <w:r w:rsidRPr="00293EE1">
        <w:rPr>
          <w:rFonts w:cs="Times New Roman"/>
          <w:sz w:val="20"/>
          <w:szCs w:val="20"/>
          <w:lang w:val="fr-CA"/>
        </w:rPr>
        <w:t xml:space="preserve"> </w:t>
      </w:r>
      <w:r w:rsidR="006176E6" w:rsidRPr="00293EE1">
        <w:rPr>
          <w:rFonts w:cs="Times New Roman"/>
          <w:sz w:val="20"/>
          <w:szCs w:val="20"/>
          <w:lang w:val="fr-CA"/>
        </w:rPr>
        <w:t>2</w:t>
      </w:r>
      <w:r w:rsidRPr="00293EE1">
        <w:rPr>
          <w:rFonts w:cs="Times New Roman"/>
          <w:sz w:val="20"/>
          <w:szCs w:val="20"/>
          <w:lang w:val="fr-CA"/>
        </w:rPr>
        <w:t>, 201</w:t>
      </w:r>
      <w:r w:rsidR="0056248C" w:rsidRPr="00293EE1">
        <w:rPr>
          <w:rFonts w:cs="Times New Roman"/>
          <w:sz w:val="20"/>
          <w:szCs w:val="20"/>
          <w:lang w:val="fr-CA"/>
        </w:rPr>
        <w:t>6</w:t>
      </w:r>
      <w:r w:rsidRPr="00293EE1">
        <w:rPr>
          <w:rFonts w:cs="Times New Roman"/>
          <w:sz w:val="20"/>
          <w:szCs w:val="20"/>
          <w:lang w:val="fr-CA"/>
        </w:rPr>
        <w:t xml:space="preserve"> / </w:t>
      </w:r>
      <w:proofErr w:type="spellStart"/>
      <w:r w:rsidRPr="00293EE1">
        <w:rPr>
          <w:rFonts w:cs="Times New Roman"/>
          <w:sz w:val="20"/>
          <w:szCs w:val="20"/>
          <w:lang w:val="fr-CA"/>
        </w:rPr>
        <w:t>Judgment</w:t>
      </w:r>
      <w:proofErr w:type="spellEnd"/>
      <w:r w:rsidRPr="00293EE1">
        <w:rPr>
          <w:rFonts w:cs="Times New Roman"/>
          <w:sz w:val="20"/>
          <w:szCs w:val="20"/>
          <w:lang w:val="fr-CA"/>
        </w:rPr>
        <w:t xml:space="preserve">:  </w:t>
      </w:r>
      <w:proofErr w:type="spellStart"/>
      <w:r w:rsidR="00031F04" w:rsidRPr="00293EE1">
        <w:rPr>
          <w:rFonts w:cs="Times New Roman"/>
          <w:sz w:val="20"/>
          <w:szCs w:val="20"/>
          <w:lang w:val="fr-CA"/>
        </w:rPr>
        <w:t>June</w:t>
      </w:r>
      <w:proofErr w:type="spellEnd"/>
      <w:r w:rsidR="00031F04" w:rsidRPr="00293EE1">
        <w:rPr>
          <w:rFonts w:cs="Times New Roman"/>
          <w:sz w:val="20"/>
          <w:szCs w:val="20"/>
          <w:lang w:val="fr-CA"/>
        </w:rPr>
        <w:t xml:space="preserve"> 1</w:t>
      </w:r>
      <w:r w:rsidRPr="00293EE1">
        <w:rPr>
          <w:rFonts w:cs="Times New Roman"/>
          <w:sz w:val="20"/>
          <w:szCs w:val="20"/>
          <w:lang w:val="fr-CA"/>
        </w:rPr>
        <w:t xml:space="preserve">, </w:t>
      </w:r>
      <w:r w:rsidR="0056248C" w:rsidRPr="00293EE1">
        <w:rPr>
          <w:rFonts w:cs="Times New Roman"/>
          <w:sz w:val="20"/>
          <w:szCs w:val="20"/>
          <w:lang w:val="fr-CA"/>
        </w:rPr>
        <w:t>2017</w:t>
      </w:r>
    </w:p>
    <w:p w:rsidR="0052229C" w:rsidRPr="00293EE1" w:rsidRDefault="0052229C" w:rsidP="0052229C">
      <w:pPr>
        <w:rPr>
          <w:rFonts w:cs="Times New Roman"/>
          <w:sz w:val="20"/>
          <w:szCs w:val="20"/>
          <w:lang w:val="fr-CA"/>
        </w:rPr>
      </w:pPr>
      <w:r w:rsidRPr="00293EE1">
        <w:rPr>
          <w:rFonts w:cs="Times New Roman"/>
          <w:sz w:val="20"/>
          <w:szCs w:val="20"/>
          <w:lang w:val="fr-CA"/>
        </w:rPr>
        <w:t xml:space="preserve">Audition : Le </w:t>
      </w:r>
      <w:r w:rsidR="006176E6" w:rsidRPr="00293EE1">
        <w:rPr>
          <w:rFonts w:cs="Times New Roman"/>
          <w:sz w:val="20"/>
          <w:szCs w:val="20"/>
          <w:lang w:val="fr-CA"/>
        </w:rPr>
        <w:t>2</w:t>
      </w:r>
      <w:r w:rsidRPr="00293EE1">
        <w:rPr>
          <w:rFonts w:cs="Times New Roman"/>
          <w:sz w:val="20"/>
          <w:szCs w:val="20"/>
          <w:lang w:val="fr-CA"/>
        </w:rPr>
        <w:t xml:space="preserve"> </w:t>
      </w:r>
      <w:r w:rsidR="006176E6" w:rsidRPr="00293EE1">
        <w:rPr>
          <w:rFonts w:cs="Times New Roman"/>
          <w:sz w:val="20"/>
          <w:szCs w:val="20"/>
          <w:lang w:val="fr-CA"/>
        </w:rPr>
        <w:t>décembre</w:t>
      </w:r>
      <w:r w:rsidRPr="00293EE1">
        <w:rPr>
          <w:rFonts w:cs="Times New Roman"/>
          <w:sz w:val="20"/>
          <w:szCs w:val="20"/>
          <w:lang w:val="fr-CA"/>
        </w:rPr>
        <w:t xml:space="preserve"> 201</w:t>
      </w:r>
      <w:r w:rsidR="0056248C" w:rsidRPr="00293EE1">
        <w:rPr>
          <w:rFonts w:cs="Times New Roman"/>
          <w:sz w:val="20"/>
          <w:szCs w:val="20"/>
          <w:lang w:val="fr-CA"/>
        </w:rPr>
        <w:t>6</w:t>
      </w:r>
      <w:r w:rsidRPr="00293EE1">
        <w:rPr>
          <w:rFonts w:cs="Times New Roman"/>
          <w:sz w:val="20"/>
          <w:szCs w:val="20"/>
          <w:lang w:val="fr-CA"/>
        </w:rPr>
        <w:t xml:space="preserve"> / Jugement : Le </w:t>
      </w:r>
      <w:r w:rsidR="00031F04" w:rsidRPr="00293EE1">
        <w:rPr>
          <w:rFonts w:cs="Times New Roman"/>
          <w:sz w:val="20"/>
          <w:szCs w:val="20"/>
          <w:lang w:val="fr-CA"/>
        </w:rPr>
        <w:t>1 juin</w:t>
      </w:r>
      <w:r w:rsidRPr="00293EE1">
        <w:rPr>
          <w:rFonts w:cs="Times New Roman"/>
          <w:sz w:val="20"/>
          <w:szCs w:val="20"/>
          <w:lang w:val="fr-CA"/>
        </w:rPr>
        <w:t xml:space="preserve"> </w:t>
      </w:r>
      <w:r w:rsidR="0030050B" w:rsidRPr="00293EE1">
        <w:rPr>
          <w:rFonts w:cs="Times New Roman"/>
          <w:sz w:val="20"/>
          <w:szCs w:val="20"/>
          <w:lang w:val="fr-CA"/>
        </w:rPr>
        <w:t>201</w:t>
      </w:r>
      <w:r w:rsidR="0056248C" w:rsidRPr="00293EE1">
        <w:rPr>
          <w:rFonts w:cs="Times New Roman"/>
          <w:sz w:val="20"/>
          <w:szCs w:val="20"/>
          <w:lang w:val="fr-CA"/>
        </w:rPr>
        <w:t>7</w:t>
      </w:r>
    </w:p>
    <w:p w:rsidR="005C6840" w:rsidRPr="00293EE1" w:rsidRDefault="00B2512D" w:rsidP="005C6840">
      <w:pPr>
        <w:rPr>
          <w:rFonts w:cs="Times New Roman"/>
          <w:sz w:val="20"/>
          <w:szCs w:val="20"/>
          <w:lang w:val="fr-CA"/>
        </w:rPr>
      </w:pPr>
      <w:r>
        <w:rPr>
          <w:rFonts w:cs="Times New Roman"/>
          <w:i/>
          <w:sz w:val="20"/>
          <w:szCs w:val="20"/>
        </w:rPr>
        <w:pict>
          <v:rect id="_x0000_i1092" style="width:480.95pt;height:1pt" o:hralign="center" o:hrstd="t" o:hrnoshade="t" o:hr="t" fillcolor="black [3213]" stroked="f"/>
        </w:pict>
      </w:r>
    </w:p>
    <w:p w:rsidR="005C6840" w:rsidRPr="00293EE1" w:rsidRDefault="005C6840" w:rsidP="005C6840">
      <w:pPr>
        <w:rPr>
          <w:rFonts w:cs="Times New Roman"/>
          <w:sz w:val="20"/>
          <w:szCs w:val="20"/>
          <w:lang w:val="fr-CA"/>
        </w:rPr>
      </w:pPr>
    </w:p>
    <w:p w:rsidR="003D7273" w:rsidRPr="00293EE1" w:rsidRDefault="003D7273" w:rsidP="003D7273">
      <w:pPr>
        <w:jc w:val="both"/>
        <w:rPr>
          <w:sz w:val="20"/>
          <w:szCs w:val="20"/>
          <w:lang w:val="en-US"/>
        </w:rPr>
      </w:pPr>
      <w:r w:rsidRPr="00293EE1">
        <w:rPr>
          <w:sz w:val="20"/>
          <w:szCs w:val="20"/>
          <w:lang w:val="en-US"/>
        </w:rPr>
        <w:t xml:space="preserve">Present: </w:t>
      </w:r>
      <w:proofErr w:type="spellStart"/>
      <w:r w:rsidRPr="00293EE1">
        <w:rPr>
          <w:sz w:val="20"/>
          <w:szCs w:val="20"/>
          <w:lang w:val="en-US"/>
        </w:rPr>
        <w:t>McLachlin</w:t>
      </w:r>
      <w:proofErr w:type="spellEnd"/>
      <w:r w:rsidRPr="00293EE1">
        <w:rPr>
          <w:sz w:val="20"/>
          <w:szCs w:val="20"/>
          <w:lang w:val="en-US"/>
        </w:rPr>
        <w:t xml:space="preserve"> C.J. and </w:t>
      </w:r>
      <w:proofErr w:type="spellStart"/>
      <w:r w:rsidRPr="00293EE1">
        <w:rPr>
          <w:sz w:val="20"/>
          <w:szCs w:val="20"/>
          <w:lang w:val="en-US"/>
        </w:rPr>
        <w:t>Abella</w:t>
      </w:r>
      <w:proofErr w:type="spellEnd"/>
      <w:r w:rsidRPr="00293EE1">
        <w:rPr>
          <w:sz w:val="20"/>
          <w:szCs w:val="20"/>
          <w:lang w:val="en-US"/>
        </w:rPr>
        <w:t xml:space="preserve">, </w:t>
      </w:r>
      <w:proofErr w:type="spellStart"/>
      <w:r w:rsidRPr="00293EE1">
        <w:rPr>
          <w:sz w:val="20"/>
          <w:szCs w:val="20"/>
          <w:lang w:val="en-US"/>
        </w:rPr>
        <w:t>Moldaver</w:t>
      </w:r>
      <w:proofErr w:type="spellEnd"/>
      <w:r w:rsidRPr="00293EE1">
        <w:rPr>
          <w:sz w:val="20"/>
          <w:szCs w:val="20"/>
          <w:lang w:val="en-US"/>
        </w:rPr>
        <w:t xml:space="preserve">, </w:t>
      </w:r>
      <w:proofErr w:type="spellStart"/>
      <w:r w:rsidRPr="00293EE1">
        <w:rPr>
          <w:sz w:val="20"/>
          <w:szCs w:val="20"/>
          <w:lang w:val="en-US"/>
        </w:rPr>
        <w:t>Karakatsanis</w:t>
      </w:r>
      <w:proofErr w:type="spellEnd"/>
      <w:r w:rsidRPr="00293EE1">
        <w:rPr>
          <w:sz w:val="20"/>
          <w:szCs w:val="20"/>
          <w:lang w:val="en-US"/>
        </w:rPr>
        <w:t xml:space="preserve">, Wagner, </w:t>
      </w:r>
      <w:proofErr w:type="spellStart"/>
      <w:r w:rsidRPr="00293EE1">
        <w:rPr>
          <w:sz w:val="20"/>
          <w:szCs w:val="20"/>
          <w:lang w:val="en-US"/>
        </w:rPr>
        <w:t>Gascon</w:t>
      </w:r>
      <w:proofErr w:type="spellEnd"/>
      <w:r w:rsidRPr="00293EE1">
        <w:rPr>
          <w:sz w:val="20"/>
          <w:szCs w:val="20"/>
          <w:lang w:val="en-US"/>
        </w:rPr>
        <w:t xml:space="preserve">, </w:t>
      </w:r>
      <w:proofErr w:type="spellStart"/>
      <w:r w:rsidRPr="00293EE1">
        <w:rPr>
          <w:sz w:val="20"/>
          <w:szCs w:val="20"/>
          <w:lang w:val="en-US"/>
        </w:rPr>
        <w:t>Côté</w:t>
      </w:r>
      <w:proofErr w:type="spellEnd"/>
      <w:r w:rsidRPr="00293EE1">
        <w:rPr>
          <w:sz w:val="20"/>
          <w:szCs w:val="20"/>
          <w:lang w:val="en-US"/>
        </w:rPr>
        <w:t>, Brown and Rowe JJ.</w:t>
      </w:r>
    </w:p>
    <w:p w:rsidR="003D7273" w:rsidRPr="00293EE1" w:rsidRDefault="003D7273" w:rsidP="0060154F">
      <w:pPr>
        <w:pStyle w:val="SCCNormalDoubleSpacing"/>
        <w:spacing w:line="240" w:lineRule="auto"/>
        <w:rPr>
          <w:sz w:val="20"/>
          <w:lang w:val="en-US"/>
        </w:rPr>
      </w:pPr>
    </w:p>
    <w:p w:rsidR="0060154F" w:rsidRPr="00293EE1" w:rsidRDefault="0060154F" w:rsidP="0060154F">
      <w:pPr>
        <w:pStyle w:val="SCCNormalDoubleSpacing"/>
        <w:spacing w:line="240" w:lineRule="auto"/>
        <w:rPr>
          <w:i/>
          <w:sz w:val="20"/>
        </w:rPr>
      </w:pPr>
      <w:r w:rsidRPr="00293EE1">
        <w:rPr>
          <w:i/>
          <w:iCs/>
          <w:sz w:val="20"/>
          <w:lang w:val="en"/>
        </w:rPr>
        <w:tab/>
        <w:t>Constitutional law —</w:t>
      </w:r>
      <w:r w:rsidRPr="00293EE1">
        <w:rPr>
          <w:i/>
          <w:sz w:val="20"/>
        </w:rPr>
        <w:t xml:space="preserve"> Charter of Rights </w:t>
      </w:r>
      <w:r w:rsidRPr="00293EE1">
        <w:rPr>
          <w:i/>
          <w:iCs/>
          <w:sz w:val="20"/>
          <w:lang w:val="en"/>
        </w:rPr>
        <w:t xml:space="preserve">— </w:t>
      </w:r>
      <w:r w:rsidRPr="00293EE1">
        <w:rPr>
          <w:i/>
          <w:sz w:val="20"/>
        </w:rPr>
        <w:t xml:space="preserve">Right not to be denied reasonable bail without just cause </w:t>
      </w:r>
      <w:r w:rsidRPr="00293EE1">
        <w:rPr>
          <w:i/>
          <w:iCs/>
          <w:sz w:val="20"/>
          <w:lang w:val="en"/>
        </w:rPr>
        <w:t>—</w:t>
      </w:r>
      <w:r w:rsidRPr="00293EE1">
        <w:rPr>
          <w:sz w:val="20"/>
        </w:rPr>
        <w:t xml:space="preserve"> </w:t>
      </w:r>
      <w:r w:rsidRPr="00293EE1">
        <w:rPr>
          <w:i/>
          <w:sz w:val="20"/>
        </w:rPr>
        <w:t xml:space="preserve">Accused denied interim release because he did not meet geographic criteria in s. 515(2)(e) of Criminal Code for cash deposit to be imposed in addition to surety as condition of release </w:t>
      </w:r>
      <w:r w:rsidRPr="00293EE1">
        <w:rPr>
          <w:i/>
          <w:iCs/>
          <w:sz w:val="20"/>
          <w:lang w:val="en"/>
        </w:rPr>
        <w:t xml:space="preserve">— Bail review judge finding geographic limitation infringes s. 11(e) of Canadian Charter of Rights and Freedoms as it has effect of denying accused bail — Bail review judge striking down limitation and ordering accused’s release with cash deposit and surety — </w:t>
      </w:r>
      <w:r w:rsidRPr="00293EE1">
        <w:rPr>
          <w:i/>
          <w:sz w:val="20"/>
        </w:rPr>
        <w:t xml:space="preserve">Whether s. 515(2)(e) of Criminal Code infringes s. 11(e) of Charter </w:t>
      </w:r>
      <w:r w:rsidRPr="00293EE1">
        <w:rPr>
          <w:i/>
          <w:iCs/>
          <w:sz w:val="20"/>
          <w:lang w:val="en"/>
        </w:rPr>
        <w:t>— Criminal Code, R.S.C. 1985, c. C</w:t>
      </w:r>
      <w:r w:rsidRPr="00293EE1">
        <w:rPr>
          <w:i/>
          <w:iCs/>
          <w:sz w:val="20"/>
          <w:lang w:val="en"/>
        </w:rPr>
        <w:noBreakHyphen/>
        <w:t>46, s. 515(2)(e)</w:t>
      </w:r>
      <w:r w:rsidRPr="00293EE1">
        <w:rPr>
          <w:i/>
          <w:sz w:val="20"/>
        </w:rPr>
        <w:t>.</w:t>
      </w:r>
    </w:p>
    <w:p w:rsidR="0060154F" w:rsidRPr="00293EE1" w:rsidRDefault="0060154F" w:rsidP="0060154F">
      <w:pPr>
        <w:pStyle w:val="SCCNormalDoubleSpacing"/>
        <w:spacing w:line="240" w:lineRule="auto"/>
        <w:rPr>
          <w:i/>
          <w:sz w:val="20"/>
        </w:rPr>
      </w:pPr>
    </w:p>
    <w:p w:rsidR="0060154F" w:rsidRPr="00293EE1" w:rsidRDefault="0060154F" w:rsidP="0060154F">
      <w:pPr>
        <w:pStyle w:val="SCCNormalDoubleSpacing"/>
        <w:spacing w:line="240" w:lineRule="auto"/>
        <w:rPr>
          <w:i/>
          <w:sz w:val="20"/>
        </w:rPr>
      </w:pPr>
      <w:r w:rsidRPr="00293EE1">
        <w:rPr>
          <w:i/>
          <w:sz w:val="20"/>
        </w:rPr>
        <w:tab/>
        <w:t xml:space="preserve">Criminal law </w:t>
      </w:r>
      <w:r w:rsidRPr="00293EE1">
        <w:rPr>
          <w:i/>
          <w:iCs/>
          <w:sz w:val="20"/>
          <w:lang w:val="en"/>
        </w:rPr>
        <w:t>—</w:t>
      </w:r>
      <w:r w:rsidRPr="00293EE1">
        <w:rPr>
          <w:i/>
          <w:sz w:val="20"/>
        </w:rPr>
        <w:t xml:space="preserve"> Interim release </w:t>
      </w:r>
      <w:r w:rsidRPr="00293EE1">
        <w:rPr>
          <w:i/>
          <w:iCs/>
          <w:sz w:val="20"/>
          <w:lang w:val="en"/>
        </w:rPr>
        <w:t xml:space="preserve">— </w:t>
      </w:r>
      <w:r w:rsidRPr="00293EE1">
        <w:rPr>
          <w:i/>
          <w:sz w:val="20"/>
        </w:rPr>
        <w:t>Accused denied interim release because he did not meet geographic criteria in s. 515(2</w:t>
      </w:r>
      <w:proofErr w:type="gramStart"/>
      <w:r w:rsidRPr="00293EE1">
        <w:rPr>
          <w:i/>
          <w:sz w:val="20"/>
        </w:rPr>
        <w:t>)(</w:t>
      </w:r>
      <w:proofErr w:type="gramEnd"/>
      <w:r w:rsidRPr="00293EE1">
        <w:rPr>
          <w:i/>
          <w:sz w:val="20"/>
        </w:rPr>
        <w:t xml:space="preserve">e) of Criminal Code for cash deposit to be imposed in addition to surety as condition of release </w:t>
      </w:r>
      <w:r w:rsidRPr="00293EE1">
        <w:rPr>
          <w:i/>
          <w:iCs/>
          <w:sz w:val="20"/>
          <w:lang w:val="en"/>
        </w:rPr>
        <w:t xml:space="preserve">— </w:t>
      </w:r>
      <w:r w:rsidRPr="00293EE1">
        <w:rPr>
          <w:i/>
          <w:sz w:val="20"/>
        </w:rPr>
        <w:t xml:space="preserve">Principles and guidelines governing application of interim release provisions </w:t>
      </w:r>
      <w:r w:rsidRPr="00293EE1">
        <w:rPr>
          <w:i/>
          <w:iCs/>
          <w:sz w:val="20"/>
          <w:lang w:val="en"/>
        </w:rPr>
        <w:t xml:space="preserve">— </w:t>
      </w:r>
      <w:r w:rsidRPr="00293EE1">
        <w:rPr>
          <w:i/>
          <w:sz w:val="20"/>
        </w:rPr>
        <w:t xml:space="preserve">Proper interpretation and application of s. 515(2)(e) </w:t>
      </w:r>
      <w:r w:rsidRPr="00293EE1">
        <w:rPr>
          <w:i/>
          <w:iCs/>
          <w:sz w:val="20"/>
          <w:lang w:val="en"/>
        </w:rPr>
        <w:t>—</w:t>
      </w:r>
      <w:r w:rsidRPr="00293EE1">
        <w:rPr>
          <w:i/>
          <w:sz w:val="20"/>
        </w:rPr>
        <w:t xml:space="preserve"> Criminal Code, R.S.C. 1985, c. C</w:t>
      </w:r>
      <w:r w:rsidRPr="00293EE1">
        <w:rPr>
          <w:i/>
          <w:sz w:val="20"/>
        </w:rPr>
        <w:noBreakHyphen/>
        <w:t>46, s. 515(2)(e).</w:t>
      </w:r>
    </w:p>
    <w:p w:rsidR="0060154F" w:rsidRPr="00293EE1" w:rsidRDefault="0060154F" w:rsidP="0060154F">
      <w:pPr>
        <w:pStyle w:val="SCCNormalDoubleSpacing"/>
        <w:spacing w:line="240" w:lineRule="auto"/>
        <w:rPr>
          <w:sz w:val="20"/>
        </w:rPr>
      </w:pPr>
    </w:p>
    <w:p w:rsidR="0060154F" w:rsidRPr="00293EE1" w:rsidRDefault="0060154F" w:rsidP="0060154F">
      <w:pPr>
        <w:pStyle w:val="SCCNormalDoubleSpacing"/>
        <w:spacing w:line="240" w:lineRule="auto"/>
        <w:rPr>
          <w:sz w:val="20"/>
        </w:rPr>
      </w:pPr>
      <w:r w:rsidRPr="00293EE1">
        <w:rPr>
          <w:sz w:val="20"/>
        </w:rPr>
        <w:tab/>
        <w:t xml:space="preserve">A was arrested and charged with several drug and firearms offences. He was denied release at his bail hearing, and sought review of the detention order. The bail review judge declined to vacate the order, indicating that he would have released A if he could have imposed both a surety and a cash deposit as release conditions. However, s. 515(2)(e) of the </w:t>
      </w:r>
      <w:r w:rsidRPr="00293EE1">
        <w:rPr>
          <w:i/>
          <w:sz w:val="20"/>
        </w:rPr>
        <w:t>Criminal Code</w:t>
      </w:r>
      <w:r w:rsidRPr="00293EE1">
        <w:rPr>
          <w:sz w:val="20"/>
        </w:rPr>
        <w:t xml:space="preserve"> permits a justice of the peace or judge to require both a cash deposit and surety supervision only if the accused is from out of the province or does not ordinarily reside within 200 km of the place in which he or she is in custody. As an Ontario resident living within 200 km of the place in which he was detained, A did not meet these criteria. A brought a subsequent bail review application, challenging the constitutionality of s. 515(2</w:t>
      </w:r>
      <w:proofErr w:type="gramStart"/>
      <w:r w:rsidRPr="00293EE1">
        <w:rPr>
          <w:sz w:val="20"/>
        </w:rPr>
        <w:t>)(</w:t>
      </w:r>
      <w:proofErr w:type="gramEnd"/>
      <w:r w:rsidRPr="00293EE1">
        <w:rPr>
          <w:sz w:val="20"/>
        </w:rPr>
        <w:t>e). The bail review judge found that since the geographical limitation in s. 515(2)(e) prevented him from granting bail on the terms that he deemed appropriate, the provision violated the right not to be denied reasonable bail without just cause under s. 11(</w:t>
      </w:r>
      <w:r w:rsidRPr="00293EE1">
        <w:rPr>
          <w:i/>
          <w:sz w:val="20"/>
        </w:rPr>
        <w:t>e</w:t>
      </w:r>
      <w:r w:rsidRPr="00293EE1">
        <w:rPr>
          <w:sz w:val="20"/>
        </w:rPr>
        <w:t xml:space="preserve">) of the </w:t>
      </w:r>
      <w:r w:rsidRPr="00293EE1">
        <w:rPr>
          <w:i/>
          <w:sz w:val="20"/>
        </w:rPr>
        <w:t>Charter</w:t>
      </w:r>
      <w:r w:rsidRPr="00293EE1">
        <w:rPr>
          <w:sz w:val="20"/>
        </w:rPr>
        <w:t>. He severed and struck down the geographical limitation in s. 515(2</w:t>
      </w:r>
      <w:proofErr w:type="gramStart"/>
      <w:r w:rsidRPr="00293EE1">
        <w:rPr>
          <w:sz w:val="20"/>
        </w:rPr>
        <w:t>)(</w:t>
      </w:r>
      <w:proofErr w:type="gramEnd"/>
      <w:r w:rsidRPr="00293EE1">
        <w:rPr>
          <w:sz w:val="20"/>
        </w:rPr>
        <w:t>e) and ordered A’s release with a surety and a cash deposit of $100,000.</w:t>
      </w:r>
    </w:p>
    <w:p w:rsidR="0060154F" w:rsidRPr="00293EE1" w:rsidRDefault="0060154F" w:rsidP="0060154F">
      <w:pPr>
        <w:pStyle w:val="SCCNormalDoubleSpacing"/>
        <w:spacing w:line="240" w:lineRule="auto"/>
        <w:rPr>
          <w:sz w:val="20"/>
        </w:rPr>
      </w:pPr>
    </w:p>
    <w:p w:rsidR="0060154F" w:rsidRPr="00293EE1" w:rsidRDefault="0060154F" w:rsidP="0060154F">
      <w:pPr>
        <w:pStyle w:val="SCCNormalDoubleSpacing"/>
        <w:spacing w:line="240" w:lineRule="auto"/>
        <w:rPr>
          <w:sz w:val="20"/>
        </w:rPr>
      </w:pPr>
      <w:r w:rsidRPr="00293EE1">
        <w:rPr>
          <w:i/>
          <w:sz w:val="20"/>
        </w:rPr>
        <w:tab/>
        <w:t>Held</w:t>
      </w:r>
      <w:r w:rsidRPr="00293EE1">
        <w:rPr>
          <w:sz w:val="20"/>
        </w:rPr>
        <w:t>:</w:t>
      </w:r>
      <w:r w:rsidRPr="00293EE1">
        <w:rPr>
          <w:i/>
          <w:sz w:val="20"/>
        </w:rPr>
        <w:t xml:space="preserve"> </w:t>
      </w:r>
      <w:r w:rsidRPr="00293EE1">
        <w:rPr>
          <w:sz w:val="20"/>
        </w:rPr>
        <w:t>The appeal should be allowed. Section 515(2</w:t>
      </w:r>
      <w:proofErr w:type="gramStart"/>
      <w:r w:rsidRPr="00293EE1">
        <w:rPr>
          <w:sz w:val="20"/>
        </w:rPr>
        <w:t>)(</w:t>
      </w:r>
      <w:proofErr w:type="gramEnd"/>
      <w:r w:rsidRPr="00293EE1">
        <w:rPr>
          <w:sz w:val="20"/>
        </w:rPr>
        <w:t xml:space="preserve">e) of the </w:t>
      </w:r>
      <w:r w:rsidRPr="00293EE1">
        <w:rPr>
          <w:i/>
          <w:sz w:val="20"/>
        </w:rPr>
        <w:t>Criminal Code</w:t>
      </w:r>
      <w:r w:rsidRPr="00293EE1">
        <w:rPr>
          <w:sz w:val="20"/>
        </w:rPr>
        <w:t xml:space="preserve"> is constitutional.</w:t>
      </w:r>
    </w:p>
    <w:p w:rsidR="0060154F" w:rsidRPr="00293EE1" w:rsidRDefault="0060154F" w:rsidP="0060154F">
      <w:pPr>
        <w:pStyle w:val="SCCNormalDoubleSpacing"/>
        <w:spacing w:line="240" w:lineRule="auto"/>
        <w:rPr>
          <w:sz w:val="20"/>
        </w:rPr>
      </w:pPr>
    </w:p>
    <w:p w:rsidR="0060154F" w:rsidRPr="00293EE1" w:rsidRDefault="0060154F" w:rsidP="0060154F">
      <w:pPr>
        <w:pStyle w:val="SCCNormalDoubleSpacing"/>
        <w:spacing w:line="240" w:lineRule="auto"/>
        <w:rPr>
          <w:sz w:val="20"/>
        </w:rPr>
      </w:pPr>
      <w:r w:rsidRPr="00293EE1">
        <w:rPr>
          <w:sz w:val="20"/>
        </w:rPr>
        <w:tab/>
        <w:t>The right not to be denied reasonable bail without just cause is an essential element of an enlightened criminal justice system. It entrenches the effect of the presumption of innocence at the pre</w:t>
      </w:r>
      <w:r w:rsidRPr="00293EE1">
        <w:rPr>
          <w:sz w:val="20"/>
        </w:rPr>
        <w:noBreakHyphen/>
        <w:t xml:space="preserve">trial stage of the criminal trial process and safeguards the liberty of accused persons. This right has two aspects: a person charged with an offence has the right not to be denied bail without just cause and the right to reasonable bail. Under the first aspect, a provision may not deny bail without “just cause” </w:t>
      </w:r>
      <w:r w:rsidRPr="00293EE1">
        <w:rPr>
          <w:i/>
          <w:iCs/>
          <w:sz w:val="20"/>
          <w:lang w:val="en"/>
        </w:rPr>
        <w:t>—</w:t>
      </w:r>
      <w:r w:rsidRPr="00293EE1">
        <w:rPr>
          <w:sz w:val="20"/>
        </w:rPr>
        <w:t xml:space="preserve"> there is just cause to deny bail only if the denial occurs in a narrow set of circumstances, and the denial is necessary to promote the proper functioning of the bail system and is not undertaken for any purpose extraneous to that system. The second aspect, the right to reasonable bail, relates to the terms of bail, including the quantum of any monetary component and other restrictions that are imposed on the accused for the release period. It protects accused persons from conditions and forms of release that are unreasonable.</w:t>
      </w:r>
    </w:p>
    <w:p w:rsidR="0060154F" w:rsidRPr="00293EE1" w:rsidRDefault="0060154F" w:rsidP="0060154F">
      <w:pPr>
        <w:pStyle w:val="SCCNormalDoubleSpacing"/>
        <w:spacing w:line="240" w:lineRule="auto"/>
        <w:rPr>
          <w:sz w:val="20"/>
        </w:rPr>
      </w:pPr>
    </w:p>
    <w:p w:rsidR="0060154F" w:rsidRPr="00293EE1" w:rsidRDefault="0060154F" w:rsidP="0060154F">
      <w:pPr>
        <w:pStyle w:val="SCCNormalDoubleSpacing"/>
        <w:spacing w:line="240" w:lineRule="auto"/>
        <w:rPr>
          <w:sz w:val="20"/>
        </w:rPr>
      </w:pPr>
      <w:r w:rsidRPr="00293EE1">
        <w:rPr>
          <w:sz w:val="20"/>
        </w:rPr>
        <w:tab/>
        <w:t xml:space="preserve">While a bail hearing is an expedited procedure, the bail provisions are federal law and must be applied consistently and fairly in all provinces and territories. A central part of the Canadian law of bail consists of the ladder principle and the authorized forms of release, which are found in s. 515(1) to (3) of the </w:t>
      </w:r>
      <w:r w:rsidRPr="00293EE1">
        <w:rPr>
          <w:i/>
          <w:sz w:val="20"/>
        </w:rPr>
        <w:t>Criminal Code</w:t>
      </w:r>
      <w:r w:rsidRPr="00293EE1">
        <w:rPr>
          <w:sz w:val="20"/>
        </w:rPr>
        <w:t xml:space="preserve">. Save for exceptions, an unconditional release on an undertaking is the default position when granting release. Alternative forms of release are to be imposed in accordance with the ladder principle, which must be adhered to strictly: release is favoured at the earliest reasonable opportunity and on the least onerous grounds. If the Crown proposes an alternate form of release, it must show why this form is necessary for a more restrictive form of release to be imposed. Each rung of the ladder must be considered individually and must be rejected before moving to a more restrictive form of release. Where the </w:t>
      </w:r>
      <w:r w:rsidRPr="00293EE1">
        <w:rPr>
          <w:sz w:val="20"/>
        </w:rPr>
        <w:lastRenderedPageBreak/>
        <w:t xml:space="preserve">parties disagree on the form of release, it is an error of law for a judge to order a more restrictive form without justifying the decision to reject the less onerous forms. A recognizance with sureties is one of the most onerous forms of release, and should not be imposed unless all the less onerous forms have been considered and rejected as inappropriate. It is not necessary to impose cash bail on accused persons if they or their sureties have reasonably recoverable assets and are able to pledge those assets to the satisfaction of the court. A recognizance is functionally equivalent to cash bail and has the same coercive effect. Cash bail should be relied on only in exceptional circumstances in which release on a recognizance with sureties is unavailable. When cash bail is ordered, the amount must not be set so high that it effectively amounts to a detention order, which means that the amount should be no higher than necessary to satisfy the concern that would otherwise warrant detention and proportionate to the means of the accused and the circumstances of the case. The judge is under a positive obligation to inquire into the ability of the accused to pay. Terms of release under s. 515(4) should only be imposed to the extent that they are necessary to address concerns related to the statutory criteria for detention and to ensure that the accused is released. They must not be imposed to change an accused person’s behaviour or to punish an accused person. Where a bail review is requested, courts must follow the bail review process set out in </w:t>
      </w:r>
      <w:r w:rsidRPr="00293EE1">
        <w:rPr>
          <w:i/>
          <w:sz w:val="20"/>
        </w:rPr>
        <w:t xml:space="preserve">R. </w:t>
      </w:r>
      <w:r w:rsidRPr="00293EE1">
        <w:rPr>
          <w:i/>
          <w:iCs/>
          <w:sz w:val="20"/>
        </w:rPr>
        <w:t>v.</w:t>
      </w:r>
      <w:r w:rsidRPr="00293EE1">
        <w:rPr>
          <w:i/>
          <w:sz w:val="20"/>
        </w:rPr>
        <w:t xml:space="preserve"> St</w:t>
      </w:r>
      <w:r w:rsidRPr="00293EE1">
        <w:rPr>
          <w:i/>
          <w:sz w:val="20"/>
        </w:rPr>
        <w:noBreakHyphen/>
        <w:t>Cloud</w:t>
      </w:r>
      <w:r w:rsidRPr="00293EE1">
        <w:rPr>
          <w:sz w:val="20"/>
        </w:rPr>
        <w:t>, 2015 SCC 27, [2015] 2 S.C.R. 328.</w:t>
      </w:r>
    </w:p>
    <w:p w:rsidR="0060154F" w:rsidRPr="00293EE1" w:rsidRDefault="0060154F" w:rsidP="0060154F">
      <w:pPr>
        <w:pStyle w:val="SCCNormalDoubleSpacing"/>
        <w:spacing w:line="240" w:lineRule="auto"/>
        <w:rPr>
          <w:sz w:val="20"/>
        </w:rPr>
      </w:pPr>
    </w:p>
    <w:p w:rsidR="0060154F" w:rsidRPr="00293EE1" w:rsidRDefault="0060154F" w:rsidP="0060154F">
      <w:pPr>
        <w:pStyle w:val="SCCNormalDoubleSpacing"/>
        <w:spacing w:line="240" w:lineRule="auto"/>
        <w:rPr>
          <w:sz w:val="20"/>
        </w:rPr>
      </w:pPr>
      <w:r w:rsidRPr="00293EE1">
        <w:rPr>
          <w:sz w:val="20"/>
        </w:rPr>
        <w:tab/>
        <w:t>In the instant case, s. 515(2</w:t>
      </w:r>
      <w:proofErr w:type="gramStart"/>
      <w:r w:rsidRPr="00293EE1">
        <w:rPr>
          <w:sz w:val="20"/>
        </w:rPr>
        <w:t>)(</w:t>
      </w:r>
      <w:proofErr w:type="gramEnd"/>
      <w:r w:rsidRPr="00293EE1">
        <w:rPr>
          <w:sz w:val="20"/>
        </w:rPr>
        <w:t xml:space="preserve">e) of the </w:t>
      </w:r>
      <w:r w:rsidRPr="00293EE1">
        <w:rPr>
          <w:i/>
          <w:sz w:val="20"/>
        </w:rPr>
        <w:t xml:space="preserve">Criminal Code </w:t>
      </w:r>
      <w:r w:rsidRPr="00293EE1">
        <w:rPr>
          <w:sz w:val="20"/>
        </w:rPr>
        <w:t xml:space="preserve">did not have the effect of denying A bail </w:t>
      </w:r>
      <w:r w:rsidRPr="00293EE1">
        <w:rPr>
          <w:i/>
          <w:iCs/>
          <w:sz w:val="20"/>
          <w:lang w:val="en"/>
        </w:rPr>
        <w:t>—</w:t>
      </w:r>
      <w:r w:rsidRPr="00293EE1">
        <w:rPr>
          <w:sz w:val="20"/>
        </w:rPr>
        <w:t xml:space="preserve"> it was the bail review judge’s application of the bail provisions that did so. The bail review judge committed two errors in fashioning A’s release order. First, by requiring a cash deposit with a surety, one of the most onerous forms of release, he failed to adhere to the ladder principle. Even though A had offered a surety with a monetary pledge, the bail review judge was fixated on and insisted on a cash deposit because he believed the erroneous assumption that cash is more coercive than a pledge. Second, the bail review judge erred in making his decision on the basis of speculation as to whether A might believe that forfeiture proceedings would not be taken against his elderly grandmother if he breached his bail terms. A judge cannot impose a more onerous form of release solely because he or she speculates that the accused will not believe in the enforceability of a surety or a pledge. Parliament expressly authorized the possibility of an accused being released on entering into a recognizance with sureties in the place of cash bail, and judges should not undermine the bail scheme by speculating, contrary to any evidence and to Parliament’s intent, that requiring cash will be more effective. </w:t>
      </w:r>
    </w:p>
    <w:p w:rsidR="0060154F" w:rsidRPr="00293EE1" w:rsidRDefault="0060154F" w:rsidP="0060154F">
      <w:pPr>
        <w:pStyle w:val="SCCNormalDoubleSpacing"/>
        <w:spacing w:line="240" w:lineRule="auto"/>
        <w:rPr>
          <w:sz w:val="20"/>
        </w:rPr>
      </w:pPr>
    </w:p>
    <w:p w:rsidR="0060154F" w:rsidRPr="00293EE1" w:rsidRDefault="0060154F" w:rsidP="0060154F">
      <w:pPr>
        <w:pStyle w:val="SCCNormalDoubleSpacing"/>
        <w:spacing w:line="240" w:lineRule="auto"/>
        <w:rPr>
          <w:sz w:val="20"/>
        </w:rPr>
      </w:pPr>
      <w:r w:rsidRPr="00293EE1">
        <w:rPr>
          <w:iCs/>
          <w:sz w:val="20"/>
        </w:rPr>
        <w:tab/>
      </w:r>
      <w:r w:rsidRPr="00293EE1">
        <w:rPr>
          <w:sz w:val="20"/>
        </w:rPr>
        <w:t>Given that s. 515(2</w:t>
      </w:r>
      <w:proofErr w:type="gramStart"/>
      <w:r w:rsidRPr="00293EE1">
        <w:rPr>
          <w:sz w:val="20"/>
        </w:rPr>
        <w:t>)(</w:t>
      </w:r>
      <w:proofErr w:type="gramEnd"/>
      <w:r w:rsidRPr="00293EE1">
        <w:rPr>
          <w:sz w:val="20"/>
        </w:rPr>
        <w:t>e) did not have the effect of denying A bail, it cannot be concluded that this provision denies him bail without just cause. Thus, the first aspect of the s. 11(</w:t>
      </w:r>
      <w:r w:rsidRPr="00293EE1">
        <w:rPr>
          <w:i/>
          <w:sz w:val="20"/>
        </w:rPr>
        <w:t>e</w:t>
      </w:r>
      <w:r w:rsidRPr="00293EE1">
        <w:rPr>
          <w:sz w:val="20"/>
        </w:rPr>
        <w:t xml:space="preserve">) </w:t>
      </w:r>
      <w:r w:rsidRPr="00293EE1">
        <w:rPr>
          <w:i/>
          <w:sz w:val="20"/>
        </w:rPr>
        <w:t>Charter</w:t>
      </w:r>
      <w:r w:rsidRPr="00293EE1">
        <w:rPr>
          <w:sz w:val="20"/>
        </w:rPr>
        <w:t xml:space="preserve"> right is not triggered. As to the second aspect of the s. 11(</w:t>
      </w:r>
      <w:r w:rsidRPr="00293EE1">
        <w:rPr>
          <w:i/>
          <w:sz w:val="20"/>
        </w:rPr>
        <w:t>e</w:t>
      </w:r>
      <w:r w:rsidRPr="00293EE1">
        <w:rPr>
          <w:sz w:val="20"/>
        </w:rPr>
        <w:t>) right, it does not need to be addressed because, properly interpreted, s. 515(2</w:t>
      </w:r>
      <w:proofErr w:type="gramStart"/>
      <w:r w:rsidRPr="00293EE1">
        <w:rPr>
          <w:sz w:val="20"/>
        </w:rPr>
        <w:t>)(</w:t>
      </w:r>
      <w:proofErr w:type="gramEnd"/>
      <w:r w:rsidRPr="00293EE1">
        <w:rPr>
          <w:sz w:val="20"/>
        </w:rPr>
        <w:t>e) does not apply to A and cannot therefore authorize an unreasonable form of release in his case. Had the bail review judge applied the bail provisions properly, A could have been granted reasonable bail. Accordingly, the bail review judge’s declaration of unconstitutionality should be reversed and the cash</w:t>
      </w:r>
      <w:r w:rsidRPr="00293EE1">
        <w:rPr>
          <w:sz w:val="20"/>
        </w:rPr>
        <w:noBreakHyphen/>
        <w:t>plus</w:t>
      </w:r>
      <w:r w:rsidRPr="00293EE1">
        <w:rPr>
          <w:sz w:val="20"/>
        </w:rPr>
        <w:noBreakHyphen/>
        <w:t>surety release ordered should be replaced with a cash</w:t>
      </w:r>
      <w:r w:rsidRPr="00293EE1">
        <w:rPr>
          <w:sz w:val="20"/>
        </w:rPr>
        <w:noBreakHyphen/>
        <w:t xml:space="preserve">only release under s. 515(2)(d) on the same terms as those previously imposed, since A has already posted the cash deposit. </w:t>
      </w:r>
    </w:p>
    <w:p w:rsidR="003D7273" w:rsidRPr="00293EE1" w:rsidRDefault="003D7273" w:rsidP="0060154F">
      <w:pPr>
        <w:pStyle w:val="SCCNormalDoubleSpacing"/>
        <w:spacing w:line="240" w:lineRule="auto"/>
        <w:rPr>
          <w:sz w:val="20"/>
        </w:rPr>
      </w:pPr>
    </w:p>
    <w:p w:rsidR="0060154F" w:rsidRPr="00293EE1" w:rsidRDefault="0060154F" w:rsidP="0060154F">
      <w:pPr>
        <w:pStyle w:val="SCCNormalDoubleSpacing"/>
        <w:spacing w:line="240" w:lineRule="auto"/>
        <w:rPr>
          <w:sz w:val="20"/>
        </w:rPr>
      </w:pPr>
      <w:r w:rsidRPr="00293EE1">
        <w:rPr>
          <w:sz w:val="20"/>
        </w:rPr>
        <w:tab/>
        <w:t xml:space="preserve">APPEAL from a decision of the Ontario Superior Court of Justice (Munroe J.), 2015 ONSC 6593, declaring s. 515(2)(e) of the </w:t>
      </w:r>
      <w:r w:rsidRPr="00293EE1">
        <w:rPr>
          <w:i/>
          <w:sz w:val="20"/>
        </w:rPr>
        <w:t>Criminal Code</w:t>
      </w:r>
      <w:r w:rsidRPr="00293EE1">
        <w:rPr>
          <w:sz w:val="20"/>
        </w:rPr>
        <w:t xml:space="preserve"> unconstitutional and granting the accused judicial interim release. Appeal allowed.</w:t>
      </w:r>
    </w:p>
    <w:p w:rsidR="0060154F" w:rsidRPr="00293EE1" w:rsidRDefault="0060154F" w:rsidP="0060154F">
      <w:pPr>
        <w:pStyle w:val="SCCNormalDoubleSpacing"/>
        <w:spacing w:line="240" w:lineRule="auto"/>
        <w:rPr>
          <w:sz w:val="20"/>
        </w:rPr>
      </w:pPr>
    </w:p>
    <w:p w:rsidR="0060154F" w:rsidRPr="00293EE1" w:rsidRDefault="0060154F" w:rsidP="0060154F">
      <w:pPr>
        <w:pStyle w:val="SCCNormalDoubleSpacing"/>
        <w:spacing w:line="240" w:lineRule="auto"/>
        <w:rPr>
          <w:rStyle w:val="SCCCounselPartyRoleChar"/>
          <w:sz w:val="20"/>
        </w:rPr>
      </w:pPr>
      <w:r w:rsidRPr="00293EE1">
        <w:rPr>
          <w:rStyle w:val="SCCCounselNameChar"/>
          <w:sz w:val="20"/>
        </w:rPr>
        <w:tab/>
        <w:t>Nick Devlin</w:t>
      </w:r>
      <w:r w:rsidRPr="00293EE1">
        <w:rPr>
          <w:rStyle w:val="SCCCounselSeparatorChar"/>
          <w:rFonts w:eastAsia="Calibri"/>
          <w:sz w:val="20"/>
          <w:lang w:val="en-US"/>
        </w:rPr>
        <w:t xml:space="preserve"> and </w:t>
      </w:r>
      <w:r w:rsidRPr="00293EE1">
        <w:rPr>
          <w:rStyle w:val="SCCCounselNameChar"/>
          <w:sz w:val="20"/>
        </w:rPr>
        <w:t xml:space="preserve">Amber </w:t>
      </w:r>
      <w:proofErr w:type="spellStart"/>
      <w:r w:rsidRPr="00293EE1">
        <w:rPr>
          <w:rStyle w:val="SCCCounselNameChar"/>
          <w:sz w:val="20"/>
        </w:rPr>
        <w:t>Pashuk</w:t>
      </w:r>
      <w:proofErr w:type="spellEnd"/>
      <w:r w:rsidRPr="00293EE1">
        <w:rPr>
          <w:rStyle w:val="SCCCounselPartyRoleChar"/>
          <w:sz w:val="20"/>
        </w:rPr>
        <w:t>, for the appellant.</w:t>
      </w:r>
    </w:p>
    <w:p w:rsidR="0060154F" w:rsidRPr="00293EE1" w:rsidRDefault="0060154F" w:rsidP="0060154F">
      <w:pPr>
        <w:pStyle w:val="SCCNormalDoubleSpacing"/>
        <w:spacing w:line="240" w:lineRule="auto"/>
        <w:rPr>
          <w:rStyle w:val="SCCCounselPartyRoleChar"/>
          <w:sz w:val="20"/>
        </w:rPr>
      </w:pPr>
    </w:p>
    <w:p w:rsidR="0060154F" w:rsidRPr="00293EE1" w:rsidRDefault="0060154F" w:rsidP="0060154F">
      <w:pPr>
        <w:pStyle w:val="SCCNormalDoubleSpacing"/>
        <w:spacing w:line="240" w:lineRule="auto"/>
        <w:rPr>
          <w:rStyle w:val="SCCCounselPartyRoleChar"/>
          <w:sz w:val="20"/>
        </w:rPr>
      </w:pPr>
      <w:r w:rsidRPr="00293EE1">
        <w:rPr>
          <w:rStyle w:val="SCCCounselPartyRoleChar"/>
          <w:sz w:val="20"/>
        </w:rPr>
        <w:tab/>
        <w:t xml:space="preserve">No one appeared for the respondent. </w:t>
      </w:r>
    </w:p>
    <w:p w:rsidR="0060154F" w:rsidRPr="00293EE1" w:rsidRDefault="0060154F" w:rsidP="0060154F">
      <w:pPr>
        <w:pStyle w:val="SCCNormalDoubleSpacing"/>
        <w:spacing w:line="240" w:lineRule="auto"/>
        <w:rPr>
          <w:sz w:val="20"/>
        </w:rPr>
      </w:pPr>
    </w:p>
    <w:p w:rsidR="0060154F" w:rsidRPr="00293EE1" w:rsidRDefault="0060154F" w:rsidP="0060154F">
      <w:pPr>
        <w:pStyle w:val="SCCNormalDoubleSpacing"/>
        <w:spacing w:line="240" w:lineRule="auto"/>
        <w:rPr>
          <w:rStyle w:val="SCCCounselPartyRoleChar"/>
          <w:sz w:val="20"/>
        </w:rPr>
      </w:pPr>
      <w:r w:rsidRPr="00293EE1">
        <w:rPr>
          <w:rStyle w:val="SCCCounselNameChar"/>
          <w:sz w:val="20"/>
        </w:rPr>
        <w:tab/>
        <w:t xml:space="preserve">Jonathan </w:t>
      </w:r>
      <w:proofErr w:type="spellStart"/>
      <w:r w:rsidRPr="00293EE1">
        <w:rPr>
          <w:rStyle w:val="SCCCounselNameChar"/>
          <w:sz w:val="20"/>
        </w:rPr>
        <w:t>Shime</w:t>
      </w:r>
      <w:proofErr w:type="spellEnd"/>
      <w:r w:rsidRPr="00293EE1">
        <w:rPr>
          <w:rStyle w:val="SCCCounselPartyRoleChar"/>
          <w:sz w:val="20"/>
        </w:rPr>
        <w:t>, for the intervener the Canadian Civil Liberties Association.</w:t>
      </w:r>
    </w:p>
    <w:p w:rsidR="0060154F" w:rsidRPr="00293EE1" w:rsidRDefault="0060154F" w:rsidP="0060154F">
      <w:pPr>
        <w:pStyle w:val="SCCNormalDoubleSpacing"/>
        <w:spacing w:line="240" w:lineRule="auto"/>
        <w:rPr>
          <w:sz w:val="20"/>
        </w:rPr>
      </w:pPr>
    </w:p>
    <w:p w:rsidR="0060154F" w:rsidRPr="00293EE1" w:rsidRDefault="0060154F" w:rsidP="0060154F">
      <w:pPr>
        <w:pStyle w:val="SCCNormalDoubleSpacing"/>
        <w:spacing w:line="240" w:lineRule="auto"/>
        <w:rPr>
          <w:rStyle w:val="SCCCounselPartyRoleChar"/>
          <w:sz w:val="20"/>
        </w:rPr>
      </w:pPr>
      <w:r w:rsidRPr="00293EE1">
        <w:rPr>
          <w:rStyle w:val="SCCCounselNameChar"/>
          <w:sz w:val="20"/>
        </w:rPr>
        <w:tab/>
        <w:t>John Norris</w:t>
      </w:r>
      <w:r w:rsidRPr="00293EE1">
        <w:rPr>
          <w:rStyle w:val="SCCCounselSeparatorChar"/>
          <w:rFonts w:eastAsia="Calibri"/>
          <w:sz w:val="20"/>
          <w:lang w:val="en-US"/>
        </w:rPr>
        <w:t xml:space="preserve"> and </w:t>
      </w:r>
      <w:r w:rsidRPr="00293EE1">
        <w:rPr>
          <w:rStyle w:val="SCCCounselNameChar"/>
          <w:sz w:val="20"/>
        </w:rPr>
        <w:t xml:space="preserve">Chris </w:t>
      </w:r>
      <w:proofErr w:type="spellStart"/>
      <w:r w:rsidRPr="00293EE1">
        <w:rPr>
          <w:rStyle w:val="SCCCounselNameChar"/>
          <w:sz w:val="20"/>
        </w:rPr>
        <w:t>Sewrattan</w:t>
      </w:r>
      <w:proofErr w:type="spellEnd"/>
      <w:r w:rsidRPr="00293EE1">
        <w:rPr>
          <w:rStyle w:val="SCCCounselPartyRoleChar"/>
          <w:sz w:val="20"/>
        </w:rPr>
        <w:t>, for the intervener the Criminal Lawyers’ Association (Ontario).</w:t>
      </w:r>
    </w:p>
    <w:p w:rsidR="0060154F" w:rsidRPr="00293EE1" w:rsidRDefault="0060154F" w:rsidP="0060154F">
      <w:pPr>
        <w:pStyle w:val="SCCNormalDoubleSpacing"/>
        <w:spacing w:line="240" w:lineRule="auto"/>
        <w:rPr>
          <w:rStyle w:val="SCCCounselPartyRoleChar"/>
          <w:sz w:val="20"/>
        </w:rPr>
      </w:pPr>
    </w:p>
    <w:p w:rsidR="0060154F" w:rsidRPr="00293EE1" w:rsidRDefault="0060154F" w:rsidP="0060154F">
      <w:pPr>
        <w:pStyle w:val="SCCNormalDoubleSpacing"/>
        <w:spacing w:line="240" w:lineRule="auto"/>
        <w:rPr>
          <w:rStyle w:val="SCCCounselPartyRoleChar"/>
          <w:sz w:val="20"/>
          <w:lang w:val="fr-CA"/>
        </w:rPr>
      </w:pPr>
      <w:r w:rsidRPr="00293EE1">
        <w:rPr>
          <w:rStyle w:val="SCCCounselNameChar"/>
          <w:sz w:val="20"/>
        </w:rPr>
        <w:tab/>
      </w:r>
      <w:r w:rsidRPr="00293EE1">
        <w:rPr>
          <w:rStyle w:val="SCCCounselNameChar"/>
          <w:sz w:val="20"/>
          <w:lang w:val="fr-CA"/>
        </w:rPr>
        <w:t>Vincenzo Rondinelli</w:t>
      </w:r>
      <w:r w:rsidRPr="00293EE1">
        <w:rPr>
          <w:rStyle w:val="SCCCounselPartyRoleChar"/>
          <w:sz w:val="20"/>
          <w:lang w:val="fr-CA"/>
        </w:rPr>
        <w:t xml:space="preserve">, as </w:t>
      </w:r>
      <w:proofErr w:type="spellStart"/>
      <w:r w:rsidRPr="00293EE1">
        <w:rPr>
          <w:rStyle w:val="SCCCounselPartyRoleChar"/>
          <w:i/>
          <w:sz w:val="20"/>
          <w:lang w:val="fr-CA"/>
        </w:rPr>
        <w:t>amicus</w:t>
      </w:r>
      <w:proofErr w:type="spellEnd"/>
      <w:r w:rsidRPr="00293EE1">
        <w:rPr>
          <w:rStyle w:val="SCCCounselPartyRoleChar"/>
          <w:i/>
          <w:sz w:val="20"/>
          <w:lang w:val="fr-CA"/>
        </w:rPr>
        <w:t xml:space="preserve"> </w:t>
      </w:r>
      <w:proofErr w:type="spellStart"/>
      <w:r w:rsidRPr="00293EE1">
        <w:rPr>
          <w:rStyle w:val="SCCCounselPartyRoleChar"/>
          <w:i/>
          <w:sz w:val="20"/>
          <w:lang w:val="fr-CA"/>
        </w:rPr>
        <w:t>curiae</w:t>
      </w:r>
      <w:proofErr w:type="spellEnd"/>
      <w:r w:rsidRPr="00293EE1">
        <w:rPr>
          <w:rStyle w:val="SCCCounselPartyRoleChar"/>
          <w:sz w:val="20"/>
          <w:lang w:val="fr-CA"/>
        </w:rPr>
        <w:t>.</w:t>
      </w:r>
    </w:p>
    <w:p w:rsidR="003D7273" w:rsidRPr="00293EE1" w:rsidRDefault="003D7273" w:rsidP="003D7273">
      <w:pPr>
        <w:rPr>
          <w:sz w:val="20"/>
          <w:szCs w:val="20"/>
          <w:lang w:val="fr-CA"/>
        </w:rPr>
      </w:pPr>
    </w:p>
    <w:p w:rsidR="006468A7" w:rsidRPr="00293EE1" w:rsidRDefault="006468A7" w:rsidP="005C6840">
      <w:pPr>
        <w:rPr>
          <w:sz w:val="20"/>
          <w:szCs w:val="20"/>
          <w:lang w:val="fr-CA"/>
        </w:rPr>
      </w:pPr>
      <w:r w:rsidRPr="00293EE1">
        <w:rPr>
          <w:sz w:val="20"/>
          <w:szCs w:val="20"/>
          <w:lang w:val="fr-CA"/>
        </w:rPr>
        <w:t>________________________</w:t>
      </w:r>
    </w:p>
    <w:p w:rsidR="006468A7" w:rsidRPr="00293EE1" w:rsidRDefault="006468A7" w:rsidP="005C6840">
      <w:pPr>
        <w:rPr>
          <w:rFonts w:cs="Times New Roman"/>
          <w:sz w:val="20"/>
          <w:szCs w:val="20"/>
          <w:lang w:val="fr-CA"/>
        </w:rPr>
      </w:pPr>
    </w:p>
    <w:p w:rsidR="003D7273" w:rsidRPr="00293EE1" w:rsidRDefault="003D7273" w:rsidP="003D7273">
      <w:pPr>
        <w:jc w:val="both"/>
        <w:rPr>
          <w:sz w:val="20"/>
          <w:lang w:val="fr-CA"/>
        </w:rPr>
      </w:pPr>
      <w:r w:rsidRPr="00293EE1">
        <w:rPr>
          <w:sz w:val="20"/>
          <w:szCs w:val="20"/>
          <w:lang w:val="fr-CA"/>
        </w:rPr>
        <w:t xml:space="preserve">Présents : La juge en chef </w:t>
      </w:r>
      <w:proofErr w:type="spellStart"/>
      <w:r w:rsidRPr="00293EE1">
        <w:rPr>
          <w:sz w:val="20"/>
          <w:szCs w:val="20"/>
          <w:lang w:val="fr-CA"/>
        </w:rPr>
        <w:t>McLachlin</w:t>
      </w:r>
      <w:proofErr w:type="spellEnd"/>
      <w:r w:rsidRPr="00293EE1">
        <w:rPr>
          <w:sz w:val="20"/>
          <w:szCs w:val="20"/>
          <w:lang w:val="fr-CA"/>
        </w:rPr>
        <w:t xml:space="preserve"> et les juges Abella, </w:t>
      </w:r>
      <w:proofErr w:type="spellStart"/>
      <w:r w:rsidRPr="00293EE1">
        <w:rPr>
          <w:sz w:val="20"/>
          <w:szCs w:val="20"/>
          <w:lang w:val="fr-CA"/>
        </w:rPr>
        <w:t>Moldaver</w:t>
      </w:r>
      <w:proofErr w:type="spellEnd"/>
      <w:r w:rsidRPr="00293EE1">
        <w:rPr>
          <w:sz w:val="20"/>
          <w:szCs w:val="20"/>
          <w:lang w:val="fr-CA"/>
        </w:rPr>
        <w:t xml:space="preserve">, </w:t>
      </w:r>
      <w:proofErr w:type="spellStart"/>
      <w:r w:rsidRPr="00293EE1">
        <w:rPr>
          <w:sz w:val="20"/>
          <w:szCs w:val="20"/>
          <w:lang w:val="fr-CA"/>
        </w:rPr>
        <w:t>Karakatsanis</w:t>
      </w:r>
      <w:proofErr w:type="spellEnd"/>
      <w:r w:rsidRPr="00293EE1">
        <w:rPr>
          <w:sz w:val="20"/>
          <w:szCs w:val="20"/>
          <w:lang w:val="fr-CA"/>
        </w:rPr>
        <w:t>, Wagner, Gascon, Côté, Brown et Rowe.</w:t>
      </w:r>
    </w:p>
    <w:p w:rsidR="003D7273" w:rsidRPr="00293EE1" w:rsidRDefault="003D7273" w:rsidP="00B71D8C">
      <w:pPr>
        <w:jc w:val="both"/>
        <w:rPr>
          <w:sz w:val="20"/>
          <w:szCs w:val="20"/>
          <w:lang w:val="fr-CA"/>
        </w:rPr>
      </w:pPr>
    </w:p>
    <w:p w:rsidR="00B71D8C" w:rsidRPr="00293EE1" w:rsidRDefault="00B71D8C" w:rsidP="00B71D8C">
      <w:pPr>
        <w:pStyle w:val="SCCNormalDoubleSpacing"/>
        <w:spacing w:line="240" w:lineRule="auto"/>
        <w:rPr>
          <w:i/>
          <w:sz w:val="20"/>
          <w:lang w:val="fr-CA"/>
        </w:rPr>
      </w:pPr>
      <w:r w:rsidRPr="00293EE1">
        <w:rPr>
          <w:sz w:val="20"/>
          <w:lang w:val="fr-CA"/>
        </w:rPr>
        <w:tab/>
      </w:r>
      <w:r w:rsidRPr="00293EE1">
        <w:rPr>
          <w:i/>
          <w:iCs/>
          <w:sz w:val="20"/>
          <w:lang w:val="fr-CA"/>
        </w:rPr>
        <w:t>Droit constitutionnel —</w:t>
      </w:r>
      <w:r w:rsidRPr="00293EE1">
        <w:rPr>
          <w:i/>
          <w:sz w:val="20"/>
          <w:lang w:val="fr-CA"/>
        </w:rPr>
        <w:t xml:space="preserve"> Charte des droits </w:t>
      </w:r>
      <w:r w:rsidRPr="00293EE1">
        <w:rPr>
          <w:i/>
          <w:iCs/>
          <w:sz w:val="20"/>
          <w:lang w:val="fr-CA"/>
        </w:rPr>
        <w:t>— Droit de ne pas être privé sans juste cause d’une mise en liberté assortie d’un cautionnement raisonnable —</w:t>
      </w:r>
      <w:r w:rsidRPr="00293EE1">
        <w:rPr>
          <w:sz w:val="20"/>
          <w:lang w:val="fr-CA"/>
        </w:rPr>
        <w:t xml:space="preserve"> </w:t>
      </w:r>
      <w:r w:rsidRPr="00293EE1">
        <w:rPr>
          <w:i/>
          <w:sz w:val="20"/>
          <w:lang w:val="fr-CA"/>
        </w:rPr>
        <w:t xml:space="preserve">Refus à l’accusé d’une mise en liberté provisoire au motif qu’il ne satisfait </w:t>
      </w:r>
      <w:r w:rsidRPr="00293EE1">
        <w:rPr>
          <w:i/>
          <w:sz w:val="20"/>
          <w:lang w:val="fr-CA"/>
        </w:rPr>
        <w:lastRenderedPageBreak/>
        <w:t xml:space="preserve">pas aux critères géographiques prévus à l’al. 515(2)e) du Code criminel, critères applicables pour que puisse être exigé un dépôt d’argent, en plus d’une caution, comme condition de la mise en liberté </w:t>
      </w:r>
      <w:r w:rsidRPr="00293EE1">
        <w:rPr>
          <w:i/>
          <w:iCs/>
          <w:sz w:val="20"/>
          <w:lang w:val="fr-CA"/>
        </w:rPr>
        <w:t xml:space="preserve">— Conclusion du juge saisi de la demande de révision de l’ordonnance relative à la mise en liberté sous caution portant que la limite géographique contrevient à l’al. 11e) de la Charte canadienne des droits et libertés parce qu’elle a pour effet de priver l’accusé d’une mise en liberté sous caution — Juge saisi de la demande de révision annulant cette limite et ordonnant la libération de l’accusé avec dépôt d’argent et caution — </w:t>
      </w:r>
      <w:r w:rsidRPr="00293EE1">
        <w:rPr>
          <w:i/>
          <w:sz w:val="20"/>
          <w:lang w:val="fr-CA"/>
        </w:rPr>
        <w:t>L’alinéa 515(2)e) du Code criminel porte</w:t>
      </w:r>
      <w:r w:rsidRPr="00293EE1">
        <w:rPr>
          <w:i/>
          <w:sz w:val="20"/>
          <w:lang w:val="fr-CA"/>
        </w:rPr>
        <w:noBreakHyphen/>
        <w:t>t</w:t>
      </w:r>
      <w:r w:rsidRPr="00293EE1">
        <w:rPr>
          <w:i/>
          <w:sz w:val="20"/>
          <w:lang w:val="fr-CA"/>
        </w:rPr>
        <w:noBreakHyphen/>
        <w:t xml:space="preserve">il atteinte à l’al. 11e) de la Charte? </w:t>
      </w:r>
      <w:r w:rsidRPr="00293EE1">
        <w:rPr>
          <w:i/>
          <w:iCs/>
          <w:sz w:val="20"/>
          <w:lang w:val="fr-CA"/>
        </w:rPr>
        <w:t>— Code criminel, L.R.C. 1985, c. C</w:t>
      </w:r>
      <w:r w:rsidRPr="00293EE1">
        <w:rPr>
          <w:i/>
          <w:iCs/>
          <w:sz w:val="20"/>
          <w:lang w:val="fr-CA"/>
        </w:rPr>
        <w:noBreakHyphen/>
        <w:t>46, al. 515(2)e)</w:t>
      </w:r>
      <w:r w:rsidRPr="00293EE1">
        <w:rPr>
          <w:i/>
          <w:sz w:val="20"/>
          <w:lang w:val="fr-CA"/>
        </w:rPr>
        <w:t>.</w:t>
      </w:r>
    </w:p>
    <w:p w:rsidR="00B71D8C" w:rsidRPr="00293EE1" w:rsidRDefault="00B71D8C" w:rsidP="00B71D8C">
      <w:pPr>
        <w:pStyle w:val="SCCNormalDoubleSpacing"/>
        <w:spacing w:line="240" w:lineRule="auto"/>
        <w:rPr>
          <w:i/>
          <w:sz w:val="20"/>
          <w:lang w:val="fr-CA"/>
        </w:rPr>
      </w:pPr>
    </w:p>
    <w:p w:rsidR="00B71D8C" w:rsidRPr="00293EE1" w:rsidRDefault="00B71D8C" w:rsidP="00B71D8C">
      <w:pPr>
        <w:pStyle w:val="SCCNormalDoubleSpacing"/>
        <w:spacing w:line="240" w:lineRule="auto"/>
        <w:rPr>
          <w:i/>
          <w:sz w:val="20"/>
          <w:lang w:val="fr-CA"/>
        </w:rPr>
      </w:pPr>
      <w:r w:rsidRPr="00293EE1">
        <w:rPr>
          <w:i/>
          <w:sz w:val="20"/>
          <w:lang w:val="fr-CA"/>
        </w:rPr>
        <w:tab/>
        <w:t xml:space="preserve">Droit criminel </w:t>
      </w:r>
      <w:r w:rsidRPr="00293EE1">
        <w:rPr>
          <w:i/>
          <w:iCs/>
          <w:sz w:val="20"/>
          <w:lang w:val="fr-CA"/>
        </w:rPr>
        <w:t>—</w:t>
      </w:r>
      <w:r w:rsidRPr="00293EE1">
        <w:rPr>
          <w:i/>
          <w:sz w:val="20"/>
          <w:lang w:val="fr-CA"/>
        </w:rPr>
        <w:t xml:space="preserve"> Mise en liberté provisoire </w:t>
      </w:r>
      <w:r w:rsidRPr="00293EE1">
        <w:rPr>
          <w:i/>
          <w:iCs/>
          <w:sz w:val="20"/>
          <w:lang w:val="fr-CA"/>
        </w:rPr>
        <w:t xml:space="preserve">— Refus à l’accusé d’une mise en liberté provisoire au motif qu’il ne satisfait pas aux critères géographiques prévus à </w:t>
      </w:r>
      <w:r w:rsidRPr="00293EE1">
        <w:rPr>
          <w:i/>
          <w:sz w:val="20"/>
          <w:lang w:val="fr-CA"/>
        </w:rPr>
        <w:t xml:space="preserve">l’al. 515(2)e) du Code criminel, critères applicables pour que puisse être exigé un dépôt d’argent, en plus de la caution, comme condition de la mise en liberté </w:t>
      </w:r>
      <w:r w:rsidRPr="00293EE1">
        <w:rPr>
          <w:i/>
          <w:iCs/>
          <w:sz w:val="20"/>
          <w:lang w:val="fr-CA"/>
        </w:rPr>
        <w:t xml:space="preserve">— Principes et lignes directrices régissant l’application des </w:t>
      </w:r>
      <w:r w:rsidRPr="00293EE1">
        <w:rPr>
          <w:i/>
          <w:sz w:val="20"/>
          <w:lang w:val="fr-CA"/>
        </w:rPr>
        <w:t xml:space="preserve">dispositions en matière de mise en liberté provisoire </w:t>
      </w:r>
      <w:r w:rsidRPr="00293EE1">
        <w:rPr>
          <w:i/>
          <w:iCs/>
          <w:sz w:val="20"/>
          <w:lang w:val="fr-CA"/>
        </w:rPr>
        <w:t>— Interprétation et application appropriées de l’al. </w:t>
      </w:r>
      <w:r w:rsidRPr="00293EE1">
        <w:rPr>
          <w:i/>
          <w:sz w:val="20"/>
          <w:lang w:val="fr-CA"/>
        </w:rPr>
        <w:t xml:space="preserve">515(2)e) </w:t>
      </w:r>
      <w:r w:rsidRPr="00293EE1">
        <w:rPr>
          <w:i/>
          <w:iCs/>
          <w:sz w:val="20"/>
          <w:lang w:val="fr-CA"/>
        </w:rPr>
        <w:t>—</w:t>
      </w:r>
      <w:r w:rsidRPr="00293EE1">
        <w:rPr>
          <w:i/>
          <w:sz w:val="20"/>
          <w:lang w:val="fr-CA"/>
        </w:rPr>
        <w:t xml:space="preserve"> Code criminel, L.R.C. 1985, c. C</w:t>
      </w:r>
      <w:r w:rsidRPr="00293EE1">
        <w:rPr>
          <w:i/>
          <w:sz w:val="20"/>
          <w:lang w:val="fr-CA"/>
        </w:rPr>
        <w:noBreakHyphen/>
        <w:t>46, al. 515(2)e).</w:t>
      </w:r>
    </w:p>
    <w:p w:rsidR="00B71D8C" w:rsidRPr="00293EE1" w:rsidRDefault="00B71D8C" w:rsidP="00B71D8C">
      <w:pPr>
        <w:pStyle w:val="SCCNormalDoubleSpacing"/>
        <w:spacing w:line="240" w:lineRule="auto"/>
        <w:rPr>
          <w:sz w:val="20"/>
          <w:lang w:val="fr-CA"/>
        </w:rPr>
      </w:pPr>
    </w:p>
    <w:p w:rsidR="00B71D8C" w:rsidRPr="00293EE1" w:rsidRDefault="00B71D8C" w:rsidP="00B71D8C">
      <w:pPr>
        <w:pStyle w:val="SCCNormalDoubleSpacing"/>
        <w:spacing w:line="240" w:lineRule="auto"/>
        <w:rPr>
          <w:sz w:val="20"/>
          <w:lang w:val="fr-CA"/>
        </w:rPr>
      </w:pPr>
      <w:r w:rsidRPr="00293EE1">
        <w:rPr>
          <w:sz w:val="20"/>
          <w:lang w:val="fr-CA"/>
        </w:rPr>
        <w:tab/>
        <w:t xml:space="preserve">A </w:t>
      </w:r>
      <w:proofErr w:type="spellStart"/>
      <w:r w:rsidRPr="00293EE1">
        <w:rPr>
          <w:sz w:val="20"/>
          <w:lang w:val="fr-CA"/>
        </w:rPr>
        <w:t>a</w:t>
      </w:r>
      <w:proofErr w:type="spellEnd"/>
      <w:r w:rsidRPr="00293EE1">
        <w:rPr>
          <w:sz w:val="20"/>
          <w:lang w:val="fr-CA"/>
        </w:rPr>
        <w:t xml:space="preserve"> été arrêté et accusé de plusieurs infractions liées à la drogue et aux armes à feu. Il s’est vu refuser la libération à l’audience relative à sa mise en liberté sous caution, et il a demandé la révision de l’ordonnance de détention prononcée contre lui. Le juge saisi de la demande de révision a refusé d’annuler l’ordonnance, indiquant qu’il aurait libéré A s’il avait pu exiger une caution et un dépôt d’argent comme conditions de sa mise en liberté. Cependant, l’al. 515(2)e) du </w:t>
      </w:r>
      <w:r w:rsidRPr="00293EE1">
        <w:rPr>
          <w:i/>
          <w:sz w:val="20"/>
          <w:lang w:val="fr-CA"/>
        </w:rPr>
        <w:t>Code criminel</w:t>
      </w:r>
      <w:r w:rsidRPr="00293EE1">
        <w:rPr>
          <w:sz w:val="20"/>
          <w:lang w:val="fr-CA"/>
        </w:rPr>
        <w:t xml:space="preserve"> ne permet à un juge de paix ou à un juge d’exiger un dépôt d’argent et la surveillance par une caution que si l’accusé vient de l’extérieur de la province où il est sous garde ou qu’il ne réside pas ordinairement dans un rayon de 200 km du lieu où il est sous garde. En tant que résidant de l’Ontario vivant dans un rayon de 200 km du lieu où il était sous garde, A ne satisfaisait pas à ces critères. Dans une demande de révision ultérieure, A </w:t>
      </w:r>
      <w:proofErr w:type="spellStart"/>
      <w:r w:rsidRPr="00293EE1">
        <w:rPr>
          <w:sz w:val="20"/>
          <w:lang w:val="fr-CA"/>
        </w:rPr>
        <w:t>a</w:t>
      </w:r>
      <w:proofErr w:type="spellEnd"/>
      <w:r w:rsidRPr="00293EE1">
        <w:rPr>
          <w:sz w:val="20"/>
          <w:lang w:val="fr-CA"/>
        </w:rPr>
        <w:t xml:space="preserve"> contesté la constitutionnalité de l’al. 515(2)e). Le juge saisi de la demande de révision a conclu que, comme la limite géographique prévue à l’al. 515(2)e) l’empêchait d’accorder une mise en liberté aux conditions qu’il estimait indiquées, cette disposition portait atteinte au droit de ne pas être privé sans juste cause d’une mise en liberté assortie d’un cautionnement raisonnable garanti par l’al. 11</w:t>
      </w:r>
      <w:r w:rsidRPr="00293EE1">
        <w:rPr>
          <w:i/>
          <w:sz w:val="20"/>
          <w:lang w:val="fr-CA"/>
        </w:rPr>
        <w:t>e</w:t>
      </w:r>
      <w:r w:rsidRPr="00293EE1">
        <w:rPr>
          <w:sz w:val="20"/>
          <w:lang w:val="fr-CA"/>
        </w:rPr>
        <w:t xml:space="preserve">) de la </w:t>
      </w:r>
      <w:r w:rsidRPr="00293EE1">
        <w:rPr>
          <w:i/>
          <w:sz w:val="20"/>
          <w:lang w:val="fr-CA"/>
        </w:rPr>
        <w:t>Charte</w:t>
      </w:r>
      <w:r w:rsidRPr="00293EE1">
        <w:rPr>
          <w:sz w:val="20"/>
          <w:lang w:val="fr-CA"/>
        </w:rPr>
        <w:t>. Il a retranché et annulé la limite géographique prévue à l’al. 515(2)e) et il a ordonné la mise en liberté de A avec caution et dépôt d’une somme de 100 000 $.</w:t>
      </w:r>
    </w:p>
    <w:p w:rsidR="00B71D8C" w:rsidRPr="00293EE1" w:rsidRDefault="00B71D8C" w:rsidP="00B71D8C">
      <w:pPr>
        <w:pStyle w:val="SCCNormalDoubleSpacing"/>
        <w:spacing w:line="240" w:lineRule="auto"/>
        <w:rPr>
          <w:sz w:val="20"/>
          <w:lang w:val="fr-CA"/>
        </w:rPr>
      </w:pPr>
    </w:p>
    <w:p w:rsidR="00B71D8C" w:rsidRPr="00293EE1" w:rsidRDefault="00B71D8C" w:rsidP="00B71D8C">
      <w:pPr>
        <w:pStyle w:val="SCCNormalDoubleSpacing"/>
        <w:spacing w:line="240" w:lineRule="auto"/>
        <w:rPr>
          <w:sz w:val="20"/>
          <w:lang w:val="fr-CA"/>
        </w:rPr>
      </w:pPr>
      <w:r w:rsidRPr="00293EE1">
        <w:rPr>
          <w:i/>
          <w:sz w:val="20"/>
          <w:lang w:val="fr-CA"/>
        </w:rPr>
        <w:tab/>
        <w:t>Arrêt : </w:t>
      </w:r>
      <w:r w:rsidRPr="00293EE1">
        <w:rPr>
          <w:sz w:val="20"/>
          <w:lang w:val="fr-CA"/>
        </w:rPr>
        <w:t xml:space="preserve">Le pourvoi est accueilli. L’alinéa 515(2)e) du </w:t>
      </w:r>
      <w:r w:rsidRPr="00293EE1">
        <w:rPr>
          <w:i/>
          <w:sz w:val="20"/>
          <w:lang w:val="fr-CA"/>
        </w:rPr>
        <w:t>Code criminel</w:t>
      </w:r>
      <w:r w:rsidRPr="00293EE1">
        <w:rPr>
          <w:sz w:val="20"/>
          <w:lang w:val="fr-CA"/>
        </w:rPr>
        <w:t xml:space="preserve"> est constitutionnel.</w:t>
      </w:r>
    </w:p>
    <w:p w:rsidR="00B71D8C" w:rsidRPr="00293EE1" w:rsidRDefault="00B71D8C" w:rsidP="00B71D8C">
      <w:pPr>
        <w:pStyle w:val="SCCNormalDoubleSpacing"/>
        <w:spacing w:line="240" w:lineRule="auto"/>
        <w:rPr>
          <w:sz w:val="20"/>
          <w:lang w:val="fr-CA"/>
        </w:rPr>
      </w:pPr>
    </w:p>
    <w:p w:rsidR="00B71D8C" w:rsidRPr="00293EE1" w:rsidRDefault="00B71D8C" w:rsidP="00B71D8C">
      <w:pPr>
        <w:pStyle w:val="SCCNormalDoubleSpacing"/>
        <w:spacing w:line="240" w:lineRule="auto"/>
        <w:rPr>
          <w:iCs/>
          <w:sz w:val="20"/>
          <w:lang w:val="fr-CA"/>
        </w:rPr>
      </w:pPr>
      <w:r w:rsidRPr="00293EE1">
        <w:rPr>
          <w:sz w:val="20"/>
          <w:lang w:val="fr-CA"/>
        </w:rPr>
        <w:tab/>
        <w:t>Le droit de ne pas être privé sans juste cause d’une mise en liberté assortie d’un cautionnement raisonnable est un élément essentiel d’un système de justice pénale éclairé. Il consacre l’effet de la présomption d’innocence à l’étape préalable au procès criminel et protège la liberté des accusés. Ce droit comporte deux volets : l’inculpé a le droit de ne pas être privé sans juste cause d’une mise en liberté sous caution et le droit à un cautionnement raisonnable. Le premier volet veut qu’une disposition ne puisse priver sans « juste cause » l’accusé d’une mise en liberté sous caution; le refus d’accorder une mise en liberté sous caution ne repose sur une juste cause que si celle</w:t>
      </w:r>
      <w:r w:rsidRPr="00293EE1">
        <w:rPr>
          <w:sz w:val="20"/>
          <w:lang w:val="fr-CA"/>
        </w:rPr>
        <w:noBreakHyphen/>
        <w:t xml:space="preserve">ci n’est refusée que dans certains cas bien précis, et que le refus s’impose pour favoriser le bon fonctionnement du système de mise en liberté sous caution et qu’on n’y recourt pas à des fins extérieures à ce système. Le deuxième volet, le droit à une mise en liberté assortie d’un cautionnement raisonnable, se rapporte aux conditions de la mise en liberté sous caution, y compris le montant fixé et les autres restrictions imposées à l’accusé pendant qu’il est en liberté. Il </w:t>
      </w:r>
      <w:r w:rsidRPr="00293EE1">
        <w:rPr>
          <w:iCs/>
          <w:sz w:val="20"/>
          <w:lang w:val="fr-CA"/>
        </w:rPr>
        <w:t>protège les accusés des conditions et des formes de mise en liberté qui sont déraisonnables.</w:t>
      </w:r>
    </w:p>
    <w:p w:rsidR="00B71D8C" w:rsidRPr="00293EE1" w:rsidRDefault="00B71D8C" w:rsidP="00B71D8C">
      <w:pPr>
        <w:pStyle w:val="SCCNormalDoubleSpacing"/>
        <w:spacing w:line="240" w:lineRule="auto"/>
        <w:rPr>
          <w:sz w:val="20"/>
          <w:lang w:val="fr-CA"/>
        </w:rPr>
      </w:pPr>
    </w:p>
    <w:p w:rsidR="00B71D8C" w:rsidRPr="00293EE1" w:rsidRDefault="00B71D8C" w:rsidP="00B71D8C">
      <w:pPr>
        <w:pStyle w:val="SCCNormalDoubleSpacing"/>
        <w:spacing w:line="240" w:lineRule="auto"/>
        <w:rPr>
          <w:sz w:val="20"/>
          <w:lang w:val="fr-CA"/>
        </w:rPr>
      </w:pPr>
      <w:r w:rsidRPr="00293EE1">
        <w:rPr>
          <w:sz w:val="20"/>
          <w:lang w:val="fr-CA"/>
        </w:rPr>
        <w:tab/>
        <w:t xml:space="preserve">Bien que l’audience relative à la mise en liberté sous caution constitue une procédure accélérée, les dispositions relatives à la mise en liberté sous caution relèvent du droit fédéral et doivent être appliquées de façon uniforme et équitable dans toutes les provinces et tous les territoires. Le principe de l’échelle et les formes de mise en liberté autorisées, prévus aux </w:t>
      </w:r>
      <w:proofErr w:type="spellStart"/>
      <w:r w:rsidRPr="00293EE1">
        <w:rPr>
          <w:sz w:val="20"/>
          <w:lang w:val="fr-CA"/>
        </w:rPr>
        <w:t>par</w:t>
      </w:r>
      <w:proofErr w:type="spellEnd"/>
      <w:r w:rsidRPr="00293EE1">
        <w:rPr>
          <w:sz w:val="20"/>
          <w:lang w:val="fr-CA"/>
        </w:rPr>
        <w:t xml:space="preserve">. 515(1) à (3) du </w:t>
      </w:r>
      <w:r w:rsidRPr="00293EE1">
        <w:rPr>
          <w:i/>
          <w:sz w:val="20"/>
          <w:lang w:val="fr-CA"/>
        </w:rPr>
        <w:t>Code criminel</w:t>
      </w:r>
      <w:r w:rsidRPr="00293EE1">
        <w:rPr>
          <w:sz w:val="20"/>
          <w:lang w:val="fr-CA"/>
        </w:rPr>
        <w:t>, constituent des éléments fondamentaux du droit canadien en matière de liberté sous caution. Sauf exceptions, une mise en liberté inconditionnelle sur remise d’une promesse constitue la solution par défaut à adopter lorsqu’il s’agit d’accorder une mise en liberté. L’imposition d’autres formes de mise en liberté doit se faire conformément au principe de l’échelle, lequel doit être suivi rigoureusement : on favorise la mise en liberté à la première occasion raisonnable et aux conditions les moins sévères possible. S’il propose une forme plus restrictive de mise en liberté, le ministère public doit démontrer la nécessité de celle</w:t>
      </w:r>
      <w:r w:rsidRPr="00293EE1">
        <w:rPr>
          <w:sz w:val="20"/>
          <w:lang w:val="fr-CA"/>
        </w:rPr>
        <w:noBreakHyphen/>
        <w:t xml:space="preserve">ci pour qu’il soit possible de l’imposer. Chaque échelon de l’échelle doit être examiné de façon individuelle et doit être écarté avant qu’il soit possible de passer à une forme plus restrictive de mise en liberté. En cas de désaccord des parties sur la forme de mise en liberté à accorder, le juge commet une erreur de droit en ordonnant une forme plus restrictive de mise en liberté sans justifier sa décision d’écarter les formes moins sévères. La mise en liberté avec engagement et caution est l’une des formes les plus sévères </w:t>
      </w:r>
      <w:r w:rsidRPr="00293EE1">
        <w:rPr>
          <w:sz w:val="20"/>
          <w:lang w:val="fr-CA"/>
        </w:rPr>
        <w:lastRenderedPageBreak/>
        <w:t>de mise en liberté, et ne devrait être imposée que dans le cas où toutes les formes moins sévères ont été examinées et écartées en raison de leur caractère inapproprié. Il n’est pas nécessaire d’imposer un cautionnement en espèces à des accusés si eux</w:t>
      </w:r>
      <w:r w:rsidRPr="00293EE1">
        <w:rPr>
          <w:sz w:val="20"/>
          <w:lang w:val="fr-CA"/>
        </w:rPr>
        <w:noBreakHyphen/>
        <w:t>mêmes ou leurs cautions possèdent des biens recouvrables par des moyens raisonnables et s’ils sont en mesure, à la satisfaction du tribunal, de mettre ceux</w:t>
      </w:r>
      <w:r w:rsidRPr="00293EE1">
        <w:rPr>
          <w:sz w:val="20"/>
          <w:lang w:val="fr-CA"/>
        </w:rPr>
        <w:noBreakHyphen/>
        <w:t xml:space="preserve">ci en gage. Un engagement est l’équivalent fonctionnel du cautionnement en espèces et a le même effet coercitif. Le cautionnement en espèces ne devrait être imposé qu’en présence de circonstances exceptionnelles où un engagement avec caution est impossible. Lorsqu’un cautionnement en espèces est ordonné, le montant fixé ne doit pas être élevé au point où il équivaut dans les faits à une ordonnance de détention; autrement dit, ce montant ne devrait pas être plus élevé que nécessaire pour dissiper la préoccupation qui justifierait par ailleurs la détention de l’accusé, et devrait être proportionné aux moyens de l’accusé et aux circonstances de l’affaire. Le juge a l’obligation positive de s’enquérir de la capacité de l’accusé de payer. Les conditions de mise en liberté visées au </w:t>
      </w:r>
      <w:proofErr w:type="spellStart"/>
      <w:r w:rsidRPr="00293EE1">
        <w:rPr>
          <w:sz w:val="20"/>
          <w:lang w:val="fr-CA"/>
        </w:rPr>
        <w:t>par</w:t>
      </w:r>
      <w:proofErr w:type="spellEnd"/>
      <w:r w:rsidRPr="00293EE1">
        <w:rPr>
          <w:sz w:val="20"/>
          <w:lang w:val="fr-CA"/>
        </w:rPr>
        <w:t xml:space="preserve">. 515(4) ne devraient être imposées que dans la mesure où elles sont nécessaires pour dissiper les préoccupations liées aux critères légaux de détention et pour permettre la mise en liberté de l’accusé. Elles ne doivent pas être imposées pour modifier le comportement de l’accusé ou pour le punir. Lorsqu’une demande de révision d’une ordonnance relative à la mise en liberté sous caution lui est présentée, le tribunal doit suivre le processus de révision applicable à cet égard énoncé dans </w:t>
      </w:r>
      <w:r w:rsidRPr="00293EE1">
        <w:rPr>
          <w:i/>
          <w:sz w:val="20"/>
          <w:lang w:val="fr-CA"/>
        </w:rPr>
        <w:t xml:space="preserve">R. </w:t>
      </w:r>
      <w:r w:rsidRPr="00293EE1">
        <w:rPr>
          <w:i/>
          <w:iCs/>
          <w:sz w:val="20"/>
          <w:lang w:val="fr-CA"/>
        </w:rPr>
        <w:t>c.</w:t>
      </w:r>
      <w:r w:rsidRPr="00293EE1">
        <w:rPr>
          <w:i/>
          <w:sz w:val="20"/>
          <w:lang w:val="fr-CA"/>
        </w:rPr>
        <w:t xml:space="preserve"> St</w:t>
      </w:r>
      <w:r w:rsidRPr="00293EE1">
        <w:rPr>
          <w:i/>
          <w:sz w:val="20"/>
          <w:lang w:val="fr-CA"/>
        </w:rPr>
        <w:noBreakHyphen/>
        <w:t>Cloud</w:t>
      </w:r>
      <w:r w:rsidRPr="00293EE1">
        <w:rPr>
          <w:sz w:val="20"/>
          <w:lang w:val="fr-CA"/>
        </w:rPr>
        <w:t>, 2015 CSC 27, [2015] 2 R.C.S. 328.</w:t>
      </w:r>
    </w:p>
    <w:p w:rsidR="00B71D8C" w:rsidRPr="00293EE1" w:rsidRDefault="00B71D8C" w:rsidP="00B71D8C">
      <w:pPr>
        <w:pStyle w:val="SCCNormalDoubleSpacing"/>
        <w:spacing w:line="240" w:lineRule="auto"/>
        <w:rPr>
          <w:sz w:val="20"/>
          <w:lang w:val="fr-CA"/>
        </w:rPr>
      </w:pPr>
    </w:p>
    <w:p w:rsidR="00B71D8C" w:rsidRPr="00293EE1" w:rsidRDefault="00B71D8C" w:rsidP="00B71D8C">
      <w:pPr>
        <w:pStyle w:val="SCCNormalDoubleSpacing"/>
        <w:spacing w:line="240" w:lineRule="auto"/>
        <w:rPr>
          <w:sz w:val="20"/>
          <w:lang w:val="fr-CA"/>
        </w:rPr>
      </w:pPr>
      <w:r w:rsidRPr="00293EE1">
        <w:rPr>
          <w:sz w:val="20"/>
          <w:lang w:val="fr-CA"/>
        </w:rPr>
        <w:tab/>
        <w:t xml:space="preserve">En l’espèce, l’al. 515(2)e) du </w:t>
      </w:r>
      <w:r w:rsidRPr="00293EE1">
        <w:rPr>
          <w:i/>
          <w:sz w:val="20"/>
          <w:lang w:val="fr-CA"/>
        </w:rPr>
        <w:t xml:space="preserve">Code criminel </w:t>
      </w:r>
      <w:r w:rsidRPr="00293EE1">
        <w:rPr>
          <w:sz w:val="20"/>
          <w:lang w:val="fr-CA"/>
        </w:rPr>
        <w:t>n’a pas eu pour effet de priver A d’une mise en liberté sous caution; c’est l’application des dispositions relatives à la mise en liberté sous caution par le juge saisi de la demande de révision qui a eu un tel effet. Celui</w:t>
      </w:r>
      <w:r w:rsidRPr="00293EE1">
        <w:rPr>
          <w:sz w:val="20"/>
          <w:lang w:val="fr-CA"/>
        </w:rPr>
        <w:noBreakHyphen/>
        <w:t>ci a commis deux erreurs en établissant l’ordonnance de mise en liberté de A. Premièrement, en exigeant un dépôt en argent et une caution, soit l’une des formes les plus sévères de mise en liberté, il n’a pas respecté le principe de l’échelle. Bien que A ait offert un engagement monétaire avec caution, le juge saisi de la demande de révision a exigé avec insistance un dépôt d’argent, ayant adopté l’hypothèse erronée selon laquelle l’argent est plus coercitif qu’un engagement. Deuxièmement, celui</w:t>
      </w:r>
      <w:r w:rsidRPr="00293EE1">
        <w:rPr>
          <w:sz w:val="20"/>
          <w:lang w:val="fr-CA"/>
        </w:rPr>
        <w:noBreakHyphen/>
        <w:t>ci a commis une erreur en rendant sa décision sur la base de l’hypothèse selon laquelle A pourrait croire qu’on n’introduirait pas de procédure en confiscation contre sa grand</w:t>
      </w:r>
      <w:r w:rsidRPr="00293EE1">
        <w:rPr>
          <w:sz w:val="20"/>
          <w:lang w:val="fr-CA"/>
        </w:rPr>
        <w:noBreakHyphen/>
        <w:t>mère âgée s’il ne respectait pas les conditions de sa mise en liberté. Un juge ne peut imposer une forme plus sévère de mise en liberté simplement parce qu’il suppose que l’accusé ne croira pas à la force exécutoire d’une caution ou d’un engagement. Le législateur a expressément prévu la possibilité pour l’accusé d’être mis en liberté moyennant un engagement assorti d’une caution, au lieu du dépôt d’un cautionnement en espèces; les juges ne devraient pas miner le régime de mise en liberté sous caution en supposant, à l’encontre de la preuve et de l’intention du législateur, qu’il sera plus efficace d’exiger de l’argent.</w:t>
      </w:r>
    </w:p>
    <w:p w:rsidR="00B71D8C" w:rsidRPr="00293EE1" w:rsidRDefault="00B71D8C" w:rsidP="00B71D8C">
      <w:pPr>
        <w:pStyle w:val="SCCNormalDoubleSpacing"/>
        <w:spacing w:line="240" w:lineRule="auto"/>
        <w:rPr>
          <w:sz w:val="20"/>
          <w:lang w:val="fr-CA"/>
        </w:rPr>
      </w:pPr>
    </w:p>
    <w:p w:rsidR="00B71D8C" w:rsidRPr="00293EE1" w:rsidRDefault="00B71D8C" w:rsidP="00B71D8C">
      <w:pPr>
        <w:pStyle w:val="SCCNormalDoubleSpacing"/>
        <w:spacing w:line="240" w:lineRule="auto"/>
        <w:rPr>
          <w:sz w:val="20"/>
          <w:lang w:val="fr-CA"/>
        </w:rPr>
      </w:pPr>
      <w:r w:rsidRPr="00293EE1">
        <w:rPr>
          <w:iCs/>
          <w:sz w:val="20"/>
          <w:lang w:val="fr-CA"/>
        </w:rPr>
        <w:tab/>
      </w:r>
      <w:r w:rsidRPr="00293EE1">
        <w:rPr>
          <w:sz w:val="20"/>
          <w:lang w:val="fr-CA"/>
        </w:rPr>
        <w:t>Comme l’al. 515(2)e) n’a pas eu pour effet de priver A d’une mise en liberté sous caution, on ne peut conclure qu’il prive celui</w:t>
      </w:r>
      <w:r w:rsidRPr="00293EE1">
        <w:rPr>
          <w:sz w:val="20"/>
          <w:lang w:val="fr-CA"/>
        </w:rPr>
        <w:noBreakHyphen/>
        <w:t>ci sans juste cause d’une telle mise en liberté. En conséquence, le premier volet du droit garanti par l’al. 11</w:t>
      </w:r>
      <w:r w:rsidRPr="00293EE1">
        <w:rPr>
          <w:i/>
          <w:sz w:val="20"/>
          <w:lang w:val="fr-CA"/>
        </w:rPr>
        <w:t>e</w:t>
      </w:r>
      <w:r w:rsidRPr="00293EE1">
        <w:rPr>
          <w:sz w:val="20"/>
          <w:lang w:val="fr-CA"/>
        </w:rPr>
        <w:t xml:space="preserve">) de la </w:t>
      </w:r>
      <w:r w:rsidRPr="00293EE1">
        <w:rPr>
          <w:i/>
          <w:sz w:val="20"/>
          <w:lang w:val="fr-CA"/>
        </w:rPr>
        <w:t>Charte</w:t>
      </w:r>
      <w:r w:rsidRPr="00293EE1">
        <w:rPr>
          <w:sz w:val="20"/>
          <w:lang w:val="fr-CA"/>
        </w:rPr>
        <w:t xml:space="preserve"> n’entre pas en jeu. De plus, il n’est pas nécessaire de se prononcer sur le deuxième volet de ce droit, car, dûment interprété, l’al. 515(2)e) ne s’applique pas à A et ne saurait donc autoriser une forme déraisonnable de mise en liberté en ce qui le concerne. Si le juge saisi de la demande de révision avait appliqué les dispositions en matière de mise en liberté sous caution de manière appropriée, A aurait pu se voir accorder une mise en liberté assortie d’un cautionnement raisonnable. En conséquence, la déclaration d’inconstitutionnalité qu’il a prononcée devrait être infirmée, et son ordonnance de mise en liberté avec dépôt d’argent et caution devrait être remplacée par une ordonnance de mise en liberté avec dépôt d’argent seulement, conforme à l’al. 515(2)d) et assortie des mêmes conditions que celles imposées antérieurement, étant donné que A </w:t>
      </w:r>
      <w:proofErr w:type="spellStart"/>
      <w:r w:rsidRPr="00293EE1">
        <w:rPr>
          <w:sz w:val="20"/>
          <w:lang w:val="fr-CA"/>
        </w:rPr>
        <w:t>a</w:t>
      </w:r>
      <w:proofErr w:type="spellEnd"/>
      <w:r w:rsidRPr="00293EE1">
        <w:rPr>
          <w:sz w:val="20"/>
          <w:lang w:val="fr-CA"/>
        </w:rPr>
        <w:t xml:space="preserve"> déjà effectué le dépôt d’argent.</w:t>
      </w:r>
    </w:p>
    <w:p w:rsidR="003D7273" w:rsidRPr="00293EE1" w:rsidRDefault="003D7273" w:rsidP="00B71D8C">
      <w:pPr>
        <w:pStyle w:val="SCCNormalDoubleSpacing"/>
        <w:spacing w:line="240" w:lineRule="auto"/>
        <w:rPr>
          <w:sz w:val="20"/>
          <w:lang w:val="fr-CA"/>
        </w:rPr>
      </w:pPr>
    </w:p>
    <w:p w:rsidR="00B71D8C" w:rsidRPr="00293EE1" w:rsidRDefault="00B71D8C" w:rsidP="00B71D8C">
      <w:pPr>
        <w:pStyle w:val="SCCNormalDoubleSpacing"/>
        <w:spacing w:line="240" w:lineRule="auto"/>
        <w:rPr>
          <w:sz w:val="20"/>
          <w:lang w:val="fr-CA"/>
        </w:rPr>
      </w:pPr>
      <w:r w:rsidRPr="00293EE1">
        <w:rPr>
          <w:sz w:val="20"/>
          <w:lang w:val="fr-CA"/>
        </w:rPr>
        <w:tab/>
        <w:t xml:space="preserve">POURVOI contre une décision de la Cour supérieure de justice de l’Ontario (le juge </w:t>
      </w:r>
      <w:proofErr w:type="spellStart"/>
      <w:r w:rsidRPr="00293EE1">
        <w:rPr>
          <w:sz w:val="20"/>
          <w:lang w:val="fr-CA"/>
        </w:rPr>
        <w:t>Munroe</w:t>
      </w:r>
      <w:proofErr w:type="spellEnd"/>
      <w:r w:rsidRPr="00293EE1">
        <w:rPr>
          <w:sz w:val="20"/>
          <w:lang w:val="fr-CA"/>
        </w:rPr>
        <w:t xml:space="preserve">), 2015 ONSC 6593, déclarant inconstitutionnel l’al. 515(2)e) du </w:t>
      </w:r>
      <w:r w:rsidRPr="00293EE1">
        <w:rPr>
          <w:i/>
          <w:sz w:val="20"/>
          <w:lang w:val="fr-CA"/>
        </w:rPr>
        <w:t>Code criminel</w:t>
      </w:r>
      <w:r w:rsidRPr="00293EE1">
        <w:rPr>
          <w:sz w:val="20"/>
          <w:lang w:val="fr-CA"/>
        </w:rPr>
        <w:t xml:space="preserve"> et accordant à l’accusé une mise en liberté provisoire. Pourvoi accueilli.</w:t>
      </w:r>
    </w:p>
    <w:p w:rsidR="00B71D8C" w:rsidRPr="00293EE1" w:rsidRDefault="00B71D8C" w:rsidP="00B71D8C">
      <w:pPr>
        <w:pStyle w:val="SCCNormalDoubleSpacing"/>
        <w:spacing w:line="240" w:lineRule="auto"/>
        <w:rPr>
          <w:sz w:val="20"/>
          <w:lang w:val="fr-CA"/>
        </w:rPr>
      </w:pPr>
    </w:p>
    <w:p w:rsidR="00B71D8C" w:rsidRPr="00293EE1" w:rsidRDefault="00B71D8C" w:rsidP="00B71D8C">
      <w:pPr>
        <w:pStyle w:val="SCCNormalDoubleSpacing"/>
        <w:spacing w:line="240" w:lineRule="auto"/>
        <w:rPr>
          <w:rStyle w:val="SCCCounselPartyRoleChar"/>
          <w:sz w:val="20"/>
          <w:lang w:val="fr-CA"/>
        </w:rPr>
      </w:pPr>
      <w:r w:rsidRPr="00293EE1">
        <w:rPr>
          <w:rStyle w:val="SCCCounselNameChar"/>
          <w:sz w:val="20"/>
          <w:lang w:val="fr-CA"/>
        </w:rPr>
        <w:tab/>
        <w:t xml:space="preserve">Nick </w:t>
      </w:r>
      <w:proofErr w:type="spellStart"/>
      <w:r w:rsidRPr="00293EE1">
        <w:rPr>
          <w:rStyle w:val="SCCCounselNameChar"/>
          <w:sz w:val="20"/>
          <w:lang w:val="fr-CA"/>
        </w:rPr>
        <w:t>Devlin</w:t>
      </w:r>
      <w:proofErr w:type="spellEnd"/>
      <w:r w:rsidRPr="00293EE1">
        <w:rPr>
          <w:rStyle w:val="SCCCounselSeparatorChar"/>
          <w:rFonts w:eastAsia="Calibri"/>
          <w:sz w:val="20"/>
        </w:rPr>
        <w:t xml:space="preserve"> et </w:t>
      </w:r>
      <w:r w:rsidRPr="00293EE1">
        <w:rPr>
          <w:rStyle w:val="SCCCounselNameChar"/>
          <w:sz w:val="20"/>
          <w:lang w:val="fr-CA"/>
        </w:rPr>
        <w:t xml:space="preserve">Amber </w:t>
      </w:r>
      <w:proofErr w:type="spellStart"/>
      <w:r w:rsidRPr="00293EE1">
        <w:rPr>
          <w:rStyle w:val="SCCCounselNameChar"/>
          <w:sz w:val="20"/>
          <w:lang w:val="fr-CA"/>
        </w:rPr>
        <w:t>Pashuk</w:t>
      </w:r>
      <w:proofErr w:type="spellEnd"/>
      <w:r w:rsidRPr="00293EE1">
        <w:rPr>
          <w:rStyle w:val="SCCCounselPartyRoleChar"/>
          <w:sz w:val="20"/>
          <w:lang w:val="fr-CA"/>
        </w:rPr>
        <w:t>, pour l’appelante.</w:t>
      </w:r>
    </w:p>
    <w:p w:rsidR="00B71D8C" w:rsidRPr="00293EE1" w:rsidRDefault="00B71D8C" w:rsidP="00B71D8C">
      <w:pPr>
        <w:pStyle w:val="SCCNormalDoubleSpacing"/>
        <w:spacing w:line="240" w:lineRule="auto"/>
        <w:rPr>
          <w:rStyle w:val="SCCCounselPartyRoleChar"/>
          <w:sz w:val="20"/>
          <w:lang w:val="fr-CA"/>
        </w:rPr>
      </w:pPr>
    </w:p>
    <w:p w:rsidR="00B71D8C" w:rsidRPr="00293EE1" w:rsidRDefault="00B71D8C" w:rsidP="00B71D8C">
      <w:pPr>
        <w:pStyle w:val="SCCNormalDoubleSpacing"/>
        <w:spacing w:line="240" w:lineRule="auto"/>
        <w:rPr>
          <w:rStyle w:val="SCCCounselPartyRoleChar"/>
          <w:sz w:val="20"/>
          <w:lang w:val="fr-CA"/>
        </w:rPr>
      </w:pPr>
      <w:r w:rsidRPr="00293EE1">
        <w:rPr>
          <w:rStyle w:val="SCCCounselPartyRoleChar"/>
          <w:sz w:val="20"/>
          <w:lang w:val="fr-CA"/>
        </w:rPr>
        <w:tab/>
        <w:t>Personne n’a comparu pour l’intimé.</w:t>
      </w:r>
    </w:p>
    <w:p w:rsidR="00B71D8C" w:rsidRPr="00293EE1" w:rsidRDefault="00B71D8C" w:rsidP="00B71D8C">
      <w:pPr>
        <w:pStyle w:val="SCCNormalDoubleSpacing"/>
        <w:spacing w:line="240" w:lineRule="auto"/>
        <w:rPr>
          <w:sz w:val="20"/>
          <w:lang w:val="fr-CA"/>
        </w:rPr>
      </w:pPr>
    </w:p>
    <w:p w:rsidR="00B71D8C" w:rsidRPr="00293EE1" w:rsidRDefault="00B71D8C" w:rsidP="00B71D8C">
      <w:pPr>
        <w:pStyle w:val="SCCNormalDoubleSpacing"/>
        <w:spacing w:line="240" w:lineRule="auto"/>
        <w:rPr>
          <w:rStyle w:val="SCCCounselPartyRoleChar"/>
          <w:sz w:val="20"/>
          <w:lang w:val="fr-CA"/>
        </w:rPr>
      </w:pPr>
      <w:r w:rsidRPr="00293EE1">
        <w:rPr>
          <w:rStyle w:val="SCCCounselNameChar"/>
          <w:sz w:val="20"/>
          <w:lang w:val="fr-CA"/>
        </w:rPr>
        <w:tab/>
        <w:t xml:space="preserve">Jonathan </w:t>
      </w:r>
      <w:proofErr w:type="spellStart"/>
      <w:r w:rsidRPr="00293EE1">
        <w:rPr>
          <w:rStyle w:val="SCCCounselNameChar"/>
          <w:sz w:val="20"/>
          <w:lang w:val="fr-CA"/>
        </w:rPr>
        <w:t>Shime</w:t>
      </w:r>
      <w:proofErr w:type="spellEnd"/>
      <w:r w:rsidRPr="00293EE1">
        <w:rPr>
          <w:rStyle w:val="SCCCounselPartyRoleChar"/>
          <w:sz w:val="20"/>
          <w:lang w:val="fr-CA"/>
        </w:rPr>
        <w:t>, pour l’intervenante l’Association canadienne des libertés civiles.</w:t>
      </w:r>
    </w:p>
    <w:p w:rsidR="00B71D8C" w:rsidRPr="00293EE1" w:rsidRDefault="00B71D8C" w:rsidP="00B71D8C">
      <w:pPr>
        <w:pStyle w:val="SCCNormalDoubleSpacing"/>
        <w:spacing w:line="240" w:lineRule="auto"/>
        <w:rPr>
          <w:sz w:val="20"/>
          <w:lang w:val="fr-CA"/>
        </w:rPr>
      </w:pPr>
    </w:p>
    <w:p w:rsidR="00B71D8C" w:rsidRPr="00293EE1" w:rsidRDefault="00B71D8C" w:rsidP="00B71D8C">
      <w:pPr>
        <w:pStyle w:val="SCCNormalDoubleSpacing"/>
        <w:spacing w:line="240" w:lineRule="auto"/>
        <w:rPr>
          <w:rStyle w:val="SCCCounselPartyRoleChar"/>
          <w:sz w:val="20"/>
          <w:lang w:val="fr-CA"/>
        </w:rPr>
      </w:pPr>
      <w:r w:rsidRPr="00293EE1">
        <w:rPr>
          <w:rStyle w:val="SCCCounselNameChar"/>
          <w:sz w:val="20"/>
          <w:lang w:val="fr-CA"/>
        </w:rPr>
        <w:tab/>
        <w:t>John Norris</w:t>
      </w:r>
      <w:r w:rsidRPr="00293EE1">
        <w:rPr>
          <w:rStyle w:val="SCCCounselSeparatorChar"/>
          <w:rFonts w:eastAsia="Calibri"/>
          <w:sz w:val="20"/>
        </w:rPr>
        <w:t xml:space="preserve"> et </w:t>
      </w:r>
      <w:r w:rsidRPr="00293EE1">
        <w:rPr>
          <w:rStyle w:val="SCCCounselNameChar"/>
          <w:sz w:val="20"/>
          <w:lang w:val="fr-CA"/>
        </w:rPr>
        <w:t xml:space="preserve">Chris </w:t>
      </w:r>
      <w:proofErr w:type="spellStart"/>
      <w:r w:rsidRPr="00293EE1">
        <w:rPr>
          <w:rStyle w:val="SCCCounselNameChar"/>
          <w:sz w:val="20"/>
          <w:lang w:val="fr-CA"/>
        </w:rPr>
        <w:t>Sewrattan</w:t>
      </w:r>
      <w:proofErr w:type="spellEnd"/>
      <w:r w:rsidRPr="00293EE1">
        <w:rPr>
          <w:rStyle w:val="SCCCounselPartyRoleChar"/>
          <w:sz w:val="20"/>
          <w:lang w:val="fr-CA"/>
        </w:rPr>
        <w:t xml:space="preserve">, pour l’intervenante </w:t>
      </w:r>
      <w:proofErr w:type="spellStart"/>
      <w:r w:rsidRPr="00293EE1">
        <w:rPr>
          <w:rStyle w:val="SCCCounselPartyRoleChar"/>
          <w:sz w:val="20"/>
          <w:lang w:val="fr-CA"/>
        </w:rPr>
        <w:t>Criminal</w:t>
      </w:r>
      <w:proofErr w:type="spellEnd"/>
      <w:r w:rsidRPr="00293EE1">
        <w:rPr>
          <w:rStyle w:val="SCCCounselPartyRoleChar"/>
          <w:sz w:val="20"/>
          <w:lang w:val="fr-CA"/>
        </w:rPr>
        <w:t xml:space="preserve"> </w:t>
      </w:r>
      <w:proofErr w:type="spellStart"/>
      <w:r w:rsidRPr="00293EE1">
        <w:rPr>
          <w:rStyle w:val="SCCCounselPartyRoleChar"/>
          <w:sz w:val="20"/>
          <w:lang w:val="fr-CA"/>
        </w:rPr>
        <w:t>Lawyers</w:t>
      </w:r>
      <w:proofErr w:type="spellEnd"/>
      <w:r w:rsidRPr="00293EE1">
        <w:rPr>
          <w:rStyle w:val="SCCCounselPartyRoleChar"/>
          <w:sz w:val="20"/>
          <w:lang w:val="fr-CA"/>
        </w:rPr>
        <w:t>’ Association (Ontario).</w:t>
      </w:r>
    </w:p>
    <w:p w:rsidR="00B71D8C" w:rsidRPr="00293EE1" w:rsidRDefault="00B71D8C" w:rsidP="00B71D8C">
      <w:pPr>
        <w:pStyle w:val="SCCNormalDoubleSpacing"/>
        <w:spacing w:line="240" w:lineRule="auto"/>
        <w:rPr>
          <w:sz w:val="20"/>
          <w:lang w:val="fr-CA"/>
        </w:rPr>
      </w:pPr>
    </w:p>
    <w:p w:rsidR="00B71D8C" w:rsidRPr="00293EE1" w:rsidRDefault="00B71D8C" w:rsidP="00B71D8C">
      <w:pPr>
        <w:pStyle w:val="SCCNormalDoubleSpacing"/>
        <w:spacing w:line="240" w:lineRule="auto"/>
        <w:rPr>
          <w:sz w:val="20"/>
          <w:lang w:val="fr-CA"/>
        </w:rPr>
      </w:pPr>
      <w:r w:rsidRPr="00293EE1">
        <w:rPr>
          <w:rStyle w:val="SCCCounselNameChar"/>
          <w:sz w:val="20"/>
          <w:lang w:val="fr-CA"/>
        </w:rPr>
        <w:tab/>
        <w:t>Vincenzo Rondinelli</w:t>
      </w:r>
      <w:r w:rsidRPr="00293EE1">
        <w:rPr>
          <w:rStyle w:val="SCCCounselPartyRoleChar"/>
          <w:sz w:val="20"/>
          <w:lang w:val="fr-CA"/>
        </w:rPr>
        <w:t>, en qualité d’</w:t>
      </w:r>
      <w:proofErr w:type="spellStart"/>
      <w:r w:rsidRPr="00293EE1">
        <w:rPr>
          <w:rStyle w:val="SCCCounselPartyRoleChar"/>
          <w:i/>
          <w:sz w:val="20"/>
          <w:lang w:val="fr-CA"/>
        </w:rPr>
        <w:t>amicus</w:t>
      </w:r>
      <w:proofErr w:type="spellEnd"/>
      <w:r w:rsidRPr="00293EE1">
        <w:rPr>
          <w:rStyle w:val="SCCCounselPartyRoleChar"/>
          <w:i/>
          <w:sz w:val="20"/>
          <w:lang w:val="fr-CA"/>
        </w:rPr>
        <w:t xml:space="preserve"> </w:t>
      </w:r>
      <w:proofErr w:type="spellStart"/>
      <w:r w:rsidRPr="00293EE1">
        <w:rPr>
          <w:rStyle w:val="SCCCounselPartyRoleChar"/>
          <w:i/>
          <w:sz w:val="20"/>
          <w:lang w:val="fr-CA"/>
        </w:rPr>
        <w:t>curiae</w:t>
      </w:r>
      <w:proofErr w:type="spellEnd"/>
      <w:r w:rsidRPr="00293EE1">
        <w:rPr>
          <w:rStyle w:val="SCCCounselPartyRoleChar"/>
          <w:sz w:val="20"/>
          <w:lang w:val="fr-CA"/>
        </w:rPr>
        <w:t>.</w:t>
      </w:r>
    </w:p>
    <w:p w:rsidR="006468A7" w:rsidRPr="00293EE1" w:rsidRDefault="006468A7" w:rsidP="005C6840">
      <w:pPr>
        <w:rPr>
          <w:rFonts w:cs="Times New Roman"/>
          <w:sz w:val="20"/>
          <w:szCs w:val="20"/>
          <w:lang w:val="fr-CA"/>
        </w:rPr>
      </w:pPr>
    </w:p>
    <w:p w:rsidR="005C6840" w:rsidRPr="00293EE1" w:rsidRDefault="00B2512D" w:rsidP="005C6840">
      <w:pPr>
        <w:rPr>
          <w:lang w:val="fr-CA"/>
        </w:rPr>
      </w:pPr>
      <w:r>
        <w:rPr>
          <w:rFonts w:cs="Times New Roman"/>
          <w:sz w:val="20"/>
          <w:szCs w:val="20"/>
          <w:lang w:val="fr-CA"/>
        </w:rPr>
        <w:pict>
          <v:rect id="_x0000_i1093" style="width:144.3pt;height:1pt" o:hrpct="300" o:hralign="center" o:hrstd="t" o:hrnoshade="t" o:hr="t" fillcolor="black [3213]" stroked="f"/>
        </w:pict>
      </w:r>
    </w:p>
    <w:p w:rsidR="006468A7" w:rsidRPr="00293EE1" w:rsidRDefault="006468A7" w:rsidP="0052229C">
      <w:pPr>
        <w:rPr>
          <w:sz w:val="20"/>
          <w:szCs w:val="20"/>
          <w:lang w:val="fr-CA"/>
        </w:rPr>
      </w:pPr>
    </w:p>
    <w:p w:rsidR="0052229C" w:rsidRPr="00293EE1" w:rsidRDefault="0052229C" w:rsidP="0052229C">
      <w:pPr>
        <w:pStyle w:val="SCCNormalDoubleSpacing"/>
        <w:spacing w:line="240" w:lineRule="auto"/>
        <w:rPr>
          <w:sz w:val="20"/>
          <w:lang w:val="fr-CA"/>
        </w:rPr>
      </w:pPr>
    </w:p>
    <w:p w:rsidR="00031F04" w:rsidRPr="00293EE1" w:rsidRDefault="00031F04">
      <w:pPr>
        <w:rPr>
          <w:rFonts w:eastAsia="Times New Roman" w:cs="Times New Roman"/>
          <w:sz w:val="20"/>
          <w:szCs w:val="20"/>
          <w:lang w:val="fr-CA" w:eastAsia="en-CA"/>
        </w:rPr>
      </w:pPr>
      <w:r w:rsidRPr="00293EE1">
        <w:rPr>
          <w:sz w:val="20"/>
          <w:lang w:val="fr-CA"/>
        </w:rPr>
        <w:br w:type="page"/>
      </w:r>
    </w:p>
    <w:p w:rsidR="00031F04" w:rsidRPr="00293EE1" w:rsidRDefault="00031F04" w:rsidP="00031F04">
      <w:pPr>
        <w:rPr>
          <w:rFonts w:cs="Times New Roman"/>
          <w:i/>
          <w:sz w:val="20"/>
          <w:szCs w:val="20"/>
          <w:lang w:val="fr-CA"/>
        </w:rPr>
      </w:pPr>
    </w:p>
    <w:p w:rsidR="00031F04" w:rsidRPr="00293EE1" w:rsidRDefault="00031F04" w:rsidP="00031F04">
      <w:pPr>
        <w:ind w:left="1440" w:hanging="1440"/>
        <w:jc w:val="both"/>
        <w:rPr>
          <w:sz w:val="20"/>
          <w:szCs w:val="20"/>
          <w:lang w:val="en-US"/>
        </w:rPr>
      </w:pPr>
      <w:r w:rsidRPr="00293EE1">
        <w:rPr>
          <w:rFonts w:eastAsia="Calibri"/>
          <w:i/>
          <w:sz w:val="20"/>
          <w:szCs w:val="20"/>
          <w:lang w:val="en-US"/>
        </w:rPr>
        <w:t xml:space="preserve">Mohsen </w:t>
      </w:r>
      <w:proofErr w:type="spellStart"/>
      <w:r w:rsidRPr="00293EE1">
        <w:rPr>
          <w:rFonts w:eastAsia="Calibri"/>
          <w:i/>
          <w:sz w:val="20"/>
          <w:szCs w:val="20"/>
          <w:lang w:val="en-US"/>
        </w:rPr>
        <w:t>Saadati</w:t>
      </w:r>
      <w:proofErr w:type="spellEnd"/>
      <w:r w:rsidRPr="00293EE1">
        <w:rPr>
          <w:rFonts w:eastAsia="Calibri"/>
          <w:i/>
          <w:sz w:val="20"/>
          <w:szCs w:val="20"/>
          <w:lang w:val="en-US"/>
        </w:rPr>
        <w:t xml:space="preserve">, by his Litigation Guardian, Sara </w:t>
      </w:r>
      <w:proofErr w:type="spellStart"/>
      <w:r w:rsidRPr="00293EE1">
        <w:rPr>
          <w:rFonts w:eastAsia="Calibri"/>
          <w:i/>
          <w:sz w:val="20"/>
          <w:szCs w:val="20"/>
          <w:lang w:val="en-US"/>
        </w:rPr>
        <w:t>Zarei</w:t>
      </w:r>
      <w:proofErr w:type="spellEnd"/>
      <w:r w:rsidRPr="00293EE1">
        <w:rPr>
          <w:rFonts w:eastAsia="Calibri"/>
          <w:i/>
          <w:sz w:val="20"/>
          <w:szCs w:val="20"/>
          <w:lang w:val="en-US"/>
        </w:rPr>
        <w:t xml:space="preserve"> v. Grant Iain Moorhead, et al. </w:t>
      </w:r>
      <w:r w:rsidRPr="00293EE1">
        <w:rPr>
          <w:sz w:val="20"/>
          <w:szCs w:val="20"/>
          <w:lang w:val="en-US"/>
        </w:rPr>
        <w:t>(Ont.) (</w:t>
      </w:r>
      <w:hyperlink r:id="rId107" w:history="1">
        <w:r w:rsidRPr="00293EE1">
          <w:rPr>
            <w:rStyle w:val="Hyperlink"/>
            <w:sz w:val="20"/>
            <w:szCs w:val="20"/>
            <w:lang w:val="en-US"/>
          </w:rPr>
          <w:t>36703</w:t>
        </w:r>
      </w:hyperlink>
      <w:r w:rsidRPr="00293EE1">
        <w:rPr>
          <w:sz w:val="20"/>
          <w:szCs w:val="20"/>
          <w:lang w:val="en-US"/>
        </w:rPr>
        <w:t>)</w:t>
      </w:r>
    </w:p>
    <w:p w:rsidR="00031F04" w:rsidRPr="00293EE1" w:rsidRDefault="00031F04" w:rsidP="00031F04">
      <w:pPr>
        <w:jc w:val="both"/>
        <w:rPr>
          <w:b/>
          <w:sz w:val="20"/>
          <w:szCs w:val="20"/>
          <w:lang w:val="en-US"/>
        </w:rPr>
      </w:pPr>
      <w:r w:rsidRPr="00293EE1">
        <w:rPr>
          <w:b/>
          <w:sz w:val="20"/>
          <w:szCs w:val="20"/>
          <w:lang w:val="en-US"/>
        </w:rPr>
        <w:t xml:space="preserve">Indexed as:  </w:t>
      </w:r>
      <w:proofErr w:type="spellStart"/>
      <w:r w:rsidR="00411F70" w:rsidRPr="00293EE1">
        <w:rPr>
          <w:b/>
          <w:sz w:val="20"/>
          <w:szCs w:val="20"/>
          <w:lang w:val="en-US"/>
        </w:rPr>
        <w:t>Saadati</w:t>
      </w:r>
      <w:proofErr w:type="spellEnd"/>
      <w:r w:rsidRPr="00293EE1">
        <w:rPr>
          <w:b/>
          <w:sz w:val="20"/>
          <w:szCs w:val="20"/>
          <w:lang w:val="en-US"/>
        </w:rPr>
        <w:t xml:space="preserve"> </w:t>
      </w:r>
      <w:r w:rsidRPr="00293EE1">
        <w:rPr>
          <w:b/>
          <w:i/>
          <w:sz w:val="20"/>
          <w:szCs w:val="20"/>
          <w:lang w:val="en-US"/>
        </w:rPr>
        <w:t>v.</w:t>
      </w:r>
      <w:r w:rsidRPr="00293EE1">
        <w:rPr>
          <w:b/>
          <w:sz w:val="20"/>
          <w:szCs w:val="20"/>
          <w:lang w:val="en-US"/>
        </w:rPr>
        <w:t xml:space="preserve"> </w:t>
      </w:r>
      <w:r w:rsidR="00411F70" w:rsidRPr="00293EE1">
        <w:rPr>
          <w:b/>
          <w:sz w:val="20"/>
          <w:szCs w:val="20"/>
          <w:lang w:val="en-US"/>
        </w:rPr>
        <w:t>Moorhead</w:t>
      </w:r>
      <w:r w:rsidRPr="00293EE1">
        <w:rPr>
          <w:rStyle w:val="SCCRespondentForIndexChar"/>
          <w:rFonts w:eastAsiaTheme="minorHAnsi"/>
          <w:sz w:val="20"/>
          <w:lang w:val="en-US"/>
        </w:rPr>
        <w:t xml:space="preserve"> / </w:t>
      </w:r>
      <w:proofErr w:type="spellStart"/>
      <w:proofErr w:type="gramStart"/>
      <w:r w:rsidRPr="00293EE1">
        <w:rPr>
          <w:b/>
          <w:sz w:val="20"/>
          <w:szCs w:val="20"/>
          <w:lang w:val="en-US"/>
        </w:rPr>
        <w:t>Répertorié</w:t>
      </w:r>
      <w:proofErr w:type="spellEnd"/>
      <w:r w:rsidRPr="00293EE1">
        <w:rPr>
          <w:b/>
          <w:sz w:val="20"/>
          <w:szCs w:val="20"/>
          <w:lang w:val="en-US"/>
        </w:rPr>
        <w:t> :</w:t>
      </w:r>
      <w:proofErr w:type="gramEnd"/>
      <w:r w:rsidRPr="00293EE1">
        <w:rPr>
          <w:b/>
          <w:sz w:val="20"/>
          <w:szCs w:val="20"/>
          <w:lang w:val="en-US"/>
        </w:rPr>
        <w:t> </w:t>
      </w:r>
      <w:proofErr w:type="spellStart"/>
      <w:r w:rsidR="00411F70" w:rsidRPr="00293EE1">
        <w:rPr>
          <w:b/>
          <w:sz w:val="20"/>
          <w:szCs w:val="20"/>
          <w:lang w:val="en-US"/>
        </w:rPr>
        <w:t>Saadati</w:t>
      </w:r>
      <w:proofErr w:type="spellEnd"/>
      <w:r w:rsidRPr="00293EE1">
        <w:rPr>
          <w:b/>
          <w:sz w:val="20"/>
          <w:szCs w:val="20"/>
          <w:lang w:val="en-US"/>
        </w:rPr>
        <w:t xml:space="preserve"> </w:t>
      </w:r>
      <w:r w:rsidRPr="00293EE1">
        <w:rPr>
          <w:b/>
          <w:i/>
          <w:sz w:val="20"/>
          <w:szCs w:val="20"/>
          <w:lang w:val="en-US"/>
        </w:rPr>
        <w:t>c.</w:t>
      </w:r>
      <w:r w:rsidRPr="00293EE1">
        <w:rPr>
          <w:b/>
          <w:sz w:val="20"/>
          <w:szCs w:val="20"/>
          <w:lang w:val="en-US"/>
        </w:rPr>
        <w:t xml:space="preserve"> </w:t>
      </w:r>
      <w:r w:rsidR="00411F70" w:rsidRPr="00293EE1">
        <w:rPr>
          <w:b/>
          <w:sz w:val="20"/>
          <w:szCs w:val="20"/>
          <w:lang w:val="en-US"/>
        </w:rPr>
        <w:t>Moorhead</w:t>
      </w:r>
    </w:p>
    <w:p w:rsidR="00031F04" w:rsidRPr="00293EE1" w:rsidRDefault="00031F04" w:rsidP="00031F04">
      <w:pPr>
        <w:pStyle w:val="SCCSystemYear"/>
        <w:jc w:val="both"/>
        <w:rPr>
          <w:sz w:val="20"/>
        </w:rPr>
      </w:pPr>
      <w:proofErr w:type="spellStart"/>
      <w:r w:rsidRPr="00293EE1">
        <w:rPr>
          <w:sz w:val="20"/>
        </w:rPr>
        <w:t>Neutral</w:t>
      </w:r>
      <w:proofErr w:type="spellEnd"/>
      <w:r w:rsidRPr="00293EE1">
        <w:rPr>
          <w:sz w:val="20"/>
        </w:rPr>
        <w:t xml:space="preserve"> citation</w:t>
      </w:r>
      <w:proofErr w:type="gramStart"/>
      <w:r w:rsidRPr="00293EE1">
        <w:rPr>
          <w:sz w:val="20"/>
        </w:rPr>
        <w:t>:  2017</w:t>
      </w:r>
      <w:proofErr w:type="gramEnd"/>
      <w:r w:rsidRPr="00293EE1">
        <w:rPr>
          <w:sz w:val="20"/>
        </w:rPr>
        <w:t xml:space="preserve"> SCC 28 / Référence neutre : 2017 CSC 28</w:t>
      </w:r>
    </w:p>
    <w:p w:rsidR="00031F04" w:rsidRPr="00293EE1" w:rsidRDefault="00031F04" w:rsidP="00031F04">
      <w:pPr>
        <w:rPr>
          <w:rFonts w:cs="Times New Roman"/>
          <w:sz w:val="20"/>
          <w:szCs w:val="20"/>
          <w:lang w:val="fr-CA"/>
        </w:rPr>
      </w:pPr>
      <w:proofErr w:type="spellStart"/>
      <w:r w:rsidRPr="00293EE1">
        <w:rPr>
          <w:rFonts w:cs="Times New Roman"/>
          <w:sz w:val="20"/>
          <w:szCs w:val="20"/>
          <w:lang w:val="fr-CA"/>
        </w:rPr>
        <w:t>Hearing</w:t>
      </w:r>
      <w:proofErr w:type="spellEnd"/>
      <w:r w:rsidRPr="00293EE1">
        <w:rPr>
          <w:rFonts w:cs="Times New Roman"/>
          <w:sz w:val="20"/>
          <w:szCs w:val="20"/>
          <w:lang w:val="fr-CA"/>
        </w:rPr>
        <w:t xml:space="preserve">: </w:t>
      </w:r>
      <w:proofErr w:type="spellStart"/>
      <w:r w:rsidR="00411F70" w:rsidRPr="00293EE1">
        <w:rPr>
          <w:rFonts w:cs="Times New Roman"/>
          <w:sz w:val="20"/>
          <w:szCs w:val="20"/>
          <w:lang w:val="fr-CA"/>
        </w:rPr>
        <w:t>January</w:t>
      </w:r>
      <w:proofErr w:type="spellEnd"/>
      <w:r w:rsidRPr="00293EE1">
        <w:rPr>
          <w:rFonts w:cs="Times New Roman"/>
          <w:sz w:val="20"/>
          <w:szCs w:val="20"/>
          <w:lang w:val="fr-CA"/>
        </w:rPr>
        <w:t xml:space="preserve"> 1</w:t>
      </w:r>
      <w:r w:rsidR="00411F70" w:rsidRPr="00293EE1">
        <w:rPr>
          <w:rFonts w:cs="Times New Roman"/>
          <w:sz w:val="20"/>
          <w:szCs w:val="20"/>
          <w:lang w:val="fr-CA"/>
        </w:rPr>
        <w:t>6</w:t>
      </w:r>
      <w:r w:rsidRPr="00293EE1">
        <w:rPr>
          <w:rFonts w:cs="Times New Roman"/>
          <w:sz w:val="20"/>
          <w:szCs w:val="20"/>
          <w:lang w:val="fr-CA"/>
        </w:rPr>
        <w:t>, 201</w:t>
      </w:r>
      <w:r w:rsidR="00411F70" w:rsidRPr="00293EE1">
        <w:rPr>
          <w:rFonts w:cs="Times New Roman"/>
          <w:sz w:val="20"/>
          <w:szCs w:val="20"/>
          <w:lang w:val="fr-CA"/>
        </w:rPr>
        <w:t>7</w:t>
      </w:r>
      <w:r w:rsidRPr="00293EE1">
        <w:rPr>
          <w:rFonts w:cs="Times New Roman"/>
          <w:sz w:val="20"/>
          <w:szCs w:val="20"/>
          <w:lang w:val="fr-CA"/>
        </w:rPr>
        <w:t xml:space="preserve"> / </w:t>
      </w:r>
      <w:proofErr w:type="spellStart"/>
      <w:r w:rsidRPr="00293EE1">
        <w:rPr>
          <w:rFonts w:cs="Times New Roman"/>
          <w:sz w:val="20"/>
          <w:szCs w:val="20"/>
          <w:lang w:val="fr-CA"/>
        </w:rPr>
        <w:t>Judgment</w:t>
      </w:r>
      <w:proofErr w:type="spellEnd"/>
      <w:proofErr w:type="gramStart"/>
      <w:r w:rsidRPr="00293EE1">
        <w:rPr>
          <w:rFonts w:cs="Times New Roman"/>
          <w:sz w:val="20"/>
          <w:szCs w:val="20"/>
          <w:lang w:val="fr-CA"/>
        </w:rPr>
        <w:t xml:space="preserve">:  </w:t>
      </w:r>
      <w:proofErr w:type="spellStart"/>
      <w:r w:rsidRPr="00293EE1">
        <w:rPr>
          <w:rFonts w:cs="Times New Roman"/>
          <w:sz w:val="20"/>
          <w:szCs w:val="20"/>
          <w:lang w:val="fr-CA"/>
        </w:rPr>
        <w:t>June</w:t>
      </w:r>
      <w:proofErr w:type="spellEnd"/>
      <w:proofErr w:type="gramEnd"/>
      <w:r w:rsidRPr="00293EE1">
        <w:rPr>
          <w:rFonts w:cs="Times New Roman"/>
          <w:sz w:val="20"/>
          <w:szCs w:val="20"/>
          <w:lang w:val="fr-CA"/>
        </w:rPr>
        <w:t xml:space="preserve"> 2, 2017</w:t>
      </w:r>
    </w:p>
    <w:p w:rsidR="00031F04" w:rsidRPr="00293EE1" w:rsidRDefault="00031F04" w:rsidP="00031F04">
      <w:pPr>
        <w:rPr>
          <w:rFonts w:cs="Times New Roman"/>
          <w:sz w:val="20"/>
          <w:szCs w:val="20"/>
          <w:lang w:val="fr-CA"/>
        </w:rPr>
      </w:pPr>
      <w:r w:rsidRPr="00293EE1">
        <w:rPr>
          <w:rFonts w:cs="Times New Roman"/>
          <w:sz w:val="20"/>
          <w:szCs w:val="20"/>
          <w:lang w:val="fr-CA"/>
        </w:rPr>
        <w:t>Audition : Le 1</w:t>
      </w:r>
      <w:r w:rsidR="00411F70" w:rsidRPr="00293EE1">
        <w:rPr>
          <w:rFonts w:cs="Times New Roman"/>
          <w:sz w:val="20"/>
          <w:szCs w:val="20"/>
          <w:lang w:val="fr-CA"/>
        </w:rPr>
        <w:t>6</w:t>
      </w:r>
      <w:r w:rsidRPr="00293EE1">
        <w:rPr>
          <w:rFonts w:cs="Times New Roman"/>
          <w:sz w:val="20"/>
          <w:szCs w:val="20"/>
          <w:lang w:val="fr-CA"/>
        </w:rPr>
        <w:t xml:space="preserve"> </w:t>
      </w:r>
      <w:r w:rsidR="00411F70" w:rsidRPr="00293EE1">
        <w:rPr>
          <w:rFonts w:cs="Times New Roman"/>
          <w:sz w:val="20"/>
          <w:szCs w:val="20"/>
          <w:lang w:val="fr-CA"/>
        </w:rPr>
        <w:t>janvier</w:t>
      </w:r>
      <w:r w:rsidRPr="00293EE1">
        <w:rPr>
          <w:rFonts w:cs="Times New Roman"/>
          <w:sz w:val="20"/>
          <w:szCs w:val="20"/>
          <w:lang w:val="fr-CA"/>
        </w:rPr>
        <w:t xml:space="preserve"> 201</w:t>
      </w:r>
      <w:r w:rsidR="00411F70" w:rsidRPr="00293EE1">
        <w:rPr>
          <w:rFonts w:cs="Times New Roman"/>
          <w:sz w:val="20"/>
          <w:szCs w:val="20"/>
          <w:lang w:val="fr-CA"/>
        </w:rPr>
        <w:t>7</w:t>
      </w:r>
      <w:r w:rsidRPr="00293EE1">
        <w:rPr>
          <w:rFonts w:cs="Times New Roman"/>
          <w:sz w:val="20"/>
          <w:szCs w:val="20"/>
          <w:lang w:val="fr-CA"/>
        </w:rPr>
        <w:t xml:space="preserve"> / Jugement : Le 2 juin 2017</w:t>
      </w:r>
    </w:p>
    <w:p w:rsidR="00031F04" w:rsidRPr="00293EE1" w:rsidRDefault="00B2512D" w:rsidP="00031F04">
      <w:pPr>
        <w:rPr>
          <w:rFonts w:cs="Times New Roman"/>
          <w:sz w:val="20"/>
          <w:szCs w:val="20"/>
          <w:lang w:val="fr-CA"/>
        </w:rPr>
      </w:pPr>
      <w:r>
        <w:rPr>
          <w:rFonts w:cs="Times New Roman"/>
          <w:i/>
          <w:sz w:val="20"/>
          <w:szCs w:val="20"/>
        </w:rPr>
        <w:pict>
          <v:rect id="_x0000_i1094" style="width:480.95pt;height:1pt" o:hralign="center" o:hrstd="t" o:hrnoshade="t" o:hr="t" fillcolor="black [3213]" stroked="f"/>
        </w:pict>
      </w:r>
    </w:p>
    <w:p w:rsidR="00031F04" w:rsidRPr="00293EE1" w:rsidRDefault="00031F04" w:rsidP="00031F04">
      <w:pPr>
        <w:rPr>
          <w:rFonts w:cs="Times New Roman"/>
          <w:sz w:val="20"/>
          <w:szCs w:val="20"/>
          <w:lang w:val="fr-CA"/>
        </w:rPr>
      </w:pPr>
    </w:p>
    <w:p w:rsidR="003D7273" w:rsidRPr="00293EE1" w:rsidRDefault="003D7273" w:rsidP="003D7273">
      <w:pPr>
        <w:jc w:val="both"/>
        <w:rPr>
          <w:sz w:val="20"/>
          <w:szCs w:val="20"/>
          <w:lang w:val="en-US"/>
        </w:rPr>
      </w:pPr>
      <w:r w:rsidRPr="00293EE1">
        <w:rPr>
          <w:sz w:val="20"/>
          <w:szCs w:val="20"/>
          <w:lang w:val="en-US"/>
        </w:rPr>
        <w:t xml:space="preserve">Present: </w:t>
      </w:r>
      <w:proofErr w:type="spellStart"/>
      <w:r w:rsidRPr="00293EE1">
        <w:rPr>
          <w:sz w:val="20"/>
          <w:szCs w:val="20"/>
          <w:lang w:val="en-US"/>
        </w:rPr>
        <w:t>McLachlin</w:t>
      </w:r>
      <w:proofErr w:type="spellEnd"/>
      <w:r w:rsidRPr="00293EE1">
        <w:rPr>
          <w:sz w:val="20"/>
          <w:szCs w:val="20"/>
          <w:lang w:val="en-US"/>
        </w:rPr>
        <w:t xml:space="preserve"> C.J. and </w:t>
      </w:r>
      <w:proofErr w:type="spellStart"/>
      <w:r w:rsidRPr="00293EE1">
        <w:rPr>
          <w:sz w:val="20"/>
          <w:szCs w:val="20"/>
          <w:lang w:val="en-US"/>
        </w:rPr>
        <w:t>Abella</w:t>
      </w:r>
      <w:proofErr w:type="spellEnd"/>
      <w:r w:rsidRPr="00293EE1">
        <w:rPr>
          <w:sz w:val="20"/>
          <w:szCs w:val="20"/>
          <w:lang w:val="en-US"/>
        </w:rPr>
        <w:t xml:space="preserve">, </w:t>
      </w:r>
      <w:proofErr w:type="spellStart"/>
      <w:r w:rsidRPr="00293EE1">
        <w:rPr>
          <w:sz w:val="20"/>
          <w:szCs w:val="20"/>
          <w:lang w:val="en-US"/>
        </w:rPr>
        <w:t>Moldaver</w:t>
      </w:r>
      <w:proofErr w:type="spellEnd"/>
      <w:r w:rsidRPr="00293EE1">
        <w:rPr>
          <w:sz w:val="20"/>
          <w:szCs w:val="20"/>
          <w:lang w:val="en-US"/>
        </w:rPr>
        <w:t xml:space="preserve">, </w:t>
      </w:r>
      <w:proofErr w:type="spellStart"/>
      <w:r w:rsidRPr="00293EE1">
        <w:rPr>
          <w:sz w:val="20"/>
          <w:szCs w:val="20"/>
          <w:lang w:val="en-US"/>
        </w:rPr>
        <w:t>Karakatsanis</w:t>
      </w:r>
      <w:proofErr w:type="spellEnd"/>
      <w:r w:rsidRPr="00293EE1">
        <w:rPr>
          <w:sz w:val="20"/>
          <w:szCs w:val="20"/>
          <w:lang w:val="en-US"/>
        </w:rPr>
        <w:t xml:space="preserve">, Wagner, </w:t>
      </w:r>
      <w:proofErr w:type="spellStart"/>
      <w:r w:rsidRPr="00293EE1">
        <w:rPr>
          <w:sz w:val="20"/>
          <w:szCs w:val="20"/>
          <w:lang w:val="en-US"/>
        </w:rPr>
        <w:t>Gascon</w:t>
      </w:r>
      <w:proofErr w:type="spellEnd"/>
      <w:r w:rsidRPr="00293EE1">
        <w:rPr>
          <w:sz w:val="20"/>
          <w:szCs w:val="20"/>
          <w:lang w:val="en-US"/>
        </w:rPr>
        <w:t xml:space="preserve">, </w:t>
      </w:r>
      <w:proofErr w:type="spellStart"/>
      <w:r w:rsidRPr="00293EE1">
        <w:rPr>
          <w:sz w:val="20"/>
          <w:szCs w:val="20"/>
          <w:lang w:val="en-US"/>
        </w:rPr>
        <w:t>Côté</w:t>
      </w:r>
      <w:proofErr w:type="spellEnd"/>
      <w:r w:rsidRPr="00293EE1">
        <w:rPr>
          <w:sz w:val="20"/>
          <w:szCs w:val="20"/>
          <w:lang w:val="en-US"/>
        </w:rPr>
        <w:t>, Brown and Rowe JJ.</w:t>
      </w:r>
    </w:p>
    <w:p w:rsidR="003D7273" w:rsidRPr="00293EE1" w:rsidRDefault="003D7273" w:rsidP="003D7273">
      <w:pPr>
        <w:pStyle w:val="SCCNormalDoubleSpacing"/>
        <w:spacing w:line="240" w:lineRule="auto"/>
        <w:rPr>
          <w:sz w:val="20"/>
          <w:lang w:val="en-US"/>
        </w:rPr>
      </w:pPr>
    </w:p>
    <w:p w:rsidR="008E09B7" w:rsidRPr="00293EE1" w:rsidRDefault="008E09B7" w:rsidP="008E09B7">
      <w:pPr>
        <w:pStyle w:val="SCCNormalDoubleSpacing"/>
        <w:spacing w:line="240" w:lineRule="auto"/>
        <w:rPr>
          <w:i/>
          <w:iCs/>
          <w:sz w:val="20"/>
          <w:lang w:val="en-GB"/>
        </w:rPr>
      </w:pPr>
      <w:r w:rsidRPr="00293EE1">
        <w:rPr>
          <w:sz w:val="20"/>
        </w:rPr>
        <w:tab/>
      </w:r>
      <w:r w:rsidRPr="00293EE1">
        <w:rPr>
          <w:i/>
          <w:sz w:val="20"/>
        </w:rPr>
        <w:t xml:space="preserve">Torts </w:t>
      </w:r>
      <w:r w:rsidRPr="00293EE1">
        <w:rPr>
          <w:i/>
          <w:iCs/>
          <w:sz w:val="20"/>
          <w:lang w:val="en-GB"/>
        </w:rPr>
        <w:t xml:space="preserve">— Negligence — Motor vehicles  — Mental injury — Damages —Claimant suing in negligence as result of motor vehicle accident — Trial judge awarding claimant damages for mental injury based on testimony of lay witnesses rather than on expert evidence establishing identified medical cause — What constitutes mental injury — Whether </w:t>
      </w:r>
      <w:r w:rsidRPr="00293EE1">
        <w:rPr>
          <w:rFonts w:eastAsiaTheme="minorHAnsi"/>
          <w:i/>
          <w:sz w:val="20"/>
        </w:rPr>
        <w:t xml:space="preserve">recovery for </w:t>
      </w:r>
      <w:r w:rsidRPr="00293EE1">
        <w:rPr>
          <w:i/>
          <w:sz w:val="20"/>
        </w:rPr>
        <w:t>mental</w:t>
      </w:r>
      <w:r w:rsidRPr="00293EE1">
        <w:rPr>
          <w:rFonts w:eastAsiaTheme="minorHAnsi"/>
          <w:i/>
          <w:sz w:val="20"/>
        </w:rPr>
        <w:t xml:space="preserve"> injury requires expert evidence or other proof of recognized psychiatric illness </w:t>
      </w:r>
      <w:r w:rsidRPr="00293EE1">
        <w:rPr>
          <w:i/>
          <w:iCs/>
          <w:sz w:val="20"/>
          <w:lang w:val="en-GB"/>
        </w:rPr>
        <w:t>— Whether claimant sustained damage — Whether matter should be remanded to Court of Appeal. </w:t>
      </w:r>
    </w:p>
    <w:p w:rsidR="008E09B7" w:rsidRPr="00293EE1" w:rsidRDefault="008E09B7" w:rsidP="008E09B7">
      <w:pPr>
        <w:pStyle w:val="SCCNormalDoubleSpacing"/>
        <w:spacing w:line="240" w:lineRule="auto"/>
        <w:rPr>
          <w:iCs/>
          <w:sz w:val="20"/>
          <w:lang w:val="en-GB"/>
        </w:rPr>
      </w:pPr>
    </w:p>
    <w:p w:rsidR="008E09B7" w:rsidRPr="00293EE1" w:rsidRDefault="008E09B7" w:rsidP="008E09B7">
      <w:pPr>
        <w:pStyle w:val="SCCNormalDoubleSpacing"/>
        <w:spacing w:line="240" w:lineRule="auto"/>
        <w:rPr>
          <w:rFonts w:eastAsiaTheme="minorHAnsi"/>
          <w:sz w:val="20"/>
        </w:rPr>
      </w:pPr>
      <w:r w:rsidRPr="00293EE1">
        <w:rPr>
          <w:sz w:val="20"/>
          <w:lang w:val="en-GB"/>
        </w:rPr>
        <w:tab/>
      </w:r>
      <w:r w:rsidRPr="00293EE1">
        <w:rPr>
          <w:sz w:val="20"/>
        </w:rPr>
        <w:t>S’s tractor</w:t>
      </w:r>
      <w:r w:rsidRPr="00293EE1">
        <w:rPr>
          <w:sz w:val="20"/>
        </w:rPr>
        <w:noBreakHyphen/>
        <w:t xml:space="preserve">truck was struck by a vehicle driven by M. This accident was the second in a series of five motor vehicle collisions involving S. S had suffered chronic pain since the first accident, which was later aggravated by the </w:t>
      </w:r>
      <w:r w:rsidRPr="00293EE1">
        <w:rPr>
          <w:sz w:val="20"/>
          <w:lang w:val="en-US"/>
        </w:rPr>
        <w:t>third accident.</w:t>
      </w:r>
      <w:r w:rsidRPr="00293EE1">
        <w:rPr>
          <w:sz w:val="20"/>
        </w:rPr>
        <w:t xml:space="preserve"> S sued M and the other defendants in negligence, seeking damages for non</w:t>
      </w:r>
      <w:r w:rsidRPr="00293EE1">
        <w:rPr>
          <w:sz w:val="20"/>
        </w:rPr>
        <w:noBreakHyphen/>
        <w:t xml:space="preserve">pecuniary loss and past income loss arising from the second accident. </w:t>
      </w:r>
      <w:r w:rsidRPr="00293EE1">
        <w:rPr>
          <w:sz w:val="20"/>
          <w:lang w:val="en-US"/>
        </w:rPr>
        <w:t xml:space="preserve">The trial judge </w:t>
      </w:r>
      <w:r w:rsidRPr="00293EE1">
        <w:rPr>
          <w:rFonts w:eastAsiaTheme="minorHAnsi"/>
          <w:sz w:val="20"/>
        </w:rPr>
        <w:t>found that the second accident caused S psychological injuries, including personality change and cognitive difficulties. This finding did not rest on an identified medical cause or expert evidence, but was based on the testimony of S’s friends and family to the effect that S</w:t>
      </w:r>
      <w:r w:rsidRPr="00293EE1">
        <w:rPr>
          <w:rFonts w:eastAsiaTheme="minorHAnsi"/>
          <w:sz w:val="20"/>
          <w:lang w:val="en-US"/>
        </w:rPr>
        <w:t>’s personality had changed for the worse after the accident</w:t>
      </w:r>
      <w:r w:rsidRPr="00293EE1">
        <w:rPr>
          <w:rFonts w:eastAsiaTheme="minorHAnsi"/>
          <w:sz w:val="20"/>
        </w:rPr>
        <w:t>. The trial judge further found that the mental injury originally caused by the second accident was indivisible from any injury caused by the third accident and awarded S $100,000 for non</w:t>
      </w:r>
      <w:r w:rsidRPr="00293EE1">
        <w:rPr>
          <w:rFonts w:eastAsiaTheme="minorHAnsi"/>
          <w:sz w:val="20"/>
        </w:rPr>
        <w:noBreakHyphen/>
        <w:t>pecuniary damages. The Court of Appeal allowed the appeal on the ground that S had not demonstrated by expert evidence a medically recognized psychiatric or psychological injury. It also observed that the trial judge had erred by deciding the case on a basis neither pleaded nor argued by S.</w:t>
      </w:r>
    </w:p>
    <w:p w:rsidR="008E09B7" w:rsidRPr="00293EE1" w:rsidRDefault="008E09B7" w:rsidP="008E09B7">
      <w:pPr>
        <w:pStyle w:val="SCCNormalDoubleSpacing"/>
        <w:spacing w:line="240" w:lineRule="auto"/>
        <w:rPr>
          <w:rFonts w:eastAsiaTheme="minorHAnsi"/>
          <w:sz w:val="20"/>
        </w:rPr>
      </w:pPr>
    </w:p>
    <w:p w:rsidR="008E09B7" w:rsidRPr="00293EE1" w:rsidRDefault="008E09B7" w:rsidP="008E09B7">
      <w:pPr>
        <w:pStyle w:val="SCCNormalDoubleSpacing"/>
        <w:spacing w:line="240" w:lineRule="auto"/>
        <w:rPr>
          <w:sz w:val="20"/>
        </w:rPr>
      </w:pPr>
      <w:r w:rsidRPr="00293EE1">
        <w:rPr>
          <w:sz w:val="20"/>
        </w:rPr>
        <w:tab/>
      </w:r>
      <w:r w:rsidRPr="00293EE1">
        <w:rPr>
          <w:rStyle w:val="QuoteChar"/>
          <w:sz w:val="20"/>
        </w:rPr>
        <w:t>Held:</w:t>
      </w:r>
      <w:r w:rsidRPr="00293EE1">
        <w:rPr>
          <w:sz w:val="20"/>
        </w:rPr>
        <w:t xml:space="preserve"> The appeal should be allowed and the trial judge’s award restored. </w:t>
      </w:r>
    </w:p>
    <w:p w:rsidR="008E09B7" w:rsidRPr="00293EE1" w:rsidRDefault="008E09B7" w:rsidP="008E09B7">
      <w:pPr>
        <w:pStyle w:val="SCCNormalDoubleSpacing"/>
        <w:spacing w:line="240" w:lineRule="auto"/>
        <w:rPr>
          <w:sz w:val="20"/>
        </w:rPr>
      </w:pPr>
    </w:p>
    <w:p w:rsidR="008E09B7" w:rsidRPr="00293EE1" w:rsidRDefault="008E09B7" w:rsidP="008E09B7">
      <w:pPr>
        <w:pStyle w:val="SCCNormalDoubleSpacing"/>
        <w:spacing w:line="240" w:lineRule="auto"/>
        <w:rPr>
          <w:sz w:val="20"/>
        </w:rPr>
      </w:pPr>
      <w:r w:rsidRPr="00293EE1">
        <w:rPr>
          <w:sz w:val="20"/>
        </w:rPr>
        <w:tab/>
        <w:t xml:space="preserve">The trial judge’s award for mental injury was not made in breach of procedural fairness. While cases should not be decided on grounds not raised, in claims for negligently caused mental injury, it is generally sufficient that the pleadings allege some form of such injury. The many allegations of mental injury in S’s oral and written closing submissions, combined with the broad heads of damage alleged in the pleadings, provided ample notice to the defendants of the case which they had to answer, and they did not object to these allegations. </w:t>
      </w:r>
    </w:p>
    <w:p w:rsidR="008E09B7" w:rsidRPr="00293EE1" w:rsidRDefault="008E09B7" w:rsidP="008E09B7">
      <w:pPr>
        <w:pStyle w:val="SCCNormalDoubleSpacing"/>
        <w:spacing w:line="240" w:lineRule="auto"/>
        <w:rPr>
          <w:sz w:val="20"/>
        </w:rPr>
      </w:pPr>
    </w:p>
    <w:p w:rsidR="008E09B7" w:rsidRPr="00293EE1" w:rsidRDefault="008E09B7" w:rsidP="008E09B7">
      <w:pPr>
        <w:pStyle w:val="SCCNormalDoubleSpacing"/>
        <w:spacing w:line="240" w:lineRule="auto"/>
        <w:rPr>
          <w:sz w:val="20"/>
        </w:rPr>
      </w:pPr>
      <w:r w:rsidRPr="00293EE1">
        <w:rPr>
          <w:b/>
          <w:sz w:val="20"/>
        </w:rPr>
        <w:tab/>
      </w:r>
      <w:r w:rsidRPr="00293EE1">
        <w:rPr>
          <w:rFonts w:eastAsiaTheme="minorHAnsi"/>
          <w:sz w:val="20"/>
        </w:rPr>
        <w:t xml:space="preserve">Recovery for </w:t>
      </w:r>
      <w:r w:rsidRPr="00293EE1">
        <w:rPr>
          <w:sz w:val="20"/>
        </w:rPr>
        <w:t xml:space="preserve">mental injury in negligence law depends upon the claimant satisfying the criteria applicable to any successful action in negligence: a duty of care, a breach, damage, and a legal and factual causal relationship between the breach and the damage. Canadian negligence law recognizes that a duty exists at common law to take reasonable care to avoid causing foreseeable mental injury, and that this cause of action protects a right to be free from negligent interference with one’s mental health. The ordinary duty of care analysis is therefore to be applied to claims for negligently caused mental injury. In particular, liability for mental injury must be confined to claims which satisfy the proximity analysis within the duty of care framework and the remoteness inquiry. </w:t>
      </w:r>
    </w:p>
    <w:p w:rsidR="008E09B7" w:rsidRPr="00293EE1" w:rsidRDefault="008E09B7" w:rsidP="008E09B7">
      <w:pPr>
        <w:pStyle w:val="SCCNormalDoubleSpacing"/>
        <w:spacing w:line="240" w:lineRule="auto"/>
        <w:rPr>
          <w:sz w:val="20"/>
        </w:rPr>
      </w:pPr>
    </w:p>
    <w:p w:rsidR="008E09B7" w:rsidRPr="00293EE1" w:rsidRDefault="008E09B7" w:rsidP="008E09B7">
      <w:pPr>
        <w:pStyle w:val="SCCNormalDoubleSpacing"/>
        <w:spacing w:line="240" w:lineRule="auto"/>
        <w:rPr>
          <w:sz w:val="20"/>
        </w:rPr>
      </w:pPr>
      <w:r w:rsidRPr="00293EE1">
        <w:rPr>
          <w:sz w:val="20"/>
        </w:rPr>
        <w:tab/>
        <w:t xml:space="preserve">A finding of legally compensable mental injury need not rest, </w:t>
      </w:r>
      <w:r w:rsidRPr="00293EE1">
        <w:rPr>
          <w:rFonts w:eastAsiaTheme="minorHAnsi"/>
          <w:sz w:val="20"/>
        </w:rPr>
        <w:t>in whole or in part, on the claimant proving a recognized psychiatric injury. T</w:t>
      </w:r>
      <w:r w:rsidRPr="00293EE1">
        <w:rPr>
          <w:sz w:val="20"/>
        </w:rPr>
        <w:t xml:space="preserve">he law of negligence accords identical treatment to mental and physical injury. Requiring claimants who allege mental injury to prove that their condition meets the threshold of recognizable psychiatric illness, while not imposing a corresponding requirement upon claimants alleging physical injury to show that their condition carries a certain classificatory label, would accord unequal protection to victims of mental injury. Distinct rules which operate to preclude liability in cases of mental injury, but not in cases of physical injury, should not be erected. The elements of the cause of action of negligence, together with the threshold stated in </w:t>
      </w:r>
      <w:r w:rsidRPr="00293EE1">
        <w:rPr>
          <w:rFonts w:eastAsiaTheme="minorHAnsi"/>
          <w:i/>
          <w:sz w:val="20"/>
        </w:rPr>
        <w:t>Mustapha</w:t>
      </w:r>
      <w:r w:rsidRPr="00293EE1">
        <w:rPr>
          <w:rFonts w:eastAsiaTheme="minorHAnsi"/>
          <w:sz w:val="20"/>
        </w:rPr>
        <w:t xml:space="preserve"> </w:t>
      </w:r>
      <w:r w:rsidRPr="00293EE1">
        <w:rPr>
          <w:rFonts w:eastAsiaTheme="minorHAnsi"/>
          <w:i/>
          <w:sz w:val="20"/>
        </w:rPr>
        <w:t xml:space="preserve">v. </w:t>
      </w:r>
      <w:proofErr w:type="spellStart"/>
      <w:r w:rsidRPr="00293EE1">
        <w:rPr>
          <w:rFonts w:eastAsiaTheme="minorHAnsi"/>
          <w:i/>
          <w:sz w:val="20"/>
        </w:rPr>
        <w:t>Culligan</w:t>
      </w:r>
      <w:proofErr w:type="spellEnd"/>
      <w:r w:rsidRPr="00293EE1">
        <w:rPr>
          <w:rFonts w:eastAsiaTheme="minorHAnsi"/>
          <w:i/>
          <w:sz w:val="20"/>
        </w:rPr>
        <w:t xml:space="preserve"> of Canada Ltd.</w:t>
      </w:r>
      <w:r w:rsidRPr="00293EE1">
        <w:rPr>
          <w:rFonts w:eastAsiaTheme="minorHAnsi"/>
          <w:sz w:val="20"/>
        </w:rPr>
        <w:t>, 2008 SCC 27, [2008] 2 S.C.R. 114, for proving mental injury, furnish a sufficiently robust array of protections against unworthy claims</w:t>
      </w:r>
      <w:r w:rsidRPr="00293EE1">
        <w:rPr>
          <w:sz w:val="20"/>
        </w:rPr>
        <w:t xml:space="preserve">. </w:t>
      </w:r>
    </w:p>
    <w:p w:rsidR="008E09B7" w:rsidRPr="00293EE1" w:rsidRDefault="008E09B7" w:rsidP="008E09B7">
      <w:pPr>
        <w:pStyle w:val="SCCNormalDoubleSpacing"/>
        <w:spacing w:line="240" w:lineRule="auto"/>
        <w:rPr>
          <w:rFonts w:eastAsiaTheme="minorHAnsi"/>
          <w:sz w:val="20"/>
        </w:rPr>
      </w:pPr>
    </w:p>
    <w:p w:rsidR="008E09B7" w:rsidRPr="00293EE1" w:rsidRDefault="008E09B7" w:rsidP="008E09B7">
      <w:pPr>
        <w:pStyle w:val="SCCNormalDoubleSpacing"/>
        <w:spacing w:line="240" w:lineRule="auto"/>
        <w:rPr>
          <w:sz w:val="20"/>
        </w:rPr>
      </w:pPr>
      <w:r w:rsidRPr="00293EE1">
        <w:rPr>
          <w:rFonts w:eastAsiaTheme="minorHAnsi"/>
          <w:sz w:val="20"/>
        </w:rPr>
        <w:lastRenderedPageBreak/>
        <w:tab/>
        <w:t xml:space="preserve">Furthermore, </w:t>
      </w:r>
      <w:r w:rsidRPr="00293EE1">
        <w:rPr>
          <w:sz w:val="20"/>
        </w:rPr>
        <w:t>confining compensable mental injury to conditions that are identifiable with reference to psychiatric diagnostic tools is inherently suspect as a matter of legal methodology. While, for treatment purposes, an accurate diagnosis is obviously important, a trier of fact adjudicating a claim of mental injury is not concerned with diagnosis, but with symptoms and their effects. There is no necessary relationship between reasonably foreseeable mental injury and a diagnostic classification scheme. A negligent defendant need only be shown to have foreseen injury, and not a particular psychiatric</w:t>
      </w:r>
      <w:r w:rsidRPr="00293EE1">
        <w:rPr>
          <w:i/>
          <w:sz w:val="20"/>
        </w:rPr>
        <w:t xml:space="preserve"> </w:t>
      </w:r>
      <w:r w:rsidRPr="00293EE1">
        <w:rPr>
          <w:sz w:val="20"/>
        </w:rPr>
        <w:t>illness that comes with its own label. The trier of fact’s inquiry should be directed to the level of harm that the claimant’s particular symptoms represent, not to whether a label could be attached to them.</w:t>
      </w:r>
    </w:p>
    <w:p w:rsidR="008E09B7" w:rsidRPr="00293EE1" w:rsidRDefault="008E09B7" w:rsidP="008E09B7">
      <w:pPr>
        <w:pStyle w:val="SCCNormalDoubleSpacing"/>
        <w:spacing w:line="240" w:lineRule="auto"/>
        <w:rPr>
          <w:rFonts w:eastAsiaTheme="minorHAnsi"/>
          <w:sz w:val="20"/>
        </w:rPr>
      </w:pPr>
    </w:p>
    <w:p w:rsidR="008E09B7" w:rsidRPr="00293EE1" w:rsidRDefault="008E09B7" w:rsidP="008E09B7">
      <w:pPr>
        <w:pStyle w:val="SCCNormalDoubleSpacing"/>
        <w:spacing w:line="240" w:lineRule="auto"/>
        <w:rPr>
          <w:sz w:val="20"/>
        </w:rPr>
      </w:pPr>
      <w:r w:rsidRPr="00293EE1">
        <w:rPr>
          <w:rFonts w:eastAsiaTheme="minorHAnsi"/>
          <w:sz w:val="20"/>
        </w:rPr>
        <w:tab/>
        <w:t>To establish mental injury,</w:t>
      </w:r>
      <w:r w:rsidRPr="00293EE1">
        <w:rPr>
          <w:sz w:val="20"/>
        </w:rPr>
        <w:t xml:space="preserve"> claimants must show that the disturbance is serious and prolonged and rises above the ordinary annoyances, anxieties and fears that come with living in civil society. Expert evidence can assist in determining whether or not a mental injury has been shown, but where a psychiatric diagnosis is unavailable, it remains open to a trier of fact to find on other evidence adduced by the claimant that he or she has proven on a balance of probabilities the occurrence of mental injury. It also remains open to the defendant, in rebutting a claim, to call expert evidence establishing that the accident cannot have caused any</w:t>
      </w:r>
      <w:r w:rsidRPr="00293EE1">
        <w:rPr>
          <w:i/>
          <w:sz w:val="20"/>
        </w:rPr>
        <w:t xml:space="preserve"> </w:t>
      </w:r>
      <w:r w:rsidRPr="00293EE1">
        <w:rPr>
          <w:sz w:val="20"/>
        </w:rPr>
        <w:t xml:space="preserve">mental injury, or at least any mental injury known to psychiatry. </w:t>
      </w:r>
    </w:p>
    <w:p w:rsidR="008E09B7" w:rsidRPr="00293EE1" w:rsidRDefault="008E09B7" w:rsidP="008E09B7">
      <w:pPr>
        <w:pStyle w:val="SCCNormalDoubleSpacing"/>
        <w:spacing w:line="240" w:lineRule="auto"/>
        <w:rPr>
          <w:sz w:val="20"/>
        </w:rPr>
      </w:pPr>
    </w:p>
    <w:p w:rsidR="008E09B7" w:rsidRPr="00293EE1" w:rsidRDefault="008E09B7" w:rsidP="008E09B7">
      <w:pPr>
        <w:pStyle w:val="SCCNormalDoubleSpacing"/>
        <w:spacing w:line="240" w:lineRule="auto"/>
        <w:rPr>
          <w:sz w:val="20"/>
        </w:rPr>
      </w:pPr>
      <w:r w:rsidRPr="00293EE1">
        <w:rPr>
          <w:sz w:val="20"/>
        </w:rPr>
        <w:tab/>
        <w:t xml:space="preserve">In the instant case, the trial judge accepted evidence that clearly showed a serious and prolonged disruption that transcended ordinary emotional upset or distress. These findings have not been challenged and are entitled to appellate deference. There is no legal error in the trial judge’s treatment of the evidence of S’s symptoms as supporting a finding of mental injury, even in the absence of expert testimony associating them with an identified condition. </w:t>
      </w:r>
    </w:p>
    <w:p w:rsidR="008E09B7" w:rsidRPr="00293EE1" w:rsidRDefault="008E09B7" w:rsidP="008E09B7">
      <w:pPr>
        <w:pStyle w:val="SCCNormalDoubleSpacing"/>
        <w:spacing w:line="240" w:lineRule="auto"/>
        <w:rPr>
          <w:sz w:val="20"/>
        </w:rPr>
      </w:pPr>
    </w:p>
    <w:p w:rsidR="008E09B7" w:rsidRPr="00293EE1" w:rsidRDefault="008E09B7" w:rsidP="008E09B7">
      <w:pPr>
        <w:pStyle w:val="SCCNormalDoubleSpacing"/>
        <w:spacing w:line="240" w:lineRule="auto"/>
        <w:rPr>
          <w:sz w:val="20"/>
        </w:rPr>
      </w:pPr>
      <w:r w:rsidRPr="00293EE1">
        <w:rPr>
          <w:sz w:val="20"/>
        </w:rPr>
        <w:tab/>
        <w:t>It would not be just in the circumstances to remand this matter to the Court of Appeal on the questions of indivisible injury and the damage award. The indivisibility of two injuries is a finding of fact, which is entitled to deference. In addition, without full submissions and a pertinent lower court record, this is not an appropriate case to decide the effect of workers’ compensation legislation on the divisibility of injuries. Similarly, the trial judge’s damage award is reasonable, supported by the record, and fairly compensates S’s loss. It should therefore be restored.</w:t>
      </w:r>
    </w:p>
    <w:p w:rsidR="003D7273" w:rsidRPr="00293EE1" w:rsidRDefault="003D7273" w:rsidP="008E09B7">
      <w:pPr>
        <w:pStyle w:val="SCCNormalDoubleSpacing"/>
        <w:spacing w:line="240" w:lineRule="auto"/>
        <w:rPr>
          <w:sz w:val="20"/>
          <w:lang w:val="en-US"/>
        </w:rPr>
      </w:pPr>
    </w:p>
    <w:p w:rsidR="008E09B7" w:rsidRPr="00293EE1" w:rsidRDefault="008E09B7" w:rsidP="008E09B7">
      <w:pPr>
        <w:pStyle w:val="SCCNormalDoubleSpacing"/>
        <w:spacing w:line="240" w:lineRule="auto"/>
        <w:rPr>
          <w:sz w:val="20"/>
        </w:rPr>
      </w:pPr>
      <w:r w:rsidRPr="00293EE1">
        <w:rPr>
          <w:sz w:val="20"/>
        </w:rPr>
        <w:tab/>
        <w:t xml:space="preserve">APPEAL from a judgment of the British Columbia Court of Appeal (Saunders, </w:t>
      </w:r>
      <w:proofErr w:type="spellStart"/>
      <w:r w:rsidRPr="00293EE1">
        <w:rPr>
          <w:sz w:val="20"/>
        </w:rPr>
        <w:t>Chiasson</w:t>
      </w:r>
      <w:proofErr w:type="spellEnd"/>
      <w:r w:rsidRPr="00293EE1">
        <w:rPr>
          <w:sz w:val="20"/>
        </w:rPr>
        <w:t xml:space="preserve"> and Frankel JJ.A.), 2015 BCCA 393, 81 B.C.L.R. (5th) 1, 377 B.C.A.C. 106, 648 W.A.C. 106, 23 C.C.L.T. (4th) 177, 390 D.L.R. (4th) 63, [2016] 4 W.W.R. 259, [2015] B.C.J. No. 2027 (QL), 2015 </w:t>
      </w:r>
      <w:proofErr w:type="spellStart"/>
      <w:r w:rsidRPr="00293EE1">
        <w:rPr>
          <w:sz w:val="20"/>
        </w:rPr>
        <w:t>CarswellBC</w:t>
      </w:r>
      <w:proofErr w:type="spellEnd"/>
      <w:r w:rsidRPr="00293EE1">
        <w:rPr>
          <w:sz w:val="20"/>
        </w:rPr>
        <w:t xml:space="preserve"> 2694 (WL Can.), setting aside a decision of </w:t>
      </w:r>
      <w:proofErr w:type="spellStart"/>
      <w:r w:rsidRPr="00293EE1">
        <w:rPr>
          <w:sz w:val="20"/>
        </w:rPr>
        <w:t>Funt</w:t>
      </w:r>
      <w:proofErr w:type="spellEnd"/>
      <w:r w:rsidRPr="00293EE1">
        <w:rPr>
          <w:sz w:val="20"/>
        </w:rPr>
        <w:t xml:space="preserve"> J., 2014 BCSC 1365, [2014] B.C.J. No. 1898 (QL), 2014 </w:t>
      </w:r>
      <w:proofErr w:type="spellStart"/>
      <w:r w:rsidRPr="00293EE1">
        <w:rPr>
          <w:sz w:val="20"/>
        </w:rPr>
        <w:t>CarswellBC</w:t>
      </w:r>
      <w:proofErr w:type="spellEnd"/>
      <w:r w:rsidRPr="00293EE1">
        <w:rPr>
          <w:sz w:val="20"/>
        </w:rPr>
        <w:t xml:space="preserve"> 2133 (WL Can.). Appeal allowed.</w:t>
      </w:r>
    </w:p>
    <w:p w:rsidR="008E09B7" w:rsidRPr="00293EE1" w:rsidRDefault="008E09B7" w:rsidP="008E09B7">
      <w:pPr>
        <w:pStyle w:val="SCCNormalDoubleSpacing"/>
        <w:spacing w:line="240" w:lineRule="auto"/>
        <w:rPr>
          <w:sz w:val="20"/>
        </w:rPr>
      </w:pPr>
    </w:p>
    <w:p w:rsidR="008E09B7" w:rsidRPr="00293EE1" w:rsidRDefault="008E09B7" w:rsidP="008E09B7">
      <w:pPr>
        <w:pStyle w:val="SCCNormalDoubleSpacing"/>
        <w:spacing w:line="240" w:lineRule="auto"/>
        <w:rPr>
          <w:rStyle w:val="SCCCounselPartyRoleChar"/>
          <w:sz w:val="20"/>
        </w:rPr>
      </w:pPr>
      <w:r w:rsidRPr="00293EE1">
        <w:rPr>
          <w:rStyle w:val="SCCCounselNameChar"/>
          <w:sz w:val="20"/>
        </w:rPr>
        <w:tab/>
      </w:r>
      <w:proofErr w:type="spellStart"/>
      <w:r w:rsidRPr="00293EE1">
        <w:rPr>
          <w:rStyle w:val="SCCCounselNameChar"/>
          <w:sz w:val="20"/>
        </w:rPr>
        <w:t>Dairn</w:t>
      </w:r>
      <w:proofErr w:type="spellEnd"/>
      <w:r w:rsidRPr="00293EE1">
        <w:rPr>
          <w:rStyle w:val="SCCCounselNameChar"/>
          <w:sz w:val="20"/>
        </w:rPr>
        <w:t xml:space="preserve"> Shane</w:t>
      </w:r>
      <w:r w:rsidRPr="00293EE1">
        <w:rPr>
          <w:rStyle w:val="SCCCounselPartyRoleChar"/>
          <w:sz w:val="20"/>
        </w:rPr>
        <w:t xml:space="preserve"> and </w:t>
      </w:r>
      <w:r w:rsidRPr="00293EE1">
        <w:rPr>
          <w:rStyle w:val="SCCCounselPartyRoleChar"/>
          <w:i/>
          <w:sz w:val="20"/>
        </w:rPr>
        <w:t xml:space="preserve">Joseph </w:t>
      </w:r>
      <w:proofErr w:type="spellStart"/>
      <w:r w:rsidRPr="00293EE1">
        <w:rPr>
          <w:rStyle w:val="SCCCounselPartyRoleChar"/>
          <w:i/>
          <w:sz w:val="20"/>
        </w:rPr>
        <w:t>Fearon</w:t>
      </w:r>
      <w:proofErr w:type="spellEnd"/>
      <w:r w:rsidRPr="00293EE1">
        <w:rPr>
          <w:rStyle w:val="SCCCounselPartyRoleChar"/>
          <w:sz w:val="20"/>
        </w:rPr>
        <w:t>, for the appellant.</w:t>
      </w:r>
    </w:p>
    <w:p w:rsidR="008E09B7" w:rsidRPr="00293EE1" w:rsidRDefault="008E09B7" w:rsidP="008E09B7">
      <w:pPr>
        <w:pStyle w:val="SCCNormalDoubleSpacing"/>
        <w:spacing w:line="240" w:lineRule="auto"/>
        <w:rPr>
          <w:sz w:val="20"/>
        </w:rPr>
      </w:pPr>
    </w:p>
    <w:p w:rsidR="008E09B7" w:rsidRPr="00293EE1" w:rsidRDefault="008E09B7" w:rsidP="008E09B7">
      <w:pPr>
        <w:pStyle w:val="SCCNormalDoubleSpacing"/>
        <w:spacing w:line="240" w:lineRule="auto"/>
        <w:rPr>
          <w:rStyle w:val="SCCCounselPartyRoleChar"/>
          <w:sz w:val="20"/>
        </w:rPr>
      </w:pPr>
      <w:r w:rsidRPr="00293EE1">
        <w:rPr>
          <w:rStyle w:val="SCCCounselNameChar"/>
          <w:sz w:val="20"/>
        </w:rPr>
        <w:tab/>
        <w:t>Kathleen S. Duffield</w:t>
      </w:r>
      <w:r w:rsidRPr="00293EE1">
        <w:rPr>
          <w:rStyle w:val="SCCCounselSeparatorChar"/>
          <w:rFonts w:eastAsia="Calibri"/>
          <w:sz w:val="20"/>
          <w:lang w:val="en-US"/>
        </w:rPr>
        <w:t xml:space="preserve"> and </w:t>
      </w:r>
      <w:r w:rsidRPr="00293EE1">
        <w:rPr>
          <w:rStyle w:val="SCCCounselNameChar"/>
          <w:sz w:val="20"/>
        </w:rPr>
        <w:t xml:space="preserve">Steven W. </w:t>
      </w:r>
      <w:proofErr w:type="spellStart"/>
      <w:r w:rsidRPr="00293EE1">
        <w:rPr>
          <w:rStyle w:val="SCCCounselNameChar"/>
          <w:sz w:val="20"/>
        </w:rPr>
        <w:t>Lesiuk</w:t>
      </w:r>
      <w:proofErr w:type="spellEnd"/>
      <w:r w:rsidRPr="00293EE1">
        <w:rPr>
          <w:rStyle w:val="SCCCounselPartyRoleChar"/>
          <w:sz w:val="20"/>
        </w:rPr>
        <w:t>, for the respondents.</w:t>
      </w:r>
    </w:p>
    <w:p w:rsidR="008E09B7" w:rsidRPr="00293EE1" w:rsidRDefault="008E09B7" w:rsidP="008E09B7">
      <w:pPr>
        <w:pStyle w:val="SCCNormalDoubleSpacing"/>
        <w:spacing w:line="240" w:lineRule="auto"/>
        <w:rPr>
          <w:sz w:val="20"/>
        </w:rPr>
      </w:pPr>
    </w:p>
    <w:p w:rsidR="008E09B7" w:rsidRPr="00293EE1" w:rsidRDefault="008E09B7" w:rsidP="008E09B7">
      <w:pPr>
        <w:pStyle w:val="SCCNormalDoubleSpacing"/>
        <w:spacing w:line="240" w:lineRule="auto"/>
        <w:rPr>
          <w:sz w:val="20"/>
        </w:rPr>
      </w:pPr>
      <w:r w:rsidRPr="00293EE1">
        <w:rPr>
          <w:rStyle w:val="SCCCounselNameChar"/>
          <w:sz w:val="20"/>
        </w:rPr>
        <w:tab/>
        <w:t xml:space="preserve">Alan </w:t>
      </w:r>
      <w:proofErr w:type="spellStart"/>
      <w:r w:rsidRPr="00293EE1">
        <w:rPr>
          <w:rStyle w:val="SCCCounselNameChar"/>
          <w:sz w:val="20"/>
        </w:rPr>
        <w:t>D’Silva</w:t>
      </w:r>
      <w:proofErr w:type="spellEnd"/>
      <w:r w:rsidRPr="00293EE1">
        <w:rPr>
          <w:rStyle w:val="SCCCounselSeparatorChar"/>
          <w:rFonts w:eastAsia="Calibri"/>
          <w:sz w:val="20"/>
          <w:lang w:val="en-US"/>
        </w:rPr>
        <w:t xml:space="preserve"> and </w:t>
      </w:r>
      <w:r w:rsidRPr="00293EE1">
        <w:rPr>
          <w:rStyle w:val="SCCCounselNameChar"/>
          <w:sz w:val="20"/>
        </w:rPr>
        <w:t xml:space="preserve">Aaron </w:t>
      </w:r>
      <w:proofErr w:type="spellStart"/>
      <w:r w:rsidRPr="00293EE1">
        <w:rPr>
          <w:rStyle w:val="SCCCounselNameChar"/>
          <w:sz w:val="20"/>
        </w:rPr>
        <w:t>Kreaden</w:t>
      </w:r>
      <w:proofErr w:type="spellEnd"/>
      <w:r w:rsidRPr="00293EE1">
        <w:rPr>
          <w:rStyle w:val="SCCCounselPartyRoleChar"/>
          <w:sz w:val="20"/>
        </w:rPr>
        <w:t>, for the intervener.</w:t>
      </w:r>
    </w:p>
    <w:p w:rsidR="003D7273" w:rsidRPr="00293EE1" w:rsidRDefault="003D7273" w:rsidP="003D7273">
      <w:pPr>
        <w:rPr>
          <w:sz w:val="20"/>
          <w:szCs w:val="20"/>
        </w:rPr>
      </w:pPr>
    </w:p>
    <w:p w:rsidR="003D7273" w:rsidRPr="00293EE1" w:rsidRDefault="003D7273" w:rsidP="003D7273">
      <w:pPr>
        <w:rPr>
          <w:sz w:val="20"/>
          <w:szCs w:val="20"/>
          <w:lang w:val="fr-CA"/>
        </w:rPr>
      </w:pPr>
      <w:r w:rsidRPr="00293EE1">
        <w:rPr>
          <w:sz w:val="20"/>
          <w:szCs w:val="20"/>
          <w:lang w:val="fr-CA"/>
        </w:rPr>
        <w:t>________________________</w:t>
      </w:r>
    </w:p>
    <w:p w:rsidR="003D7273" w:rsidRPr="00293EE1" w:rsidRDefault="003D7273" w:rsidP="003D7273">
      <w:pPr>
        <w:rPr>
          <w:rFonts w:cs="Times New Roman"/>
          <w:sz w:val="20"/>
          <w:szCs w:val="20"/>
          <w:lang w:val="fr-CA"/>
        </w:rPr>
      </w:pPr>
    </w:p>
    <w:p w:rsidR="003D7273" w:rsidRPr="00293EE1" w:rsidRDefault="003D7273" w:rsidP="003D7273">
      <w:pPr>
        <w:jc w:val="both"/>
        <w:rPr>
          <w:sz w:val="20"/>
          <w:lang w:val="fr-CA"/>
        </w:rPr>
      </w:pPr>
      <w:r w:rsidRPr="00293EE1">
        <w:rPr>
          <w:sz w:val="20"/>
          <w:szCs w:val="20"/>
          <w:lang w:val="fr-CA"/>
        </w:rPr>
        <w:t xml:space="preserve">Présents : La juge en chef </w:t>
      </w:r>
      <w:proofErr w:type="spellStart"/>
      <w:r w:rsidRPr="00293EE1">
        <w:rPr>
          <w:sz w:val="20"/>
          <w:szCs w:val="20"/>
          <w:lang w:val="fr-CA"/>
        </w:rPr>
        <w:t>McLachlin</w:t>
      </w:r>
      <w:proofErr w:type="spellEnd"/>
      <w:r w:rsidRPr="00293EE1">
        <w:rPr>
          <w:sz w:val="20"/>
          <w:szCs w:val="20"/>
          <w:lang w:val="fr-CA"/>
        </w:rPr>
        <w:t xml:space="preserve"> et les juges Abella, </w:t>
      </w:r>
      <w:proofErr w:type="spellStart"/>
      <w:r w:rsidRPr="00293EE1">
        <w:rPr>
          <w:sz w:val="20"/>
          <w:szCs w:val="20"/>
          <w:lang w:val="fr-CA"/>
        </w:rPr>
        <w:t>Moldaver</w:t>
      </w:r>
      <w:proofErr w:type="spellEnd"/>
      <w:r w:rsidRPr="00293EE1">
        <w:rPr>
          <w:sz w:val="20"/>
          <w:szCs w:val="20"/>
          <w:lang w:val="fr-CA"/>
        </w:rPr>
        <w:t xml:space="preserve">, </w:t>
      </w:r>
      <w:proofErr w:type="spellStart"/>
      <w:r w:rsidRPr="00293EE1">
        <w:rPr>
          <w:sz w:val="20"/>
          <w:szCs w:val="20"/>
          <w:lang w:val="fr-CA"/>
        </w:rPr>
        <w:t>Karakatsanis</w:t>
      </w:r>
      <w:proofErr w:type="spellEnd"/>
      <w:r w:rsidRPr="00293EE1">
        <w:rPr>
          <w:sz w:val="20"/>
          <w:szCs w:val="20"/>
          <w:lang w:val="fr-CA"/>
        </w:rPr>
        <w:t>, Wagner, Gascon, Côté, Brown et Rowe.</w:t>
      </w:r>
    </w:p>
    <w:p w:rsidR="003D7273" w:rsidRPr="00293EE1" w:rsidRDefault="003D7273" w:rsidP="003D7273">
      <w:pPr>
        <w:jc w:val="both"/>
        <w:rPr>
          <w:sz w:val="20"/>
          <w:szCs w:val="20"/>
          <w:lang w:val="fr-CA"/>
        </w:rPr>
      </w:pPr>
    </w:p>
    <w:p w:rsidR="008E09B7" w:rsidRPr="00293EE1" w:rsidRDefault="008E09B7" w:rsidP="008E09B7">
      <w:pPr>
        <w:pStyle w:val="SCCNormalDoubleSpacing"/>
        <w:spacing w:line="240" w:lineRule="auto"/>
        <w:rPr>
          <w:i/>
          <w:sz w:val="20"/>
          <w:lang w:val="fr-CA"/>
        </w:rPr>
      </w:pPr>
      <w:r w:rsidRPr="00293EE1">
        <w:rPr>
          <w:sz w:val="20"/>
          <w:lang w:val="fr-CA"/>
        </w:rPr>
        <w:tab/>
      </w:r>
      <w:r w:rsidRPr="00293EE1">
        <w:rPr>
          <w:i/>
          <w:sz w:val="20"/>
          <w:lang w:val="fr-CA"/>
        </w:rPr>
        <w:t>Responsabilité délictuelle — Négligence — Véhicules automobiles — Préjudice mental — Dommages</w:t>
      </w:r>
      <w:r w:rsidRPr="00293EE1">
        <w:rPr>
          <w:i/>
          <w:sz w:val="20"/>
          <w:lang w:val="fr-CA"/>
        </w:rPr>
        <w:noBreakHyphen/>
        <w:t>intérêts — Poursuite pour négligence par suite d’un accident de la route — Octroi en première instance d’une indemnité pour préjudice mental sur la foi du témoignage de profanes plutôt qu’à partir d’une preuve d’expert établissant un diagnostic précis — En quoi consiste le préjudice mental? — Sa réparation exige</w:t>
      </w:r>
      <w:r w:rsidRPr="00293EE1">
        <w:rPr>
          <w:i/>
          <w:sz w:val="20"/>
          <w:lang w:val="fr-CA"/>
        </w:rPr>
        <w:noBreakHyphen/>
        <w:t>t</w:t>
      </w:r>
      <w:r w:rsidRPr="00293EE1">
        <w:rPr>
          <w:i/>
          <w:sz w:val="20"/>
          <w:lang w:val="fr-CA"/>
        </w:rPr>
        <w:noBreakHyphen/>
        <w:t xml:space="preserve">elle le témoignage d’un expert ou quelque autre preuve d’un trouble psychiatrique reconnu? — Le demandeur </w:t>
      </w:r>
      <w:proofErr w:type="spellStart"/>
      <w:r w:rsidRPr="00293EE1">
        <w:rPr>
          <w:i/>
          <w:sz w:val="20"/>
          <w:lang w:val="fr-CA"/>
        </w:rPr>
        <w:t>a</w:t>
      </w:r>
      <w:r w:rsidRPr="00293EE1">
        <w:rPr>
          <w:i/>
          <w:sz w:val="20"/>
          <w:lang w:val="fr-CA"/>
        </w:rPr>
        <w:noBreakHyphen/>
        <w:t>t</w:t>
      </w:r>
      <w:r w:rsidRPr="00293EE1">
        <w:rPr>
          <w:i/>
          <w:sz w:val="20"/>
          <w:lang w:val="fr-CA"/>
        </w:rPr>
        <w:noBreakHyphen/>
        <w:t>il</w:t>
      </w:r>
      <w:proofErr w:type="spellEnd"/>
      <w:r w:rsidRPr="00293EE1">
        <w:rPr>
          <w:i/>
          <w:sz w:val="20"/>
          <w:lang w:val="fr-CA"/>
        </w:rPr>
        <w:t xml:space="preserve"> subi un préjudice? — L’affaire devrait</w:t>
      </w:r>
      <w:r w:rsidRPr="00293EE1">
        <w:rPr>
          <w:i/>
          <w:sz w:val="20"/>
          <w:lang w:val="fr-CA"/>
        </w:rPr>
        <w:noBreakHyphen/>
        <w:t>elle être renvoyée à la Cour d’appel?</w:t>
      </w:r>
    </w:p>
    <w:p w:rsidR="008E09B7" w:rsidRPr="00293EE1" w:rsidRDefault="008E09B7" w:rsidP="008E09B7">
      <w:pPr>
        <w:pStyle w:val="SCCNormalDoubleSpacing"/>
        <w:spacing w:line="240" w:lineRule="auto"/>
        <w:rPr>
          <w:i/>
          <w:sz w:val="20"/>
          <w:lang w:val="fr-CA"/>
        </w:rPr>
      </w:pPr>
    </w:p>
    <w:p w:rsidR="008E09B7" w:rsidRPr="00293EE1" w:rsidRDefault="008E09B7" w:rsidP="008E09B7">
      <w:pPr>
        <w:pStyle w:val="SCCNormalDoubleSpacing"/>
        <w:spacing w:line="240" w:lineRule="auto"/>
        <w:rPr>
          <w:sz w:val="20"/>
          <w:lang w:val="fr-CA"/>
        </w:rPr>
      </w:pPr>
      <w:r w:rsidRPr="00293EE1">
        <w:rPr>
          <w:sz w:val="20"/>
          <w:lang w:val="fr-CA"/>
        </w:rPr>
        <w:tab/>
        <w:t>Le camion</w:t>
      </w:r>
      <w:r w:rsidRPr="00293EE1">
        <w:rPr>
          <w:sz w:val="20"/>
          <w:lang w:val="fr-CA"/>
        </w:rPr>
        <w:noBreakHyphen/>
        <w:t>tracteur de S a été heurté par le véhicule que conduisait M. Cet accident de la route était le deuxième d’une série de cinq subis par S. Depuis le premier accident, S souffrait de douleurs chroniques, et celles</w:t>
      </w:r>
      <w:r w:rsidRPr="00293EE1">
        <w:rPr>
          <w:sz w:val="20"/>
          <w:lang w:val="fr-CA"/>
        </w:rPr>
        <w:noBreakHyphen/>
        <w:t xml:space="preserve">ci s’étaient aggravées après le troisième. S a poursuivi M et les autres défendeurs pour négligence. Il demandait une indemnité pour perte non pécuniaire et pour perte de revenus antérieure attribuables au deuxième accident. Le juge de première instance a conclu que le deuxième accident avait infligé à S des préjudices psychologiques, dont un changement de personnalité </w:t>
      </w:r>
      <w:r w:rsidRPr="00293EE1">
        <w:rPr>
          <w:sz w:val="20"/>
          <w:lang w:val="fr-CA"/>
        </w:rPr>
        <w:lastRenderedPageBreak/>
        <w:t>et des problèmes cognitifs. Sa conclusion ne prenait pas appui sur un diagnostic précis ou sur le témoignage d’un expert, mais bien sur le témoignage de proches selon lesquels, après l’accident, la personnalité de S s’était détériorée. Il a conclu en outre que le préjudice mental infligé initialement par le deuxième accident était indissociable de tout préjudice infligé par le troisième accident. Il a accordé à S 100 000 $ à titre de dommages</w:t>
      </w:r>
      <w:r w:rsidRPr="00293EE1">
        <w:rPr>
          <w:sz w:val="20"/>
          <w:lang w:val="fr-CA"/>
        </w:rPr>
        <w:noBreakHyphen/>
        <w:t xml:space="preserve">intérêts non pécuniaires. La Cour d’appel a accueilli l’appel au motif que S n’avait pas établi, au moyen d’une preuve d’expert, un préjudice correspondant à un trouble psychiatrique ou psychologique médicalement reconnu. Elle a également estimé que le juge de première instance avait commis l’erreur de statuer à partir de moyens que S n’avait ni plaidés ni invoqués. </w:t>
      </w:r>
    </w:p>
    <w:p w:rsidR="008E09B7" w:rsidRPr="00293EE1" w:rsidRDefault="008E09B7" w:rsidP="008E09B7">
      <w:pPr>
        <w:pStyle w:val="SCCNormalDoubleSpacing"/>
        <w:spacing w:line="240" w:lineRule="auto"/>
        <w:rPr>
          <w:sz w:val="20"/>
          <w:lang w:val="fr-CA"/>
        </w:rPr>
      </w:pPr>
    </w:p>
    <w:p w:rsidR="008E09B7" w:rsidRPr="00293EE1" w:rsidRDefault="008E09B7" w:rsidP="008E09B7">
      <w:pPr>
        <w:pStyle w:val="SCCNormalDoubleSpacing"/>
        <w:spacing w:line="240" w:lineRule="auto"/>
        <w:rPr>
          <w:sz w:val="20"/>
          <w:lang w:val="fr-CA"/>
        </w:rPr>
      </w:pPr>
      <w:r w:rsidRPr="00293EE1">
        <w:rPr>
          <w:i/>
          <w:sz w:val="20"/>
          <w:lang w:val="fr-CA"/>
        </w:rPr>
        <w:tab/>
        <w:t>Arrêt</w:t>
      </w:r>
      <w:r w:rsidRPr="00293EE1">
        <w:rPr>
          <w:sz w:val="20"/>
          <w:lang w:val="fr-CA"/>
        </w:rPr>
        <w:t> : Le pourvoi est accueilli et l’indemnisation accordée en première instance est rétablie.</w:t>
      </w:r>
    </w:p>
    <w:p w:rsidR="008E09B7" w:rsidRPr="00293EE1" w:rsidRDefault="008E09B7" w:rsidP="008E09B7">
      <w:pPr>
        <w:pStyle w:val="SCCNormalDoubleSpacing"/>
        <w:spacing w:line="240" w:lineRule="auto"/>
        <w:rPr>
          <w:sz w:val="20"/>
          <w:lang w:val="fr-CA"/>
        </w:rPr>
      </w:pPr>
    </w:p>
    <w:p w:rsidR="008E09B7" w:rsidRPr="00293EE1" w:rsidRDefault="008E09B7" w:rsidP="008E09B7">
      <w:pPr>
        <w:pStyle w:val="SCCNormalDoubleSpacing"/>
        <w:spacing w:line="240" w:lineRule="auto"/>
        <w:rPr>
          <w:sz w:val="20"/>
          <w:lang w:val="fr-CA"/>
        </w:rPr>
      </w:pPr>
      <w:r w:rsidRPr="00293EE1">
        <w:rPr>
          <w:sz w:val="20"/>
          <w:lang w:val="fr-CA"/>
        </w:rPr>
        <w:tab/>
        <w:t>L’octroi en première instance d’une indemnité pour préjudice mental ne contrevient pas à l’équité procédurale. Bien qu’une affaire ne doive pas être jugée à partir de moyens qui n’ont pas été invoqués, dans le cas d’une allégation de préjudice mental causé par la négligence, il suffit en règle générale que les actes de procédure fassent état de quelque manifestation d’un tel préjudice. Les nombreuses allégations d’un préjudice mental dans les plaidoiries orale et écrite finales de S, jumelées à la nature générale des composants du préjudice allégué dans les actes de procédure ont amplement fait connaître aux défendeurs les arguments auxquels ils devaient répondre, et ces derniers ne se sont opposés à aucune de ces allégations.</w:t>
      </w:r>
    </w:p>
    <w:p w:rsidR="008E09B7" w:rsidRPr="00293EE1" w:rsidRDefault="008E09B7" w:rsidP="008E09B7">
      <w:pPr>
        <w:pStyle w:val="SCCNormalDoubleSpacing"/>
        <w:spacing w:line="240" w:lineRule="auto"/>
        <w:rPr>
          <w:sz w:val="20"/>
          <w:lang w:val="fr-CA"/>
        </w:rPr>
      </w:pPr>
    </w:p>
    <w:p w:rsidR="008E09B7" w:rsidRPr="00293EE1" w:rsidRDefault="008E09B7" w:rsidP="008E09B7">
      <w:pPr>
        <w:pStyle w:val="SCCNormalDoubleSpacing"/>
        <w:spacing w:line="240" w:lineRule="auto"/>
        <w:rPr>
          <w:sz w:val="20"/>
          <w:lang w:val="fr-CA"/>
        </w:rPr>
      </w:pPr>
      <w:r w:rsidRPr="00293EE1">
        <w:rPr>
          <w:sz w:val="20"/>
          <w:lang w:val="fr-CA"/>
        </w:rPr>
        <w:tab/>
        <w:t>En droit de la négligence, l’indemnisation du préjudice mental exige du demandeur qu’il satisfasse aux conditions auxquelles la négligence peut être établie, c’est</w:t>
      </w:r>
      <w:r w:rsidRPr="00293EE1">
        <w:rPr>
          <w:sz w:val="20"/>
          <w:lang w:val="fr-CA"/>
        </w:rPr>
        <w:noBreakHyphen/>
        <w:t>à</w:t>
      </w:r>
      <w:r w:rsidRPr="00293EE1">
        <w:rPr>
          <w:sz w:val="20"/>
          <w:lang w:val="fr-CA"/>
        </w:rPr>
        <w:noBreakHyphen/>
        <w:t xml:space="preserve">dire prouver l’existence d’une obligation de diligence, d’un manquement, d’un préjudice et d’un lien de causalité factuel et juridique entre le manquement et le préjudice. Le droit canadien de la négligence reconnaît l’existence en </w:t>
      </w:r>
      <w:proofErr w:type="spellStart"/>
      <w:r w:rsidRPr="00293EE1">
        <w:rPr>
          <w:sz w:val="20"/>
          <w:lang w:val="fr-CA"/>
        </w:rPr>
        <w:t>common</w:t>
      </w:r>
      <w:proofErr w:type="spellEnd"/>
      <w:r w:rsidRPr="00293EE1">
        <w:rPr>
          <w:sz w:val="20"/>
          <w:lang w:val="fr-CA"/>
        </w:rPr>
        <w:t xml:space="preserve"> </w:t>
      </w:r>
      <w:proofErr w:type="spellStart"/>
      <w:r w:rsidRPr="00293EE1">
        <w:rPr>
          <w:sz w:val="20"/>
          <w:lang w:val="fr-CA"/>
        </w:rPr>
        <w:t>law</w:t>
      </w:r>
      <w:proofErr w:type="spellEnd"/>
      <w:r w:rsidRPr="00293EE1">
        <w:rPr>
          <w:sz w:val="20"/>
          <w:lang w:val="fr-CA"/>
        </w:rPr>
        <w:t xml:space="preserve"> d’une obligation de prendre des mesures raisonnables afin qu’un préjudice mental prévisible ne soit pas causé et que la cause d’action qui en découle garantit le droit d’être protégé contre l’atteinte par négligence à sa santé mentale. L’analyse que commande habituellement l’obligation de diligence vaut donc pour le préjudice mental imputé à la négligence. Plus précisément, la responsabilité du préjudice mental ne doit être reconnue que lorsque la demande satisfait aux exigences de proximité pour les besoins de l’obligation de diligence et au critère du caractère éloigné du préjudice.</w:t>
      </w:r>
    </w:p>
    <w:p w:rsidR="008E09B7" w:rsidRPr="00293EE1" w:rsidRDefault="008E09B7" w:rsidP="008E09B7">
      <w:pPr>
        <w:pStyle w:val="SCCNormalDoubleSpacing"/>
        <w:spacing w:line="240" w:lineRule="auto"/>
        <w:rPr>
          <w:sz w:val="20"/>
          <w:lang w:val="fr-CA"/>
        </w:rPr>
      </w:pPr>
    </w:p>
    <w:p w:rsidR="008E09B7" w:rsidRPr="00293EE1" w:rsidRDefault="008E09B7" w:rsidP="008E09B7">
      <w:pPr>
        <w:pStyle w:val="SCCNormalDoubleSpacing"/>
        <w:spacing w:line="240" w:lineRule="auto"/>
        <w:rPr>
          <w:sz w:val="20"/>
          <w:lang w:val="fr-CA"/>
        </w:rPr>
      </w:pPr>
      <w:r w:rsidRPr="00293EE1">
        <w:rPr>
          <w:sz w:val="20"/>
          <w:lang w:val="fr-CA"/>
        </w:rPr>
        <w:tab/>
        <w:t>Le demandeur n’est pas légalement tenu de prouver en tout ou en partie l’existence d’un trouble psychiatrique reconnu pour que l’on puisse conclure au caractère indemnisable du préjudice mental. Le droit de la négligence réserve un traitement identique aux préjudices mental et physique. Obliger le demandeur qui allègue un préjudice mental à prouver que son état correspond à un trouble psychiatrique reconnaissable, c’est</w:t>
      </w:r>
      <w:r w:rsidRPr="00293EE1">
        <w:rPr>
          <w:sz w:val="20"/>
          <w:lang w:val="fr-CA"/>
        </w:rPr>
        <w:noBreakHyphen/>
        <w:t>à</w:t>
      </w:r>
      <w:r w:rsidRPr="00293EE1">
        <w:rPr>
          <w:sz w:val="20"/>
          <w:lang w:val="fr-CA"/>
        </w:rPr>
        <w:noBreakHyphen/>
        <w:t xml:space="preserve">dire le contraindre à prouver que son état est dûment répertorié, sans faire la même obligation au demandeur qui allègue un préjudice physique, revient à accorder une protection inégale à la victime d’un préjudice mental. Des règles distinctes qui écartent la responsabilité dans le cas d’un préjudice mental, mais non dans le cas d’un préjudice physique, ne sauraient s’appliquer. Les éléments requis pour qu’il y ait une cause d’action en négligence, de même que les exigences de la Cour suivant l’arrêt </w:t>
      </w:r>
      <w:r w:rsidRPr="00293EE1">
        <w:rPr>
          <w:i/>
          <w:sz w:val="20"/>
          <w:lang w:val="fr-CA"/>
        </w:rPr>
        <w:t>Mustapha</w:t>
      </w:r>
      <w:r w:rsidRPr="00293EE1">
        <w:rPr>
          <w:sz w:val="20"/>
          <w:lang w:val="fr-CA"/>
        </w:rPr>
        <w:t xml:space="preserve"> </w:t>
      </w:r>
      <w:r w:rsidRPr="00293EE1">
        <w:rPr>
          <w:i/>
          <w:sz w:val="20"/>
          <w:lang w:val="fr-CA"/>
        </w:rPr>
        <w:t xml:space="preserve">c. </w:t>
      </w:r>
      <w:proofErr w:type="spellStart"/>
      <w:r w:rsidRPr="00293EE1">
        <w:rPr>
          <w:i/>
          <w:sz w:val="20"/>
          <w:lang w:val="fr-CA"/>
        </w:rPr>
        <w:t>Culligan</w:t>
      </w:r>
      <w:proofErr w:type="spellEnd"/>
      <w:r w:rsidRPr="00293EE1">
        <w:rPr>
          <w:i/>
          <w:sz w:val="20"/>
          <w:lang w:val="fr-CA"/>
        </w:rPr>
        <w:t xml:space="preserve"> du Canada Ltée.</w:t>
      </w:r>
      <w:r w:rsidRPr="00293EE1">
        <w:rPr>
          <w:sz w:val="20"/>
          <w:lang w:val="fr-CA"/>
        </w:rPr>
        <w:t>, 2008 CSC 27, [2008] 2 R.C.S. 114, lorsqu’il s’agit de prouver le préjudice mental font suffisamment obstacle aux réclamations infondées.</w:t>
      </w:r>
    </w:p>
    <w:p w:rsidR="008E09B7" w:rsidRPr="00293EE1" w:rsidRDefault="008E09B7" w:rsidP="008E09B7">
      <w:pPr>
        <w:pStyle w:val="SCCNormalDoubleSpacing"/>
        <w:spacing w:line="240" w:lineRule="auto"/>
        <w:rPr>
          <w:sz w:val="20"/>
          <w:lang w:val="fr-CA"/>
        </w:rPr>
      </w:pPr>
    </w:p>
    <w:p w:rsidR="008E09B7" w:rsidRPr="00293EE1" w:rsidRDefault="008E09B7" w:rsidP="008E09B7">
      <w:pPr>
        <w:pStyle w:val="SCCNormalDoubleSpacing"/>
        <w:spacing w:line="240" w:lineRule="auto"/>
        <w:rPr>
          <w:sz w:val="20"/>
          <w:lang w:val="fr-CA"/>
        </w:rPr>
      </w:pPr>
      <w:r w:rsidRPr="00293EE1">
        <w:rPr>
          <w:sz w:val="20"/>
          <w:lang w:val="fr-CA"/>
        </w:rPr>
        <w:tab/>
        <w:t>Qui plus est, n’indemniser le préjudice mental que s’il correspond à un état susceptible d’être déterminé au moyen d’outils diagnostiques se révèle intrinsèquement suspect sur le plan de la méthodologie juridique. Un diagnostic précis est assurément important sous l’angle thérapeutique, mais le juge des faits appelé à statuer sur une allégation de préjudice mental ne s’intéresse pas au diagnostic, mais aux symptômes et à leurs conséquences. Point n’est besoin d’établir un lien entre le préjudice mental raisonnablement prévisible et un système de classification permettant le diagnostic. Il suffit de prouver que le défendeur négligent a prévu le préjudice, non un préjudice correspondant à un trouble</w:t>
      </w:r>
      <w:r w:rsidRPr="00293EE1">
        <w:rPr>
          <w:i/>
          <w:sz w:val="20"/>
          <w:lang w:val="fr-CA"/>
        </w:rPr>
        <w:t xml:space="preserve"> </w:t>
      </w:r>
      <w:r w:rsidRPr="00293EE1">
        <w:rPr>
          <w:sz w:val="20"/>
          <w:lang w:val="fr-CA"/>
        </w:rPr>
        <w:t>psychiatrique dûment répertorié. L’examen du juge des faits doit porter sur l’ampleur du préjudice infligé au demandeur par ses symptômes, non sur l’appellation qui pourrait y être accolée.</w:t>
      </w:r>
    </w:p>
    <w:p w:rsidR="008E09B7" w:rsidRPr="00293EE1" w:rsidRDefault="008E09B7" w:rsidP="008E09B7">
      <w:pPr>
        <w:pStyle w:val="SCCNormalDoubleSpacing"/>
        <w:spacing w:line="240" w:lineRule="auto"/>
        <w:rPr>
          <w:sz w:val="20"/>
          <w:lang w:val="fr-CA"/>
        </w:rPr>
      </w:pPr>
    </w:p>
    <w:p w:rsidR="008E09B7" w:rsidRPr="00293EE1" w:rsidRDefault="008E09B7" w:rsidP="008E09B7">
      <w:pPr>
        <w:pStyle w:val="SCCNormalDoubleSpacing"/>
        <w:spacing w:line="240" w:lineRule="auto"/>
        <w:rPr>
          <w:sz w:val="20"/>
          <w:lang w:val="fr-CA"/>
        </w:rPr>
      </w:pPr>
      <w:r w:rsidRPr="00293EE1">
        <w:rPr>
          <w:sz w:val="20"/>
          <w:lang w:val="fr-CA"/>
        </w:rPr>
        <w:tab/>
        <w:t>Pour prouver l’existence d’un préjudice mental, le demandeur doit établir que le préjudice subi est grave et de longue durée et qu’il ne s’agit pas simplement des désagréments, angoisses et craintes ordinaires inhérents à la vie en société. La preuve d’expert peut être utile pour décider si l’existence d’un préjudice mental a été établie ou non, mais en l’absence d’un diagnostic psychiatrique, il demeure loisible au juge des faits de conclure, à la lumière des éléments de preuve offerts, que le demandeur a prouvé l’existence d’un préjudice mental selon la prépondérance des probabilités. Le défendeur peut également réfuter l’allégation en faisant témoigner un expert pour établir que l’accident n’a pu avoir causé quelque</w:t>
      </w:r>
      <w:r w:rsidRPr="00293EE1">
        <w:rPr>
          <w:i/>
          <w:sz w:val="20"/>
          <w:lang w:val="fr-CA"/>
        </w:rPr>
        <w:t xml:space="preserve"> </w:t>
      </w:r>
      <w:r w:rsidRPr="00293EE1">
        <w:rPr>
          <w:sz w:val="20"/>
          <w:lang w:val="fr-CA"/>
        </w:rPr>
        <w:t>préjudice mental ou, du moins, quelque préjudice mental connu en psychiatrie.</w:t>
      </w:r>
    </w:p>
    <w:p w:rsidR="008E09B7" w:rsidRPr="00293EE1" w:rsidRDefault="008E09B7" w:rsidP="008E09B7">
      <w:pPr>
        <w:pStyle w:val="SCCNormalDoubleSpacing"/>
        <w:spacing w:line="240" w:lineRule="auto"/>
        <w:rPr>
          <w:sz w:val="20"/>
          <w:lang w:val="fr-CA"/>
        </w:rPr>
      </w:pPr>
    </w:p>
    <w:p w:rsidR="008E09B7" w:rsidRPr="00293EE1" w:rsidRDefault="008E09B7" w:rsidP="008E09B7">
      <w:pPr>
        <w:pStyle w:val="SCCNormalDoubleSpacing"/>
        <w:spacing w:line="240" w:lineRule="auto"/>
        <w:rPr>
          <w:sz w:val="20"/>
          <w:lang w:val="fr-CA"/>
        </w:rPr>
      </w:pPr>
      <w:r w:rsidRPr="00293EE1">
        <w:rPr>
          <w:sz w:val="20"/>
          <w:lang w:val="fr-CA"/>
        </w:rPr>
        <w:tab/>
        <w:t>Dans la présente affaire, la preuve admise en première instance démontre à l’évidence l’existence d’un dérèglement grave et de longue durée qui va au</w:t>
      </w:r>
      <w:r w:rsidRPr="00293EE1">
        <w:rPr>
          <w:sz w:val="20"/>
          <w:lang w:val="fr-CA"/>
        </w:rPr>
        <w:noBreakHyphen/>
        <w:t xml:space="preserve">delà des contrariétés émotionnelles ou angoisses ordinaires. </w:t>
      </w:r>
      <w:r w:rsidRPr="00293EE1">
        <w:rPr>
          <w:rFonts w:eastAsiaTheme="minorHAnsi"/>
          <w:sz w:val="20"/>
          <w:lang w:val="fr-CA"/>
        </w:rPr>
        <w:t>Cette conclusion n’est pas contestée et, s’agissant d’une conclusion de fait, elle commande la déférence en appel. A</w:t>
      </w:r>
      <w:r w:rsidRPr="00293EE1">
        <w:rPr>
          <w:sz w:val="20"/>
          <w:lang w:val="fr-CA"/>
        </w:rPr>
        <w:t>ucune erreur de droit n’entache la conclusion du juge de première instance selon laquelle la preuve des symptômes de S établit l’existence d’un préjudice mental malgré l’absence d’un témoignage d’expert associant ces symptômes à un état dûment répertorié.</w:t>
      </w:r>
    </w:p>
    <w:p w:rsidR="008E09B7" w:rsidRPr="00293EE1" w:rsidRDefault="008E09B7" w:rsidP="008E09B7">
      <w:pPr>
        <w:pStyle w:val="SCCNormalDoubleSpacing"/>
        <w:spacing w:line="240" w:lineRule="auto"/>
        <w:rPr>
          <w:sz w:val="20"/>
          <w:lang w:val="fr-CA"/>
        </w:rPr>
      </w:pPr>
    </w:p>
    <w:p w:rsidR="008E09B7" w:rsidRPr="00293EE1" w:rsidRDefault="008E09B7" w:rsidP="008E09B7">
      <w:pPr>
        <w:pStyle w:val="SCCNormalDoubleSpacing"/>
        <w:spacing w:line="240" w:lineRule="auto"/>
        <w:rPr>
          <w:sz w:val="20"/>
          <w:lang w:val="fr-CA"/>
        </w:rPr>
      </w:pPr>
      <w:r w:rsidRPr="00293EE1">
        <w:rPr>
          <w:sz w:val="20"/>
          <w:lang w:val="fr-CA"/>
        </w:rPr>
        <w:tab/>
        <w:t>Renvoyer l’affaire à la Cour d’appel pour qu’elle statue sur le caractère indivisible du préjudice et sur le montant de l’indemnité ne constituerait pas une mesure appropriée. L’indissociabilité de deux préjudices est une conclusion de fait et</w:t>
      </w:r>
      <w:r w:rsidRPr="00293EE1">
        <w:rPr>
          <w:rFonts w:eastAsiaTheme="minorHAnsi"/>
          <w:sz w:val="20"/>
          <w:lang w:val="fr-CA"/>
        </w:rPr>
        <w:t xml:space="preserve"> commande la déférence. En outre, faute d’observations complètes dans le cadre du pourvoi et d’éléments pertinents dans le dossier de première instance, la présente affaire ne se prête pas à une décision concernant l’effet des dispositions relatives à l’indemnisation des accidentés du travail sur la dissociabilité des préjudices. Par ailleurs, </w:t>
      </w:r>
      <w:r w:rsidRPr="00293EE1">
        <w:rPr>
          <w:sz w:val="20"/>
          <w:lang w:val="fr-CA"/>
        </w:rPr>
        <w:t>le montant déterminé par le juge est raisonnable et en adéquation avec le dossier, et il indemnise convenablement S de la perte qu’il a subie. Il y a donc lieu de le rétablir.</w:t>
      </w:r>
    </w:p>
    <w:p w:rsidR="003D7273" w:rsidRPr="00293EE1" w:rsidRDefault="003D7273" w:rsidP="008E09B7">
      <w:pPr>
        <w:pStyle w:val="SCCNormalDoubleSpacing"/>
        <w:spacing w:line="240" w:lineRule="auto"/>
        <w:rPr>
          <w:sz w:val="20"/>
          <w:lang w:val="fr-CA"/>
        </w:rPr>
      </w:pPr>
    </w:p>
    <w:p w:rsidR="008E09B7" w:rsidRPr="00293EE1" w:rsidRDefault="008E09B7" w:rsidP="008E09B7">
      <w:pPr>
        <w:pStyle w:val="SCCNormalDoubleSpacing"/>
        <w:spacing w:line="240" w:lineRule="auto"/>
        <w:rPr>
          <w:sz w:val="20"/>
          <w:lang w:val="fr-CA"/>
        </w:rPr>
      </w:pPr>
      <w:r w:rsidRPr="00CB40D5">
        <w:rPr>
          <w:sz w:val="20"/>
          <w:lang w:val="fr-CA"/>
        </w:rPr>
        <w:tab/>
        <w:t>POURVOI contre un arrêt de la Cour d’appel de la Colombie</w:t>
      </w:r>
      <w:r w:rsidRPr="00CB40D5">
        <w:rPr>
          <w:sz w:val="20"/>
          <w:lang w:val="fr-CA"/>
        </w:rPr>
        <w:noBreakHyphen/>
        <w:t xml:space="preserve">Britannique (les juges Saunders, Chiasson et </w:t>
      </w:r>
      <w:proofErr w:type="spellStart"/>
      <w:r w:rsidRPr="00CB40D5">
        <w:rPr>
          <w:sz w:val="20"/>
          <w:lang w:val="fr-CA"/>
        </w:rPr>
        <w:t>Frankel</w:t>
      </w:r>
      <w:proofErr w:type="spellEnd"/>
      <w:r w:rsidRPr="00CB40D5">
        <w:rPr>
          <w:sz w:val="20"/>
          <w:lang w:val="fr-CA"/>
        </w:rPr>
        <w:t xml:space="preserve">), 2015 BCCA 393, 81 B.C.L.R. (5th) 1, 377 B.C.A.C. 106, 648 W.A.C. 106, 23 C.C.L.T. (4th) 177, 390 D.L.R. (4th) 63, [2016] 4 W.W.R. 259, [2015] B.C.J. No. 2027 (QL), 2015 </w:t>
      </w:r>
      <w:proofErr w:type="spellStart"/>
      <w:r w:rsidRPr="00CB40D5">
        <w:rPr>
          <w:sz w:val="20"/>
          <w:lang w:val="fr-CA"/>
        </w:rPr>
        <w:t>CarswellBC</w:t>
      </w:r>
      <w:proofErr w:type="spellEnd"/>
      <w:r w:rsidRPr="00CB40D5">
        <w:rPr>
          <w:sz w:val="20"/>
          <w:lang w:val="fr-CA"/>
        </w:rPr>
        <w:t xml:space="preserve"> 2694 (WL Can.), qui a infirmé une décision du juge </w:t>
      </w:r>
      <w:proofErr w:type="spellStart"/>
      <w:r w:rsidRPr="00CB40D5">
        <w:rPr>
          <w:sz w:val="20"/>
          <w:lang w:val="fr-CA"/>
        </w:rPr>
        <w:t>Funt</w:t>
      </w:r>
      <w:proofErr w:type="spellEnd"/>
      <w:r w:rsidRPr="00CB40D5">
        <w:rPr>
          <w:sz w:val="20"/>
          <w:lang w:val="fr-CA"/>
        </w:rPr>
        <w:t xml:space="preserve">, 2014 BCSC 1365, [2014] B.C.J. No. 1898 (QL), 2014 </w:t>
      </w:r>
      <w:proofErr w:type="spellStart"/>
      <w:r w:rsidRPr="00CB40D5">
        <w:rPr>
          <w:sz w:val="20"/>
          <w:lang w:val="fr-CA"/>
        </w:rPr>
        <w:t>CarswellBC</w:t>
      </w:r>
      <w:proofErr w:type="spellEnd"/>
      <w:r w:rsidRPr="00CB40D5">
        <w:rPr>
          <w:sz w:val="20"/>
          <w:lang w:val="fr-CA"/>
        </w:rPr>
        <w:t xml:space="preserve"> 2133 (WL Can.). </w:t>
      </w:r>
      <w:r w:rsidRPr="00293EE1">
        <w:rPr>
          <w:sz w:val="20"/>
          <w:lang w:val="fr-CA"/>
        </w:rPr>
        <w:t>Pourvoi accueilli.</w:t>
      </w:r>
    </w:p>
    <w:p w:rsidR="008E09B7" w:rsidRPr="00293EE1" w:rsidRDefault="008E09B7" w:rsidP="008E09B7">
      <w:pPr>
        <w:pStyle w:val="SCCNormalDoubleSpacing"/>
        <w:spacing w:line="240" w:lineRule="auto"/>
        <w:rPr>
          <w:sz w:val="20"/>
          <w:lang w:val="fr-CA"/>
        </w:rPr>
      </w:pPr>
    </w:p>
    <w:p w:rsidR="008E09B7" w:rsidRPr="00293EE1" w:rsidRDefault="008E09B7" w:rsidP="008E09B7">
      <w:pPr>
        <w:pStyle w:val="SCCNormalDoubleSpacing"/>
        <w:spacing w:line="240" w:lineRule="auto"/>
        <w:rPr>
          <w:rStyle w:val="SCCCounselPartyRoleChar"/>
          <w:sz w:val="20"/>
          <w:lang w:val="fr-CA"/>
        </w:rPr>
      </w:pPr>
      <w:r w:rsidRPr="00293EE1">
        <w:rPr>
          <w:rStyle w:val="SCCCounselNameChar"/>
          <w:sz w:val="20"/>
          <w:lang w:val="fr-CA"/>
        </w:rPr>
        <w:tab/>
      </w:r>
      <w:proofErr w:type="spellStart"/>
      <w:r w:rsidRPr="00293EE1">
        <w:rPr>
          <w:rStyle w:val="SCCCounselNameChar"/>
          <w:sz w:val="20"/>
          <w:lang w:val="fr-CA"/>
        </w:rPr>
        <w:t>Dairn</w:t>
      </w:r>
      <w:proofErr w:type="spellEnd"/>
      <w:r w:rsidRPr="00293EE1">
        <w:rPr>
          <w:rStyle w:val="SCCCounselNameChar"/>
          <w:sz w:val="20"/>
          <w:lang w:val="fr-CA"/>
        </w:rPr>
        <w:t xml:space="preserve"> Shane</w:t>
      </w:r>
      <w:r w:rsidRPr="00293EE1">
        <w:rPr>
          <w:rStyle w:val="SCCCounselPartyRoleChar"/>
          <w:sz w:val="20"/>
          <w:lang w:val="fr-CA"/>
        </w:rPr>
        <w:t xml:space="preserve"> et </w:t>
      </w:r>
      <w:r w:rsidRPr="00293EE1">
        <w:rPr>
          <w:rStyle w:val="SCCCounselPartyRoleChar"/>
          <w:i/>
          <w:sz w:val="20"/>
          <w:lang w:val="fr-CA"/>
        </w:rPr>
        <w:t xml:space="preserve">Joseph </w:t>
      </w:r>
      <w:proofErr w:type="spellStart"/>
      <w:r w:rsidRPr="00293EE1">
        <w:rPr>
          <w:rStyle w:val="SCCCounselPartyRoleChar"/>
          <w:i/>
          <w:sz w:val="20"/>
          <w:lang w:val="fr-CA"/>
        </w:rPr>
        <w:t>Fearon</w:t>
      </w:r>
      <w:proofErr w:type="spellEnd"/>
      <w:r w:rsidRPr="00293EE1">
        <w:rPr>
          <w:rStyle w:val="SCCCounselPartyRoleChar"/>
          <w:sz w:val="20"/>
          <w:lang w:val="fr-CA"/>
        </w:rPr>
        <w:t>, pour l’appelant.</w:t>
      </w:r>
    </w:p>
    <w:p w:rsidR="008E09B7" w:rsidRPr="00293EE1" w:rsidRDefault="008E09B7" w:rsidP="008E09B7">
      <w:pPr>
        <w:pStyle w:val="SCCNormalDoubleSpacing"/>
        <w:spacing w:line="240" w:lineRule="auto"/>
        <w:rPr>
          <w:sz w:val="20"/>
          <w:lang w:val="fr-CA"/>
        </w:rPr>
      </w:pPr>
    </w:p>
    <w:p w:rsidR="008E09B7" w:rsidRPr="00293EE1" w:rsidRDefault="008E09B7" w:rsidP="008E09B7">
      <w:pPr>
        <w:pStyle w:val="SCCNormalDoubleSpacing"/>
        <w:spacing w:line="240" w:lineRule="auto"/>
        <w:rPr>
          <w:rStyle w:val="SCCCounselPartyRoleChar"/>
          <w:sz w:val="20"/>
          <w:lang w:val="fr-CA"/>
        </w:rPr>
      </w:pPr>
      <w:r w:rsidRPr="00293EE1">
        <w:rPr>
          <w:rStyle w:val="SCCCounselNameChar"/>
          <w:sz w:val="20"/>
          <w:lang w:val="fr-CA"/>
        </w:rPr>
        <w:tab/>
        <w:t xml:space="preserve">Kathleen S. </w:t>
      </w:r>
      <w:proofErr w:type="spellStart"/>
      <w:r w:rsidRPr="00293EE1">
        <w:rPr>
          <w:rStyle w:val="SCCCounselNameChar"/>
          <w:sz w:val="20"/>
          <w:lang w:val="fr-CA"/>
        </w:rPr>
        <w:t>Duffield</w:t>
      </w:r>
      <w:proofErr w:type="spellEnd"/>
      <w:r w:rsidRPr="00293EE1">
        <w:rPr>
          <w:rStyle w:val="SCCCounselSeparatorChar"/>
          <w:rFonts w:eastAsia="Calibri"/>
          <w:sz w:val="20"/>
        </w:rPr>
        <w:t xml:space="preserve"> et </w:t>
      </w:r>
      <w:r w:rsidRPr="00293EE1">
        <w:rPr>
          <w:rStyle w:val="SCCCounselNameChar"/>
          <w:sz w:val="20"/>
          <w:lang w:val="fr-CA"/>
        </w:rPr>
        <w:t xml:space="preserve">Steven W. </w:t>
      </w:r>
      <w:proofErr w:type="spellStart"/>
      <w:r w:rsidRPr="00293EE1">
        <w:rPr>
          <w:rStyle w:val="SCCCounselNameChar"/>
          <w:sz w:val="20"/>
          <w:lang w:val="fr-CA"/>
        </w:rPr>
        <w:t>Lesiuk</w:t>
      </w:r>
      <w:proofErr w:type="spellEnd"/>
      <w:r w:rsidRPr="00293EE1">
        <w:rPr>
          <w:rStyle w:val="SCCCounselPartyRoleChar"/>
          <w:sz w:val="20"/>
          <w:lang w:val="fr-CA"/>
        </w:rPr>
        <w:t>, pour les intimés.</w:t>
      </w:r>
    </w:p>
    <w:p w:rsidR="008E09B7" w:rsidRPr="00293EE1" w:rsidRDefault="008E09B7" w:rsidP="008E09B7">
      <w:pPr>
        <w:pStyle w:val="SCCNormalDoubleSpacing"/>
        <w:spacing w:line="240" w:lineRule="auto"/>
        <w:rPr>
          <w:sz w:val="20"/>
          <w:lang w:val="fr-CA"/>
        </w:rPr>
      </w:pPr>
    </w:p>
    <w:p w:rsidR="008E09B7" w:rsidRPr="00293EE1" w:rsidRDefault="008E09B7" w:rsidP="008E09B7">
      <w:pPr>
        <w:pStyle w:val="SCCNormalDoubleSpacing"/>
        <w:spacing w:line="240" w:lineRule="auto"/>
        <w:rPr>
          <w:sz w:val="20"/>
          <w:lang w:val="fr-CA"/>
        </w:rPr>
      </w:pPr>
      <w:r w:rsidRPr="00293EE1">
        <w:rPr>
          <w:rStyle w:val="SCCCounselNameChar"/>
          <w:sz w:val="20"/>
          <w:lang w:val="fr-CA"/>
        </w:rPr>
        <w:tab/>
        <w:t>Alan D’Silva</w:t>
      </w:r>
      <w:r w:rsidRPr="00293EE1">
        <w:rPr>
          <w:rStyle w:val="SCCCounselSeparatorChar"/>
          <w:rFonts w:eastAsia="Calibri"/>
          <w:sz w:val="20"/>
        </w:rPr>
        <w:t xml:space="preserve"> et </w:t>
      </w:r>
      <w:r w:rsidRPr="00293EE1">
        <w:rPr>
          <w:rStyle w:val="SCCCounselNameChar"/>
          <w:sz w:val="20"/>
          <w:lang w:val="fr-CA"/>
        </w:rPr>
        <w:t xml:space="preserve">Aaron </w:t>
      </w:r>
      <w:proofErr w:type="spellStart"/>
      <w:r w:rsidRPr="00293EE1">
        <w:rPr>
          <w:rStyle w:val="SCCCounselNameChar"/>
          <w:sz w:val="20"/>
          <w:lang w:val="fr-CA"/>
        </w:rPr>
        <w:t>Kreaden</w:t>
      </w:r>
      <w:proofErr w:type="spellEnd"/>
      <w:r w:rsidRPr="00293EE1">
        <w:rPr>
          <w:rStyle w:val="SCCCounselPartyRoleChar"/>
          <w:sz w:val="20"/>
          <w:lang w:val="fr-CA"/>
        </w:rPr>
        <w:t>, pour l’intervenant.</w:t>
      </w:r>
    </w:p>
    <w:p w:rsidR="003D7273" w:rsidRPr="00293EE1" w:rsidRDefault="003D7273" w:rsidP="008E09B7">
      <w:pPr>
        <w:rPr>
          <w:rFonts w:cs="Times New Roman"/>
          <w:sz w:val="20"/>
          <w:szCs w:val="20"/>
          <w:lang w:val="fr-CA"/>
        </w:rPr>
      </w:pPr>
    </w:p>
    <w:p w:rsidR="003D7273" w:rsidRPr="00293EE1" w:rsidRDefault="00B2512D" w:rsidP="008E09B7">
      <w:pPr>
        <w:rPr>
          <w:lang w:val="fr-CA"/>
        </w:rPr>
      </w:pPr>
      <w:r>
        <w:rPr>
          <w:rFonts w:cs="Times New Roman"/>
          <w:sz w:val="20"/>
          <w:szCs w:val="20"/>
          <w:lang w:val="fr-CA"/>
        </w:rPr>
        <w:pict>
          <v:rect id="_x0000_i1095" style="width:144.3pt;height:1pt" o:hrpct="300" o:hralign="center" o:hrstd="t" o:hrnoshade="t" o:hr="t" fillcolor="black [3213]" stroked="f"/>
        </w:pict>
      </w:r>
    </w:p>
    <w:p w:rsidR="003D7273" w:rsidRPr="00293EE1" w:rsidRDefault="003D7273" w:rsidP="003D7273">
      <w:pPr>
        <w:rPr>
          <w:sz w:val="20"/>
          <w:szCs w:val="20"/>
          <w:lang w:val="fr-CA"/>
        </w:rPr>
      </w:pPr>
    </w:p>
    <w:p w:rsidR="00031F04" w:rsidRPr="00293EE1" w:rsidRDefault="00031F04" w:rsidP="0052229C">
      <w:pPr>
        <w:pStyle w:val="SCCNormalDoubleSpacing"/>
        <w:spacing w:line="240" w:lineRule="auto"/>
        <w:rPr>
          <w:sz w:val="20"/>
          <w:lang w:val="fr-CA"/>
        </w:rPr>
      </w:pPr>
    </w:p>
    <w:p w:rsidR="005C6840" w:rsidRPr="00293EE1" w:rsidRDefault="005C6840" w:rsidP="005C6840">
      <w:pPr>
        <w:jc w:val="both"/>
        <w:rPr>
          <w:sz w:val="20"/>
          <w:szCs w:val="20"/>
        </w:rPr>
      </w:pPr>
    </w:p>
    <w:p w:rsidR="0056248C" w:rsidRPr="00293EE1" w:rsidRDefault="0056248C" w:rsidP="005C6840">
      <w:pPr>
        <w:jc w:val="both"/>
        <w:rPr>
          <w:sz w:val="20"/>
          <w:szCs w:val="20"/>
        </w:rPr>
      </w:pPr>
    </w:p>
    <w:p w:rsidR="0056248C" w:rsidRPr="00293EE1" w:rsidRDefault="0056248C" w:rsidP="005C6840">
      <w:pPr>
        <w:jc w:val="both"/>
        <w:rPr>
          <w:sz w:val="20"/>
          <w:szCs w:val="20"/>
        </w:rPr>
      </w:pPr>
    </w:p>
    <w:p w:rsidR="00102926" w:rsidRPr="00293EE1" w:rsidRDefault="00102926" w:rsidP="00782AE4">
      <w:pPr>
        <w:jc w:val="both"/>
        <w:rPr>
          <w:sz w:val="20"/>
          <w:szCs w:val="20"/>
        </w:rPr>
        <w:sectPr w:rsidR="00102926" w:rsidRPr="00293EE1" w:rsidSect="00782AE4">
          <w:headerReference w:type="even" r:id="rId108"/>
          <w:headerReference w:type="default" r:id="rId109"/>
          <w:footerReference w:type="even" r:id="rId110"/>
          <w:footerReference w:type="default" r:id="rId111"/>
          <w:headerReference w:type="first" r:id="rId112"/>
          <w:footerReference w:type="first" r:id="rId113"/>
          <w:pgSz w:w="12240" w:h="15840"/>
          <w:pgMar w:top="720" w:right="965" w:bottom="1080" w:left="1656" w:header="576" w:footer="960" w:gutter="0"/>
          <w:cols w:space="720"/>
          <w:titlePg/>
          <w:docGrid w:linePitch="272"/>
        </w:sectPr>
      </w:pPr>
    </w:p>
    <w:bookmarkStart w:id="3" w:name="QuickMark"/>
    <w:bookmarkEnd w:id="3"/>
    <w:p w:rsidR="008902B1" w:rsidRPr="00293EE1" w:rsidRDefault="008902B1" w:rsidP="008902B1">
      <w:pPr>
        <w:widowControl w:val="0"/>
        <w:spacing w:line="180" w:lineRule="auto"/>
        <w:jc w:val="center"/>
        <w:rPr>
          <w:rFonts w:asciiTheme="minorHAnsi" w:hAnsiTheme="minorHAnsi" w:cstheme="minorHAnsi"/>
          <w:b/>
          <w:szCs w:val="24"/>
        </w:rPr>
      </w:pPr>
      <w:r w:rsidRPr="00293EE1">
        <w:rPr>
          <w:rFonts w:asciiTheme="minorHAnsi" w:hAnsiTheme="minorHAnsi" w:cstheme="minorHAnsi"/>
          <w:b/>
          <w:szCs w:val="24"/>
        </w:rPr>
        <w:lastRenderedPageBreak/>
        <w:fldChar w:fldCharType="begin"/>
      </w:r>
      <w:r w:rsidRPr="00293EE1">
        <w:rPr>
          <w:rFonts w:asciiTheme="minorHAnsi" w:hAnsiTheme="minorHAnsi" w:cstheme="minorHAnsi"/>
          <w:b/>
          <w:szCs w:val="24"/>
        </w:rPr>
        <w:instrText xml:space="preserve"> SEQ CHAPTER \h \r 1</w:instrText>
      </w:r>
      <w:r w:rsidRPr="00293EE1">
        <w:rPr>
          <w:rFonts w:asciiTheme="minorHAnsi" w:hAnsiTheme="minorHAnsi" w:cstheme="minorHAnsi"/>
          <w:b/>
          <w:szCs w:val="24"/>
        </w:rPr>
        <w:fldChar w:fldCharType="end"/>
      </w:r>
      <w:r w:rsidRPr="00293EE1">
        <w:rPr>
          <w:rFonts w:asciiTheme="minorHAnsi" w:hAnsiTheme="minorHAnsi" w:cstheme="minorHAnsi"/>
          <w:b/>
          <w:szCs w:val="24"/>
        </w:rPr>
        <w:t>SUPREME COURT OF CANADA SCHEDULE / CALENDRIER DE LA COUR SUPREME</w:t>
      </w:r>
    </w:p>
    <w:p w:rsidR="0013595D" w:rsidRPr="00293EE1" w:rsidRDefault="0013595D" w:rsidP="0013595D">
      <w:pPr>
        <w:widowControl w:val="0"/>
        <w:spacing w:line="180" w:lineRule="auto"/>
        <w:rPr>
          <w:rFonts w:asciiTheme="minorHAnsi" w:hAnsiTheme="minorHAnsi" w:cstheme="minorHAnsi"/>
          <w:szCs w:val="24"/>
        </w:rPr>
      </w:pPr>
    </w:p>
    <w:p w:rsidR="0013595D" w:rsidRPr="00293EE1" w:rsidRDefault="0013595D" w:rsidP="00C01FCB">
      <w:pPr>
        <w:widowControl w:val="0"/>
        <w:tabs>
          <w:tab w:val="center" w:pos="5400"/>
          <w:tab w:val="right" w:pos="10440"/>
        </w:tabs>
        <w:jc w:val="center"/>
        <w:rPr>
          <w:rFonts w:ascii="Arial" w:hAnsi="Arial"/>
          <w:sz w:val="36"/>
          <w:szCs w:val="36"/>
        </w:rPr>
      </w:pPr>
      <w:r w:rsidRPr="00293EE1">
        <w:rPr>
          <w:rFonts w:ascii="Arial" w:hAnsi="Arial"/>
          <w:i/>
          <w:sz w:val="36"/>
          <w:szCs w:val="36"/>
        </w:rPr>
        <w:t xml:space="preserve">- </w:t>
      </w:r>
      <w:r w:rsidRPr="00293EE1">
        <w:rPr>
          <w:rFonts w:ascii="Arial" w:hAnsi="Arial"/>
          <w:b/>
          <w:i/>
          <w:sz w:val="36"/>
          <w:szCs w:val="36"/>
        </w:rPr>
        <w:t>2016</w:t>
      </w:r>
      <w:r w:rsidRPr="00293EE1">
        <w:rPr>
          <w:rFonts w:ascii="Arial" w:hAnsi="Arial"/>
          <w:i/>
          <w:sz w:val="36"/>
          <w:szCs w:val="36"/>
        </w:rPr>
        <w:t xml:space="preserve"> </w:t>
      </w:r>
      <w:r w:rsidR="00C01FCB" w:rsidRPr="00293EE1">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293EE1"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DECEMBER - DÉCEMBRE</w:t>
            </w:r>
          </w:p>
        </w:tc>
      </w:tr>
      <w:tr w:rsidR="0013595D" w:rsidRPr="00293EE1"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4"/>
                <w:szCs w:val="14"/>
                <w:lang w:val="fr-FR"/>
              </w:rPr>
            </w:pPr>
            <w:r w:rsidRPr="00293EE1">
              <w:rPr>
                <w:rFonts w:ascii="Arial" w:hAnsi="Arial" w:cs="Arial"/>
                <w:b/>
                <w:sz w:val="14"/>
                <w:szCs w:val="14"/>
                <w:lang w:val="fr-FR"/>
              </w:rPr>
              <w:t>S</w:t>
            </w:r>
          </w:p>
          <w:p w:rsidR="0013595D" w:rsidRPr="00293EE1" w:rsidRDefault="0013595D" w:rsidP="00E942C2">
            <w:pPr>
              <w:tabs>
                <w:tab w:val="center" w:pos="5220"/>
                <w:tab w:val="right" w:pos="10440"/>
              </w:tabs>
              <w:jc w:val="center"/>
              <w:rPr>
                <w:rFonts w:ascii="Arial" w:hAnsi="Arial" w:cs="Arial"/>
                <w:b/>
                <w:sz w:val="14"/>
                <w:szCs w:val="14"/>
                <w:lang w:val="fr-FR"/>
              </w:rPr>
            </w:pPr>
            <w:r w:rsidRPr="00293EE1">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M</w:t>
            </w:r>
          </w:p>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T</w:t>
            </w:r>
          </w:p>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W</w:t>
            </w:r>
          </w:p>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T</w:t>
            </w:r>
          </w:p>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F</w:t>
            </w:r>
          </w:p>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S</w:t>
            </w:r>
          </w:p>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S</w:t>
            </w:r>
          </w:p>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M</w:t>
            </w:r>
          </w:p>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T</w:t>
            </w:r>
          </w:p>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W</w:t>
            </w:r>
          </w:p>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T</w:t>
            </w:r>
          </w:p>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F</w:t>
            </w:r>
          </w:p>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S</w:t>
            </w:r>
          </w:p>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S</w:t>
            </w:r>
          </w:p>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M</w:t>
            </w:r>
          </w:p>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lang w:val="fr-FR"/>
              </w:rPr>
            </w:pPr>
            <w:r w:rsidRPr="00293EE1">
              <w:rPr>
                <w:rFonts w:ascii="Arial" w:hAnsi="Arial" w:cs="Arial"/>
                <w:b/>
                <w:sz w:val="13"/>
                <w:szCs w:val="13"/>
                <w:lang w:val="fr-FR"/>
              </w:rPr>
              <w:t>T</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W</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T</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F</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tc>
      </w:tr>
      <w:tr w:rsidR="0013595D" w:rsidRPr="00293EE1"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w:t>
            </w:r>
          </w:p>
        </w:tc>
      </w:tr>
      <w:tr w:rsidR="0013595D" w:rsidRPr="00293EE1"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293EE1" w:rsidRDefault="0013595D" w:rsidP="00E942C2">
            <w:pPr>
              <w:jc w:val="center"/>
              <w:rPr>
                <w:rFonts w:ascii="Arial" w:hAnsi="Arial" w:cs="Arial"/>
                <w:b/>
                <w:sz w:val="12"/>
                <w:szCs w:val="12"/>
              </w:rPr>
            </w:pPr>
          </w:p>
          <w:p w:rsidR="0013595D" w:rsidRPr="00293EE1" w:rsidRDefault="0013595D" w:rsidP="00E942C2">
            <w:pPr>
              <w:jc w:val="center"/>
              <w:rPr>
                <w:rFonts w:ascii="Arial" w:hAnsi="Arial" w:cs="Arial"/>
                <w:sz w:val="13"/>
                <w:szCs w:val="13"/>
              </w:rPr>
            </w:pPr>
            <w:r w:rsidRPr="00293EE1">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293EE1" w:rsidRDefault="0013595D" w:rsidP="00E942C2">
            <w:pPr>
              <w:jc w:val="center"/>
              <w:rPr>
                <w:rFonts w:ascii="Arial" w:hAnsi="Arial" w:cs="Arial"/>
                <w:b/>
                <w:sz w:val="13"/>
                <w:szCs w:val="13"/>
              </w:rPr>
            </w:pPr>
            <w:r w:rsidRPr="00293EE1">
              <w:rPr>
                <w:rFonts w:ascii="Arial" w:hAnsi="Arial" w:cs="Arial"/>
                <w:b/>
                <w:sz w:val="13"/>
                <w:szCs w:val="13"/>
              </w:rPr>
              <w:t xml:space="preserve">H </w:t>
            </w:r>
          </w:p>
          <w:p w:rsidR="0013595D" w:rsidRPr="00293EE1" w:rsidRDefault="0013595D" w:rsidP="00E942C2">
            <w:pPr>
              <w:jc w:val="center"/>
              <w:rPr>
                <w:rFonts w:ascii="Arial" w:hAnsi="Arial" w:cs="Arial"/>
                <w:sz w:val="13"/>
                <w:szCs w:val="13"/>
              </w:rPr>
            </w:pPr>
            <w:r w:rsidRPr="00293EE1">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10</w:t>
            </w:r>
          </w:p>
        </w:tc>
      </w:tr>
      <w:tr w:rsidR="0013595D" w:rsidRPr="00293EE1"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b/>
                <w:sz w:val="13"/>
                <w:szCs w:val="13"/>
              </w:rPr>
              <w:t xml:space="preserve">H </w:t>
            </w:r>
          </w:p>
          <w:p w:rsidR="0013595D" w:rsidRPr="00293EE1" w:rsidRDefault="0013595D" w:rsidP="00E942C2">
            <w:pPr>
              <w:jc w:val="center"/>
              <w:rPr>
                <w:rFonts w:ascii="Arial" w:hAnsi="Arial" w:cs="Arial"/>
                <w:sz w:val="13"/>
                <w:szCs w:val="13"/>
              </w:rPr>
            </w:pPr>
            <w:r w:rsidRPr="00293EE1">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11</w:t>
            </w:r>
          </w:p>
        </w:tc>
        <w:tc>
          <w:tcPr>
            <w:tcW w:w="209" w:type="pct"/>
            <w:shd w:val="pct20"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12</w:t>
            </w:r>
          </w:p>
        </w:tc>
        <w:tc>
          <w:tcPr>
            <w:tcW w:w="251" w:type="pct"/>
            <w:shd w:val="pct20"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13</w:t>
            </w:r>
          </w:p>
        </w:tc>
        <w:tc>
          <w:tcPr>
            <w:tcW w:w="210" w:type="pct"/>
            <w:shd w:val="pct20"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16</w:t>
            </w:r>
          </w:p>
        </w:tc>
        <w:tc>
          <w:tcPr>
            <w:tcW w:w="217" w:type="pct"/>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11</w:t>
            </w:r>
          </w:p>
        </w:tc>
        <w:tc>
          <w:tcPr>
            <w:tcW w:w="218" w:type="pct"/>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12</w:t>
            </w:r>
          </w:p>
        </w:tc>
        <w:tc>
          <w:tcPr>
            <w:tcW w:w="218" w:type="pct"/>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17</w:t>
            </w:r>
          </w:p>
        </w:tc>
      </w:tr>
      <w:tr w:rsidR="0013595D" w:rsidRPr="00293EE1"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17</w:t>
            </w:r>
          </w:p>
        </w:tc>
        <w:tc>
          <w:tcPr>
            <w:tcW w:w="267" w:type="pct"/>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18</w:t>
            </w:r>
          </w:p>
        </w:tc>
        <w:tc>
          <w:tcPr>
            <w:tcW w:w="209" w:type="pct"/>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20</w:t>
            </w:r>
          </w:p>
        </w:tc>
        <w:tc>
          <w:tcPr>
            <w:tcW w:w="210" w:type="pct"/>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24</w:t>
            </w:r>
          </w:p>
        </w:tc>
      </w:tr>
      <w:tr w:rsidR="0013595D" w:rsidRPr="00293EE1"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293EE1" w:rsidRDefault="0013595D" w:rsidP="00E942C2">
            <w:pPr>
              <w:rPr>
                <w:rFonts w:ascii="Arial" w:hAnsi="Arial" w:cs="Arial"/>
                <w:sz w:val="13"/>
                <w:szCs w:val="13"/>
              </w:rPr>
            </w:pPr>
            <w:r w:rsidRPr="00293EE1">
              <w:rPr>
                <w:rFonts w:ascii="Arial" w:hAnsi="Arial" w:cs="Arial"/>
                <w:sz w:val="13"/>
                <w:szCs w:val="13"/>
              </w:rPr>
              <w:t>23</w:t>
            </w:r>
          </w:p>
          <w:p w:rsidR="0013595D" w:rsidRPr="00293EE1" w:rsidRDefault="0013595D" w:rsidP="00E942C2">
            <w:pPr>
              <w:jc w:val="center"/>
              <w:rPr>
                <w:rFonts w:ascii="Arial" w:hAnsi="Arial" w:cs="Arial"/>
                <w:sz w:val="13"/>
                <w:szCs w:val="13"/>
              </w:rPr>
            </w:pPr>
            <w:r w:rsidRPr="00293EE1">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293EE1" w:rsidRDefault="0013595D" w:rsidP="00E942C2">
            <w:pPr>
              <w:rPr>
                <w:rFonts w:ascii="Arial" w:hAnsi="Arial" w:cs="Arial"/>
                <w:sz w:val="13"/>
                <w:szCs w:val="13"/>
              </w:rPr>
            </w:pPr>
            <w:r w:rsidRPr="00293EE1">
              <w:rPr>
                <w:rFonts w:ascii="Arial" w:hAnsi="Arial" w:cs="Arial"/>
                <w:sz w:val="13"/>
                <w:szCs w:val="13"/>
              </w:rPr>
              <w:t>24</w:t>
            </w:r>
          </w:p>
          <w:p w:rsidR="0013595D" w:rsidRPr="00293EE1" w:rsidRDefault="0013595D" w:rsidP="00E942C2">
            <w:pPr>
              <w:rPr>
                <w:rFonts w:ascii="Arial" w:hAnsi="Arial" w:cs="Arial"/>
                <w:sz w:val="13"/>
                <w:szCs w:val="13"/>
              </w:rPr>
            </w:pPr>
            <w:r w:rsidRPr="00293EE1">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b/>
                <w:sz w:val="13"/>
                <w:szCs w:val="13"/>
              </w:rPr>
            </w:pPr>
          </w:p>
          <w:p w:rsidR="0013595D" w:rsidRPr="00293EE1" w:rsidRDefault="0013595D" w:rsidP="00E942C2">
            <w:pPr>
              <w:jc w:val="center"/>
              <w:rPr>
                <w:rFonts w:ascii="Arial" w:hAnsi="Arial" w:cs="Arial"/>
                <w:sz w:val="13"/>
                <w:szCs w:val="13"/>
              </w:rPr>
            </w:pPr>
            <w:r w:rsidRPr="00293EE1">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b/>
                <w:sz w:val="13"/>
                <w:szCs w:val="13"/>
              </w:rPr>
            </w:pPr>
            <w:r w:rsidRPr="00293EE1">
              <w:rPr>
                <w:rFonts w:ascii="Arial" w:hAnsi="Arial" w:cs="Arial"/>
                <w:b/>
                <w:sz w:val="13"/>
                <w:szCs w:val="13"/>
              </w:rPr>
              <w:t>H</w:t>
            </w:r>
          </w:p>
          <w:p w:rsidR="0013595D" w:rsidRPr="00293EE1" w:rsidRDefault="0013595D" w:rsidP="00E942C2">
            <w:pPr>
              <w:jc w:val="center"/>
              <w:rPr>
                <w:rFonts w:ascii="Arial" w:hAnsi="Arial" w:cs="Arial"/>
                <w:sz w:val="13"/>
                <w:szCs w:val="13"/>
              </w:rPr>
            </w:pPr>
            <w:r w:rsidRPr="00293EE1">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b/>
                <w:sz w:val="13"/>
                <w:szCs w:val="13"/>
              </w:rPr>
            </w:pPr>
            <w:r w:rsidRPr="00293EE1">
              <w:rPr>
                <w:rFonts w:ascii="Arial" w:hAnsi="Arial" w:cs="Arial"/>
                <w:b/>
                <w:sz w:val="13"/>
                <w:szCs w:val="13"/>
              </w:rPr>
              <w:t>H</w:t>
            </w:r>
          </w:p>
          <w:p w:rsidR="0013595D" w:rsidRPr="00293EE1" w:rsidRDefault="0013595D" w:rsidP="00E942C2">
            <w:pPr>
              <w:jc w:val="center"/>
              <w:rPr>
                <w:rFonts w:ascii="Arial" w:hAnsi="Arial" w:cs="Arial"/>
                <w:sz w:val="13"/>
                <w:szCs w:val="13"/>
              </w:rPr>
            </w:pPr>
            <w:r w:rsidRPr="00293EE1">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31</w:t>
            </w:r>
          </w:p>
        </w:tc>
      </w:tr>
    </w:tbl>
    <w:p w:rsidR="0013595D" w:rsidRPr="00293EE1" w:rsidRDefault="0013595D" w:rsidP="0013595D">
      <w:pPr>
        <w:tabs>
          <w:tab w:val="center" w:pos="5220"/>
          <w:tab w:val="right" w:pos="10440"/>
        </w:tabs>
        <w:jc w:val="center"/>
        <w:rPr>
          <w:rFonts w:ascii="Arial" w:hAnsi="Arial" w:cs="Arial"/>
          <w:sz w:val="36"/>
          <w:szCs w:val="36"/>
        </w:rPr>
      </w:pPr>
      <w:r w:rsidRPr="00293EE1">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293EE1"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MARCH - MARS</w:t>
            </w:r>
          </w:p>
        </w:tc>
      </w:tr>
      <w:tr w:rsidR="0013595D" w:rsidRPr="00293EE1"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L</w:t>
            </w:r>
          </w:p>
        </w:tc>
        <w:tc>
          <w:tcPr>
            <w:tcW w:w="217"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T</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W</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T</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F</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D</w:t>
            </w:r>
          </w:p>
        </w:tc>
        <w:tc>
          <w:tcPr>
            <w:tcW w:w="208"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L</w:t>
            </w:r>
          </w:p>
        </w:tc>
        <w:tc>
          <w:tcPr>
            <w:tcW w:w="249"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T</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tc>
        <w:tc>
          <w:tcPr>
            <w:tcW w:w="250"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W</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tc>
        <w:tc>
          <w:tcPr>
            <w:tcW w:w="216"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T</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J</w:t>
            </w:r>
          </w:p>
        </w:tc>
        <w:tc>
          <w:tcPr>
            <w:tcW w:w="217"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F</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D</w:t>
            </w:r>
          </w:p>
        </w:tc>
        <w:tc>
          <w:tcPr>
            <w:tcW w:w="223"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L</w:t>
            </w:r>
          </w:p>
        </w:tc>
        <w:tc>
          <w:tcPr>
            <w:tcW w:w="208"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T</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tc>
        <w:tc>
          <w:tcPr>
            <w:tcW w:w="208"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W</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tc>
        <w:tc>
          <w:tcPr>
            <w:tcW w:w="208"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T</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J</w:t>
            </w:r>
          </w:p>
        </w:tc>
        <w:tc>
          <w:tcPr>
            <w:tcW w:w="208"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F</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tc>
      </w:tr>
      <w:tr w:rsidR="0013595D" w:rsidRPr="00293EE1"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293EE1" w:rsidRDefault="0013595D" w:rsidP="00E942C2">
            <w:pPr>
              <w:jc w:val="center"/>
              <w:rPr>
                <w:rFonts w:ascii="Arial" w:hAnsi="Arial" w:cs="Arial"/>
                <w:b/>
                <w:sz w:val="13"/>
                <w:szCs w:val="13"/>
              </w:rPr>
            </w:pPr>
          </w:p>
          <w:p w:rsidR="0013595D" w:rsidRPr="00293EE1" w:rsidRDefault="0013595D" w:rsidP="00E942C2">
            <w:pPr>
              <w:jc w:val="center"/>
              <w:rPr>
                <w:rFonts w:ascii="Arial" w:hAnsi="Arial" w:cs="Arial"/>
                <w:sz w:val="13"/>
                <w:szCs w:val="13"/>
              </w:rPr>
            </w:pPr>
            <w:r w:rsidRPr="00293EE1">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293EE1" w:rsidRDefault="0013595D" w:rsidP="00E942C2">
            <w:pPr>
              <w:jc w:val="center"/>
              <w:rPr>
                <w:rFonts w:ascii="Arial" w:hAnsi="Arial" w:cs="Arial"/>
                <w:b/>
                <w:sz w:val="13"/>
                <w:szCs w:val="13"/>
              </w:rPr>
            </w:pPr>
            <w:r w:rsidRPr="00293EE1">
              <w:rPr>
                <w:rFonts w:ascii="Arial" w:hAnsi="Arial" w:cs="Arial"/>
                <w:b/>
                <w:sz w:val="13"/>
                <w:szCs w:val="13"/>
              </w:rPr>
              <w:t>H</w:t>
            </w:r>
          </w:p>
          <w:p w:rsidR="0013595D" w:rsidRPr="00293EE1" w:rsidRDefault="0013595D" w:rsidP="00E942C2">
            <w:pPr>
              <w:jc w:val="center"/>
              <w:rPr>
                <w:rFonts w:ascii="Arial" w:hAnsi="Arial" w:cs="Arial"/>
                <w:sz w:val="13"/>
                <w:szCs w:val="13"/>
              </w:rPr>
            </w:pPr>
            <w:r w:rsidRPr="00293EE1">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293EE1"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293EE1"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w:t>
            </w:r>
          </w:p>
        </w:tc>
        <w:tc>
          <w:tcPr>
            <w:tcW w:w="225" w:type="pct"/>
            <w:tcBorders>
              <w:righ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p>
        </w:tc>
        <w:tc>
          <w:tcPr>
            <w:tcW w:w="223" w:type="pct"/>
            <w:tcMar>
              <w:bottom w:w="43" w:type="dxa"/>
            </w:tcMar>
            <w:vAlign w:val="bottom"/>
          </w:tcPr>
          <w:p w:rsidR="0013595D" w:rsidRPr="00293EE1" w:rsidRDefault="0013595D" w:rsidP="00E942C2">
            <w:pPr>
              <w:jc w:val="center"/>
              <w:rPr>
                <w:rFonts w:ascii="Arial" w:hAnsi="Arial" w:cs="Arial"/>
                <w:sz w:val="13"/>
                <w:szCs w:val="13"/>
              </w:rPr>
            </w:pPr>
          </w:p>
        </w:tc>
        <w:tc>
          <w:tcPr>
            <w:tcW w:w="208" w:type="pct"/>
            <w:tcMar>
              <w:bottom w:w="43" w:type="dxa"/>
            </w:tcMar>
            <w:vAlign w:val="bottom"/>
          </w:tcPr>
          <w:p w:rsidR="0013595D" w:rsidRPr="00293EE1" w:rsidRDefault="0013595D" w:rsidP="00E942C2">
            <w:pPr>
              <w:jc w:val="center"/>
              <w:rPr>
                <w:rFonts w:ascii="Arial" w:hAnsi="Arial" w:cs="Arial"/>
                <w:sz w:val="13"/>
                <w:szCs w:val="13"/>
              </w:rPr>
            </w:pPr>
          </w:p>
        </w:tc>
        <w:tc>
          <w:tcPr>
            <w:tcW w:w="208" w:type="pct"/>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w:t>
            </w:r>
          </w:p>
        </w:tc>
        <w:tc>
          <w:tcPr>
            <w:tcW w:w="208" w:type="pct"/>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w:t>
            </w:r>
          </w:p>
        </w:tc>
        <w:tc>
          <w:tcPr>
            <w:tcW w:w="208" w:type="pct"/>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w:t>
            </w:r>
          </w:p>
        </w:tc>
        <w:tc>
          <w:tcPr>
            <w:tcW w:w="218" w:type="pct"/>
            <w:tcBorders>
              <w:righ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4</w:t>
            </w:r>
          </w:p>
        </w:tc>
      </w:tr>
      <w:tr w:rsidR="0013595D" w:rsidRPr="00293EE1"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13</w:t>
            </w:r>
          </w:p>
        </w:tc>
        <w:tc>
          <w:tcPr>
            <w:tcW w:w="247" w:type="pct"/>
            <w:tcBorders>
              <w:righ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10</w:t>
            </w:r>
          </w:p>
        </w:tc>
        <w:tc>
          <w:tcPr>
            <w:tcW w:w="225" w:type="pct"/>
            <w:tcBorders>
              <w:righ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5</w:t>
            </w:r>
          </w:p>
        </w:tc>
        <w:tc>
          <w:tcPr>
            <w:tcW w:w="223" w:type="pct"/>
            <w:tcBorders>
              <w:bottom w:val="single" w:sz="4"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10</w:t>
            </w:r>
          </w:p>
        </w:tc>
        <w:tc>
          <w:tcPr>
            <w:tcW w:w="218" w:type="pct"/>
            <w:tcBorders>
              <w:righ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11</w:t>
            </w:r>
          </w:p>
        </w:tc>
      </w:tr>
      <w:tr w:rsidR="0013595D" w:rsidRPr="00293EE1"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17</w:t>
            </w:r>
          </w:p>
        </w:tc>
        <w:tc>
          <w:tcPr>
            <w:tcW w:w="225" w:type="pct"/>
            <w:tcBorders>
              <w:righ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17</w:t>
            </w:r>
          </w:p>
        </w:tc>
        <w:tc>
          <w:tcPr>
            <w:tcW w:w="218" w:type="pct"/>
            <w:tcBorders>
              <w:righ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18</w:t>
            </w:r>
          </w:p>
        </w:tc>
      </w:tr>
      <w:tr w:rsidR="0013595D" w:rsidRPr="00293EE1" w:rsidTr="00E942C2">
        <w:trPr>
          <w:trHeight w:val="288"/>
        </w:trPr>
        <w:tc>
          <w:tcPr>
            <w:tcW w:w="217" w:type="pct"/>
            <w:tcBorders>
              <w:lef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20</w:t>
            </w:r>
          </w:p>
        </w:tc>
        <w:tc>
          <w:tcPr>
            <w:tcW w:w="249" w:type="pct"/>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21</w:t>
            </w:r>
          </w:p>
        </w:tc>
        <w:tc>
          <w:tcPr>
            <w:tcW w:w="250" w:type="pct"/>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22</w:t>
            </w:r>
          </w:p>
        </w:tc>
        <w:tc>
          <w:tcPr>
            <w:tcW w:w="216" w:type="pct"/>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23</w:t>
            </w:r>
          </w:p>
        </w:tc>
        <w:tc>
          <w:tcPr>
            <w:tcW w:w="217" w:type="pct"/>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24</w:t>
            </w:r>
          </w:p>
        </w:tc>
        <w:tc>
          <w:tcPr>
            <w:tcW w:w="225" w:type="pct"/>
            <w:tcBorders>
              <w:righ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25</w:t>
            </w:r>
          </w:p>
        </w:tc>
      </w:tr>
      <w:tr w:rsidR="0013595D" w:rsidRPr="00293EE1" w:rsidTr="00E942C2">
        <w:trPr>
          <w:trHeight w:val="288"/>
        </w:trPr>
        <w:tc>
          <w:tcPr>
            <w:tcW w:w="217" w:type="pct"/>
            <w:tcBorders>
              <w:left w:val="double" w:sz="6" w:space="0" w:color="auto"/>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29</w:t>
            </w:r>
          </w:p>
        </w:tc>
        <w:tc>
          <w:tcPr>
            <w:tcW w:w="217" w:type="pct"/>
            <w:tcBorders>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30</w:t>
            </w:r>
          </w:p>
        </w:tc>
        <w:tc>
          <w:tcPr>
            <w:tcW w:w="217" w:type="pct"/>
            <w:tcBorders>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31</w:t>
            </w:r>
          </w:p>
        </w:tc>
        <w:tc>
          <w:tcPr>
            <w:tcW w:w="233" w:type="pct"/>
            <w:tcBorders>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26</w:t>
            </w:r>
          </w:p>
        </w:tc>
        <w:tc>
          <w:tcPr>
            <w:tcW w:w="208" w:type="pct"/>
            <w:tcBorders>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27</w:t>
            </w:r>
          </w:p>
        </w:tc>
        <w:tc>
          <w:tcPr>
            <w:tcW w:w="249" w:type="pct"/>
            <w:tcBorders>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28</w:t>
            </w:r>
          </w:p>
        </w:tc>
        <w:tc>
          <w:tcPr>
            <w:tcW w:w="250" w:type="pct"/>
            <w:tcBorders>
              <w:bottom w:val="double" w:sz="6" w:space="0" w:color="auto"/>
            </w:tcBorders>
            <w:tcMar>
              <w:bottom w:w="43" w:type="dxa"/>
            </w:tcMar>
            <w:vAlign w:val="bottom"/>
          </w:tcPr>
          <w:p w:rsidR="0013595D" w:rsidRPr="00293EE1"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p>
        </w:tc>
      </w:tr>
      <w:tr w:rsidR="0013595D" w:rsidRPr="00293EE1"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JUNE – JUIN</w:t>
            </w:r>
          </w:p>
        </w:tc>
      </w:tr>
      <w:tr w:rsidR="0013595D" w:rsidRPr="00293EE1" w:rsidTr="00E942C2">
        <w:trPr>
          <w:trHeight w:val="270"/>
        </w:trPr>
        <w:tc>
          <w:tcPr>
            <w:tcW w:w="217" w:type="pct"/>
            <w:tcBorders>
              <w:top w:val="double" w:sz="6" w:space="0" w:color="auto"/>
              <w:left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D</w:t>
            </w:r>
          </w:p>
        </w:tc>
        <w:tc>
          <w:tcPr>
            <w:tcW w:w="217"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L</w:t>
            </w:r>
          </w:p>
        </w:tc>
        <w:tc>
          <w:tcPr>
            <w:tcW w:w="217"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T</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tc>
        <w:tc>
          <w:tcPr>
            <w:tcW w:w="233"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W</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tc>
        <w:tc>
          <w:tcPr>
            <w:tcW w:w="221"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T</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F</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D</w:t>
            </w:r>
          </w:p>
        </w:tc>
        <w:tc>
          <w:tcPr>
            <w:tcW w:w="208"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L</w:t>
            </w:r>
          </w:p>
        </w:tc>
        <w:tc>
          <w:tcPr>
            <w:tcW w:w="249"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T</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tc>
        <w:tc>
          <w:tcPr>
            <w:tcW w:w="250"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W</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tc>
        <w:tc>
          <w:tcPr>
            <w:tcW w:w="216"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T</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J</w:t>
            </w:r>
          </w:p>
        </w:tc>
        <w:tc>
          <w:tcPr>
            <w:tcW w:w="217" w:type="pct"/>
            <w:tcBorders>
              <w:top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F</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T</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W</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T</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F</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p w:rsidR="0013595D" w:rsidRPr="00293EE1" w:rsidRDefault="0013595D" w:rsidP="00E942C2">
            <w:pPr>
              <w:tabs>
                <w:tab w:val="center" w:pos="5220"/>
                <w:tab w:val="right" w:pos="10440"/>
              </w:tabs>
              <w:jc w:val="center"/>
              <w:rPr>
                <w:rFonts w:ascii="Arial" w:hAnsi="Arial" w:cs="Arial"/>
                <w:b/>
                <w:sz w:val="13"/>
                <w:szCs w:val="13"/>
              </w:rPr>
            </w:pPr>
            <w:r w:rsidRPr="00293EE1">
              <w:rPr>
                <w:rFonts w:ascii="Arial" w:hAnsi="Arial" w:cs="Arial"/>
                <w:b/>
                <w:sz w:val="13"/>
                <w:szCs w:val="13"/>
              </w:rPr>
              <w:t>S</w:t>
            </w:r>
          </w:p>
        </w:tc>
      </w:tr>
      <w:tr w:rsidR="0013595D" w:rsidRPr="00293EE1" w:rsidTr="00E942C2">
        <w:trPr>
          <w:trHeight w:val="288"/>
        </w:trPr>
        <w:tc>
          <w:tcPr>
            <w:tcW w:w="217" w:type="pct"/>
            <w:tcBorders>
              <w:lef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w:t>
            </w:r>
          </w:p>
        </w:tc>
      </w:tr>
      <w:tr w:rsidR="0013595D" w:rsidRPr="00293EE1"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10</w:t>
            </w:r>
          </w:p>
        </w:tc>
      </w:tr>
      <w:tr w:rsidR="0013595D" w:rsidRPr="00293EE1"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b/>
                <w:sz w:val="13"/>
                <w:szCs w:val="13"/>
              </w:rPr>
            </w:pPr>
            <w:r w:rsidRPr="00293EE1">
              <w:rPr>
                <w:rFonts w:ascii="Arial" w:hAnsi="Arial" w:cs="Arial"/>
                <w:b/>
                <w:sz w:val="13"/>
                <w:szCs w:val="13"/>
              </w:rPr>
              <w:t>H</w:t>
            </w:r>
          </w:p>
          <w:p w:rsidR="0013595D" w:rsidRPr="00293EE1" w:rsidRDefault="0013595D" w:rsidP="00E942C2">
            <w:pPr>
              <w:jc w:val="center"/>
              <w:rPr>
                <w:rFonts w:ascii="Arial" w:hAnsi="Arial" w:cs="Arial"/>
                <w:sz w:val="13"/>
                <w:szCs w:val="13"/>
              </w:rPr>
            </w:pPr>
            <w:r w:rsidRPr="00293EE1">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17</w:t>
            </w:r>
          </w:p>
        </w:tc>
      </w:tr>
      <w:tr w:rsidR="0013595D" w:rsidRPr="00293EE1"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b/>
                <w:sz w:val="13"/>
                <w:szCs w:val="13"/>
              </w:rPr>
            </w:pPr>
          </w:p>
          <w:p w:rsidR="0013595D" w:rsidRPr="00293EE1" w:rsidRDefault="0013595D" w:rsidP="00E942C2">
            <w:pPr>
              <w:jc w:val="center"/>
              <w:rPr>
                <w:rFonts w:ascii="Arial" w:hAnsi="Arial" w:cs="Arial"/>
                <w:sz w:val="13"/>
                <w:szCs w:val="13"/>
              </w:rPr>
            </w:pPr>
            <w:r w:rsidRPr="00293EE1">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b/>
                <w:sz w:val="13"/>
                <w:szCs w:val="13"/>
              </w:rPr>
            </w:pPr>
            <w:r w:rsidRPr="00293EE1">
              <w:rPr>
                <w:rFonts w:ascii="Arial" w:hAnsi="Arial" w:cs="Arial"/>
                <w:b/>
                <w:sz w:val="13"/>
                <w:szCs w:val="13"/>
              </w:rPr>
              <w:t>H</w:t>
            </w:r>
          </w:p>
          <w:p w:rsidR="0013595D" w:rsidRPr="00293EE1" w:rsidRDefault="0013595D" w:rsidP="00E942C2">
            <w:pPr>
              <w:jc w:val="center"/>
              <w:rPr>
                <w:rFonts w:ascii="Arial" w:hAnsi="Arial" w:cs="Arial"/>
                <w:sz w:val="13"/>
                <w:szCs w:val="13"/>
              </w:rPr>
            </w:pPr>
            <w:r w:rsidRPr="00293EE1">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293EE1" w:rsidRDefault="0013595D" w:rsidP="00E942C2">
            <w:pPr>
              <w:jc w:val="center"/>
              <w:rPr>
                <w:rFonts w:ascii="Arial" w:hAnsi="Arial" w:cs="Arial"/>
                <w:b/>
                <w:sz w:val="13"/>
                <w:szCs w:val="13"/>
              </w:rPr>
            </w:pPr>
            <w:r w:rsidRPr="00293EE1">
              <w:rPr>
                <w:rFonts w:ascii="Arial" w:hAnsi="Arial" w:cs="Arial"/>
                <w:b/>
                <w:sz w:val="13"/>
                <w:szCs w:val="13"/>
              </w:rPr>
              <w:t>H</w:t>
            </w:r>
          </w:p>
          <w:p w:rsidR="0013595D" w:rsidRPr="00293EE1" w:rsidRDefault="0013595D" w:rsidP="00E942C2">
            <w:pPr>
              <w:jc w:val="center"/>
              <w:rPr>
                <w:rFonts w:ascii="Arial" w:hAnsi="Arial" w:cs="Arial"/>
                <w:sz w:val="13"/>
                <w:szCs w:val="13"/>
              </w:rPr>
            </w:pPr>
            <w:r w:rsidRPr="00293EE1">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23</w:t>
            </w:r>
          </w:p>
        </w:tc>
        <w:tc>
          <w:tcPr>
            <w:tcW w:w="250" w:type="pct"/>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24</w:t>
            </w:r>
          </w:p>
        </w:tc>
        <w:tc>
          <w:tcPr>
            <w:tcW w:w="216" w:type="pct"/>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25</w:t>
            </w:r>
          </w:p>
        </w:tc>
        <w:tc>
          <w:tcPr>
            <w:tcW w:w="217" w:type="pct"/>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19</w:t>
            </w:r>
          </w:p>
        </w:tc>
        <w:tc>
          <w:tcPr>
            <w:tcW w:w="208" w:type="pct"/>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20</w:t>
            </w:r>
          </w:p>
        </w:tc>
        <w:tc>
          <w:tcPr>
            <w:tcW w:w="208" w:type="pct"/>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21</w:t>
            </w:r>
          </w:p>
        </w:tc>
        <w:tc>
          <w:tcPr>
            <w:tcW w:w="208" w:type="pct"/>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22</w:t>
            </w:r>
          </w:p>
        </w:tc>
        <w:tc>
          <w:tcPr>
            <w:tcW w:w="208" w:type="pct"/>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24</w:t>
            </w:r>
          </w:p>
        </w:tc>
      </w:tr>
      <w:tr w:rsidR="0013595D" w:rsidRPr="00293EE1"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293EE1" w:rsidRDefault="0013595D" w:rsidP="00E942C2">
            <w:pPr>
              <w:rPr>
                <w:rFonts w:ascii="Arial" w:hAnsi="Arial" w:cs="Arial"/>
                <w:sz w:val="13"/>
                <w:szCs w:val="13"/>
              </w:rPr>
            </w:pPr>
            <w:r w:rsidRPr="00293EE1">
              <w:rPr>
                <w:rFonts w:ascii="Arial" w:hAnsi="Arial" w:cs="Arial"/>
                <w:sz w:val="13"/>
                <w:szCs w:val="13"/>
              </w:rPr>
              <w:t>23</w:t>
            </w:r>
          </w:p>
          <w:p w:rsidR="0013595D" w:rsidRPr="00293EE1" w:rsidRDefault="0013595D" w:rsidP="00E942C2">
            <w:pPr>
              <w:jc w:val="center"/>
              <w:rPr>
                <w:rFonts w:ascii="Arial" w:hAnsi="Arial" w:cs="Arial"/>
                <w:sz w:val="13"/>
                <w:szCs w:val="13"/>
              </w:rPr>
            </w:pPr>
            <w:r w:rsidRPr="00293EE1">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29</w:t>
            </w:r>
          </w:p>
        </w:tc>
        <w:tc>
          <w:tcPr>
            <w:tcW w:w="249" w:type="pct"/>
            <w:tcBorders>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30</w:t>
            </w:r>
          </w:p>
        </w:tc>
        <w:tc>
          <w:tcPr>
            <w:tcW w:w="250" w:type="pct"/>
            <w:tcBorders>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31</w:t>
            </w:r>
          </w:p>
        </w:tc>
        <w:tc>
          <w:tcPr>
            <w:tcW w:w="216" w:type="pct"/>
            <w:tcBorders>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293EE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25</w:t>
            </w:r>
          </w:p>
        </w:tc>
        <w:tc>
          <w:tcPr>
            <w:tcW w:w="223" w:type="pct"/>
            <w:tcBorders>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26</w:t>
            </w:r>
          </w:p>
        </w:tc>
        <w:tc>
          <w:tcPr>
            <w:tcW w:w="208" w:type="pct"/>
            <w:tcBorders>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27</w:t>
            </w:r>
          </w:p>
        </w:tc>
        <w:tc>
          <w:tcPr>
            <w:tcW w:w="208" w:type="pct"/>
            <w:tcBorders>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28</w:t>
            </w:r>
          </w:p>
        </w:tc>
        <w:tc>
          <w:tcPr>
            <w:tcW w:w="208" w:type="pct"/>
            <w:tcBorders>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29</w:t>
            </w:r>
          </w:p>
        </w:tc>
        <w:tc>
          <w:tcPr>
            <w:tcW w:w="208" w:type="pct"/>
            <w:tcBorders>
              <w:bottom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r w:rsidRPr="00293EE1">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293EE1" w:rsidRDefault="0013595D" w:rsidP="00E942C2">
            <w:pPr>
              <w:jc w:val="center"/>
              <w:rPr>
                <w:rFonts w:ascii="Arial" w:hAnsi="Arial" w:cs="Arial"/>
                <w:sz w:val="13"/>
                <w:szCs w:val="13"/>
              </w:rPr>
            </w:pPr>
          </w:p>
        </w:tc>
      </w:tr>
    </w:tbl>
    <w:p w:rsidR="0013595D" w:rsidRPr="00293EE1" w:rsidRDefault="0013595D" w:rsidP="0013595D">
      <w:pPr>
        <w:widowControl w:val="0"/>
        <w:tabs>
          <w:tab w:val="center" w:pos="5400"/>
          <w:tab w:val="right" w:pos="10440"/>
        </w:tabs>
        <w:rPr>
          <w:rFonts w:ascii="Arial" w:hAnsi="Arial"/>
          <w:sz w:val="18"/>
        </w:rPr>
      </w:pPr>
    </w:p>
    <w:p w:rsidR="0013595D" w:rsidRPr="00293EE1"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93EE1"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93EE1" w:rsidRDefault="0013595D" w:rsidP="00E942C2">
            <w:pPr>
              <w:widowControl w:val="0"/>
              <w:rPr>
                <w:rFonts w:ascii="Arial" w:hAnsi="Arial"/>
                <w:sz w:val="16"/>
              </w:rPr>
            </w:pPr>
            <w:r w:rsidRPr="00293EE1">
              <w:rPr>
                <w:rFonts w:ascii="Arial" w:hAnsi="Arial"/>
                <w:sz w:val="16"/>
              </w:rPr>
              <w:t>Sittings of the Court:</w:t>
            </w:r>
          </w:p>
          <w:p w:rsidR="0013595D" w:rsidRPr="00293EE1" w:rsidRDefault="0013595D" w:rsidP="00E942C2">
            <w:pPr>
              <w:widowControl w:val="0"/>
              <w:rPr>
                <w:rFonts w:ascii="Arial" w:hAnsi="Arial"/>
                <w:sz w:val="16"/>
              </w:rPr>
            </w:pPr>
            <w:r w:rsidRPr="00293EE1">
              <w:rPr>
                <w:rFonts w:ascii="Arial" w:hAnsi="Arial"/>
                <w:sz w:val="16"/>
              </w:rPr>
              <w:t xml:space="preserve">Séances de la </w:t>
            </w:r>
            <w:proofErr w:type="spellStart"/>
            <w:r w:rsidRPr="00293EE1">
              <w:rPr>
                <w:rFonts w:ascii="Arial" w:hAnsi="Arial"/>
                <w:sz w:val="16"/>
              </w:rPr>
              <w:t>Cour</w:t>
            </w:r>
            <w:proofErr w:type="spellEnd"/>
            <w:r w:rsidRPr="00293EE1">
              <w:rPr>
                <w:rFonts w:ascii="Arial" w:hAnsi="Arial"/>
                <w:sz w:val="16"/>
              </w:rPr>
              <w:t xml:space="preserve">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93EE1" w:rsidRDefault="0013595D" w:rsidP="00E942C2">
            <w:pPr>
              <w:widowControl w:val="0"/>
              <w:rPr>
                <w:rFonts w:ascii="Arial" w:hAnsi="Arial"/>
                <w:sz w:val="16"/>
              </w:rPr>
            </w:pPr>
          </w:p>
          <w:p w:rsidR="0013595D" w:rsidRPr="00293EE1"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293EE1"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93EE1">
              <w:rPr>
                <w:rFonts w:ascii="Arial" w:hAnsi="Arial"/>
                <w:b/>
                <w:sz w:val="16"/>
                <w:lang w:val="fr-CA"/>
              </w:rPr>
              <w:t xml:space="preserve">18  </w:t>
            </w:r>
            <w:proofErr w:type="spellStart"/>
            <w:r w:rsidRPr="00293EE1">
              <w:rPr>
                <w:rFonts w:ascii="Arial" w:hAnsi="Arial"/>
                <w:b/>
                <w:sz w:val="16"/>
                <w:lang w:val="fr-CA"/>
              </w:rPr>
              <w:t>sitting</w:t>
            </w:r>
            <w:proofErr w:type="spellEnd"/>
            <w:r w:rsidRPr="00293EE1">
              <w:rPr>
                <w:rFonts w:ascii="Arial" w:hAnsi="Arial"/>
                <w:b/>
                <w:sz w:val="16"/>
                <w:lang w:val="fr-CA"/>
              </w:rPr>
              <w:t xml:space="preserve"> </w:t>
            </w:r>
            <w:proofErr w:type="spellStart"/>
            <w:r w:rsidRPr="00293EE1">
              <w:rPr>
                <w:rFonts w:ascii="Arial" w:hAnsi="Arial"/>
                <w:b/>
                <w:sz w:val="16"/>
                <w:lang w:val="fr-CA"/>
              </w:rPr>
              <w:t>weeks</w:t>
            </w:r>
            <w:proofErr w:type="spellEnd"/>
            <w:r w:rsidRPr="00293EE1">
              <w:rPr>
                <w:rFonts w:ascii="Arial" w:hAnsi="Arial"/>
                <w:b/>
                <w:sz w:val="16"/>
                <w:lang w:val="fr-CA"/>
              </w:rPr>
              <w:t xml:space="preserve"> / semaines séances de la cour</w:t>
            </w:r>
          </w:p>
          <w:p w:rsidR="0013595D" w:rsidRPr="00293EE1"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93EE1">
              <w:rPr>
                <w:rFonts w:ascii="Arial" w:hAnsi="Arial"/>
                <w:b/>
                <w:sz w:val="16"/>
                <w:lang w:val="fr-CA"/>
              </w:rPr>
              <w:t xml:space="preserve">86  </w:t>
            </w:r>
            <w:proofErr w:type="spellStart"/>
            <w:r w:rsidRPr="00293EE1">
              <w:rPr>
                <w:rFonts w:ascii="Arial" w:hAnsi="Arial"/>
                <w:b/>
                <w:sz w:val="16"/>
                <w:lang w:val="fr-CA"/>
              </w:rPr>
              <w:t>sitting</w:t>
            </w:r>
            <w:proofErr w:type="spellEnd"/>
            <w:r w:rsidRPr="00293EE1">
              <w:rPr>
                <w:rFonts w:ascii="Arial" w:hAnsi="Arial"/>
                <w:b/>
                <w:sz w:val="16"/>
                <w:lang w:val="fr-CA"/>
              </w:rPr>
              <w:t xml:space="preserve"> </w:t>
            </w:r>
            <w:proofErr w:type="spellStart"/>
            <w:r w:rsidRPr="00293EE1">
              <w:rPr>
                <w:rFonts w:ascii="Arial" w:hAnsi="Arial"/>
                <w:b/>
                <w:sz w:val="16"/>
                <w:lang w:val="fr-CA"/>
              </w:rPr>
              <w:t>days</w:t>
            </w:r>
            <w:proofErr w:type="spellEnd"/>
            <w:r w:rsidRPr="00293EE1">
              <w:rPr>
                <w:rFonts w:ascii="Arial" w:hAnsi="Arial"/>
                <w:b/>
                <w:sz w:val="16"/>
                <w:lang w:val="fr-CA"/>
              </w:rPr>
              <w:t xml:space="preserve"> / journées séances de la cour</w:t>
            </w:r>
          </w:p>
          <w:p w:rsidR="0013595D" w:rsidRPr="00293EE1"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293EE1">
              <w:rPr>
                <w:rFonts w:ascii="Arial" w:hAnsi="Arial"/>
                <w:b/>
                <w:sz w:val="16"/>
                <w:lang w:val="fr-CA"/>
              </w:rPr>
              <w:t>4</w:t>
            </w:r>
            <w:r w:rsidRPr="00293EE1">
              <w:rPr>
                <w:rFonts w:ascii="Arial" w:hAnsi="Arial"/>
                <w:b/>
                <w:sz w:val="16"/>
              </w:rPr>
              <w:t xml:space="preserve">    holidays during sitting days / </w:t>
            </w:r>
            <w:proofErr w:type="spellStart"/>
            <w:r w:rsidRPr="00293EE1">
              <w:rPr>
                <w:rFonts w:ascii="Arial" w:hAnsi="Arial"/>
                <w:b/>
                <w:sz w:val="16"/>
              </w:rPr>
              <w:t>jours</w:t>
            </w:r>
            <w:proofErr w:type="spellEnd"/>
            <w:r w:rsidRPr="00293EE1">
              <w:rPr>
                <w:rFonts w:ascii="Arial" w:hAnsi="Arial"/>
                <w:b/>
                <w:sz w:val="16"/>
              </w:rPr>
              <w:t xml:space="preserve"> </w:t>
            </w:r>
            <w:proofErr w:type="spellStart"/>
            <w:r w:rsidRPr="00293EE1">
              <w:rPr>
                <w:rFonts w:ascii="Arial" w:hAnsi="Arial"/>
                <w:b/>
                <w:sz w:val="16"/>
              </w:rPr>
              <w:t>fériés</w:t>
            </w:r>
            <w:proofErr w:type="spellEnd"/>
            <w:r w:rsidRPr="00293EE1">
              <w:rPr>
                <w:rFonts w:ascii="Arial" w:hAnsi="Arial"/>
                <w:b/>
                <w:sz w:val="16"/>
              </w:rPr>
              <w:t xml:space="preserve"> </w:t>
            </w:r>
            <w:proofErr w:type="spellStart"/>
            <w:r w:rsidRPr="00293EE1">
              <w:rPr>
                <w:rFonts w:ascii="Arial" w:hAnsi="Arial"/>
                <w:b/>
                <w:sz w:val="16"/>
              </w:rPr>
              <w:t>durant</w:t>
            </w:r>
            <w:proofErr w:type="spellEnd"/>
            <w:r w:rsidRPr="00293EE1">
              <w:rPr>
                <w:rFonts w:ascii="Arial" w:hAnsi="Arial"/>
                <w:b/>
                <w:sz w:val="16"/>
              </w:rPr>
              <w:t xml:space="preserve"> les sessions</w:t>
            </w:r>
          </w:p>
          <w:p w:rsidR="0013595D" w:rsidRPr="00293EE1"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93EE1"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93EE1">
              <w:rPr>
                <w:rFonts w:ascii="Arial" w:hAnsi="Arial"/>
                <w:sz w:val="16"/>
              </w:rPr>
              <w:t>Holidays:</w:t>
            </w:r>
          </w:p>
          <w:p w:rsidR="0013595D" w:rsidRPr="00293EE1"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93EE1">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93EE1">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14"/>
      <w:footerReference w:type="default" r:id="rId11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3CB" w:rsidRDefault="00A263CB" w:rsidP="00A87207">
      <w:r>
        <w:separator/>
      </w:r>
    </w:p>
  </w:endnote>
  <w:endnote w:type="continuationSeparator" w:id="0">
    <w:p w:rsidR="00A263CB" w:rsidRDefault="00A263C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B2512D" w:rsidP="00A87207">
    <w:pPr>
      <w:pStyle w:val="Footer"/>
    </w:pPr>
    <w:r>
      <w:pict>
        <v:rect id="_x0000_i1038" style="width:480.95pt;height:1pt" o:hralign="center" o:hrstd="t" o:hrnoshade="t" o:hr="t" fillcolor="black [3213]" stroked="f"/>
      </w:pict>
    </w:r>
  </w:p>
  <w:p w:rsidR="00A263CB" w:rsidRPr="00B7374B" w:rsidRDefault="00A263C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2512D">
      <w:rPr>
        <w:noProof/>
        <w:szCs w:val="24"/>
      </w:rPr>
      <w:t>880</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B2512D" w:rsidP="00EB2B90">
    <w:pPr>
      <w:tabs>
        <w:tab w:val="center" w:pos="4680"/>
      </w:tabs>
    </w:pPr>
    <w:r>
      <w:pict>
        <v:rect id="_x0000_i1075" style="width:480.95pt;height:1pt" o:hralign="center" o:hrstd="t" o:hrnoshade="t" o:hr="t" fillcolor="black [3213]" stroked="f"/>
      </w:pict>
    </w:r>
  </w:p>
  <w:p w:rsidR="00A263CB" w:rsidRPr="0031432F" w:rsidRDefault="00A263CB" w:rsidP="00EB2B90">
    <w:pPr>
      <w:tabs>
        <w:tab w:val="center" w:pos="4680"/>
      </w:tabs>
    </w:pPr>
    <w:r>
      <w:tab/>
      <w:t xml:space="preserve">- </w:t>
    </w:r>
    <w:r>
      <w:fldChar w:fldCharType="begin"/>
    </w:r>
    <w:r>
      <w:instrText xml:space="preserve"> PAGE   \* MERGEFORMAT </w:instrText>
    </w:r>
    <w:r>
      <w:fldChar w:fldCharType="separate"/>
    </w:r>
    <w:r w:rsidR="00B2512D">
      <w:rPr>
        <w:noProof/>
      </w:rPr>
      <w:t>910</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263CB"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263CB" w:rsidRDefault="00A263CB">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B251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0" style="width:480.95pt;height:1pt" o:hralign="center" o:hrstd="t" o:hrnoshade="t" o:hr="t" fillcolor="black [3213]" stroked="f"/>
      </w:pict>
    </w:r>
  </w:p>
  <w:p w:rsidR="00A263CB" w:rsidRDefault="00A263C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B2512D">
    <w:pPr>
      <w:pStyle w:val="Footer"/>
      <w:rPr>
        <w:lang w:val="fr-CA"/>
      </w:rPr>
    </w:pPr>
    <w:r>
      <w:rPr>
        <w:lang w:val="fr-CA"/>
      </w:rPr>
      <w:pict>
        <v:rect id="_x0000_i1081" style="width:480.95pt;height:1pt" o:hralign="center" o:hrstd="t" o:hrnoshade="t" o:hr="t" fillcolor="black [3213]" stroked="f"/>
      </w:pict>
    </w:r>
  </w:p>
  <w:p w:rsidR="00A263CB" w:rsidRDefault="00A263CB" w:rsidP="00EB2B90">
    <w:pPr>
      <w:tabs>
        <w:tab w:val="center" w:pos="4680"/>
      </w:tabs>
    </w:pPr>
    <w:r>
      <w:tab/>
      <w:t xml:space="preserve">- </w:t>
    </w:r>
    <w:r>
      <w:fldChar w:fldCharType="begin"/>
    </w:r>
    <w:r>
      <w:instrText xml:space="preserve"> PAGE   \* MERGEFORMAT </w:instrText>
    </w:r>
    <w:r>
      <w:fldChar w:fldCharType="separate"/>
    </w:r>
    <w:r w:rsidR="00B2512D">
      <w:rPr>
        <w:noProof/>
      </w:rPr>
      <w:t>911</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A263C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263CB" w:rsidRDefault="00A263C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263CB" w:rsidRDefault="00A263CB">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B251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3" style="width:480.95pt;height:1pt" o:hralign="center" o:hrstd="t" o:hrnoshade="t" o:hr="t" fillcolor="black [3213]" stroked="f"/>
      </w:pict>
    </w:r>
  </w:p>
  <w:p w:rsidR="00A263CB" w:rsidRDefault="00A263CB"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B2512D" w:rsidP="00802863">
    <w:pPr>
      <w:widowControl w:val="0"/>
      <w:tabs>
        <w:tab w:val="left" w:pos="-1440"/>
        <w:tab w:val="left" w:pos="-720"/>
      </w:tabs>
    </w:pPr>
    <w:r>
      <w:rPr>
        <w:lang w:val="fr-CA"/>
      </w:rPr>
      <w:pict>
        <v:rect id="_x0000_i1084" style="width:480.95pt;height:1pt" o:hralign="center" o:hrstd="t" o:hrnoshade="t" o:hr="t" fillcolor="black [3213]" stroked="f"/>
      </w:pict>
    </w:r>
  </w:p>
  <w:p w:rsidR="00A263CB" w:rsidRPr="00180897" w:rsidRDefault="00A263CB"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B2512D">
      <w:rPr>
        <w:noProof/>
        <w:szCs w:val="24"/>
      </w:rPr>
      <w:t>912</w:t>
    </w:r>
    <w:r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263CB"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263CB" w:rsidRDefault="00A263CB">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B2512D" w:rsidP="00732DB7">
    <w:r>
      <w:pict>
        <v:rect id="_x0000_i1086" style="width:480.95pt;height:1pt" o:hralign="center" o:hrstd="t" o:hrnoshade="t" o:hr="t" fillcolor="black" stroked="f"/>
      </w:pict>
    </w:r>
  </w:p>
  <w:p w:rsidR="00A263CB" w:rsidRDefault="00A263CB">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B2512D">
    <w:pPr>
      <w:pStyle w:val="Footer"/>
    </w:pPr>
    <w:r>
      <w:pict>
        <v:rect id="_x0000_i1087" style="width:480.95pt;height:1pt" o:hralign="center" o:hrstd="t" o:hrnoshade="t" o:hr="t" fillcolor="black" stroked="f"/>
      </w:pict>
    </w:r>
  </w:p>
  <w:p w:rsidR="00A263CB" w:rsidRPr="00283C52" w:rsidRDefault="00A263CB">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B2512D" w:rsidP="00755F22">
    <w:pPr>
      <w:tabs>
        <w:tab w:val="left" w:pos="-1440"/>
        <w:tab w:val="left" w:pos="-720"/>
      </w:tabs>
    </w:pPr>
    <w:r>
      <w:pict>
        <v:rect id="_x0000_i1039" style="width:480.95pt;height:1pt" o:hralign="center" o:hrstd="t" o:hrnoshade="t" o:hr="t" fillcolor="black [3213]" stroked="f"/>
      </w:pict>
    </w:r>
  </w:p>
  <w:p w:rsidR="00A263CB" w:rsidRPr="00954D22" w:rsidRDefault="00A263C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2512D">
      <w:rPr>
        <w:noProof/>
        <w:szCs w:val="24"/>
      </w:rPr>
      <w:t>879</w:t>
    </w:r>
    <w:r>
      <w:rPr>
        <w:szCs w:val="24"/>
      </w:rPr>
      <w:fldChar w:fldCharType="end"/>
    </w:r>
    <w:r w:rsidRPr="00954D22">
      <w:rPr>
        <w:szCs w:val="24"/>
      </w:rPr>
      <w:t xml:space="preserve"> -</w:t>
    </w:r>
  </w:p>
  <w:p w:rsidR="00A263CB" w:rsidRDefault="00A263C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263CB"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263CB" w:rsidRDefault="00A263CB">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B2512D" w:rsidP="00732DB7">
    <w:r>
      <w:pict>
        <v:rect id="_x0000_i1090" style="width:480.95pt;height:1pt" o:hralign="center" o:hrstd="t" o:hrnoshade="t" o:hr="t" fillcolor="black" stroked="f"/>
      </w:pict>
    </w:r>
  </w:p>
  <w:p w:rsidR="00A263CB" w:rsidRDefault="00A263CB">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B2512D">
    <w:pPr>
      <w:pStyle w:val="Footer"/>
    </w:pPr>
    <w:r>
      <w:pict>
        <v:rect id="_x0000_i1091" style="width:480.95pt;height:1pt" o:hralign="center" o:hrstd="t" o:hrnoshade="t" o:hr="t" fillcolor="black [3213]" stroked="f"/>
      </w:pict>
    </w:r>
  </w:p>
  <w:p w:rsidR="00A263CB" w:rsidRPr="003C2C0F" w:rsidRDefault="00A263CB" w:rsidP="00697C62">
    <w:pPr>
      <w:tabs>
        <w:tab w:val="center" w:pos="4680"/>
      </w:tabs>
    </w:pPr>
    <w:r>
      <w:tab/>
      <w:t xml:space="preserve">- </w:t>
    </w:r>
    <w:r>
      <w:fldChar w:fldCharType="begin"/>
    </w:r>
    <w:r>
      <w:instrText xml:space="preserve"> PAGE   \* MERGEFORMAT </w:instrText>
    </w:r>
    <w:r>
      <w:fldChar w:fldCharType="separate"/>
    </w:r>
    <w:r w:rsidR="00B2512D">
      <w:rPr>
        <w:noProof/>
      </w:rPr>
      <w:t>914</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263CB"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263CB" w:rsidRDefault="00A263CB">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263CB" w:rsidRDefault="00B251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6" style="width:480.95pt;height:1pt" o:hralign="center" o:hrstd="t" o:hrnoshade="t" o:hr="t" fillcolor="black [3213]" stroked="f"/>
      </w:pict>
    </w:r>
  </w:p>
  <w:p w:rsidR="00A263CB" w:rsidRDefault="00A263C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2512D">
      <w:rPr>
        <w:noProof/>
        <w:szCs w:val="24"/>
      </w:rPr>
      <w:t>923</w:t>
    </w:r>
    <w:r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B2512D" w:rsidP="00782AE4">
    <w:pPr>
      <w:tabs>
        <w:tab w:val="center" w:pos="4680"/>
      </w:tabs>
    </w:pPr>
    <w:r>
      <w:pict>
        <v:rect id="_x0000_i1097" style="width:480.95pt;height:1pt" o:hralign="center" o:hrstd="t" o:hrnoshade="t" o:hr="t" fillcolor="black [3213]" stroked="f"/>
      </w:pict>
    </w:r>
  </w:p>
  <w:p w:rsidR="00A263CB" w:rsidRDefault="00A263C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2512D">
      <w:rPr>
        <w:noProof/>
        <w:szCs w:val="24"/>
      </w:rPr>
      <w:t>915</w:t>
    </w:r>
    <w:r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Pr="00924065" w:rsidRDefault="00A263CB"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B2512D" w:rsidP="00A87207">
    <w:pPr>
      <w:pStyle w:val="Footer"/>
    </w:pPr>
    <w:r>
      <w:pict>
        <v:rect id="_x0000_i1041" style="width:480.95pt;height:1pt" o:hralign="center" o:hrstd="t" o:hrnoshade="t" o:hr="t" fillcolor="black [3213]" stroked="f"/>
      </w:pict>
    </w:r>
  </w:p>
  <w:p w:rsidR="00A263CB" w:rsidRPr="00B7374B" w:rsidRDefault="00A263C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882</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B2512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A263CB" w:rsidRPr="00954D22" w:rsidRDefault="00A263C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2512D">
      <w:rPr>
        <w:noProof/>
        <w:szCs w:val="24"/>
      </w:rPr>
      <w:t>881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263CB"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263CB" w:rsidRDefault="00A263CB">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B251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1" style="width:480.95pt;height:1pt" o:hralign="center" o:hrstd="t" o:hrnoshade="t" o:hr="t" fillcolor="black [3213]" stroked="f"/>
      </w:pict>
    </w:r>
  </w:p>
  <w:p w:rsidR="00A263CB" w:rsidRPr="0009648D" w:rsidRDefault="00A263CB" w:rsidP="00ED7E83">
    <w:pPr>
      <w:tabs>
        <w:tab w:val="center" w:pos="4680"/>
      </w:tabs>
    </w:pPr>
    <w:r>
      <w:tab/>
    </w:r>
    <w:r w:rsidRPr="0009648D">
      <w:t xml:space="preserve">- </w:t>
    </w:r>
    <w:r>
      <w:fldChar w:fldCharType="begin"/>
    </w:r>
    <w:r>
      <w:instrText xml:space="preserve"> PAGE   \* MERGEFORMAT </w:instrText>
    </w:r>
    <w:r>
      <w:fldChar w:fldCharType="separate"/>
    </w:r>
    <w:r w:rsidR="00B2512D">
      <w:rPr>
        <w:noProof/>
      </w:rPr>
      <w:t>897</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B2512D">
    <w:pPr>
      <w:pStyle w:val="Footer"/>
      <w:rPr>
        <w:lang w:val="fr-CA"/>
      </w:rPr>
    </w:pPr>
    <w:r>
      <w:rPr>
        <w:lang w:val="fr-CA"/>
      </w:rPr>
      <w:pict>
        <v:rect id="_x0000_i1072" style="width:480.95pt;height:1pt" o:hralign="center" o:hrstd="t" o:hrnoshade="t" o:hr="t" fillcolor="black [3213]" stroked="f"/>
      </w:pict>
    </w:r>
  </w:p>
  <w:p w:rsidR="00A263CB" w:rsidRDefault="00A263CB" w:rsidP="00245129">
    <w:pPr>
      <w:tabs>
        <w:tab w:val="center" w:pos="4680"/>
      </w:tabs>
    </w:pPr>
    <w:r>
      <w:tab/>
    </w:r>
    <w:r w:rsidRPr="0009648D">
      <w:t xml:space="preserve">- </w:t>
    </w:r>
    <w:r>
      <w:fldChar w:fldCharType="begin"/>
    </w:r>
    <w:r>
      <w:instrText xml:space="preserve"> PAGE   \* MERGEFORMAT </w:instrText>
    </w:r>
    <w:r>
      <w:fldChar w:fldCharType="separate"/>
    </w:r>
    <w:r w:rsidR="00B2512D">
      <w:rPr>
        <w:noProof/>
      </w:rPr>
      <w:t>882</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263CB"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263CB" w:rsidRDefault="00A263CB">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B2512D" w:rsidP="00755F22">
    <w:pPr>
      <w:tabs>
        <w:tab w:val="left" w:pos="-1440"/>
        <w:tab w:val="left" w:pos="-720"/>
      </w:tabs>
    </w:pPr>
    <w:r>
      <w:pict>
        <v:rect id="_x0000_i1074" style="width:480.95pt;height:1pt" o:hralign="center" o:hrstd="t" o:hrnoshade="t" o:hr="t" fillcolor="black [3213]" stroked="f"/>
      </w:pict>
    </w:r>
  </w:p>
  <w:p w:rsidR="00A263CB" w:rsidRDefault="00A263CB" w:rsidP="00EB2B90">
    <w:pPr>
      <w:tabs>
        <w:tab w:val="center" w:pos="4680"/>
      </w:tabs>
    </w:pPr>
    <w:r>
      <w:tab/>
      <w:t xml:space="preserve">- </w:t>
    </w:r>
    <w:r>
      <w:fldChar w:fldCharType="begin"/>
    </w:r>
    <w:r>
      <w:instrText xml:space="preserve"> PAGE   \* MERGEFORMAT </w:instrText>
    </w:r>
    <w:r>
      <w:fldChar w:fldCharType="separate"/>
    </w:r>
    <w:r>
      <w:rPr>
        <w:noProof/>
      </w:rPr>
      <w:t>529</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3CB" w:rsidRDefault="00A263CB" w:rsidP="00A87207">
      <w:r>
        <w:separator/>
      </w:r>
    </w:p>
  </w:footnote>
  <w:footnote w:type="continuationSeparator" w:id="0">
    <w:p w:rsidR="00A263CB" w:rsidRDefault="00A263C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263CB" w:rsidRPr="0044776A" w:rsidTr="00245129">
      <w:tc>
        <w:tcPr>
          <w:tcW w:w="4290" w:type="dxa"/>
          <w:tcMar>
            <w:left w:w="0" w:type="dxa"/>
            <w:right w:w="0" w:type="dxa"/>
          </w:tcMar>
        </w:tcPr>
        <w:p w:rsidR="00A263CB" w:rsidRPr="0044776A" w:rsidRDefault="00A263C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263CB" w:rsidRPr="0044776A" w:rsidRDefault="00A263CB" w:rsidP="002E2327">
          <w:pPr>
            <w:keepNext/>
            <w:keepLines/>
            <w:tabs>
              <w:tab w:val="left" w:pos="-1440"/>
              <w:tab w:val="left" w:pos="-720"/>
            </w:tabs>
            <w:jc w:val="center"/>
            <w:rPr>
              <w:sz w:val="20"/>
              <w:szCs w:val="20"/>
            </w:rPr>
          </w:pPr>
        </w:p>
        <w:p w:rsidR="00A263CB" w:rsidRPr="0044776A" w:rsidRDefault="00A263CB" w:rsidP="002E2327">
          <w:pPr>
            <w:keepNext/>
            <w:keepLines/>
            <w:tabs>
              <w:tab w:val="left" w:pos="-1440"/>
              <w:tab w:val="left" w:pos="-720"/>
            </w:tabs>
            <w:jc w:val="center"/>
            <w:rPr>
              <w:sz w:val="20"/>
              <w:szCs w:val="20"/>
            </w:rPr>
          </w:pPr>
        </w:p>
        <w:p w:rsidR="00A263CB" w:rsidRPr="0044776A" w:rsidRDefault="00A263CB" w:rsidP="002E2327">
          <w:pPr>
            <w:keepNext/>
            <w:keepLines/>
            <w:tabs>
              <w:tab w:val="left" w:pos="-1440"/>
              <w:tab w:val="left" w:pos="-720"/>
            </w:tabs>
            <w:jc w:val="center"/>
            <w:rPr>
              <w:sz w:val="20"/>
              <w:szCs w:val="20"/>
            </w:rPr>
          </w:pPr>
        </w:p>
      </w:tc>
      <w:tc>
        <w:tcPr>
          <w:tcW w:w="4320" w:type="dxa"/>
          <w:tcMar>
            <w:left w:w="0" w:type="dxa"/>
            <w:right w:w="0" w:type="dxa"/>
          </w:tcMar>
        </w:tcPr>
        <w:p w:rsidR="00A263CB" w:rsidRPr="0044776A" w:rsidRDefault="00A263CB" w:rsidP="002E2327">
          <w:pPr>
            <w:keepLines/>
            <w:rPr>
              <w:sz w:val="20"/>
              <w:szCs w:val="20"/>
              <w:lang w:val="fr-CA"/>
            </w:rPr>
          </w:pPr>
          <w:r w:rsidRPr="0044776A">
            <w:rPr>
              <w:sz w:val="20"/>
              <w:szCs w:val="20"/>
              <w:lang w:val="fr-CA"/>
            </w:rPr>
            <w:t>DEMANDES D'AUTORISATION D'APPEL DÉPOSÉES</w:t>
          </w:r>
        </w:p>
      </w:tc>
    </w:tr>
  </w:tbl>
  <w:p w:rsidR="00A263CB" w:rsidRDefault="00A263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A263C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263CB" w:rsidRPr="00B2512D">
      <w:tc>
        <w:tcPr>
          <w:tcW w:w="4200" w:type="dxa"/>
          <w:tcMar>
            <w:left w:w="0" w:type="dxa"/>
            <w:right w:w="0" w:type="dxa"/>
          </w:tcMar>
        </w:tcPr>
        <w:p w:rsidR="00A263CB"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263CB"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263CB" w:rsidRPr="00B01A03" w:rsidRDefault="00A263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263CB" w:rsidRPr="00B01A03"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263CB" w:rsidRPr="00B01A03"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263CB" w:rsidRPr="00B2512D" w:rsidTr="00245129">
      <w:tc>
        <w:tcPr>
          <w:tcW w:w="4200" w:type="dxa"/>
          <w:tcMar>
            <w:left w:w="0" w:type="dxa"/>
            <w:right w:w="0" w:type="dxa"/>
          </w:tcMar>
        </w:tcPr>
        <w:p w:rsidR="00A263CB" w:rsidRPr="00F40249" w:rsidRDefault="00A263C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263CB" w:rsidRDefault="00A263CB" w:rsidP="00102926">
          <w:pPr>
            <w:keepNext/>
            <w:keepLines/>
            <w:tabs>
              <w:tab w:val="left" w:pos="-1440"/>
              <w:tab w:val="left" w:pos="-720"/>
            </w:tabs>
            <w:jc w:val="center"/>
            <w:rPr>
              <w:sz w:val="20"/>
              <w:szCs w:val="20"/>
            </w:rPr>
          </w:pPr>
        </w:p>
        <w:p w:rsidR="00A263CB" w:rsidRDefault="00A263CB" w:rsidP="00102926">
          <w:pPr>
            <w:keepNext/>
            <w:keepLines/>
            <w:tabs>
              <w:tab w:val="left" w:pos="-1440"/>
              <w:tab w:val="left" w:pos="-720"/>
            </w:tabs>
            <w:jc w:val="center"/>
            <w:rPr>
              <w:sz w:val="20"/>
              <w:szCs w:val="20"/>
            </w:rPr>
          </w:pPr>
        </w:p>
        <w:p w:rsidR="00A263CB" w:rsidRPr="00F40249" w:rsidRDefault="00A263CB" w:rsidP="00102926">
          <w:pPr>
            <w:keepNext/>
            <w:keepLines/>
            <w:tabs>
              <w:tab w:val="left" w:pos="-1440"/>
              <w:tab w:val="left" w:pos="-720"/>
            </w:tabs>
            <w:jc w:val="center"/>
            <w:rPr>
              <w:sz w:val="20"/>
              <w:szCs w:val="20"/>
            </w:rPr>
          </w:pPr>
        </w:p>
      </w:tc>
      <w:tc>
        <w:tcPr>
          <w:tcW w:w="4230" w:type="dxa"/>
          <w:tcMar>
            <w:left w:w="0" w:type="dxa"/>
            <w:right w:w="0" w:type="dxa"/>
          </w:tcMar>
        </w:tcPr>
        <w:p w:rsidR="00A263CB" w:rsidRPr="00F40249" w:rsidRDefault="00A263C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263CB" w:rsidRPr="00B01A03" w:rsidRDefault="00A263C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A263C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263CB" w:rsidRPr="00B2512D">
      <w:tc>
        <w:tcPr>
          <w:tcW w:w="4200" w:type="dxa"/>
          <w:tcMar>
            <w:left w:w="0" w:type="dxa"/>
            <w:right w:w="0" w:type="dxa"/>
          </w:tcMar>
        </w:tcPr>
        <w:p w:rsidR="00A263CB" w:rsidRDefault="00A263C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A263CB" w:rsidRDefault="00A263C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A263CB" w:rsidRDefault="00A263CB">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263CB" w:rsidRPr="009256DC" w:rsidRDefault="00A263CB">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A263CB" w:rsidRPr="009256DC" w:rsidRDefault="00A263C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263CB" w:rsidRPr="009256DC" w:rsidRDefault="00A263C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263CB" w:rsidRPr="00B2512D" w:rsidTr="00245129">
      <w:tc>
        <w:tcPr>
          <w:tcW w:w="4200" w:type="dxa"/>
          <w:tcMar>
            <w:left w:w="0" w:type="dxa"/>
            <w:right w:w="0" w:type="dxa"/>
          </w:tcMar>
        </w:tcPr>
        <w:p w:rsidR="00A263CB" w:rsidRPr="00802863" w:rsidRDefault="00A263CB"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A263CB" w:rsidRPr="00802863" w:rsidRDefault="00A263CB" w:rsidP="00802863">
          <w:pPr>
            <w:keepNext/>
            <w:keepLines/>
            <w:widowControl w:val="0"/>
            <w:tabs>
              <w:tab w:val="left" w:pos="-1440"/>
              <w:tab w:val="left" w:pos="-720"/>
            </w:tabs>
            <w:jc w:val="center"/>
            <w:rPr>
              <w:sz w:val="20"/>
              <w:szCs w:val="20"/>
            </w:rPr>
          </w:pPr>
        </w:p>
        <w:p w:rsidR="00A263CB" w:rsidRPr="00802863" w:rsidRDefault="00A263CB" w:rsidP="00802863">
          <w:pPr>
            <w:keepNext/>
            <w:keepLines/>
            <w:widowControl w:val="0"/>
            <w:tabs>
              <w:tab w:val="left" w:pos="-1440"/>
              <w:tab w:val="left" w:pos="-720"/>
            </w:tabs>
            <w:jc w:val="center"/>
            <w:rPr>
              <w:sz w:val="20"/>
              <w:szCs w:val="20"/>
            </w:rPr>
          </w:pPr>
        </w:p>
        <w:p w:rsidR="00A263CB" w:rsidRPr="00802863" w:rsidRDefault="00A263CB"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A263CB" w:rsidRPr="00802863" w:rsidRDefault="00A263CB"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A263CB" w:rsidRPr="009256DC" w:rsidRDefault="00A263CB"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A263C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263CB" w:rsidRPr="00B2512D">
      <w:tc>
        <w:tcPr>
          <w:tcW w:w="4200" w:type="dxa"/>
          <w:tcMar>
            <w:left w:w="0" w:type="dxa"/>
            <w:right w:w="0" w:type="dxa"/>
          </w:tcMar>
        </w:tcPr>
        <w:p w:rsidR="00A263CB"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A263CB"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263CB" w:rsidRPr="00283C52" w:rsidRDefault="00A263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A263CB" w:rsidRPr="00283C52"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263CB" w:rsidRPr="00283C52"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263CB" w:rsidRPr="00B2512D" w:rsidTr="00245129">
      <w:tc>
        <w:tcPr>
          <w:tcW w:w="4200" w:type="dxa"/>
          <w:tcMar>
            <w:left w:w="0" w:type="dxa"/>
            <w:right w:w="0" w:type="dxa"/>
          </w:tcMar>
        </w:tcPr>
        <w:p w:rsidR="00A263CB" w:rsidRPr="00732DB7" w:rsidRDefault="00A263CB"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A263CB" w:rsidRPr="00732DB7" w:rsidRDefault="00A263CB" w:rsidP="00732DB7">
          <w:pPr>
            <w:keepNext/>
            <w:keepLines/>
            <w:tabs>
              <w:tab w:val="left" w:pos="-1440"/>
              <w:tab w:val="left" w:pos="-720"/>
            </w:tabs>
            <w:jc w:val="center"/>
            <w:rPr>
              <w:sz w:val="20"/>
              <w:szCs w:val="20"/>
            </w:rPr>
          </w:pPr>
        </w:p>
        <w:p w:rsidR="00A263CB" w:rsidRPr="00732DB7" w:rsidRDefault="00A263CB" w:rsidP="00732DB7">
          <w:pPr>
            <w:keepNext/>
            <w:keepLines/>
            <w:tabs>
              <w:tab w:val="left" w:pos="-1440"/>
              <w:tab w:val="left" w:pos="-720"/>
            </w:tabs>
            <w:jc w:val="center"/>
            <w:rPr>
              <w:sz w:val="20"/>
              <w:szCs w:val="20"/>
            </w:rPr>
          </w:pPr>
        </w:p>
        <w:p w:rsidR="00A263CB" w:rsidRPr="00732DB7" w:rsidRDefault="00A263CB" w:rsidP="00732DB7">
          <w:pPr>
            <w:keepNext/>
            <w:keepLines/>
            <w:tabs>
              <w:tab w:val="left" w:pos="-1440"/>
              <w:tab w:val="left" w:pos="-720"/>
            </w:tabs>
            <w:jc w:val="center"/>
            <w:rPr>
              <w:sz w:val="20"/>
              <w:szCs w:val="20"/>
            </w:rPr>
          </w:pPr>
        </w:p>
      </w:tc>
      <w:tc>
        <w:tcPr>
          <w:tcW w:w="4080" w:type="dxa"/>
          <w:tcMar>
            <w:left w:w="0" w:type="dxa"/>
            <w:right w:w="0" w:type="dxa"/>
          </w:tcMar>
        </w:tcPr>
        <w:p w:rsidR="00A263CB" w:rsidRPr="00732DB7" w:rsidRDefault="00A263CB"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A263CB" w:rsidRPr="00283C52" w:rsidRDefault="00A263CB"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A26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A263C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263CB" w:rsidRPr="00B2512D">
      <w:tc>
        <w:tcPr>
          <w:tcW w:w="4200" w:type="dxa"/>
          <w:tcMar>
            <w:left w:w="0" w:type="dxa"/>
            <w:right w:w="0" w:type="dxa"/>
          </w:tcMar>
        </w:tcPr>
        <w:p w:rsidR="00A263CB"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A263CB"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A263CB"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A263CB" w:rsidRPr="003C2C0F" w:rsidRDefault="00A263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A263CB" w:rsidRPr="003C2C0F"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A263CB" w:rsidRPr="003C2C0F"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263CB" w:rsidRPr="00B2512D" w:rsidTr="00245129">
      <w:tc>
        <w:tcPr>
          <w:tcW w:w="4200" w:type="dxa"/>
          <w:tcMar>
            <w:left w:w="0" w:type="dxa"/>
            <w:right w:w="0" w:type="dxa"/>
          </w:tcMar>
        </w:tcPr>
        <w:p w:rsidR="00A263CB" w:rsidRPr="00FF6EEC" w:rsidRDefault="00A263CB" w:rsidP="00FF6EEC">
          <w:pPr>
            <w:rPr>
              <w:sz w:val="20"/>
              <w:szCs w:val="20"/>
            </w:rPr>
          </w:pPr>
          <w:r w:rsidRPr="00FF6EEC">
            <w:rPr>
              <w:sz w:val="20"/>
              <w:szCs w:val="20"/>
            </w:rPr>
            <w:t>PRONOUNCEMENTS OF APPEALS RESERVED</w:t>
          </w:r>
        </w:p>
      </w:tc>
      <w:tc>
        <w:tcPr>
          <w:tcW w:w="1200" w:type="dxa"/>
          <w:tcMar>
            <w:left w:w="0" w:type="dxa"/>
            <w:right w:w="0" w:type="dxa"/>
          </w:tcMar>
        </w:tcPr>
        <w:p w:rsidR="00A263CB" w:rsidRPr="00FF6EEC" w:rsidRDefault="00A263CB" w:rsidP="00FF6EEC">
          <w:pPr>
            <w:jc w:val="center"/>
            <w:rPr>
              <w:sz w:val="20"/>
              <w:szCs w:val="20"/>
            </w:rPr>
          </w:pPr>
        </w:p>
        <w:p w:rsidR="00A263CB" w:rsidRPr="00FF6EEC" w:rsidRDefault="00A263CB" w:rsidP="00FF6EEC">
          <w:pPr>
            <w:jc w:val="center"/>
            <w:rPr>
              <w:sz w:val="20"/>
              <w:szCs w:val="20"/>
            </w:rPr>
          </w:pPr>
        </w:p>
        <w:p w:rsidR="00A263CB" w:rsidRPr="00FF6EEC" w:rsidRDefault="00A263CB" w:rsidP="00FF6EEC">
          <w:pPr>
            <w:jc w:val="center"/>
            <w:rPr>
              <w:sz w:val="20"/>
              <w:szCs w:val="20"/>
            </w:rPr>
          </w:pPr>
        </w:p>
      </w:tc>
      <w:tc>
        <w:tcPr>
          <w:tcW w:w="4080" w:type="dxa"/>
          <w:tcMar>
            <w:left w:w="0" w:type="dxa"/>
            <w:right w:w="0" w:type="dxa"/>
          </w:tcMar>
        </w:tcPr>
        <w:p w:rsidR="00A263CB" w:rsidRPr="00FF6EEC" w:rsidRDefault="00A263CB" w:rsidP="00FF6EEC">
          <w:pPr>
            <w:rPr>
              <w:sz w:val="20"/>
              <w:szCs w:val="20"/>
              <w:lang w:val="fr-CA"/>
            </w:rPr>
          </w:pPr>
          <w:r w:rsidRPr="00FF6EEC">
            <w:rPr>
              <w:sz w:val="20"/>
              <w:szCs w:val="20"/>
              <w:lang w:val="fr-CA"/>
            </w:rPr>
            <w:t>JUGEMENTS RENDUS SUR LES APPELS EN DÉLIBÉRÉ</w:t>
          </w:r>
        </w:p>
      </w:tc>
    </w:tr>
  </w:tbl>
  <w:p w:rsidR="00A263CB" w:rsidRPr="003C2C0F" w:rsidRDefault="00A263CB"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A263C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263CB">
      <w:tc>
        <w:tcPr>
          <w:tcW w:w="4230" w:type="dxa"/>
          <w:tcMar>
            <w:left w:w="0" w:type="dxa"/>
            <w:right w:w="0" w:type="dxa"/>
          </w:tcMar>
        </w:tcPr>
        <w:p w:rsidR="00A263CB"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A263CB"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A263CB"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A263CB"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263CB"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A263CB" w:rsidRDefault="00A263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A263CB"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263CB"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263CB" w:rsidRPr="00782AE4" w:rsidTr="00245129">
      <w:tc>
        <w:tcPr>
          <w:tcW w:w="4230" w:type="dxa"/>
          <w:tcMar>
            <w:left w:w="0" w:type="dxa"/>
            <w:right w:w="0" w:type="dxa"/>
          </w:tcMar>
        </w:tcPr>
        <w:p w:rsidR="00A263CB" w:rsidRPr="00782AE4" w:rsidRDefault="00A263CB" w:rsidP="00102926">
          <w:pPr>
            <w:keepNext/>
            <w:keepLines/>
            <w:tabs>
              <w:tab w:val="left" w:pos="-1440"/>
              <w:tab w:val="left" w:pos="-720"/>
            </w:tabs>
            <w:rPr>
              <w:sz w:val="20"/>
              <w:szCs w:val="20"/>
            </w:rPr>
          </w:pPr>
          <w:r w:rsidRPr="00782AE4">
            <w:rPr>
              <w:sz w:val="20"/>
              <w:szCs w:val="20"/>
            </w:rPr>
            <w:t xml:space="preserve">HEADNOTES OF RECENT </w:t>
          </w:r>
        </w:p>
        <w:p w:rsidR="00A263CB" w:rsidRPr="00782AE4"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A263CB" w:rsidRDefault="00A263CB" w:rsidP="00102926">
          <w:pPr>
            <w:keepNext/>
            <w:keepLines/>
            <w:tabs>
              <w:tab w:val="left" w:pos="-1440"/>
              <w:tab w:val="left" w:pos="-720"/>
            </w:tabs>
            <w:jc w:val="center"/>
            <w:rPr>
              <w:sz w:val="20"/>
              <w:szCs w:val="20"/>
            </w:rPr>
          </w:pPr>
        </w:p>
        <w:p w:rsidR="00A263CB" w:rsidRDefault="00A263CB" w:rsidP="00102926">
          <w:pPr>
            <w:keepNext/>
            <w:keepLines/>
            <w:tabs>
              <w:tab w:val="left" w:pos="-1440"/>
              <w:tab w:val="left" w:pos="-720"/>
            </w:tabs>
            <w:jc w:val="center"/>
            <w:rPr>
              <w:sz w:val="20"/>
              <w:szCs w:val="20"/>
            </w:rPr>
          </w:pPr>
        </w:p>
        <w:p w:rsidR="00A263CB" w:rsidRPr="00782AE4" w:rsidRDefault="00A263CB" w:rsidP="00102926">
          <w:pPr>
            <w:keepNext/>
            <w:keepLines/>
            <w:tabs>
              <w:tab w:val="left" w:pos="-1440"/>
              <w:tab w:val="left" w:pos="-720"/>
            </w:tabs>
            <w:jc w:val="center"/>
            <w:rPr>
              <w:sz w:val="20"/>
              <w:szCs w:val="20"/>
            </w:rPr>
          </w:pPr>
        </w:p>
      </w:tc>
      <w:tc>
        <w:tcPr>
          <w:tcW w:w="4080" w:type="dxa"/>
          <w:tcMar>
            <w:left w:w="0" w:type="dxa"/>
            <w:right w:w="0" w:type="dxa"/>
          </w:tcMar>
        </w:tcPr>
        <w:p w:rsidR="00A263CB" w:rsidRPr="00102926"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A263CB" w:rsidRPr="00782AE4" w:rsidRDefault="00A263CB" w:rsidP="00102926">
          <w:pPr>
            <w:keepLines/>
            <w:tabs>
              <w:tab w:val="left" w:pos="-1440"/>
              <w:tab w:val="left" w:pos="-720"/>
            </w:tabs>
            <w:rPr>
              <w:sz w:val="20"/>
              <w:szCs w:val="20"/>
            </w:rPr>
          </w:pPr>
          <w:r w:rsidRPr="00102926">
            <w:rPr>
              <w:sz w:val="20"/>
              <w:szCs w:val="20"/>
              <w:lang w:val="fr-CA"/>
            </w:rPr>
            <w:t>RÉCENTS</w:t>
          </w:r>
        </w:p>
      </w:tc>
    </w:tr>
  </w:tbl>
  <w:p w:rsidR="00A263CB" w:rsidRDefault="00A263C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A263C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A26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263CB" w:rsidRPr="00B2512D" w:rsidTr="00245129">
      <w:tc>
        <w:tcPr>
          <w:tcW w:w="4200" w:type="dxa"/>
          <w:tcMar>
            <w:left w:w="0" w:type="dxa"/>
            <w:right w:w="0" w:type="dxa"/>
          </w:tcMar>
        </w:tcPr>
        <w:p w:rsidR="00A263CB" w:rsidRPr="0044776A" w:rsidRDefault="00A263CB" w:rsidP="0044776A">
          <w:pPr>
            <w:keepNext/>
            <w:keepLines/>
            <w:widowControl w:val="0"/>
            <w:rPr>
              <w:sz w:val="20"/>
              <w:szCs w:val="20"/>
            </w:rPr>
          </w:pPr>
          <w:r>
            <w:rPr>
              <w:sz w:val="20"/>
              <w:szCs w:val="20"/>
            </w:rPr>
            <w:t>APPLICATIONS FOR LEAVE</w:t>
          </w:r>
        </w:p>
        <w:p w:rsidR="00A263CB" w:rsidRPr="0044776A" w:rsidRDefault="00A263C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263CB" w:rsidRPr="0044776A" w:rsidRDefault="00A263CB" w:rsidP="0044776A">
          <w:pPr>
            <w:keepNext/>
            <w:keepLines/>
            <w:widowControl w:val="0"/>
            <w:jc w:val="center"/>
            <w:rPr>
              <w:sz w:val="20"/>
              <w:szCs w:val="20"/>
            </w:rPr>
          </w:pPr>
        </w:p>
        <w:p w:rsidR="00A263CB" w:rsidRPr="0044776A" w:rsidRDefault="00A263CB" w:rsidP="0044776A">
          <w:pPr>
            <w:keepNext/>
            <w:keepLines/>
            <w:widowControl w:val="0"/>
            <w:jc w:val="center"/>
            <w:rPr>
              <w:sz w:val="20"/>
              <w:szCs w:val="20"/>
            </w:rPr>
          </w:pPr>
        </w:p>
        <w:p w:rsidR="00A263CB" w:rsidRPr="0044776A" w:rsidRDefault="00A263CB" w:rsidP="0044776A">
          <w:pPr>
            <w:keepNext/>
            <w:keepLines/>
            <w:widowControl w:val="0"/>
            <w:jc w:val="center"/>
            <w:rPr>
              <w:sz w:val="20"/>
              <w:szCs w:val="20"/>
            </w:rPr>
          </w:pPr>
        </w:p>
      </w:tc>
      <w:tc>
        <w:tcPr>
          <w:tcW w:w="4080" w:type="dxa"/>
          <w:tcMar>
            <w:left w:w="0" w:type="dxa"/>
            <w:right w:w="0" w:type="dxa"/>
          </w:tcMar>
        </w:tcPr>
        <w:p w:rsidR="00A263CB" w:rsidRPr="0044776A" w:rsidRDefault="00A263CB" w:rsidP="0044776A">
          <w:pPr>
            <w:keepLines/>
            <w:widowControl w:val="0"/>
            <w:rPr>
              <w:sz w:val="20"/>
              <w:szCs w:val="20"/>
              <w:lang w:val="fr-CA"/>
            </w:rPr>
          </w:pPr>
          <w:r w:rsidRPr="0044776A">
            <w:rPr>
              <w:sz w:val="20"/>
              <w:szCs w:val="20"/>
              <w:lang w:val="fr-CA"/>
            </w:rPr>
            <w:t>DEMANDES SOUMISES À LA COUR DEPUIS LA DERNIÈRE PARUTION</w:t>
          </w:r>
        </w:p>
        <w:p w:rsidR="00A263CB" w:rsidRPr="0044776A" w:rsidRDefault="00A263CB" w:rsidP="0044776A">
          <w:pPr>
            <w:widowControl w:val="0"/>
            <w:rPr>
              <w:sz w:val="20"/>
              <w:szCs w:val="20"/>
              <w:lang w:val="fr-CA"/>
            </w:rPr>
          </w:pPr>
        </w:p>
      </w:tc>
    </w:tr>
  </w:tbl>
  <w:p w:rsidR="00A263CB" w:rsidRPr="002E2327" w:rsidRDefault="00A263CB">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A263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263CB" w:rsidRPr="00B2512D">
      <w:tc>
        <w:tcPr>
          <w:tcW w:w="4200" w:type="dxa"/>
          <w:tcMar>
            <w:left w:w="0" w:type="dxa"/>
            <w:right w:w="0" w:type="dxa"/>
          </w:tcMar>
        </w:tcPr>
        <w:p w:rsidR="00A263CB"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263CB"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263CB" w:rsidRDefault="00A263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263CB" w:rsidRPr="00FF6BA5" w:rsidRDefault="00A263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263CB" w:rsidRPr="00FF6BA5"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263CB" w:rsidRPr="00FF6BA5"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263CB" w:rsidRPr="00FF6BA5"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263CB" w:rsidRPr="00B2512D" w:rsidTr="00245129">
      <w:tc>
        <w:tcPr>
          <w:tcW w:w="4200" w:type="dxa"/>
          <w:tcMar>
            <w:left w:w="0" w:type="dxa"/>
            <w:right w:w="0" w:type="dxa"/>
          </w:tcMar>
        </w:tcPr>
        <w:p w:rsidR="00A263CB" w:rsidRPr="00755F22"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263CB" w:rsidRPr="00755F22"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263CB" w:rsidRPr="00755F22" w:rsidRDefault="00A263C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263CB" w:rsidRPr="00755F22" w:rsidRDefault="00A263C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263CB" w:rsidRPr="00755F22" w:rsidRDefault="00A263C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263CB" w:rsidRPr="00755F22" w:rsidRDefault="00A263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263CB" w:rsidRPr="00FF6BA5" w:rsidRDefault="00A263CB"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CB" w:rsidRDefault="00A263C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263CB">
      <w:tc>
        <w:tcPr>
          <w:tcW w:w="4230" w:type="dxa"/>
          <w:tcMar>
            <w:left w:w="0" w:type="dxa"/>
            <w:right w:w="0" w:type="dxa"/>
          </w:tcMar>
        </w:tcPr>
        <w:p w:rsidR="00A263CB" w:rsidRDefault="00A263C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263CB" w:rsidRDefault="00A263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263CB" w:rsidRDefault="00A263C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263CB">
      <w:trPr>
        <w:gridAfter w:val="2"/>
        <w:wAfter w:w="5250" w:type="dxa"/>
      </w:trPr>
      <w:tc>
        <w:tcPr>
          <w:tcW w:w="4230" w:type="dxa"/>
          <w:tcMar>
            <w:left w:w="0" w:type="dxa"/>
            <w:right w:w="0" w:type="dxa"/>
          </w:tcMar>
        </w:tcPr>
        <w:p w:rsidR="00A263CB"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263CB" w:rsidRDefault="00A263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263CB" w:rsidRPr="00755F22" w:rsidTr="00245129">
      <w:tc>
        <w:tcPr>
          <w:tcW w:w="4230" w:type="dxa"/>
          <w:tcMar>
            <w:left w:w="0" w:type="dxa"/>
            <w:right w:w="0" w:type="dxa"/>
          </w:tcMar>
        </w:tcPr>
        <w:p w:rsidR="00A263CB" w:rsidRPr="00755F22" w:rsidRDefault="00A263CB" w:rsidP="00831CA9">
          <w:pPr>
            <w:keepNext/>
            <w:keepLines/>
            <w:rPr>
              <w:sz w:val="20"/>
              <w:szCs w:val="20"/>
            </w:rPr>
          </w:pPr>
          <w:r w:rsidRPr="00755F22">
            <w:rPr>
              <w:sz w:val="20"/>
              <w:szCs w:val="20"/>
            </w:rPr>
            <w:t>MOTIONS</w:t>
          </w:r>
        </w:p>
      </w:tc>
      <w:tc>
        <w:tcPr>
          <w:tcW w:w="1170" w:type="dxa"/>
          <w:tcMar>
            <w:left w:w="0" w:type="dxa"/>
            <w:right w:w="0" w:type="dxa"/>
          </w:tcMar>
        </w:tcPr>
        <w:p w:rsidR="00A263CB" w:rsidRPr="00755F22" w:rsidRDefault="00A263CB" w:rsidP="00831CA9">
          <w:pPr>
            <w:keepLines/>
            <w:jc w:val="center"/>
            <w:rPr>
              <w:sz w:val="20"/>
              <w:szCs w:val="20"/>
            </w:rPr>
          </w:pPr>
        </w:p>
        <w:p w:rsidR="00A263CB" w:rsidRPr="00755F22" w:rsidRDefault="00A263CB" w:rsidP="00831CA9">
          <w:pPr>
            <w:keepLines/>
            <w:tabs>
              <w:tab w:val="left" w:pos="-1440"/>
              <w:tab w:val="left" w:pos="-720"/>
            </w:tabs>
            <w:jc w:val="center"/>
            <w:rPr>
              <w:sz w:val="20"/>
              <w:szCs w:val="20"/>
            </w:rPr>
          </w:pPr>
        </w:p>
      </w:tc>
      <w:tc>
        <w:tcPr>
          <w:tcW w:w="4080" w:type="dxa"/>
          <w:tcMar>
            <w:left w:w="0" w:type="dxa"/>
            <w:right w:w="0" w:type="dxa"/>
          </w:tcMar>
        </w:tcPr>
        <w:p w:rsidR="00A263CB" w:rsidRPr="00BA6468" w:rsidRDefault="00A263CB" w:rsidP="00BA6468">
          <w:pPr>
            <w:keepLines/>
            <w:rPr>
              <w:sz w:val="20"/>
              <w:szCs w:val="20"/>
              <w:lang w:val="fr-CA"/>
            </w:rPr>
          </w:pPr>
          <w:r w:rsidRPr="00BA6468">
            <w:rPr>
              <w:sz w:val="20"/>
              <w:szCs w:val="20"/>
              <w:lang w:val="fr-CA"/>
            </w:rPr>
            <w:t>REQUÊTES</w:t>
          </w:r>
        </w:p>
      </w:tc>
    </w:tr>
  </w:tbl>
  <w:p w:rsidR="00A263CB" w:rsidRDefault="00A263CB"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50E1B13"/>
    <w:multiLevelType w:val="hybridMultilevel"/>
    <w:tmpl w:val="44446CEC"/>
    <w:lvl w:ilvl="0" w:tplc="EB8E30AA">
      <w:start w:val="1"/>
      <w:numFmt w:val="upperLetter"/>
      <w:lvlText w:val="%1."/>
      <w:lvlJc w:val="left"/>
      <w:pPr>
        <w:ind w:left="876" w:hanging="5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9D1D02"/>
    <w:multiLevelType w:val="hybridMultilevel"/>
    <w:tmpl w:val="C1044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C371A"/>
    <w:multiLevelType w:val="hybridMultilevel"/>
    <w:tmpl w:val="303E36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11D74"/>
    <w:multiLevelType w:val="hybridMultilevel"/>
    <w:tmpl w:val="585C57AA"/>
    <w:lvl w:ilvl="0" w:tplc="614AB85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D1B70"/>
    <w:multiLevelType w:val="hybridMultilevel"/>
    <w:tmpl w:val="FCDE949E"/>
    <w:lvl w:ilvl="0" w:tplc="4DC6FE3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91052"/>
    <w:multiLevelType w:val="hybridMultilevel"/>
    <w:tmpl w:val="7FC2CBF0"/>
    <w:lvl w:ilvl="0" w:tplc="EB84D46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D84249"/>
    <w:multiLevelType w:val="hybridMultilevel"/>
    <w:tmpl w:val="F4562700"/>
    <w:lvl w:ilvl="0" w:tplc="716A4CCC">
      <w:start w:val="1"/>
      <w:numFmt w:val="decimal"/>
      <w:lvlText w:val="%1."/>
      <w:lvlJc w:val="left"/>
      <w:pPr>
        <w:ind w:left="337" w:hanging="360"/>
      </w:pPr>
      <w:rPr>
        <w:rFonts w:hint="default"/>
        <w:b w:val="0"/>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31"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430F0"/>
    <w:multiLevelType w:val="hybridMultilevel"/>
    <w:tmpl w:val="454E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7A01038"/>
    <w:multiLevelType w:val="hybridMultilevel"/>
    <w:tmpl w:val="14C8A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B49D6"/>
    <w:multiLevelType w:val="hybridMultilevel"/>
    <w:tmpl w:val="BE60F65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18"/>
  </w:num>
  <w:num w:numId="10">
    <w:abstractNumId w:val="37"/>
  </w:num>
  <w:num w:numId="11">
    <w:abstractNumId w:val="25"/>
  </w:num>
  <w:num w:numId="12">
    <w:abstractNumId w:val="15"/>
  </w:num>
  <w:num w:numId="13">
    <w:abstractNumId w:val="4"/>
  </w:num>
  <w:num w:numId="14">
    <w:abstractNumId w:val="2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1"/>
  </w:num>
  <w:num w:numId="18">
    <w:abstractNumId w:val="38"/>
  </w:num>
  <w:num w:numId="19">
    <w:abstractNumId w:val="34"/>
  </w:num>
  <w:num w:numId="20">
    <w:abstractNumId w:val="6"/>
  </w:num>
  <w:num w:numId="21">
    <w:abstractNumId w:val="35"/>
  </w:num>
  <w:num w:numId="22">
    <w:abstractNumId w:val="27"/>
  </w:num>
  <w:num w:numId="23">
    <w:abstractNumId w:val="14"/>
  </w:num>
  <w:num w:numId="24">
    <w:abstractNumId w:val="9"/>
  </w:num>
  <w:num w:numId="25">
    <w:abstractNumId w:val="28"/>
  </w:num>
  <w:num w:numId="26">
    <w:abstractNumId w:val="7"/>
  </w:num>
  <w:num w:numId="27">
    <w:abstractNumId w:val="0"/>
  </w:num>
  <w:num w:numId="28">
    <w:abstractNumId w:val="29"/>
  </w:num>
  <w:num w:numId="29">
    <w:abstractNumId w:val="5"/>
  </w:num>
  <w:num w:numId="30">
    <w:abstractNumId w:val="16"/>
  </w:num>
  <w:num w:numId="31">
    <w:abstractNumId w:val="1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3"/>
  </w:num>
  <w:num w:numId="35">
    <w:abstractNumId w:val="12"/>
  </w:num>
  <w:num w:numId="36">
    <w:abstractNumId w:val="36"/>
  </w:num>
  <w:num w:numId="37">
    <w:abstractNumId w:val="3"/>
  </w:num>
  <w:num w:numId="38">
    <w:abstractNumId w:val="26"/>
  </w:num>
  <w:num w:numId="39">
    <w:abstractNumId w:val="13"/>
  </w:num>
  <w:num w:numId="40">
    <w:abstractNumId w:val="11"/>
  </w:num>
  <w:num w:numId="41">
    <w:abstractNumId w:val="32"/>
  </w:num>
  <w:num w:numId="42">
    <w:abstractNumId w:val="40"/>
  </w:num>
  <w:num w:numId="43">
    <w:abstractNumId w:val="30"/>
  </w:num>
  <w:num w:numId="44">
    <w:abstractNumId w:val="2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B3"/>
    <w:rsid w:val="00002704"/>
    <w:rsid w:val="00016C13"/>
    <w:rsid w:val="00020DC3"/>
    <w:rsid w:val="00031F04"/>
    <w:rsid w:val="0003223B"/>
    <w:rsid w:val="000327B2"/>
    <w:rsid w:val="0004528B"/>
    <w:rsid w:val="00051B7A"/>
    <w:rsid w:val="0006014B"/>
    <w:rsid w:val="00064FBA"/>
    <w:rsid w:val="00091FA6"/>
    <w:rsid w:val="00096BD9"/>
    <w:rsid w:val="000B3C9A"/>
    <w:rsid w:val="000B40A2"/>
    <w:rsid w:val="000B4624"/>
    <w:rsid w:val="000C0ACD"/>
    <w:rsid w:val="000C0D2A"/>
    <w:rsid w:val="000C5CE8"/>
    <w:rsid w:val="000E27A5"/>
    <w:rsid w:val="000E2959"/>
    <w:rsid w:val="000E410D"/>
    <w:rsid w:val="000E669C"/>
    <w:rsid w:val="000F0B60"/>
    <w:rsid w:val="00102926"/>
    <w:rsid w:val="0010587F"/>
    <w:rsid w:val="00111C6B"/>
    <w:rsid w:val="0012102B"/>
    <w:rsid w:val="0013369E"/>
    <w:rsid w:val="0013595D"/>
    <w:rsid w:val="00145C6C"/>
    <w:rsid w:val="00164E6D"/>
    <w:rsid w:val="00183454"/>
    <w:rsid w:val="001A3EC4"/>
    <w:rsid w:val="001A5BE7"/>
    <w:rsid w:val="001B157C"/>
    <w:rsid w:val="001B4006"/>
    <w:rsid w:val="001B5C23"/>
    <w:rsid w:val="001D0D5F"/>
    <w:rsid w:val="001D6B8C"/>
    <w:rsid w:val="001F1F83"/>
    <w:rsid w:val="001F40DF"/>
    <w:rsid w:val="001F43F8"/>
    <w:rsid w:val="001F6B2D"/>
    <w:rsid w:val="002021A9"/>
    <w:rsid w:val="00204C45"/>
    <w:rsid w:val="002139A7"/>
    <w:rsid w:val="00215F7C"/>
    <w:rsid w:val="0022323B"/>
    <w:rsid w:val="002410B8"/>
    <w:rsid w:val="00242AEE"/>
    <w:rsid w:val="00245129"/>
    <w:rsid w:val="00245879"/>
    <w:rsid w:val="00253236"/>
    <w:rsid w:val="00267FD5"/>
    <w:rsid w:val="00274D34"/>
    <w:rsid w:val="00283ED8"/>
    <w:rsid w:val="002868D0"/>
    <w:rsid w:val="00293EE1"/>
    <w:rsid w:val="002A008C"/>
    <w:rsid w:val="002A27D1"/>
    <w:rsid w:val="002A4AFA"/>
    <w:rsid w:val="002B516C"/>
    <w:rsid w:val="002D05AC"/>
    <w:rsid w:val="002D72EB"/>
    <w:rsid w:val="002E2327"/>
    <w:rsid w:val="002E3583"/>
    <w:rsid w:val="002E5576"/>
    <w:rsid w:val="002F10B3"/>
    <w:rsid w:val="0030050B"/>
    <w:rsid w:val="0031688C"/>
    <w:rsid w:val="00331B52"/>
    <w:rsid w:val="003359D3"/>
    <w:rsid w:val="00340552"/>
    <w:rsid w:val="00355967"/>
    <w:rsid w:val="0037014B"/>
    <w:rsid w:val="00382C47"/>
    <w:rsid w:val="00384384"/>
    <w:rsid w:val="003866AE"/>
    <w:rsid w:val="003A4DCD"/>
    <w:rsid w:val="003B3977"/>
    <w:rsid w:val="003D7273"/>
    <w:rsid w:val="003E1D4C"/>
    <w:rsid w:val="003E74E5"/>
    <w:rsid w:val="003F22B6"/>
    <w:rsid w:val="003F7C11"/>
    <w:rsid w:val="00411F70"/>
    <w:rsid w:val="004137A0"/>
    <w:rsid w:val="00422D9A"/>
    <w:rsid w:val="00432989"/>
    <w:rsid w:val="00440E24"/>
    <w:rsid w:val="0044776A"/>
    <w:rsid w:val="00457BEA"/>
    <w:rsid w:val="00460AFC"/>
    <w:rsid w:val="0047471F"/>
    <w:rsid w:val="00497F1E"/>
    <w:rsid w:val="004B195E"/>
    <w:rsid w:val="004B66B4"/>
    <w:rsid w:val="004B7F60"/>
    <w:rsid w:val="004C1AAC"/>
    <w:rsid w:val="004C406B"/>
    <w:rsid w:val="004C47AF"/>
    <w:rsid w:val="004E1E0A"/>
    <w:rsid w:val="004F090E"/>
    <w:rsid w:val="00501F3C"/>
    <w:rsid w:val="005071A8"/>
    <w:rsid w:val="0052229C"/>
    <w:rsid w:val="00527CC7"/>
    <w:rsid w:val="0053747B"/>
    <w:rsid w:val="0056248C"/>
    <w:rsid w:val="00571CA4"/>
    <w:rsid w:val="00582136"/>
    <w:rsid w:val="00584503"/>
    <w:rsid w:val="005A5CF9"/>
    <w:rsid w:val="005C6840"/>
    <w:rsid w:val="005D7CC3"/>
    <w:rsid w:val="005F1ED8"/>
    <w:rsid w:val="005F263E"/>
    <w:rsid w:val="005F639A"/>
    <w:rsid w:val="00600252"/>
    <w:rsid w:val="0060154F"/>
    <w:rsid w:val="00612A40"/>
    <w:rsid w:val="006176E6"/>
    <w:rsid w:val="0062714A"/>
    <w:rsid w:val="006468A7"/>
    <w:rsid w:val="00655F00"/>
    <w:rsid w:val="00675479"/>
    <w:rsid w:val="00680709"/>
    <w:rsid w:val="00681F61"/>
    <w:rsid w:val="00696BF9"/>
    <w:rsid w:val="00697C62"/>
    <w:rsid w:val="006A329B"/>
    <w:rsid w:val="006A7EB8"/>
    <w:rsid w:val="006B6926"/>
    <w:rsid w:val="006C3F47"/>
    <w:rsid w:val="006C5F7A"/>
    <w:rsid w:val="006E06AF"/>
    <w:rsid w:val="006E4BEB"/>
    <w:rsid w:val="006F350F"/>
    <w:rsid w:val="00732DB7"/>
    <w:rsid w:val="0074238B"/>
    <w:rsid w:val="00745EF7"/>
    <w:rsid w:val="00755F22"/>
    <w:rsid w:val="00762008"/>
    <w:rsid w:val="007628C7"/>
    <w:rsid w:val="00766E4A"/>
    <w:rsid w:val="007820CE"/>
    <w:rsid w:val="00782AE4"/>
    <w:rsid w:val="00783A68"/>
    <w:rsid w:val="00784366"/>
    <w:rsid w:val="0079724F"/>
    <w:rsid w:val="007A3EAE"/>
    <w:rsid w:val="007C04FC"/>
    <w:rsid w:val="007C0C8A"/>
    <w:rsid w:val="007C3DB0"/>
    <w:rsid w:val="007C47C2"/>
    <w:rsid w:val="007D3E0F"/>
    <w:rsid w:val="007E4282"/>
    <w:rsid w:val="007F387B"/>
    <w:rsid w:val="00802863"/>
    <w:rsid w:val="008112A9"/>
    <w:rsid w:val="0081473A"/>
    <w:rsid w:val="00815B3C"/>
    <w:rsid w:val="0081610A"/>
    <w:rsid w:val="00823760"/>
    <w:rsid w:val="0082783A"/>
    <w:rsid w:val="00831CA9"/>
    <w:rsid w:val="00847A89"/>
    <w:rsid w:val="00850E1F"/>
    <w:rsid w:val="0085476B"/>
    <w:rsid w:val="0086340B"/>
    <w:rsid w:val="00864CB5"/>
    <w:rsid w:val="008902B1"/>
    <w:rsid w:val="00890FEB"/>
    <w:rsid w:val="00895E7E"/>
    <w:rsid w:val="008A5C1A"/>
    <w:rsid w:val="008B7C5B"/>
    <w:rsid w:val="008D292F"/>
    <w:rsid w:val="008E03DC"/>
    <w:rsid w:val="008E09B7"/>
    <w:rsid w:val="008E5030"/>
    <w:rsid w:val="00902E51"/>
    <w:rsid w:val="00907383"/>
    <w:rsid w:val="00913315"/>
    <w:rsid w:val="00924065"/>
    <w:rsid w:val="00930822"/>
    <w:rsid w:val="00930D68"/>
    <w:rsid w:val="00932756"/>
    <w:rsid w:val="00932DB4"/>
    <w:rsid w:val="00941A4B"/>
    <w:rsid w:val="00946242"/>
    <w:rsid w:val="0095096B"/>
    <w:rsid w:val="0095436A"/>
    <w:rsid w:val="009635F1"/>
    <w:rsid w:val="00966CF4"/>
    <w:rsid w:val="00970CD3"/>
    <w:rsid w:val="009723FA"/>
    <w:rsid w:val="00984546"/>
    <w:rsid w:val="00996510"/>
    <w:rsid w:val="009B6D55"/>
    <w:rsid w:val="009D1F15"/>
    <w:rsid w:val="009D555E"/>
    <w:rsid w:val="009F3024"/>
    <w:rsid w:val="009F39BA"/>
    <w:rsid w:val="00A0355E"/>
    <w:rsid w:val="00A263CB"/>
    <w:rsid w:val="00A31E70"/>
    <w:rsid w:val="00A375D1"/>
    <w:rsid w:val="00A44FD6"/>
    <w:rsid w:val="00A51D10"/>
    <w:rsid w:val="00A52A83"/>
    <w:rsid w:val="00A6552C"/>
    <w:rsid w:val="00A87207"/>
    <w:rsid w:val="00A935AA"/>
    <w:rsid w:val="00A956D3"/>
    <w:rsid w:val="00AA18ED"/>
    <w:rsid w:val="00AB2201"/>
    <w:rsid w:val="00AD1D34"/>
    <w:rsid w:val="00AD3259"/>
    <w:rsid w:val="00AF05A8"/>
    <w:rsid w:val="00AF1715"/>
    <w:rsid w:val="00AF29C8"/>
    <w:rsid w:val="00AF3904"/>
    <w:rsid w:val="00B010C0"/>
    <w:rsid w:val="00B034EF"/>
    <w:rsid w:val="00B16A06"/>
    <w:rsid w:val="00B2032C"/>
    <w:rsid w:val="00B21312"/>
    <w:rsid w:val="00B2512D"/>
    <w:rsid w:val="00B36210"/>
    <w:rsid w:val="00B4740D"/>
    <w:rsid w:val="00B564D0"/>
    <w:rsid w:val="00B61629"/>
    <w:rsid w:val="00B71D8C"/>
    <w:rsid w:val="00B7374B"/>
    <w:rsid w:val="00B90C4D"/>
    <w:rsid w:val="00B90DC0"/>
    <w:rsid w:val="00BA116A"/>
    <w:rsid w:val="00BA5582"/>
    <w:rsid w:val="00BA6468"/>
    <w:rsid w:val="00BB1D44"/>
    <w:rsid w:val="00BD06DA"/>
    <w:rsid w:val="00BD4217"/>
    <w:rsid w:val="00BF25F3"/>
    <w:rsid w:val="00C01FCB"/>
    <w:rsid w:val="00C1697B"/>
    <w:rsid w:val="00C21644"/>
    <w:rsid w:val="00C21CB5"/>
    <w:rsid w:val="00C46376"/>
    <w:rsid w:val="00C50A5C"/>
    <w:rsid w:val="00C50FDF"/>
    <w:rsid w:val="00C537CA"/>
    <w:rsid w:val="00C56F3D"/>
    <w:rsid w:val="00C63381"/>
    <w:rsid w:val="00C64C2D"/>
    <w:rsid w:val="00C661B7"/>
    <w:rsid w:val="00C73D06"/>
    <w:rsid w:val="00C73E1B"/>
    <w:rsid w:val="00C7556C"/>
    <w:rsid w:val="00C759B4"/>
    <w:rsid w:val="00C77713"/>
    <w:rsid w:val="00C85BB7"/>
    <w:rsid w:val="00C92DD5"/>
    <w:rsid w:val="00C97158"/>
    <w:rsid w:val="00CA2DEA"/>
    <w:rsid w:val="00CA60FF"/>
    <w:rsid w:val="00CB3520"/>
    <w:rsid w:val="00CB40D5"/>
    <w:rsid w:val="00CB43D5"/>
    <w:rsid w:val="00CC4D84"/>
    <w:rsid w:val="00CE198A"/>
    <w:rsid w:val="00CF08C8"/>
    <w:rsid w:val="00D001E4"/>
    <w:rsid w:val="00D004FC"/>
    <w:rsid w:val="00D20402"/>
    <w:rsid w:val="00D24C0D"/>
    <w:rsid w:val="00D445F5"/>
    <w:rsid w:val="00D51CE5"/>
    <w:rsid w:val="00D56CFB"/>
    <w:rsid w:val="00D64901"/>
    <w:rsid w:val="00D72D79"/>
    <w:rsid w:val="00D76BDF"/>
    <w:rsid w:val="00D818B6"/>
    <w:rsid w:val="00D862C1"/>
    <w:rsid w:val="00D93B50"/>
    <w:rsid w:val="00D94028"/>
    <w:rsid w:val="00D94670"/>
    <w:rsid w:val="00DA00DA"/>
    <w:rsid w:val="00DA46F6"/>
    <w:rsid w:val="00DA756F"/>
    <w:rsid w:val="00DD0B49"/>
    <w:rsid w:val="00DE0502"/>
    <w:rsid w:val="00DE349D"/>
    <w:rsid w:val="00E01131"/>
    <w:rsid w:val="00E06DFA"/>
    <w:rsid w:val="00E20A0A"/>
    <w:rsid w:val="00E240C2"/>
    <w:rsid w:val="00E356C7"/>
    <w:rsid w:val="00E414CA"/>
    <w:rsid w:val="00E41A5A"/>
    <w:rsid w:val="00E45FE4"/>
    <w:rsid w:val="00E56DAC"/>
    <w:rsid w:val="00E64FA7"/>
    <w:rsid w:val="00E75CFD"/>
    <w:rsid w:val="00E770CB"/>
    <w:rsid w:val="00E8544A"/>
    <w:rsid w:val="00E903A1"/>
    <w:rsid w:val="00E940EB"/>
    <w:rsid w:val="00E942C2"/>
    <w:rsid w:val="00E9703F"/>
    <w:rsid w:val="00EA6363"/>
    <w:rsid w:val="00EB1ED5"/>
    <w:rsid w:val="00EB2B90"/>
    <w:rsid w:val="00ED7E83"/>
    <w:rsid w:val="00EE091F"/>
    <w:rsid w:val="00EF4B63"/>
    <w:rsid w:val="00F0068D"/>
    <w:rsid w:val="00F03341"/>
    <w:rsid w:val="00F039E0"/>
    <w:rsid w:val="00F0576D"/>
    <w:rsid w:val="00F14E6D"/>
    <w:rsid w:val="00F15EA8"/>
    <w:rsid w:val="00F16C8D"/>
    <w:rsid w:val="00F26C61"/>
    <w:rsid w:val="00F33CCE"/>
    <w:rsid w:val="00F40249"/>
    <w:rsid w:val="00F50B77"/>
    <w:rsid w:val="00F526C8"/>
    <w:rsid w:val="00F761A3"/>
    <w:rsid w:val="00F9272D"/>
    <w:rsid w:val="00F9518C"/>
    <w:rsid w:val="00FA316E"/>
    <w:rsid w:val="00FA3373"/>
    <w:rsid w:val="00FA59EF"/>
    <w:rsid w:val="00FB19A2"/>
    <w:rsid w:val="00FB4A2E"/>
    <w:rsid w:val="00FD3F6C"/>
    <w:rsid w:val="00FF11DE"/>
    <w:rsid w:val="00FF5DB2"/>
    <w:rsid w:val="00FF67A4"/>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link w:val="ParaNoNdepar-AltNChar"/>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character" w:styleId="FollowedHyperlink">
    <w:name w:val="FollowedHyperlink"/>
    <w:basedOn w:val="DefaultParagraphFont"/>
    <w:uiPriority w:val="99"/>
    <w:semiHidden/>
    <w:unhideWhenUsed/>
    <w:rsid w:val="00D72D79"/>
    <w:rPr>
      <w:color w:val="800080"/>
      <w:u w:val="single"/>
    </w:rPr>
  </w:style>
  <w:style w:type="paragraph" w:customStyle="1" w:styleId="SCCBanSummary">
    <w:name w:val="SCC.BanSummary"/>
    <w:basedOn w:val="Normal"/>
    <w:next w:val="Normal"/>
    <w:link w:val="SCCBanSummaryChar"/>
    <w:rsid w:val="00D72D79"/>
    <w:pPr>
      <w:jc w:val="both"/>
    </w:pPr>
    <w:rPr>
      <w:rFonts w:eastAsia="Calibri" w:cs="Times New Roman"/>
      <w:smallCaps/>
    </w:rPr>
  </w:style>
  <w:style w:type="character" w:customStyle="1" w:styleId="SCCBanSummaryChar">
    <w:name w:val="SCC.BanSummary Char"/>
    <w:basedOn w:val="DefaultParagraphFont"/>
    <w:link w:val="SCCBanSummary"/>
    <w:rsid w:val="00D72D79"/>
    <w:rPr>
      <w:rFonts w:eastAsia="Calibri" w:cs="Times New Roman"/>
      <w:smallCaps/>
      <w:lang w:val="en-CA"/>
    </w:rPr>
  </w:style>
  <w:style w:type="paragraph" w:styleId="NoSpacing">
    <w:name w:val="No Spacing"/>
    <w:uiPriority w:val="1"/>
    <w:qFormat/>
    <w:rsid w:val="00D72D79"/>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D72D79"/>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D72D79"/>
    <w:rPr>
      <w:rFonts w:eastAsia="Calibri" w:cs="Times New Roman"/>
      <w:szCs w:val="24"/>
      <w:lang w:val="en-CA"/>
    </w:rPr>
  </w:style>
  <w:style w:type="paragraph" w:styleId="DocumentMap">
    <w:name w:val="Document Map"/>
    <w:basedOn w:val="Normal"/>
    <w:link w:val="DocumentMapChar"/>
    <w:uiPriority w:val="99"/>
    <w:semiHidden/>
    <w:unhideWhenUsed/>
    <w:rsid w:val="00D72D79"/>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D72D79"/>
    <w:rPr>
      <w:rFonts w:ascii="Tahoma" w:eastAsia="Times New Roman" w:hAnsi="Tahoma" w:cs="Tahoma"/>
      <w:sz w:val="16"/>
      <w:szCs w:val="16"/>
    </w:rPr>
  </w:style>
  <w:style w:type="paragraph" w:customStyle="1" w:styleId="Style268435469">
    <w:name w:val="Style268435469"/>
    <w:rsid w:val="00D72D79"/>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D72D79"/>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72D79"/>
    <w:rPr>
      <w:rFonts w:ascii="Tahoma" w:eastAsia="Times New Roman" w:hAnsi="Tahoma" w:cs="Tahoma"/>
      <w:sz w:val="16"/>
      <w:szCs w:val="16"/>
    </w:rPr>
  </w:style>
  <w:style w:type="paragraph" w:styleId="PlainText">
    <w:name w:val="Plain Text"/>
    <w:basedOn w:val="Normal"/>
    <w:link w:val="PlainTextChar"/>
    <w:uiPriority w:val="99"/>
    <w:semiHidden/>
    <w:unhideWhenUsed/>
    <w:rsid w:val="00D72D79"/>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D72D79"/>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D72D79"/>
    <w:rPr>
      <w:sz w:val="16"/>
      <w:szCs w:val="16"/>
    </w:rPr>
  </w:style>
  <w:style w:type="paragraph" w:styleId="CommentText">
    <w:name w:val="annotation text"/>
    <w:basedOn w:val="Normal"/>
    <w:link w:val="CommentTextChar"/>
    <w:uiPriority w:val="99"/>
    <w:semiHidden/>
    <w:unhideWhenUsed/>
    <w:rsid w:val="00D72D79"/>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D72D7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2D79"/>
    <w:rPr>
      <w:b/>
      <w:bCs/>
    </w:rPr>
  </w:style>
  <w:style w:type="character" w:customStyle="1" w:styleId="CommentSubjectChar">
    <w:name w:val="Comment Subject Char"/>
    <w:basedOn w:val="CommentTextChar"/>
    <w:link w:val="CommentSubject"/>
    <w:uiPriority w:val="99"/>
    <w:semiHidden/>
    <w:rsid w:val="00D72D79"/>
    <w:rPr>
      <w:rFonts w:eastAsia="Times New Roman" w:cs="Times New Roman"/>
      <w:b/>
      <w:bCs/>
      <w:sz w:val="20"/>
      <w:szCs w:val="20"/>
    </w:rPr>
  </w:style>
  <w:style w:type="paragraph" w:customStyle="1" w:styleId="SCCLsocSubfileSeparator">
    <w:name w:val="SCC.Lsoc.SubfileSeparator"/>
    <w:basedOn w:val="Normal"/>
    <w:next w:val="Normal"/>
    <w:link w:val="SCCLsocSubfileSeparatorChar"/>
    <w:rsid w:val="00D72D79"/>
    <w:pPr>
      <w:jc w:val="both"/>
    </w:pPr>
    <w:rPr>
      <w:rFonts w:cs="Times New Roman"/>
      <w:b/>
      <w:szCs w:val="24"/>
    </w:rPr>
  </w:style>
  <w:style w:type="character" w:customStyle="1" w:styleId="SCCLsocSubfileSeparatorChar">
    <w:name w:val="SCC.Lsoc.SubfileSeparator Char"/>
    <w:basedOn w:val="DefaultParagraphFont"/>
    <w:link w:val="SCCLsocSubfileSeparator"/>
    <w:rsid w:val="00D72D79"/>
    <w:rPr>
      <w:rFonts w:cs="Times New Roman"/>
      <w:b/>
      <w:szCs w:val="24"/>
      <w:lang w:val="en-CA"/>
    </w:rPr>
  </w:style>
  <w:style w:type="paragraph" w:customStyle="1" w:styleId="felskynumbering121">
    <w:name w:val="felskynumbering121"/>
    <w:basedOn w:val="Normal"/>
    <w:rsid w:val="00D72D79"/>
    <w:pPr>
      <w:spacing w:after="240"/>
      <w:jc w:val="both"/>
    </w:pPr>
    <w:rPr>
      <w:rFonts w:eastAsia="Times New Roman" w:cs="Times New Roman"/>
      <w:szCs w:val="24"/>
      <w:lang w:val="en-US"/>
    </w:rPr>
  </w:style>
  <w:style w:type="paragraph" w:customStyle="1" w:styleId="SCCAppellantInfoCoram">
    <w:name w:val="SCC.AppellantInfo.Coram"/>
    <w:basedOn w:val="Normal"/>
    <w:next w:val="Normal"/>
    <w:link w:val="SCCAppellantInfoCoramChar"/>
    <w:rsid w:val="0053747B"/>
    <w:rPr>
      <w:b/>
      <w:szCs w:val="24"/>
    </w:rPr>
  </w:style>
  <w:style w:type="character" w:customStyle="1" w:styleId="SCCAppellantInfoCoramChar">
    <w:name w:val="SCC.AppellantInfo.Coram Char"/>
    <w:basedOn w:val="DefaultParagraphFont"/>
    <w:link w:val="SCCAppellantInfoCoram"/>
    <w:rsid w:val="0053747B"/>
    <w:rPr>
      <w:b/>
      <w:szCs w:val="24"/>
      <w:lang w:val="en-CA"/>
    </w:rPr>
  </w:style>
  <w:style w:type="paragraph" w:customStyle="1" w:styleId="SCCAppellantInfoTypeOfCase">
    <w:name w:val="SCC.AppellantInfo.TypeOfCase"/>
    <w:basedOn w:val="Normal"/>
    <w:next w:val="Normal"/>
    <w:link w:val="SCCAppellantInfoTypeOfCaseChar"/>
    <w:rsid w:val="0053747B"/>
    <w:rPr>
      <w:b/>
      <w:szCs w:val="24"/>
    </w:rPr>
  </w:style>
  <w:style w:type="character" w:customStyle="1" w:styleId="SCCAppellantInfoTypeOfCaseChar">
    <w:name w:val="SCC.AppellantInfo.TypeOfCase Char"/>
    <w:basedOn w:val="DefaultParagraphFont"/>
    <w:link w:val="SCCAppellantInfoTypeOfCase"/>
    <w:rsid w:val="0053747B"/>
    <w:rPr>
      <w:b/>
      <w:szCs w:val="24"/>
      <w:lang w:val="en-CA"/>
    </w:rPr>
  </w:style>
  <w:style w:type="character" w:customStyle="1" w:styleId="ParaNoNdepar-AltNChar">
    <w:name w:val="Para. No. / Nº de par. - Alt N Char"/>
    <w:basedOn w:val="DefaultParagraphFont"/>
    <w:link w:val="ParaNoNdepar-AltN"/>
    <w:rsid w:val="003D7273"/>
    <w:rPr>
      <w:rFonts w:eastAsiaTheme="minorEastAsia"/>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2093775413">
      <w:bodyDiv w:val="1"/>
      <w:marLeft w:val="0"/>
      <w:marRight w:val="0"/>
      <w:marTop w:val="0"/>
      <w:marBottom w:val="0"/>
      <w:divBdr>
        <w:top w:val="none" w:sz="0" w:space="0" w:color="auto"/>
        <w:left w:val="none" w:sz="0" w:space="0" w:color="auto"/>
        <w:bottom w:val="none" w:sz="0" w:space="0" w:color="auto"/>
        <w:right w:val="none" w:sz="0" w:space="0" w:color="auto"/>
      </w:divBdr>
      <w:divsChild>
        <w:div w:id="1167942329">
          <w:marLeft w:val="0"/>
          <w:marRight w:val="0"/>
          <w:marTop w:val="0"/>
          <w:marBottom w:val="0"/>
          <w:divBdr>
            <w:top w:val="none" w:sz="0" w:space="0" w:color="auto"/>
            <w:left w:val="none" w:sz="0" w:space="0" w:color="auto"/>
            <w:bottom w:val="none" w:sz="0" w:space="0" w:color="auto"/>
            <w:right w:val="none" w:sz="0" w:space="0" w:color="auto"/>
          </w:divBdr>
          <w:divsChild>
            <w:div w:id="1653831430">
              <w:marLeft w:val="0"/>
              <w:marRight w:val="0"/>
              <w:marTop w:val="0"/>
              <w:marBottom w:val="0"/>
              <w:divBdr>
                <w:top w:val="none" w:sz="0" w:space="0" w:color="auto"/>
                <w:left w:val="none" w:sz="0" w:space="0" w:color="auto"/>
                <w:bottom w:val="none" w:sz="0" w:space="0" w:color="auto"/>
                <w:right w:val="none" w:sz="0" w:space="0" w:color="auto"/>
              </w:divBdr>
              <w:divsChild>
                <w:div w:id="1126195479">
                  <w:marLeft w:val="0"/>
                  <w:marRight w:val="0"/>
                  <w:marTop w:val="0"/>
                  <w:marBottom w:val="0"/>
                  <w:divBdr>
                    <w:top w:val="none" w:sz="0" w:space="0" w:color="auto"/>
                    <w:left w:val="none" w:sz="0" w:space="0" w:color="auto"/>
                    <w:bottom w:val="none" w:sz="0" w:space="0" w:color="auto"/>
                    <w:right w:val="none" w:sz="0" w:space="0" w:color="auto"/>
                  </w:divBdr>
                  <w:divsChild>
                    <w:div w:id="1781488034">
                      <w:marLeft w:val="0"/>
                      <w:marRight w:val="0"/>
                      <w:marTop w:val="0"/>
                      <w:marBottom w:val="0"/>
                      <w:divBdr>
                        <w:top w:val="none" w:sz="0" w:space="0" w:color="auto"/>
                        <w:left w:val="none" w:sz="0" w:space="0" w:color="auto"/>
                        <w:bottom w:val="none" w:sz="0" w:space="0" w:color="auto"/>
                        <w:right w:val="none" w:sz="0" w:space="0" w:color="auto"/>
                      </w:divBdr>
                      <w:divsChild>
                        <w:div w:id="1700816275">
                          <w:marLeft w:val="0"/>
                          <w:marRight w:val="0"/>
                          <w:marTop w:val="0"/>
                          <w:marBottom w:val="0"/>
                          <w:divBdr>
                            <w:top w:val="none" w:sz="0" w:space="0" w:color="auto"/>
                            <w:left w:val="none" w:sz="0" w:space="0" w:color="auto"/>
                            <w:bottom w:val="none" w:sz="0" w:space="0" w:color="auto"/>
                            <w:right w:val="none" w:sz="0" w:space="0" w:color="auto"/>
                          </w:divBdr>
                          <w:divsChild>
                            <w:div w:id="1817068418">
                              <w:marLeft w:val="15"/>
                              <w:marRight w:val="195"/>
                              <w:marTop w:val="0"/>
                              <w:marBottom w:val="0"/>
                              <w:divBdr>
                                <w:top w:val="none" w:sz="0" w:space="0" w:color="auto"/>
                                <w:left w:val="none" w:sz="0" w:space="0" w:color="auto"/>
                                <w:bottom w:val="none" w:sz="0" w:space="0" w:color="auto"/>
                                <w:right w:val="none" w:sz="0" w:space="0" w:color="auto"/>
                              </w:divBdr>
                              <w:divsChild>
                                <w:div w:id="525023699">
                                  <w:marLeft w:val="0"/>
                                  <w:marRight w:val="0"/>
                                  <w:marTop w:val="0"/>
                                  <w:marBottom w:val="0"/>
                                  <w:divBdr>
                                    <w:top w:val="none" w:sz="0" w:space="0" w:color="auto"/>
                                    <w:left w:val="none" w:sz="0" w:space="0" w:color="auto"/>
                                    <w:bottom w:val="none" w:sz="0" w:space="0" w:color="auto"/>
                                    <w:right w:val="none" w:sz="0" w:space="0" w:color="auto"/>
                                  </w:divBdr>
                                  <w:divsChild>
                                    <w:div w:id="1609896769">
                                      <w:marLeft w:val="0"/>
                                      <w:marRight w:val="0"/>
                                      <w:marTop w:val="0"/>
                                      <w:marBottom w:val="0"/>
                                      <w:divBdr>
                                        <w:top w:val="none" w:sz="0" w:space="0" w:color="auto"/>
                                        <w:left w:val="none" w:sz="0" w:space="0" w:color="auto"/>
                                        <w:bottom w:val="none" w:sz="0" w:space="0" w:color="auto"/>
                                        <w:right w:val="none" w:sz="0" w:space="0" w:color="auto"/>
                                      </w:divBdr>
                                      <w:divsChild>
                                        <w:div w:id="558251488">
                                          <w:marLeft w:val="0"/>
                                          <w:marRight w:val="0"/>
                                          <w:marTop w:val="0"/>
                                          <w:marBottom w:val="0"/>
                                          <w:divBdr>
                                            <w:top w:val="none" w:sz="0" w:space="0" w:color="auto"/>
                                            <w:left w:val="none" w:sz="0" w:space="0" w:color="auto"/>
                                            <w:bottom w:val="none" w:sz="0" w:space="0" w:color="auto"/>
                                            <w:right w:val="none" w:sz="0" w:space="0" w:color="auto"/>
                                          </w:divBdr>
                                          <w:divsChild>
                                            <w:div w:id="1323662242">
                                              <w:marLeft w:val="0"/>
                                              <w:marRight w:val="0"/>
                                              <w:marTop w:val="0"/>
                                              <w:marBottom w:val="0"/>
                                              <w:divBdr>
                                                <w:top w:val="none" w:sz="0" w:space="0" w:color="auto"/>
                                                <w:left w:val="none" w:sz="0" w:space="0" w:color="auto"/>
                                                <w:bottom w:val="none" w:sz="0" w:space="0" w:color="auto"/>
                                                <w:right w:val="none" w:sz="0" w:space="0" w:color="auto"/>
                                              </w:divBdr>
                                              <w:divsChild>
                                                <w:div w:id="1272201693">
                                                  <w:marLeft w:val="0"/>
                                                  <w:marRight w:val="0"/>
                                                  <w:marTop w:val="0"/>
                                                  <w:marBottom w:val="0"/>
                                                  <w:divBdr>
                                                    <w:top w:val="none" w:sz="0" w:space="0" w:color="auto"/>
                                                    <w:left w:val="none" w:sz="0" w:space="0" w:color="auto"/>
                                                    <w:bottom w:val="none" w:sz="0" w:space="0" w:color="auto"/>
                                                    <w:right w:val="none" w:sz="0" w:space="0" w:color="auto"/>
                                                  </w:divBdr>
                                                  <w:divsChild>
                                                    <w:div w:id="1537933851">
                                                      <w:marLeft w:val="0"/>
                                                      <w:marRight w:val="0"/>
                                                      <w:marTop w:val="0"/>
                                                      <w:marBottom w:val="0"/>
                                                      <w:divBdr>
                                                        <w:top w:val="none" w:sz="0" w:space="0" w:color="auto"/>
                                                        <w:left w:val="none" w:sz="0" w:space="0" w:color="auto"/>
                                                        <w:bottom w:val="none" w:sz="0" w:space="0" w:color="auto"/>
                                                        <w:right w:val="none" w:sz="0" w:space="0" w:color="auto"/>
                                                      </w:divBdr>
                                                      <w:divsChild>
                                                        <w:div w:id="1880556460">
                                                          <w:marLeft w:val="0"/>
                                                          <w:marRight w:val="0"/>
                                                          <w:marTop w:val="0"/>
                                                          <w:marBottom w:val="0"/>
                                                          <w:divBdr>
                                                            <w:top w:val="none" w:sz="0" w:space="0" w:color="auto"/>
                                                            <w:left w:val="none" w:sz="0" w:space="0" w:color="auto"/>
                                                            <w:bottom w:val="none" w:sz="0" w:space="0" w:color="auto"/>
                                                            <w:right w:val="none" w:sz="0" w:space="0" w:color="auto"/>
                                                          </w:divBdr>
                                                          <w:divsChild>
                                                            <w:div w:id="684793964">
                                                              <w:marLeft w:val="0"/>
                                                              <w:marRight w:val="0"/>
                                                              <w:marTop w:val="0"/>
                                                              <w:marBottom w:val="0"/>
                                                              <w:divBdr>
                                                                <w:top w:val="none" w:sz="0" w:space="0" w:color="auto"/>
                                                                <w:left w:val="none" w:sz="0" w:space="0" w:color="auto"/>
                                                                <w:bottom w:val="none" w:sz="0" w:space="0" w:color="auto"/>
                                                                <w:right w:val="none" w:sz="0" w:space="0" w:color="auto"/>
                                                              </w:divBdr>
                                                              <w:divsChild>
                                                                <w:div w:id="859003187">
                                                                  <w:marLeft w:val="0"/>
                                                                  <w:marRight w:val="0"/>
                                                                  <w:marTop w:val="0"/>
                                                                  <w:marBottom w:val="0"/>
                                                                  <w:divBdr>
                                                                    <w:top w:val="none" w:sz="0" w:space="0" w:color="auto"/>
                                                                    <w:left w:val="none" w:sz="0" w:space="0" w:color="auto"/>
                                                                    <w:bottom w:val="none" w:sz="0" w:space="0" w:color="auto"/>
                                                                    <w:right w:val="none" w:sz="0" w:space="0" w:color="auto"/>
                                                                  </w:divBdr>
                                                                  <w:divsChild>
                                                                    <w:div w:id="253057262">
                                                                      <w:marLeft w:val="405"/>
                                                                      <w:marRight w:val="0"/>
                                                                      <w:marTop w:val="0"/>
                                                                      <w:marBottom w:val="0"/>
                                                                      <w:divBdr>
                                                                        <w:top w:val="none" w:sz="0" w:space="0" w:color="auto"/>
                                                                        <w:left w:val="none" w:sz="0" w:space="0" w:color="auto"/>
                                                                        <w:bottom w:val="none" w:sz="0" w:space="0" w:color="auto"/>
                                                                        <w:right w:val="none" w:sz="0" w:space="0" w:color="auto"/>
                                                                      </w:divBdr>
                                                                      <w:divsChild>
                                                                        <w:div w:id="1454055603">
                                                                          <w:marLeft w:val="0"/>
                                                                          <w:marRight w:val="0"/>
                                                                          <w:marTop w:val="0"/>
                                                                          <w:marBottom w:val="0"/>
                                                                          <w:divBdr>
                                                                            <w:top w:val="none" w:sz="0" w:space="0" w:color="auto"/>
                                                                            <w:left w:val="none" w:sz="0" w:space="0" w:color="auto"/>
                                                                            <w:bottom w:val="none" w:sz="0" w:space="0" w:color="auto"/>
                                                                            <w:right w:val="none" w:sz="0" w:space="0" w:color="auto"/>
                                                                          </w:divBdr>
                                                                          <w:divsChild>
                                                                            <w:div w:id="1353410292">
                                                                              <w:marLeft w:val="0"/>
                                                                              <w:marRight w:val="0"/>
                                                                              <w:marTop w:val="0"/>
                                                                              <w:marBottom w:val="0"/>
                                                                              <w:divBdr>
                                                                                <w:top w:val="none" w:sz="0" w:space="0" w:color="auto"/>
                                                                                <w:left w:val="none" w:sz="0" w:space="0" w:color="auto"/>
                                                                                <w:bottom w:val="none" w:sz="0" w:space="0" w:color="auto"/>
                                                                                <w:right w:val="none" w:sz="0" w:space="0" w:color="auto"/>
                                                                              </w:divBdr>
                                                                              <w:divsChild>
                                                                                <w:div w:id="70005058">
                                                                                  <w:marLeft w:val="0"/>
                                                                                  <w:marRight w:val="0"/>
                                                                                  <w:marTop w:val="60"/>
                                                                                  <w:marBottom w:val="0"/>
                                                                                  <w:divBdr>
                                                                                    <w:top w:val="none" w:sz="0" w:space="0" w:color="auto"/>
                                                                                    <w:left w:val="none" w:sz="0" w:space="0" w:color="auto"/>
                                                                                    <w:bottom w:val="none" w:sz="0" w:space="0" w:color="auto"/>
                                                                                    <w:right w:val="none" w:sz="0" w:space="0" w:color="auto"/>
                                                                                  </w:divBdr>
                                                                                  <w:divsChild>
                                                                                    <w:div w:id="138234108">
                                                                                      <w:marLeft w:val="0"/>
                                                                                      <w:marRight w:val="0"/>
                                                                                      <w:marTop w:val="0"/>
                                                                                      <w:marBottom w:val="0"/>
                                                                                      <w:divBdr>
                                                                                        <w:top w:val="none" w:sz="0" w:space="0" w:color="auto"/>
                                                                                        <w:left w:val="none" w:sz="0" w:space="0" w:color="auto"/>
                                                                                        <w:bottom w:val="none" w:sz="0" w:space="0" w:color="auto"/>
                                                                                        <w:right w:val="none" w:sz="0" w:space="0" w:color="auto"/>
                                                                                      </w:divBdr>
                                                                                      <w:divsChild>
                                                                                        <w:div w:id="866137362">
                                                                                          <w:marLeft w:val="0"/>
                                                                                          <w:marRight w:val="0"/>
                                                                                          <w:marTop w:val="0"/>
                                                                                          <w:marBottom w:val="0"/>
                                                                                          <w:divBdr>
                                                                                            <w:top w:val="none" w:sz="0" w:space="0" w:color="auto"/>
                                                                                            <w:left w:val="none" w:sz="0" w:space="0" w:color="auto"/>
                                                                                            <w:bottom w:val="none" w:sz="0" w:space="0" w:color="auto"/>
                                                                                            <w:right w:val="none" w:sz="0" w:space="0" w:color="auto"/>
                                                                                          </w:divBdr>
                                                                                          <w:divsChild>
                                                                                            <w:div w:id="1798405747">
                                                                                              <w:marLeft w:val="0"/>
                                                                                              <w:marRight w:val="0"/>
                                                                                              <w:marTop w:val="0"/>
                                                                                              <w:marBottom w:val="0"/>
                                                                                              <w:divBdr>
                                                                                                <w:top w:val="none" w:sz="0" w:space="0" w:color="auto"/>
                                                                                                <w:left w:val="none" w:sz="0" w:space="0" w:color="auto"/>
                                                                                                <w:bottom w:val="none" w:sz="0" w:space="0" w:color="auto"/>
                                                                                                <w:right w:val="none" w:sz="0" w:space="0" w:color="auto"/>
                                                                                              </w:divBdr>
                                                                                              <w:divsChild>
                                                                                                <w:div w:id="456262489">
                                                                                                  <w:marLeft w:val="0"/>
                                                                                                  <w:marRight w:val="0"/>
                                                                                                  <w:marTop w:val="0"/>
                                                                                                  <w:marBottom w:val="0"/>
                                                                                                  <w:divBdr>
                                                                                                    <w:top w:val="none" w:sz="0" w:space="0" w:color="auto"/>
                                                                                                    <w:left w:val="none" w:sz="0" w:space="0" w:color="auto"/>
                                                                                                    <w:bottom w:val="none" w:sz="0" w:space="0" w:color="auto"/>
                                                                                                    <w:right w:val="none" w:sz="0" w:space="0" w:color="auto"/>
                                                                                                  </w:divBdr>
                                                                                                  <w:divsChild>
                                                                                                    <w:div w:id="414937557">
                                                                                                      <w:marLeft w:val="0"/>
                                                                                                      <w:marRight w:val="0"/>
                                                                                                      <w:marTop w:val="0"/>
                                                                                                      <w:marBottom w:val="0"/>
                                                                                                      <w:divBdr>
                                                                                                        <w:top w:val="none" w:sz="0" w:space="0" w:color="auto"/>
                                                                                                        <w:left w:val="none" w:sz="0" w:space="0" w:color="auto"/>
                                                                                                        <w:bottom w:val="none" w:sz="0" w:space="0" w:color="auto"/>
                                                                                                        <w:right w:val="none" w:sz="0" w:space="0" w:color="auto"/>
                                                                                                      </w:divBdr>
                                                                                                      <w:divsChild>
                                                                                                        <w:div w:id="633293419">
                                                                                                          <w:marLeft w:val="0"/>
                                                                                                          <w:marRight w:val="0"/>
                                                                                                          <w:marTop w:val="0"/>
                                                                                                          <w:marBottom w:val="0"/>
                                                                                                          <w:divBdr>
                                                                                                            <w:top w:val="none" w:sz="0" w:space="0" w:color="auto"/>
                                                                                                            <w:left w:val="none" w:sz="0" w:space="0" w:color="auto"/>
                                                                                                            <w:bottom w:val="none" w:sz="0" w:space="0" w:color="auto"/>
                                                                                                            <w:right w:val="none" w:sz="0" w:space="0" w:color="auto"/>
                                                                                                          </w:divBdr>
                                                                                                          <w:divsChild>
                                                                                                            <w:div w:id="1019702154">
                                                                                                              <w:marLeft w:val="0"/>
                                                                                                              <w:marRight w:val="0"/>
                                                                                                              <w:marTop w:val="0"/>
                                                                                                              <w:marBottom w:val="0"/>
                                                                                                              <w:divBdr>
                                                                                                                <w:top w:val="none" w:sz="0" w:space="0" w:color="auto"/>
                                                                                                                <w:left w:val="none" w:sz="0" w:space="0" w:color="auto"/>
                                                                                                                <w:bottom w:val="none" w:sz="0" w:space="0" w:color="auto"/>
                                                                                                                <w:right w:val="none" w:sz="0" w:space="0" w:color="auto"/>
                                                                                                              </w:divBdr>
                                                                                                              <w:divsChild>
                                                                                                                <w:div w:id="64034619">
                                                                                                                  <w:marLeft w:val="0"/>
                                                                                                                  <w:marRight w:val="0"/>
                                                                                                                  <w:marTop w:val="0"/>
                                                                                                                  <w:marBottom w:val="0"/>
                                                                                                                  <w:divBdr>
                                                                                                                    <w:top w:val="none" w:sz="0" w:space="0" w:color="auto"/>
                                                                                                                    <w:left w:val="none" w:sz="0" w:space="0" w:color="auto"/>
                                                                                                                    <w:bottom w:val="none" w:sz="0" w:space="0" w:color="auto"/>
                                                                                                                    <w:right w:val="none" w:sz="0" w:space="0" w:color="auto"/>
                                                                                                                  </w:divBdr>
                                                                                                                  <w:divsChild>
                                                                                                                    <w:div w:id="38165600">
                                                                                                                      <w:marLeft w:val="0"/>
                                                                                                                      <w:marRight w:val="0"/>
                                                                                                                      <w:marTop w:val="0"/>
                                                                                                                      <w:marBottom w:val="0"/>
                                                                                                                      <w:divBdr>
                                                                                                                        <w:top w:val="none" w:sz="0" w:space="0" w:color="auto"/>
                                                                                                                        <w:left w:val="none" w:sz="0" w:space="0" w:color="auto"/>
                                                                                                                        <w:bottom w:val="none" w:sz="0" w:space="0" w:color="auto"/>
                                                                                                                        <w:right w:val="none" w:sz="0" w:space="0" w:color="auto"/>
                                                                                                                      </w:divBdr>
                                                                                                                      <w:divsChild>
                                                                                                                        <w:div w:id="886450909">
                                                                                                                          <w:marLeft w:val="0"/>
                                                                                                                          <w:marRight w:val="0"/>
                                                                                                                          <w:marTop w:val="0"/>
                                                                                                                          <w:marBottom w:val="0"/>
                                                                                                                          <w:divBdr>
                                                                                                                            <w:top w:val="none" w:sz="0" w:space="0" w:color="auto"/>
                                                                                                                            <w:left w:val="none" w:sz="0" w:space="0" w:color="auto"/>
                                                                                                                            <w:bottom w:val="none" w:sz="0" w:space="0" w:color="auto"/>
                                                                                                                            <w:right w:val="none" w:sz="0" w:space="0" w:color="auto"/>
                                                                                                                          </w:divBdr>
                                                                                                                          <w:divsChild>
                                                                                                                            <w:div w:id="4957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sk/skca/doc/2016/2016skca161/2016skca161.html?resultIndex=1" TargetMode="External"/><Relationship Id="rId117" Type="http://schemas.openxmlformats.org/officeDocument/2006/relationships/theme" Target="theme/theme1.xml"/><Relationship Id="rId21" Type="http://schemas.openxmlformats.org/officeDocument/2006/relationships/hyperlink" Target="http://www.canlii.org/en/on/onca/doc/2016/2016onca917/2016onca917.html?searchUrlHash=AAAAAAAAAAEAFzIwMTUgT05TQyA0NDAwIChDYW5MSUkpAAAAAQANLzIwMTVvbnNjNDQwMAE&amp;resultIndex=1" TargetMode="External"/><Relationship Id="rId42" Type="http://schemas.openxmlformats.org/officeDocument/2006/relationships/hyperlink" Target="https://www.canlii.org/en/on/onca/doc/2017/2017onca16/2017onca16.pdf" TargetMode="External"/><Relationship Id="rId47" Type="http://schemas.openxmlformats.org/officeDocument/2006/relationships/hyperlink" Target="http://www.canlii.org/en/ca/fct/doc/2015/2015fc932/2015fc932.html?autocompleteStr=2015%20FC%20932&amp;autocompletePos=1" TargetMode="External"/><Relationship Id="rId63" Type="http://schemas.openxmlformats.org/officeDocument/2006/relationships/hyperlink" Target="http://canlii.ca/t/gh4g0" TargetMode="External"/><Relationship Id="rId68" Type="http://schemas.openxmlformats.org/officeDocument/2006/relationships/hyperlink" Target="http://canlii.ca/t/gww44" TargetMode="External"/><Relationship Id="rId84" Type="http://schemas.openxmlformats.org/officeDocument/2006/relationships/footer" Target="footer12.xml"/><Relationship Id="rId89" Type="http://schemas.openxmlformats.org/officeDocument/2006/relationships/footer" Target="footer14.xml"/><Relationship Id="rId112" Type="http://schemas.openxmlformats.org/officeDocument/2006/relationships/header" Target="header25.xml"/><Relationship Id="rId16" Type="http://schemas.openxmlformats.org/officeDocument/2006/relationships/header" Target="header4.xml"/><Relationship Id="rId107" Type="http://schemas.openxmlformats.org/officeDocument/2006/relationships/hyperlink" Target="http://www.scc-csc.ca/case-dossier/info/sum-som-fra.aspx?cas=36703" TargetMode="External"/><Relationship Id="rId11" Type="http://schemas.openxmlformats.org/officeDocument/2006/relationships/footer" Target="footer1.xml"/><Relationship Id="rId24" Type="http://schemas.openxmlformats.org/officeDocument/2006/relationships/hyperlink" Target="http://www.canlii.org/en/sk/skca/doc/2016/2016skca161/2016skca161.html?resultIndex=1" TargetMode="External"/><Relationship Id="rId32" Type="http://schemas.openxmlformats.org/officeDocument/2006/relationships/hyperlink" Target="https://www.canlii.org/en/on/onca/doc/2016/2016onca951/2016onca951.html?resultIndex=1" TargetMode="External"/><Relationship Id="rId37" Type="http://schemas.openxmlformats.org/officeDocument/2006/relationships/hyperlink" Target="http://canlii.ca/t/gtvcc" TargetMode="External"/><Relationship Id="rId40" Type="http://schemas.openxmlformats.org/officeDocument/2006/relationships/hyperlink" Target="http://canlii.ca/t/gtvcc" TargetMode="External"/><Relationship Id="rId45" Type="http://schemas.openxmlformats.org/officeDocument/2006/relationships/hyperlink" Target="http://www.canlii.org/en/ca/fct/doc/2015/2015fc932/2015fc932.html?autocompleteStr=2015%20FC%20932&amp;autocompletePos=1" TargetMode="External"/><Relationship Id="rId53" Type="http://schemas.openxmlformats.org/officeDocument/2006/relationships/hyperlink" Target="2015%20ABQB%20621" TargetMode="External"/><Relationship Id="rId58" Type="http://schemas.openxmlformats.org/officeDocument/2006/relationships/hyperlink" Target="https://www.canlii.org/en/on/onca/doc/2017/2017onca53/2017onca53.html?searchUrlHash=AAAAAAAAAAEAFzIwMTUgT05TQyA0ODU1IChDYW5MSUkpAAAAAQANLzIwMTVvbnNjNDg1NQE&amp;resultIndex=1" TargetMode="External"/><Relationship Id="rId66" Type="http://schemas.openxmlformats.org/officeDocument/2006/relationships/hyperlink" Target="http://canlii.ca/t/gh4g0" TargetMode="External"/><Relationship Id="rId74" Type="http://schemas.openxmlformats.org/officeDocument/2006/relationships/footer" Target="footer7.xml"/><Relationship Id="rId79" Type="http://schemas.openxmlformats.org/officeDocument/2006/relationships/header" Target="header10.xml"/><Relationship Id="rId87" Type="http://schemas.openxmlformats.org/officeDocument/2006/relationships/header" Target="header14.xml"/><Relationship Id="rId102" Type="http://schemas.openxmlformats.org/officeDocument/2006/relationships/footer" Target="footer20.xml"/><Relationship Id="rId110" Type="http://schemas.openxmlformats.org/officeDocument/2006/relationships/footer" Target="footer23.xml"/><Relationship Id="rId115" Type="http://schemas.openxmlformats.org/officeDocument/2006/relationships/footer" Target="footer26.xml"/><Relationship Id="rId5" Type="http://schemas.openxmlformats.org/officeDocument/2006/relationships/footnotes" Target="footnotes.xml"/><Relationship Id="rId61" Type="http://schemas.openxmlformats.org/officeDocument/2006/relationships/hyperlink" Target="https://www.canlii.org/en/on/onca/doc/2017/2017onca53/2017onca53.html?searchUrlHash=AAAAAAAAAAEAFzIwMTUgT05TQyA0ODU1IChDYW5MSUkpAAAAAQANLzIwMTVvbnNjNDg1NQE&amp;resultIndex=1" TargetMode="External"/><Relationship Id="rId82" Type="http://schemas.openxmlformats.org/officeDocument/2006/relationships/header" Target="header12.xml"/><Relationship Id="rId90" Type="http://schemas.openxmlformats.org/officeDocument/2006/relationships/footer" Target="footer15.xml"/><Relationship Id="rId95" Type="http://schemas.openxmlformats.org/officeDocument/2006/relationships/header" Target="header18.xml"/><Relationship Id="rId19" Type="http://schemas.openxmlformats.org/officeDocument/2006/relationships/hyperlink" Target="http://www.canlii.org/en/on/onca/doc/2016/2016onca917/2016onca917.html?searchUrlHash=AAAAAAAAAAEAFzIwMTUgT05TQyA0NDAwIChDYW5MSUkpAAAAAQANLzIwMTVvbnNjNDQwMAE&amp;resultIndex=1" TargetMode="External"/><Relationship Id="rId14" Type="http://schemas.openxmlformats.org/officeDocument/2006/relationships/header" Target="header3.xml"/><Relationship Id="rId22" Type="http://schemas.openxmlformats.org/officeDocument/2006/relationships/hyperlink" Target="http://www.canlii.org/en/sk/laws/stat/rss-1978-c-t-17/latest/rss-1978-c-t-17.html" TargetMode="External"/><Relationship Id="rId27" Type="http://schemas.openxmlformats.org/officeDocument/2006/relationships/hyperlink" Target="http://www.canlii.org/en/ca/fct/doc/2016/2016fc14/2016fc14.html?autocompleteStr=2016%20FC%2014&amp;autocompletePos=1" TargetMode="External"/><Relationship Id="rId30" Type="http://schemas.openxmlformats.org/officeDocument/2006/relationships/hyperlink" Target="http://www.canlii.org/en/ca/fca/doc/2016/2016fca274/2016fca274.html?autocompleteStr=2016%20FCA%20274&amp;autocompletePos=1" TargetMode="External"/><Relationship Id="rId35" Type="http://schemas.openxmlformats.org/officeDocument/2006/relationships/hyperlink" Target="http://canlii.ca/t/gll07" TargetMode="External"/><Relationship Id="rId43" Type="http://schemas.openxmlformats.org/officeDocument/2006/relationships/hyperlink" Target="https://www.canlii.org/en/on/onsc/doc/2015/2015onsc6560/2015onsc6560.pdf" TargetMode="External"/><Relationship Id="rId48" Type="http://schemas.openxmlformats.org/officeDocument/2006/relationships/hyperlink" Target="http://www.canlii.org/en/ca/fca/doc/2016/2016fca280/2016fca280.html?autocompleteStr=2016%20FCA%20280&amp;autocompletePos=1" TargetMode="External"/><Relationship Id="rId56" Type="http://schemas.openxmlformats.org/officeDocument/2006/relationships/hyperlink" Target="https://www.canlii.org/en/ab/abca/doc/2017/2017abca1/2017abca1.html?autocompleteStr=2017%20ABCA%201&amp;autocompletePos=1" TargetMode="External"/><Relationship Id="rId64" Type="http://schemas.openxmlformats.org/officeDocument/2006/relationships/hyperlink" Target="http://canlii.ca/t/gjwft" TargetMode="External"/><Relationship Id="rId69" Type="http://schemas.openxmlformats.org/officeDocument/2006/relationships/header" Target="header5.xml"/><Relationship Id="rId77" Type="http://schemas.openxmlformats.org/officeDocument/2006/relationships/footer" Target="footer8.xml"/><Relationship Id="rId100" Type="http://schemas.openxmlformats.org/officeDocument/2006/relationships/header" Target="header20.xml"/><Relationship Id="rId105" Type="http://schemas.openxmlformats.org/officeDocument/2006/relationships/footer" Target="footer22.xml"/><Relationship Id="rId113" Type="http://schemas.openxmlformats.org/officeDocument/2006/relationships/footer" Target="footer25.xml"/><Relationship Id="rId8" Type="http://schemas.openxmlformats.org/officeDocument/2006/relationships/hyperlink" Target="http://www.scc-csc.ca" TargetMode="External"/><Relationship Id="rId51" Type="http://schemas.openxmlformats.org/officeDocument/2006/relationships/hyperlink" Target="https://www.canlii.org/fr/qc/qccs/doc/2015/2015qccs3135/2015qccs3135.pdf" TargetMode="External"/><Relationship Id="rId72" Type="http://schemas.openxmlformats.org/officeDocument/2006/relationships/footer" Target="footer6.xml"/><Relationship Id="rId80" Type="http://schemas.openxmlformats.org/officeDocument/2006/relationships/footer" Target="footer10.xml"/><Relationship Id="rId85" Type="http://schemas.openxmlformats.org/officeDocument/2006/relationships/header" Target="header13.xml"/><Relationship Id="rId93" Type="http://schemas.openxmlformats.org/officeDocument/2006/relationships/hyperlink" Target="http://www.scc-csc.ca/case-dossier/info/sum-som-eng.aspx?cas=37120" TargetMode="External"/><Relationship Id="rId98" Type="http://schemas.openxmlformats.org/officeDocument/2006/relationships/header" Target="header19.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canlii.org/en/sk/skqb/doc/2015/2015skqb222/2015skqb222.html?resultIndex=1" TargetMode="External"/><Relationship Id="rId33" Type="http://schemas.openxmlformats.org/officeDocument/2006/relationships/hyperlink" Target="https://www.canlii.org/en/on/onsc/doc/2016/2016onsc2518/2016onsc2518.html?resultIndex=1" TargetMode="External"/><Relationship Id="rId38" Type="http://schemas.openxmlformats.org/officeDocument/2006/relationships/hyperlink" Target="http://canlii.ca/t/gll07" TargetMode="External"/><Relationship Id="rId46" Type="http://schemas.openxmlformats.org/officeDocument/2006/relationships/hyperlink" Target="http://www.canlii.org/en/ca/fca/doc/2016/2016fca280/2016fca280.html?autocompleteStr=2016%20FCA%20280&amp;autocompletePos=1" TargetMode="External"/><Relationship Id="rId59" Type="http://schemas.openxmlformats.org/officeDocument/2006/relationships/hyperlink" Target="https://www.canlii.org/en/on/onca/doc/2017/2017onca53/2017onca53.html?autocompleteStr=2017%20onca%2053&amp;autocompletePos=1" TargetMode="External"/><Relationship Id="rId67" Type="http://schemas.openxmlformats.org/officeDocument/2006/relationships/hyperlink" Target="http://canlii.ca/t/gjwft" TargetMode="External"/><Relationship Id="rId103" Type="http://schemas.openxmlformats.org/officeDocument/2006/relationships/footer" Target="footer21.xml"/><Relationship Id="rId108" Type="http://schemas.openxmlformats.org/officeDocument/2006/relationships/header" Target="header23.xml"/><Relationship Id="rId116" Type="http://schemas.openxmlformats.org/officeDocument/2006/relationships/fontTable" Target="fontTable.xml"/><Relationship Id="rId20" Type="http://schemas.openxmlformats.org/officeDocument/2006/relationships/hyperlink" Target="http://www.canlii.org/en/on/onsc/doc/2015/2015onsc4400/2015onsc4400.html?autocompleteStr=2015%20onsc%204400&amp;autocompletePos=1" TargetMode="External"/><Relationship Id="rId41" Type="http://schemas.openxmlformats.org/officeDocument/2006/relationships/hyperlink" Target="https://www.canlii.org/en/on/onsc/doc/2015/2015onsc6560/2015onsc6560.pdf" TargetMode="External"/><Relationship Id="rId54" Type="http://schemas.openxmlformats.org/officeDocument/2006/relationships/hyperlink" Target="https://www.canlii.org/en/ab/abca/doc/2017/2017abca1/2017abca1.html?autocompleteStr=2017%20ABCA%201&amp;autocompletePos=1" TargetMode="External"/><Relationship Id="rId62" Type="http://schemas.openxmlformats.org/officeDocument/2006/relationships/hyperlink" Target="https://www.canlii.org/en/on/onca/doc/2017/2017onca53/2017onca53.html?autocompleteStr=2017%20onca%2053&amp;autocompletePos=1" TargetMode="External"/><Relationship Id="rId70" Type="http://schemas.openxmlformats.org/officeDocument/2006/relationships/header" Target="header6.xml"/><Relationship Id="rId75" Type="http://schemas.openxmlformats.org/officeDocument/2006/relationships/header" Target="header8.xml"/><Relationship Id="rId83" Type="http://schemas.openxmlformats.org/officeDocument/2006/relationships/footer" Target="footer11.xml"/><Relationship Id="rId88" Type="http://schemas.openxmlformats.org/officeDocument/2006/relationships/header" Target="header15.xml"/><Relationship Id="rId91" Type="http://schemas.openxmlformats.org/officeDocument/2006/relationships/header" Target="header16.xml"/><Relationship Id="rId96" Type="http://schemas.openxmlformats.org/officeDocument/2006/relationships/footer" Target="footer17.xml"/><Relationship Id="rId111"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canlii.org/en/sk/skqb/doc/2015/2015skqb222/2015skqb222.html?resultIndex=1" TargetMode="External"/><Relationship Id="rId28" Type="http://schemas.openxmlformats.org/officeDocument/2006/relationships/hyperlink" Target="http://www.canlii.org/en/ca/fca/doc/2016/2016fca274/2016fca274.html?autocompleteStr=2016%20FCA%20274&amp;autocompletePos=1" TargetMode="External"/><Relationship Id="rId36" Type="http://schemas.openxmlformats.org/officeDocument/2006/relationships/hyperlink" Target="http://canlii.ca/t/gmj6t" TargetMode="External"/><Relationship Id="rId49" Type="http://schemas.openxmlformats.org/officeDocument/2006/relationships/hyperlink" Target="https://www.canlii.org/fr/qc/qccs/doc/2015/2015qccs3135/2015qccs3135.pdf" TargetMode="External"/><Relationship Id="rId57" Type="http://schemas.openxmlformats.org/officeDocument/2006/relationships/hyperlink" Target="https://www.canlii.org/en/on/onsc/doc/2015/2015onsc4855/2015onsc4855.html" TargetMode="External"/><Relationship Id="rId106" Type="http://schemas.openxmlformats.org/officeDocument/2006/relationships/hyperlink" Target="http://www.scc-csc.ca/case-dossier/info/sum-som-fra.aspx?cas=36783" TargetMode="External"/><Relationship Id="rId114" Type="http://schemas.openxmlformats.org/officeDocument/2006/relationships/header" Target="header26.xml"/><Relationship Id="rId10" Type="http://schemas.openxmlformats.org/officeDocument/2006/relationships/header" Target="header1.xml"/><Relationship Id="rId31" Type="http://schemas.openxmlformats.org/officeDocument/2006/relationships/hyperlink" Target="https://www.canlii.org/en/on/onsc/doc/2016/2016onsc2518/2016onsc2518.html?resultIndex=1" TargetMode="External"/><Relationship Id="rId44" Type="http://schemas.openxmlformats.org/officeDocument/2006/relationships/hyperlink" Target="https://www.canlii.org/en/on/onca/doc/2017/2017onca16/2017onca16.pdf" TargetMode="External"/><Relationship Id="rId52" Type="http://schemas.openxmlformats.org/officeDocument/2006/relationships/hyperlink" Target="https://www.canlii.org/fr/qc/qcca/doc/2016/2016qcca1803/2016qcca1803.pdf" TargetMode="External"/><Relationship Id="rId60" Type="http://schemas.openxmlformats.org/officeDocument/2006/relationships/hyperlink" Target="https://www.canlii.org/en/on/onsc/doc/2015/2015onsc4855/2015onsc4855.html" TargetMode="External"/><Relationship Id="rId65" Type="http://schemas.openxmlformats.org/officeDocument/2006/relationships/hyperlink" Target="http://canlii.ca/t/gww44" TargetMode="External"/><Relationship Id="rId73" Type="http://schemas.openxmlformats.org/officeDocument/2006/relationships/header" Target="header7.xml"/><Relationship Id="rId78" Type="http://schemas.openxmlformats.org/officeDocument/2006/relationships/footer" Target="footer9.xml"/><Relationship Id="rId81" Type="http://schemas.openxmlformats.org/officeDocument/2006/relationships/header" Target="header11.xml"/><Relationship Id="rId86" Type="http://schemas.openxmlformats.org/officeDocument/2006/relationships/footer" Target="footer13.xml"/><Relationship Id="rId94" Type="http://schemas.openxmlformats.org/officeDocument/2006/relationships/header" Target="header17.xml"/><Relationship Id="rId99" Type="http://schemas.openxmlformats.org/officeDocument/2006/relationships/footer" Target="footer19.xml"/><Relationship Id="rId10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www.canlii.org/en/on/onsc/doc/2015/2015onsc4400/2015onsc4400.html?autocompleteStr=2015%20onsc%204400&amp;autocompletePos=1" TargetMode="External"/><Relationship Id="rId39" Type="http://schemas.openxmlformats.org/officeDocument/2006/relationships/hyperlink" Target="http://canlii.ca/t/gmj6t" TargetMode="External"/><Relationship Id="rId109" Type="http://schemas.openxmlformats.org/officeDocument/2006/relationships/header" Target="header24.xml"/><Relationship Id="rId34" Type="http://schemas.openxmlformats.org/officeDocument/2006/relationships/hyperlink" Target="https://www.canlii.org/en/on/onca/doc/2016/2016onca951/2016onca951.html?resultIndex=1" TargetMode="External"/><Relationship Id="rId50" Type="http://schemas.openxmlformats.org/officeDocument/2006/relationships/hyperlink" Target="https://www.canlii.org/fr/qc/qcca/doc/2016/2016qcca1803/2016qcca1803.pdf" TargetMode="External"/><Relationship Id="rId55" Type="http://schemas.openxmlformats.org/officeDocument/2006/relationships/hyperlink" Target="file:///C:\Users\Roger%20Caron\Documents\Documents%20Word\Traduction%20juridique%20(clients)\Cour%20supr&#234;me%20du%20Canada\Mandat%20170502-1\2015%20ABQB%20621" TargetMode="External"/><Relationship Id="rId76" Type="http://schemas.openxmlformats.org/officeDocument/2006/relationships/header" Target="header9.xml"/><Relationship Id="rId97" Type="http://schemas.openxmlformats.org/officeDocument/2006/relationships/footer" Target="footer18.xml"/><Relationship Id="rId104" Type="http://schemas.openxmlformats.org/officeDocument/2006/relationships/header" Target="header22.xml"/><Relationship Id="rId7" Type="http://schemas.openxmlformats.org/officeDocument/2006/relationships/image" Target="media/image1.wmf"/><Relationship Id="rId71" Type="http://schemas.openxmlformats.org/officeDocument/2006/relationships/footer" Target="footer5.xml"/><Relationship Id="rId92" Type="http://schemas.openxmlformats.org/officeDocument/2006/relationships/footer" Target="footer16.xml"/><Relationship Id="rId2" Type="http://schemas.openxmlformats.org/officeDocument/2006/relationships/styles" Target="styles.xml"/><Relationship Id="rId29" Type="http://schemas.openxmlformats.org/officeDocument/2006/relationships/hyperlink" Target="http://www.canlii.org/en/ca/fct/doc/2016/2016fc14/2016fc14.html?autocompleteStr=2016%20FC%2014&amp;autocompletePo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48</Pages>
  <Words>21170</Words>
  <Characters>120670</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2017-05-29T13:19:00Z</dcterms:created>
  <dcterms:modified xsi:type="dcterms:W3CDTF">2017-09-18T17:05:00Z</dcterms:modified>
</cp:coreProperties>
</file>