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133C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133C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133C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133C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133CB"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133C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133CB"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5133CB">
              <w:fldChar w:fldCharType="begin"/>
            </w:r>
            <w:r w:rsidR="005133CB" w:rsidRPr="005133CB">
              <w:rPr>
                <w:lang w:val="fr-CA"/>
              </w:rPr>
              <w:instrText xml:space="preserve"> HYPERLINK "http://www.scc-csc.ca" </w:instrText>
            </w:r>
            <w:r w:rsidR="005133CB">
              <w:fldChar w:fldCharType="separate"/>
            </w:r>
            <w:r w:rsidR="0081473A" w:rsidRPr="00DB53DA">
              <w:rPr>
                <w:rStyle w:val="Hyperlink"/>
                <w:rFonts w:ascii="Arial" w:hAnsi="Arial" w:cs="Arial"/>
                <w:i/>
                <w:sz w:val="20"/>
                <w:szCs w:val="20"/>
                <w:lang w:val="fr-CA"/>
              </w:rPr>
              <w:t>www.scc-csc.ca</w:t>
            </w:r>
            <w:r w:rsidR="005133CB">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11CAF" w:rsidP="00F0068D">
      <w:pPr>
        <w:pBdr>
          <w:bottom w:val="single" w:sz="6" w:space="1" w:color="auto"/>
        </w:pBdr>
        <w:tabs>
          <w:tab w:val="center" w:pos="4680"/>
          <w:tab w:val="right" w:pos="9360"/>
        </w:tabs>
        <w:rPr>
          <w:lang w:val="fr-CA"/>
        </w:rPr>
      </w:pPr>
      <w:r>
        <w:rPr>
          <w:lang w:val="fr-CA"/>
        </w:rPr>
        <w:t>July 14</w:t>
      </w:r>
      <w:r w:rsidR="00440E24" w:rsidRPr="00675479">
        <w:rPr>
          <w:lang w:val="fr-CA"/>
        </w:rPr>
        <w:t>, 201</w:t>
      </w:r>
      <w:r w:rsidR="00E8544A">
        <w:rPr>
          <w:lang w:val="fr-CA"/>
        </w:rPr>
        <w:t>7</w:t>
      </w:r>
      <w:r w:rsidR="00F0068D" w:rsidRPr="00675479">
        <w:rPr>
          <w:lang w:val="fr-CA"/>
        </w:rPr>
        <w:tab/>
      </w:r>
      <w:r>
        <w:rPr>
          <w:lang w:val="fr-CA"/>
        </w:rPr>
        <w:t>1116</w:t>
      </w:r>
      <w:r w:rsidR="00F0068D" w:rsidRPr="00675479">
        <w:rPr>
          <w:lang w:val="fr-CA"/>
        </w:rPr>
        <w:t xml:space="preserve"> - </w:t>
      </w:r>
      <w:r w:rsidR="001539BC">
        <w:rPr>
          <w:lang w:val="fr-CA"/>
        </w:rPr>
        <w:t>1131</w:t>
      </w:r>
      <w:r w:rsidR="00440E24" w:rsidRPr="00675479">
        <w:rPr>
          <w:lang w:val="fr-CA"/>
        </w:rPr>
        <w:tab/>
      </w:r>
      <w:r w:rsidR="00440E24" w:rsidRPr="002E2327">
        <w:rPr>
          <w:lang w:val="fr-CA"/>
        </w:rPr>
        <w:t>Le</w:t>
      </w:r>
      <w:r w:rsidR="00C73D06">
        <w:rPr>
          <w:lang w:val="fr-CA"/>
        </w:rPr>
        <w:t xml:space="preserve"> </w:t>
      </w:r>
      <w:r>
        <w:rPr>
          <w:lang w:val="fr-CA"/>
        </w:rPr>
        <w:t>14 juillet</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5D3F4C">
            <w:pPr>
              <w:tabs>
                <w:tab w:val="right" w:pos="9360"/>
              </w:tabs>
              <w:rPr>
                <w:rFonts w:cs="Times New Roman"/>
                <w:sz w:val="20"/>
                <w:szCs w:val="20"/>
              </w:rPr>
            </w:pPr>
          </w:p>
        </w:tc>
        <w:tc>
          <w:tcPr>
            <w:tcW w:w="1980" w:type="dxa"/>
          </w:tcPr>
          <w:p w:rsidR="0095096B" w:rsidRPr="002E2327" w:rsidRDefault="001539BC" w:rsidP="0095096B">
            <w:pPr>
              <w:jc w:val="center"/>
              <w:rPr>
                <w:rFonts w:cs="Times New Roman"/>
                <w:sz w:val="20"/>
                <w:szCs w:val="20"/>
              </w:rPr>
            </w:pPr>
            <w:r>
              <w:rPr>
                <w:rFonts w:cs="Times New Roman"/>
                <w:sz w:val="20"/>
                <w:szCs w:val="20"/>
              </w:rPr>
              <w:t>1116</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539BC" w:rsidP="0095096B">
            <w:pPr>
              <w:jc w:val="center"/>
              <w:rPr>
                <w:rFonts w:cs="Times New Roman"/>
                <w:sz w:val="20"/>
                <w:szCs w:val="20"/>
              </w:rPr>
            </w:pPr>
            <w:r>
              <w:rPr>
                <w:rFonts w:cs="Times New Roman"/>
                <w:sz w:val="20"/>
                <w:szCs w:val="20"/>
              </w:rPr>
              <w:t>1117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539BC" w:rsidP="0095096B">
            <w:pPr>
              <w:jc w:val="center"/>
              <w:rPr>
                <w:rFonts w:cs="Times New Roman"/>
                <w:sz w:val="20"/>
                <w:szCs w:val="20"/>
              </w:rPr>
            </w:pPr>
            <w:r>
              <w:rPr>
                <w:rFonts w:cs="Times New Roman"/>
                <w:sz w:val="20"/>
                <w:szCs w:val="20"/>
              </w:rPr>
              <w:t xml:space="preserve">1118 </w:t>
            </w:r>
            <w:r w:rsidR="0095096B" w:rsidRPr="002E2327">
              <w:rPr>
                <w:rFonts w:cs="Times New Roman"/>
                <w:sz w:val="20"/>
                <w:szCs w:val="20"/>
              </w:rPr>
              <w:t>-</w:t>
            </w:r>
            <w:r>
              <w:rPr>
                <w:rFonts w:cs="Times New Roman"/>
                <w:sz w:val="20"/>
                <w:szCs w:val="20"/>
              </w:rPr>
              <w:t xml:space="preserve"> 1124</w:t>
            </w:r>
          </w:p>
          <w:p w:rsidR="0095096B" w:rsidRDefault="0095096B" w:rsidP="0095096B">
            <w:pPr>
              <w:jc w:val="center"/>
              <w:rPr>
                <w:rFonts w:cs="Times New Roman"/>
                <w:sz w:val="20"/>
                <w:szCs w:val="20"/>
              </w:rPr>
            </w:pPr>
          </w:p>
          <w:p w:rsidR="00183D35" w:rsidRPr="002E2327" w:rsidRDefault="00183D35" w:rsidP="0095096B">
            <w:pPr>
              <w:jc w:val="center"/>
              <w:rPr>
                <w:rFonts w:cs="Times New Roman"/>
                <w:sz w:val="20"/>
                <w:szCs w:val="20"/>
              </w:rPr>
            </w:pPr>
          </w:p>
          <w:p w:rsidR="0095096B" w:rsidRPr="002E2327" w:rsidRDefault="001539BC" w:rsidP="0095096B">
            <w:pPr>
              <w:jc w:val="center"/>
              <w:rPr>
                <w:rFonts w:cs="Times New Roman"/>
                <w:sz w:val="20"/>
                <w:szCs w:val="20"/>
              </w:rPr>
            </w:pPr>
            <w:r>
              <w:rPr>
                <w:rFonts w:cs="Times New Roman"/>
                <w:sz w:val="20"/>
                <w:szCs w:val="20"/>
              </w:rPr>
              <w:t xml:space="preserve">1125 </w:t>
            </w:r>
            <w:r w:rsidR="0095096B" w:rsidRPr="002E2327">
              <w:rPr>
                <w:rFonts w:cs="Times New Roman"/>
                <w:sz w:val="20"/>
                <w:szCs w:val="20"/>
              </w:rPr>
              <w:t>-</w:t>
            </w:r>
            <w:r>
              <w:rPr>
                <w:rFonts w:cs="Times New Roman"/>
                <w:sz w:val="20"/>
                <w:szCs w:val="20"/>
              </w:rPr>
              <w:t xml:space="preserve"> 1126</w:t>
            </w:r>
          </w:p>
          <w:p w:rsidR="0095096B" w:rsidRPr="002E2327" w:rsidRDefault="0095096B" w:rsidP="0095096B">
            <w:pPr>
              <w:jc w:val="center"/>
              <w:rPr>
                <w:rFonts w:cs="Times New Roman"/>
                <w:sz w:val="20"/>
                <w:szCs w:val="20"/>
              </w:rPr>
            </w:pPr>
          </w:p>
          <w:p w:rsidR="0095096B" w:rsidRPr="002E2327" w:rsidRDefault="001539BC" w:rsidP="0095096B">
            <w:pPr>
              <w:jc w:val="center"/>
              <w:rPr>
                <w:rFonts w:cs="Times New Roman"/>
                <w:sz w:val="20"/>
                <w:szCs w:val="20"/>
              </w:rPr>
            </w:pPr>
            <w:r>
              <w:rPr>
                <w:rFonts w:cs="Times New Roman"/>
                <w:sz w:val="20"/>
                <w:szCs w:val="20"/>
              </w:rPr>
              <w:t>1127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539BC" w:rsidP="0095096B">
            <w:pPr>
              <w:jc w:val="center"/>
              <w:rPr>
                <w:rFonts w:cs="Times New Roman"/>
                <w:sz w:val="20"/>
                <w:szCs w:val="20"/>
              </w:rPr>
            </w:pPr>
            <w:r>
              <w:rPr>
                <w:rFonts w:cs="Times New Roman"/>
                <w:sz w:val="20"/>
                <w:szCs w:val="20"/>
              </w:rPr>
              <w:t xml:space="preserve">1128 </w:t>
            </w:r>
            <w:r w:rsidR="0095096B" w:rsidRPr="002E2327">
              <w:rPr>
                <w:rFonts w:cs="Times New Roman"/>
                <w:sz w:val="20"/>
                <w:szCs w:val="20"/>
              </w:rPr>
              <w:t>-</w:t>
            </w:r>
            <w:r>
              <w:rPr>
                <w:rFonts w:cs="Times New Roman"/>
                <w:sz w:val="20"/>
                <w:szCs w:val="20"/>
              </w:rPr>
              <w:t xml:space="preserve"> 1131</w:t>
            </w:r>
          </w:p>
          <w:p w:rsidR="0095096B" w:rsidRPr="002E2327" w:rsidRDefault="0095096B" w:rsidP="0095096B">
            <w:pPr>
              <w:jc w:val="center"/>
              <w:rPr>
                <w:rFonts w:cs="Times New Roman"/>
                <w:sz w:val="20"/>
                <w:szCs w:val="20"/>
              </w:rPr>
            </w:pPr>
          </w:p>
          <w:p w:rsidR="00A87207" w:rsidRPr="002E2327" w:rsidRDefault="00A87207" w:rsidP="00183D35">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5D3F4C">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133C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411CAF" w:rsidRDefault="006A34A7" w:rsidP="005F1ED8">
            <w:pPr>
              <w:rPr>
                <w:b/>
                <w:sz w:val="20"/>
                <w:szCs w:val="20"/>
              </w:rPr>
            </w:pPr>
            <w:r>
              <w:rPr>
                <w:b/>
                <w:sz w:val="20"/>
                <w:szCs w:val="20"/>
              </w:rPr>
              <w:t>Serena Oh</w:t>
            </w:r>
          </w:p>
          <w:p w:rsidR="006A34A7" w:rsidRDefault="006A34A7" w:rsidP="005F1ED8">
            <w:pPr>
              <w:rPr>
                <w:sz w:val="20"/>
                <w:szCs w:val="20"/>
              </w:rPr>
            </w:pPr>
            <w:r>
              <w:rPr>
                <w:b/>
                <w:sz w:val="20"/>
                <w:szCs w:val="20"/>
              </w:rPr>
              <w:tab/>
            </w:r>
            <w:r>
              <w:rPr>
                <w:sz w:val="20"/>
                <w:szCs w:val="20"/>
              </w:rPr>
              <w:t>Serena Oh</w:t>
            </w:r>
          </w:p>
          <w:p w:rsidR="006A34A7" w:rsidRDefault="006A34A7" w:rsidP="005F1ED8">
            <w:pPr>
              <w:rPr>
                <w:sz w:val="20"/>
                <w:szCs w:val="20"/>
              </w:rPr>
            </w:pPr>
          </w:p>
          <w:p w:rsidR="006A34A7" w:rsidRPr="006A34A7" w:rsidRDefault="006A34A7" w:rsidP="005F1ED8">
            <w:pPr>
              <w:rPr>
                <w:sz w:val="20"/>
                <w:szCs w:val="20"/>
              </w:rPr>
            </w:pPr>
            <w:r>
              <w:rPr>
                <w:sz w:val="20"/>
                <w:szCs w:val="20"/>
              </w:rPr>
              <w:tab/>
              <w:t>v. (37649)</w:t>
            </w:r>
          </w:p>
          <w:p w:rsidR="00411CAF" w:rsidRDefault="00411CAF" w:rsidP="005F1ED8">
            <w:pPr>
              <w:rPr>
                <w:b/>
                <w:sz w:val="20"/>
                <w:szCs w:val="20"/>
              </w:rPr>
            </w:pPr>
          </w:p>
          <w:p w:rsidR="00411CAF" w:rsidRDefault="006A34A7" w:rsidP="005F1ED8">
            <w:pPr>
              <w:rPr>
                <w:b/>
                <w:sz w:val="20"/>
                <w:szCs w:val="20"/>
              </w:rPr>
            </w:pPr>
            <w:r>
              <w:rPr>
                <w:b/>
                <w:sz w:val="20"/>
                <w:szCs w:val="20"/>
              </w:rPr>
              <w:t>City of Langley et al. (B.C.)</w:t>
            </w:r>
          </w:p>
          <w:p w:rsidR="006A34A7" w:rsidRDefault="006A34A7" w:rsidP="005F1ED8">
            <w:pPr>
              <w:rPr>
                <w:sz w:val="20"/>
                <w:szCs w:val="20"/>
              </w:rPr>
            </w:pPr>
            <w:r>
              <w:rPr>
                <w:sz w:val="20"/>
                <w:szCs w:val="20"/>
              </w:rPr>
              <w:tab/>
              <w:t>Francesca V. Marzari</w:t>
            </w:r>
          </w:p>
          <w:p w:rsidR="006A34A7" w:rsidRPr="006A34A7" w:rsidRDefault="006A34A7" w:rsidP="005F1ED8">
            <w:pPr>
              <w:rPr>
                <w:sz w:val="20"/>
                <w:szCs w:val="20"/>
              </w:rPr>
            </w:pPr>
            <w:r>
              <w:rPr>
                <w:sz w:val="20"/>
                <w:szCs w:val="20"/>
              </w:rPr>
              <w:tab/>
              <w:t>Young, Anderson</w:t>
            </w:r>
          </w:p>
          <w:p w:rsidR="00411CAF" w:rsidRDefault="00411CAF" w:rsidP="005F1ED8">
            <w:pPr>
              <w:rPr>
                <w:b/>
                <w:sz w:val="20"/>
                <w:szCs w:val="20"/>
              </w:rPr>
            </w:pPr>
          </w:p>
          <w:p w:rsidR="00411CAF" w:rsidRDefault="006A34A7" w:rsidP="005F1ED8">
            <w:pPr>
              <w:rPr>
                <w:b/>
                <w:sz w:val="20"/>
                <w:szCs w:val="20"/>
              </w:rPr>
            </w:pPr>
            <w:r>
              <w:rPr>
                <w:sz w:val="20"/>
                <w:szCs w:val="20"/>
              </w:rPr>
              <w:t>FILING DATE: 23.03.2017</w:t>
            </w:r>
          </w:p>
          <w:p w:rsidR="00C21644" w:rsidRDefault="005133CB" w:rsidP="005F1ED8">
            <w:pPr>
              <w:rPr>
                <w:sz w:val="20"/>
                <w:szCs w:val="20"/>
                <w:lang w:val="fr-CA"/>
              </w:rPr>
            </w:pPr>
            <w:r>
              <w:rPr>
                <w:sz w:val="20"/>
                <w:szCs w:val="20"/>
                <w:lang w:val="fr-CA"/>
              </w:rPr>
              <w:pict>
                <v:rect id="_x0000_i1025" style="width:108pt;height:1pt" o:hrpct="0" o:hralign="center" o:hrstd="t" o:hrnoshade="t" o:hr="t" fillcolor="black [3213]" stroked="f"/>
              </w:pict>
            </w:r>
          </w:p>
          <w:p w:rsidR="006A34A7" w:rsidRPr="00A935AA" w:rsidRDefault="006A34A7"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6A34A7" w:rsidP="00E8544A">
            <w:pPr>
              <w:rPr>
                <w:b/>
                <w:sz w:val="20"/>
                <w:szCs w:val="20"/>
                <w:lang w:val="en-US"/>
              </w:rPr>
            </w:pPr>
            <w:r>
              <w:rPr>
                <w:b/>
                <w:sz w:val="20"/>
                <w:szCs w:val="20"/>
                <w:lang w:val="en-US"/>
              </w:rPr>
              <w:t>Andrew Clifford Miracle</w:t>
            </w:r>
          </w:p>
          <w:p w:rsidR="006A34A7" w:rsidRDefault="006A34A7" w:rsidP="00E8544A">
            <w:pPr>
              <w:rPr>
                <w:sz w:val="20"/>
                <w:szCs w:val="20"/>
                <w:lang w:val="en-US"/>
              </w:rPr>
            </w:pPr>
            <w:r>
              <w:rPr>
                <w:b/>
                <w:sz w:val="20"/>
                <w:szCs w:val="20"/>
                <w:lang w:val="en-US"/>
              </w:rPr>
              <w:tab/>
            </w:r>
            <w:r>
              <w:rPr>
                <w:sz w:val="20"/>
                <w:szCs w:val="20"/>
                <w:lang w:val="en-US"/>
              </w:rPr>
              <w:t>Andrew Clifford Miracle</w:t>
            </w:r>
          </w:p>
          <w:p w:rsidR="006A34A7" w:rsidRDefault="006A34A7" w:rsidP="00E8544A">
            <w:pPr>
              <w:rPr>
                <w:sz w:val="20"/>
                <w:szCs w:val="20"/>
                <w:lang w:val="en-US"/>
              </w:rPr>
            </w:pPr>
          </w:p>
          <w:p w:rsidR="006A34A7" w:rsidRDefault="006A34A7" w:rsidP="00E8544A">
            <w:pPr>
              <w:rPr>
                <w:sz w:val="20"/>
                <w:szCs w:val="20"/>
                <w:lang w:val="en-US"/>
              </w:rPr>
            </w:pPr>
            <w:r>
              <w:rPr>
                <w:sz w:val="20"/>
                <w:szCs w:val="20"/>
                <w:lang w:val="en-US"/>
              </w:rPr>
              <w:tab/>
              <w:t>v. (37631)</w:t>
            </w:r>
          </w:p>
          <w:p w:rsidR="006A34A7" w:rsidRDefault="006A34A7" w:rsidP="00E8544A">
            <w:pPr>
              <w:rPr>
                <w:sz w:val="20"/>
                <w:szCs w:val="20"/>
                <w:lang w:val="en-US"/>
              </w:rPr>
            </w:pPr>
          </w:p>
          <w:p w:rsidR="006A34A7" w:rsidRDefault="006A34A7" w:rsidP="00E8544A">
            <w:pPr>
              <w:rPr>
                <w:b/>
                <w:sz w:val="20"/>
                <w:szCs w:val="20"/>
                <w:lang w:val="en-US"/>
              </w:rPr>
            </w:pPr>
            <w:r>
              <w:rPr>
                <w:b/>
                <w:sz w:val="20"/>
                <w:szCs w:val="20"/>
                <w:lang w:val="en-US"/>
              </w:rPr>
              <w:t>Her Majesty the Queen et al. (Ont.)</w:t>
            </w:r>
          </w:p>
          <w:p w:rsidR="006A34A7" w:rsidRDefault="006A34A7" w:rsidP="00E8544A">
            <w:pPr>
              <w:rPr>
                <w:sz w:val="20"/>
                <w:szCs w:val="20"/>
                <w:lang w:val="en-US"/>
              </w:rPr>
            </w:pPr>
            <w:r>
              <w:rPr>
                <w:sz w:val="20"/>
                <w:szCs w:val="20"/>
                <w:lang w:val="en-US"/>
              </w:rPr>
              <w:tab/>
              <w:t>Michael McCulloch</w:t>
            </w:r>
          </w:p>
          <w:p w:rsidR="006A34A7" w:rsidRDefault="006A34A7" w:rsidP="00E8544A">
            <w:pPr>
              <w:rPr>
                <w:sz w:val="20"/>
                <w:szCs w:val="20"/>
                <w:lang w:val="en-US"/>
              </w:rPr>
            </w:pPr>
            <w:r>
              <w:rPr>
                <w:sz w:val="20"/>
                <w:szCs w:val="20"/>
                <w:lang w:val="en-US"/>
              </w:rPr>
              <w:tab/>
              <w:t>Department of Justice Canada</w:t>
            </w:r>
          </w:p>
          <w:p w:rsidR="006A34A7" w:rsidRDefault="006A34A7" w:rsidP="00E8544A">
            <w:pPr>
              <w:rPr>
                <w:sz w:val="20"/>
                <w:szCs w:val="20"/>
                <w:lang w:val="en-US"/>
              </w:rPr>
            </w:pPr>
          </w:p>
          <w:p w:rsidR="006A34A7" w:rsidRDefault="006A34A7" w:rsidP="00E8544A">
            <w:pPr>
              <w:rPr>
                <w:sz w:val="20"/>
                <w:szCs w:val="20"/>
                <w:lang w:val="en-US"/>
              </w:rPr>
            </w:pPr>
            <w:r>
              <w:rPr>
                <w:sz w:val="20"/>
                <w:szCs w:val="20"/>
                <w:lang w:val="en-US"/>
              </w:rPr>
              <w:t>FILING DATE: 27.04.2017</w:t>
            </w:r>
          </w:p>
          <w:p w:rsidR="006A34A7" w:rsidRPr="006A34A7" w:rsidRDefault="005133CB" w:rsidP="00E8544A">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7C58A9" w:rsidTr="003B3977">
        <w:tc>
          <w:tcPr>
            <w:tcW w:w="4320" w:type="dxa"/>
            <w:shd w:val="clear" w:color="auto" w:fill="auto"/>
          </w:tcPr>
          <w:p w:rsidR="00C21644" w:rsidRDefault="006A34A7" w:rsidP="003B3977">
            <w:pPr>
              <w:rPr>
                <w:b/>
                <w:sz w:val="20"/>
                <w:szCs w:val="20"/>
              </w:rPr>
            </w:pPr>
            <w:r>
              <w:rPr>
                <w:b/>
                <w:sz w:val="20"/>
                <w:szCs w:val="20"/>
              </w:rPr>
              <w:t>Katherine Lin</w:t>
            </w:r>
          </w:p>
          <w:p w:rsidR="006A34A7" w:rsidRDefault="006A34A7" w:rsidP="003B3977">
            <w:pPr>
              <w:rPr>
                <w:sz w:val="20"/>
                <w:szCs w:val="20"/>
              </w:rPr>
            </w:pPr>
            <w:r>
              <w:rPr>
                <w:sz w:val="20"/>
                <w:szCs w:val="20"/>
              </w:rPr>
              <w:tab/>
              <w:t>Katherine Lin</w:t>
            </w:r>
          </w:p>
          <w:p w:rsidR="006A34A7" w:rsidRDefault="006A34A7" w:rsidP="003B3977">
            <w:pPr>
              <w:rPr>
                <w:sz w:val="20"/>
                <w:szCs w:val="20"/>
              </w:rPr>
            </w:pPr>
          </w:p>
          <w:p w:rsidR="006A34A7" w:rsidRDefault="006A34A7" w:rsidP="003B3977">
            <w:pPr>
              <w:rPr>
                <w:sz w:val="20"/>
                <w:szCs w:val="20"/>
              </w:rPr>
            </w:pPr>
            <w:r>
              <w:rPr>
                <w:sz w:val="20"/>
                <w:szCs w:val="20"/>
              </w:rPr>
              <w:tab/>
              <w:t>v. (37629)</w:t>
            </w:r>
          </w:p>
          <w:p w:rsidR="006A34A7" w:rsidRDefault="006A34A7" w:rsidP="003B3977">
            <w:pPr>
              <w:rPr>
                <w:sz w:val="20"/>
                <w:szCs w:val="20"/>
              </w:rPr>
            </w:pPr>
          </w:p>
          <w:p w:rsidR="006A34A7" w:rsidRPr="006A34A7" w:rsidRDefault="006A34A7" w:rsidP="003B3977">
            <w:pPr>
              <w:rPr>
                <w:b/>
                <w:sz w:val="20"/>
                <w:szCs w:val="20"/>
                <w:lang w:val="fr-CA"/>
              </w:rPr>
            </w:pPr>
            <w:r w:rsidRPr="006A34A7">
              <w:rPr>
                <w:b/>
                <w:sz w:val="20"/>
                <w:szCs w:val="20"/>
                <w:lang w:val="fr-CA"/>
              </w:rPr>
              <w:t>Ombudsman Ontario et al. (Ont.)</w:t>
            </w:r>
          </w:p>
          <w:p w:rsidR="006A34A7" w:rsidRPr="00205684" w:rsidRDefault="006A34A7" w:rsidP="003B3977">
            <w:pPr>
              <w:rPr>
                <w:sz w:val="20"/>
                <w:szCs w:val="20"/>
                <w:lang w:val="en-US"/>
              </w:rPr>
            </w:pPr>
            <w:r>
              <w:rPr>
                <w:sz w:val="20"/>
                <w:szCs w:val="20"/>
                <w:lang w:val="fr-CA"/>
              </w:rPr>
              <w:tab/>
            </w:r>
            <w:r w:rsidRPr="00205684">
              <w:rPr>
                <w:sz w:val="20"/>
                <w:szCs w:val="20"/>
                <w:lang w:val="en-US"/>
              </w:rPr>
              <w:t>Robin Bates</w:t>
            </w:r>
          </w:p>
          <w:p w:rsidR="006A34A7" w:rsidRPr="00205684" w:rsidRDefault="006A34A7" w:rsidP="003B3977">
            <w:pPr>
              <w:rPr>
                <w:sz w:val="20"/>
                <w:szCs w:val="20"/>
                <w:lang w:val="en-US"/>
              </w:rPr>
            </w:pPr>
            <w:r w:rsidRPr="00205684">
              <w:rPr>
                <w:sz w:val="20"/>
                <w:szCs w:val="20"/>
                <w:lang w:val="en-US"/>
              </w:rPr>
              <w:tab/>
              <w:t>Office of the Ombudsman</w:t>
            </w:r>
          </w:p>
          <w:p w:rsidR="006A34A7" w:rsidRPr="00205684" w:rsidRDefault="006A34A7" w:rsidP="003B3977">
            <w:pPr>
              <w:rPr>
                <w:sz w:val="20"/>
                <w:szCs w:val="20"/>
                <w:lang w:val="en-US"/>
              </w:rPr>
            </w:pPr>
          </w:p>
          <w:p w:rsidR="006A34A7" w:rsidRDefault="006A34A7" w:rsidP="003B3977">
            <w:pPr>
              <w:rPr>
                <w:sz w:val="20"/>
                <w:szCs w:val="20"/>
                <w:lang w:val="fr-CA"/>
              </w:rPr>
            </w:pPr>
            <w:r>
              <w:rPr>
                <w:sz w:val="20"/>
                <w:szCs w:val="20"/>
                <w:lang w:val="fr-CA"/>
              </w:rPr>
              <w:t>FILING DATE : 06.06.2017</w:t>
            </w:r>
          </w:p>
          <w:p w:rsidR="006A34A7" w:rsidRDefault="005133CB" w:rsidP="003B3977">
            <w:pPr>
              <w:rPr>
                <w:sz w:val="20"/>
                <w:szCs w:val="20"/>
                <w:lang w:val="fr-CA"/>
              </w:rPr>
            </w:pPr>
            <w:r>
              <w:rPr>
                <w:sz w:val="20"/>
                <w:szCs w:val="20"/>
                <w:lang w:val="fr-CA"/>
              </w:rPr>
              <w:pict>
                <v:rect id="_x0000_i1027" style="width:108pt;height:1pt" o:hrpct="0" o:hralign="center" o:hrstd="t" o:hrnoshade="t" o:hr="t" fillcolor="black [3213]" stroked="f"/>
              </w:pict>
            </w:r>
          </w:p>
          <w:p w:rsidR="006A34A7" w:rsidRPr="006A34A7" w:rsidRDefault="006A34A7" w:rsidP="003B3977">
            <w:pPr>
              <w:rPr>
                <w:sz w:val="20"/>
                <w:szCs w:val="20"/>
                <w:lang w:val="fr-CA"/>
              </w:rPr>
            </w:pPr>
          </w:p>
        </w:tc>
        <w:tc>
          <w:tcPr>
            <w:tcW w:w="1181" w:type="dxa"/>
            <w:shd w:val="clear" w:color="auto" w:fill="auto"/>
          </w:tcPr>
          <w:p w:rsidR="00C21644" w:rsidRPr="006A34A7" w:rsidRDefault="00C21644" w:rsidP="00242AEE">
            <w:pPr>
              <w:jc w:val="center"/>
              <w:rPr>
                <w:sz w:val="20"/>
                <w:szCs w:val="20"/>
                <w:lang w:val="fr-CA"/>
              </w:rPr>
            </w:pPr>
          </w:p>
        </w:tc>
        <w:tc>
          <w:tcPr>
            <w:tcW w:w="4320" w:type="dxa"/>
            <w:shd w:val="clear" w:color="auto" w:fill="auto"/>
          </w:tcPr>
          <w:p w:rsidR="00A236E8" w:rsidRPr="00A236E8" w:rsidRDefault="00775565" w:rsidP="00A236E8">
            <w:pPr>
              <w:rPr>
                <w:b/>
                <w:sz w:val="20"/>
                <w:szCs w:val="20"/>
                <w:lang w:val="fr-CA"/>
              </w:rPr>
            </w:pPr>
            <w:proofErr w:type="spellStart"/>
            <w:r>
              <w:rPr>
                <w:b/>
                <w:sz w:val="20"/>
                <w:szCs w:val="20"/>
                <w:lang w:val="fr-CA"/>
              </w:rPr>
              <w:t>V</w:t>
            </w:r>
            <w:r w:rsidR="00A236E8" w:rsidRPr="00A236E8">
              <w:rPr>
                <w:b/>
                <w:sz w:val="20"/>
                <w:szCs w:val="20"/>
                <w:lang w:val="fr-CA"/>
              </w:rPr>
              <w:t>eena</w:t>
            </w:r>
            <w:proofErr w:type="spellEnd"/>
            <w:r w:rsidR="00A236E8" w:rsidRPr="00A236E8">
              <w:rPr>
                <w:b/>
                <w:sz w:val="20"/>
                <w:szCs w:val="20"/>
                <w:lang w:val="fr-CA"/>
              </w:rPr>
              <w:t xml:space="preserve"> Malhotra</w:t>
            </w:r>
          </w:p>
          <w:p w:rsidR="00A236E8" w:rsidRPr="00A236E8" w:rsidRDefault="00A236E8" w:rsidP="00A236E8">
            <w:pPr>
              <w:rPr>
                <w:sz w:val="20"/>
                <w:szCs w:val="20"/>
                <w:lang w:val="fr-CA"/>
              </w:rPr>
            </w:pPr>
            <w:r w:rsidRPr="00A236E8">
              <w:rPr>
                <w:b/>
                <w:sz w:val="20"/>
                <w:szCs w:val="20"/>
                <w:lang w:val="fr-CA"/>
              </w:rPr>
              <w:tab/>
            </w:r>
            <w:proofErr w:type="spellStart"/>
            <w:r w:rsidRPr="00A236E8">
              <w:rPr>
                <w:sz w:val="20"/>
                <w:szCs w:val="20"/>
                <w:lang w:val="fr-CA"/>
              </w:rPr>
              <w:t>Veena</w:t>
            </w:r>
            <w:proofErr w:type="spellEnd"/>
            <w:r w:rsidRPr="00A236E8">
              <w:rPr>
                <w:sz w:val="20"/>
                <w:szCs w:val="20"/>
                <w:lang w:val="fr-CA"/>
              </w:rPr>
              <w:t xml:space="preserve"> Malhotra </w:t>
            </w:r>
          </w:p>
          <w:p w:rsidR="00A236E8" w:rsidRPr="00A236E8" w:rsidRDefault="00A236E8" w:rsidP="00A236E8">
            <w:pPr>
              <w:rPr>
                <w:sz w:val="20"/>
                <w:szCs w:val="20"/>
                <w:lang w:val="fr-CA"/>
              </w:rPr>
            </w:pPr>
          </w:p>
          <w:p w:rsidR="00A236E8" w:rsidRPr="00A236E8" w:rsidRDefault="00A236E8" w:rsidP="00A236E8">
            <w:pPr>
              <w:rPr>
                <w:sz w:val="20"/>
                <w:szCs w:val="20"/>
                <w:lang w:val="fr-CA"/>
              </w:rPr>
            </w:pPr>
            <w:r w:rsidRPr="00A236E8">
              <w:rPr>
                <w:sz w:val="20"/>
                <w:szCs w:val="20"/>
                <w:lang w:val="fr-CA"/>
              </w:rPr>
              <w:tab/>
              <w:t>v. (37651)</w:t>
            </w:r>
          </w:p>
          <w:p w:rsidR="00A236E8" w:rsidRPr="00A236E8" w:rsidRDefault="00A236E8" w:rsidP="00A236E8">
            <w:pPr>
              <w:rPr>
                <w:sz w:val="20"/>
                <w:szCs w:val="20"/>
                <w:lang w:val="fr-CA"/>
              </w:rPr>
            </w:pPr>
          </w:p>
          <w:p w:rsidR="00A236E8" w:rsidRDefault="00A236E8" w:rsidP="00A236E8">
            <w:pPr>
              <w:rPr>
                <w:b/>
                <w:sz w:val="20"/>
                <w:szCs w:val="20"/>
                <w:lang w:val="en-US"/>
              </w:rPr>
            </w:pPr>
            <w:r>
              <w:rPr>
                <w:b/>
                <w:sz w:val="20"/>
                <w:szCs w:val="20"/>
                <w:lang w:val="en-US"/>
              </w:rPr>
              <w:t>Paul Stunt (Ont.)</w:t>
            </w:r>
          </w:p>
          <w:p w:rsidR="00A236E8" w:rsidRDefault="00A236E8" w:rsidP="00A236E8">
            <w:pPr>
              <w:rPr>
                <w:sz w:val="20"/>
                <w:szCs w:val="20"/>
                <w:lang w:val="en-US"/>
              </w:rPr>
            </w:pPr>
            <w:r>
              <w:rPr>
                <w:sz w:val="20"/>
                <w:szCs w:val="20"/>
                <w:lang w:val="en-US"/>
              </w:rPr>
              <w:tab/>
              <w:t>Paul Stunt</w:t>
            </w:r>
          </w:p>
          <w:p w:rsidR="00A236E8" w:rsidRDefault="00A236E8" w:rsidP="00A236E8">
            <w:pPr>
              <w:rPr>
                <w:sz w:val="20"/>
                <w:szCs w:val="20"/>
                <w:lang w:val="en-US"/>
              </w:rPr>
            </w:pPr>
          </w:p>
          <w:p w:rsidR="00A236E8" w:rsidRDefault="00A236E8" w:rsidP="00A236E8">
            <w:pPr>
              <w:rPr>
                <w:sz w:val="20"/>
                <w:szCs w:val="20"/>
                <w:lang w:val="en-US"/>
              </w:rPr>
            </w:pPr>
            <w:r>
              <w:rPr>
                <w:sz w:val="20"/>
                <w:szCs w:val="20"/>
                <w:lang w:val="en-US"/>
              </w:rPr>
              <w:t>FILING DATE: 22.06.2017</w:t>
            </w:r>
          </w:p>
          <w:p w:rsidR="00A236E8" w:rsidRDefault="005133CB" w:rsidP="00A236E8">
            <w:pPr>
              <w:rPr>
                <w:sz w:val="20"/>
                <w:szCs w:val="20"/>
                <w:lang w:val="fr-CA"/>
              </w:rPr>
            </w:pPr>
            <w:r>
              <w:rPr>
                <w:sz w:val="20"/>
                <w:szCs w:val="20"/>
                <w:lang w:val="fr-CA"/>
              </w:rPr>
              <w:pict>
                <v:rect id="_x0000_i1028" style="width:108pt;height:1pt" o:hrpct="0" o:hralign="center" o:hrstd="t" o:hrnoshade="t" o:hr="t" fillcolor="black [3213]" stroked="f"/>
              </w:pict>
            </w:r>
          </w:p>
          <w:p w:rsidR="007C58A9" w:rsidRPr="007C58A9" w:rsidRDefault="007C58A9" w:rsidP="00411CAF">
            <w:pPr>
              <w:rPr>
                <w:sz w:val="20"/>
                <w:szCs w:val="20"/>
                <w:lang w:val="en-US"/>
              </w:rPr>
            </w:pPr>
          </w:p>
        </w:tc>
      </w:tr>
      <w:tr w:rsidR="00C21644" w:rsidRPr="00A45194" w:rsidTr="003B3977">
        <w:tc>
          <w:tcPr>
            <w:tcW w:w="4320" w:type="dxa"/>
            <w:shd w:val="clear" w:color="auto" w:fill="auto"/>
          </w:tcPr>
          <w:p w:rsidR="00A236E8" w:rsidRDefault="00A236E8" w:rsidP="00A236E8">
            <w:pPr>
              <w:rPr>
                <w:b/>
                <w:sz w:val="20"/>
                <w:szCs w:val="20"/>
                <w:lang w:val="en-US"/>
              </w:rPr>
            </w:pPr>
            <w:r w:rsidRPr="007C58A9">
              <w:rPr>
                <w:b/>
                <w:sz w:val="20"/>
                <w:szCs w:val="20"/>
                <w:lang w:val="en-US"/>
              </w:rPr>
              <w:t xml:space="preserve">Rosen Goldberg Inc., in its capacity as Court-appointed Receiver of </w:t>
            </w:r>
            <w:proofErr w:type="spellStart"/>
            <w:r w:rsidRPr="007C58A9">
              <w:rPr>
                <w:b/>
                <w:sz w:val="20"/>
                <w:szCs w:val="20"/>
                <w:lang w:val="en-US"/>
              </w:rPr>
              <w:t>Courtice</w:t>
            </w:r>
            <w:proofErr w:type="spellEnd"/>
            <w:r w:rsidRPr="007C58A9">
              <w:rPr>
                <w:b/>
                <w:sz w:val="20"/>
                <w:szCs w:val="20"/>
                <w:lang w:val="en-US"/>
              </w:rPr>
              <w:t xml:space="preserve"> Auto Wreckers Limited et al. </w:t>
            </w:r>
          </w:p>
          <w:p w:rsidR="00A236E8" w:rsidRDefault="00A236E8" w:rsidP="00A236E8">
            <w:pPr>
              <w:rPr>
                <w:sz w:val="20"/>
                <w:szCs w:val="20"/>
                <w:lang w:val="en-US"/>
              </w:rPr>
            </w:pPr>
            <w:r>
              <w:rPr>
                <w:sz w:val="20"/>
                <w:szCs w:val="20"/>
                <w:lang w:val="en-US"/>
              </w:rPr>
              <w:tab/>
              <w:t xml:space="preserve">David P. </w:t>
            </w:r>
            <w:proofErr w:type="spellStart"/>
            <w:r>
              <w:rPr>
                <w:sz w:val="20"/>
                <w:szCs w:val="20"/>
                <w:lang w:val="en-US"/>
              </w:rPr>
              <w:t>Preger</w:t>
            </w:r>
            <w:proofErr w:type="spellEnd"/>
          </w:p>
          <w:p w:rsidR="00A236E8" w:rsidRDefault="00A236E8" w:rsidP="00A236E8">
            <w:pPr>
              <w:rPr>
                <w:sz w:val="20"/>
                <w:szCs w:val="20"/>
                <w:lang w:val="en-US"/>
              </w:rPr>
            </w:pPr>
            <w:r>
              <w:rPr>
                <w:sz w:val="20"/>
                <w:szCs w:val="20"/>
                <w:lang w:val="en-US"/>
              </w:rPr>
              <w:tab/>
              <w:t>Dickinson Wright LLP</w:t>
            </w:r>
          </w:p>
          <w:p w:rsidR="00A236E8" w:rsidRDefault="00A236E8" w:rsidP="00A236E8">
            <w:pPr>
              <w:rPr>
                <w:sz w:val="20"/>
                <w:szCs w:val="20"/>
                <w:lang w:val="en-US"/>
              </w:rPr>
            </w:pPr>
          </w:p>
          <w:p w:rsidR="00A236E8" w:rsidRDefault="00A236E8" w:rsidP="00A236E8">
            <w:pPr>
              <w:rPr>
                <w:sz w:val="20"/>
                <w:szCs w:val="20"/>
                <w:lang w:val="en-US"/>
              </w:rPr>
            </w:pPr>
            <w:r>
              <w:rPr>
                <w:sz w:val="20"/>
                <w:szCs w:val="20"/>
                <w:lang w:val="en-US"/>
              </w:rPr>
              <w:tab/>
              <w:t>v. (37636)</w:t>
            </w:r>
          </w:p>
          <w:p w:rsidR="00A236E8" w:rsidRDefault="00A236E8" w:rsidP="00A236E8">
            <w:pPr>
              <w:rPr>
                <w:sz w:val="20"/>
                <w:szCs w:val="20"/>
                <w:lang w:val="en-US"/>
              </w:rPr>
            </w:pPr>
          </w:p>
          <w:p w:rsidR="00A236E8" w:rsidRDefault="00A236E8" w:rsidP="00A236E8">
            <w:pPr>
              <w:rPr>
                <w:b/>
                <w:sz w:val="20"/>
                <w:szCs w:val="20"/>
                <w:lang w:val="en-US"/>
              </w:rPr>
            </w:pPr>
            <w:r>
              <w:rPr>
                <w:b/>
                <w:sz w:val="20"/>
                <w:szCs w:val="20"/>
                <w:lang w:val="en-US"/>
              </w:rPr>
              <w:t>International Union of Operation Engineers, Local 793 (Ont.)</w:t>
            </w:r>
          </w:p>
          <w:p w:rsidR="00A236E8" w:rsidRDefault="00A236E8" w:rsidP="00A236E8">
            <w:pPr>
              <w:rPr>
                <w:sz w:val="20"/>
                <w:szCs w:val="20"/>
                <w:lang w:val="en-US"/>
              </w:rPr>
            </w:pPr>
            <w:r>
              <w:rPr>
                <w:sz w:val="20"/>
                <w:szCs w:val="20"/>
                <w:lang w:val="en-US"/>
              </w:rPr>
              <w:tab/>
              <w:t xml:space="preserve">James </w:t>
            </w:r>
            <w:proofErr w:type="spellStart"/>
            <w:r>
              <w:rPr>
                <w:sz w:val="20"/>
                <w:szCs w:val="20"/>
                <w:lang w:val="en-US"/>
              </w:rPr>
              <w:t>Harnum</w:t>
            </w:r>
            <w:proofErr w:type="spellEnd"/>
          </w:p>
          <w:p w:rsidR="00A236E8" w:rsidRDefault="00A236E8" w:rsidP="00A236E8">
            <w:pPr>
              <w:rPr>
                <w:sz w:val="20"/>
                <w:szCs w:val="20"/>
                <w:lang w:val="en-US"/>
              </w:rPr>
            </w:pPr>
            <w:r>
              <w:rPr>
                <w:sz w:val="20"/>
                <w:szCs w:val="20"/>
                <w:lang w:val="en-US"/>
              </w:rPr>
              <w:tab/>
            </w:r>
            <w:proofErr w:type="spellStart"/>
            <w:r>
              <w:rPr>
                <w:sz w:val="20"/>
                <w:szCs w:val="20"/>
                <w:lang w:val="en-US"/>
              </w:rPr>
              <w:t>Koskie</w:t>
            </w:r>
            <w:proofErr w:type="spellEnd"/>
            <w:r>
              <w:rPr>
                <w:sz w:val="20"/>
                <w:szCs w:val="20"/>
                <w:lang w:val="en-US"/>
              </w:rPr>
              <w:t xml:space="preserve"> Minsky LLP</w:t>
            </w:r>
          </w:p>
          <w:p w:rsidR="00A236E8" w:rsidRDefault="00A236E8" w:rsidP="00A236E8">
            <w:pPr>
              <w:rPr>
                <w:sz w:val="20"/>
                <w:szCs w:val="20"/>
                <w:lang w:val="en-US"/>
              </w:rPr>
            </w:pPr>
          </w:p>
          <w:p w:rsidR="00A236E8" w:rsidRDefault="00A236E8" w:rsidP="00A236E8">
            <w:pPr>
              <w:rPr>
                <w:sz w:val="20"/>
                <w:szCs w:val="20"/>
                <w:lang w:val="en-US"/>
              </w:rPr>
            </w:pPr>
            <w:r>
              <w:rPr>
                <w:sz w:val="20"/>
                <w:szCs w:val="20"/>
                <w:lang w:val="en-US"/>
              </w:rPr>
              <w:t>FILING DATE: 19.06.2017</w:t>
            </w:r>
          </w:p>
          <w:p w:rsidR="007C58A9" w:rsidRPr="007C58A9" w:rsidRDefault="005133CB" w:rsidP="00A236E8">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7C58A9" w:rsidRDefault="00C21644" w:rsidP="00242AEE">
            <w:pPr>
              <w:jc w:val="center"/>
              <w:rPr>
                <w:sz w:val="20"/>
                <w:szCs w:val="20"/>
                <w:lang w:val="en-US"/>
              </w:rPr>
            </w:pPr>
          </w:p>
        </w:tc>
        <w:tc>
          <w:tcPr>
            <w:tcW w:w="4320" w:type="dxa"/>
            <w:shd w:val="clear" w:color="auto" w:fill="auto"/>
          </w:tcPr>
          <w:p w:rsidR="00C21644" w:rsidRPr="00205684" w:rsidRDefault="007C58A9" w:rsidP="005F1ED8">
            <w:pPr>
              <w:rPr>
                <w:b/>
                <w:sz w:val="20"/>
                <w:szCs w:val="20"/>
                <w:lang w:val="fr-CA"/>
              </w:rPr>
            </w:pPr>
            <w:r w:rsidRPr="00205684">
              <w:rPr>
                <w:b/>
                <w:sz w:val="20"/>
                <w:szCs w:val="20"/>
                <w:lang w:val="fr-CA"/>
              </w:rPr>
              <w:t>Carl Samson</w:t>
            </w:r>
          </w:p>
          <w:p w:rsidR="007C58A9" w:rsidRPr="00205684" w:rsidRDefault="007C58A9" w:rsidP="005F1ED8">
            <w:pPr>
              <w:rPr>
                <w:sz w:val="20"/>
                <w:szCs w:val="20"/>
                <w:lang w:val="fr-CA"/>
              </w:rPr>
            </w:pPr>
            <w:r w:rsidRPr="00205684">
              <w:rPr>
                <w:b/>
                <w:sz w:val="20"/>
                <w:szCs w:val="20"/>
                <w:lang w:val="fr-CA"/>
              </w:rPr>
              <w:tab/>
            </w:r>
            <w:r w:rsidRPr="00205684">
              <w:rPr>
                <w:sz w:val="20"/>
                <w:szCs w:val="20"/>
                <w:lang w:val="fr-CA"/>
              </w:rPr>
              <w:t xml:space="preserve">Sophie </w:t>
            </w:r>
            <w:proofErr w:type="spellStart"/>
            <w:r w:rsidRPr="00205684">
              <w:rPr>
                <w:sz w:val="20"/>
                <w:szCs w:val="20"/>
                <w:lang w:val="fr-CA"/>
              </w:rPr>
              <w:t>Régnière</w:t>
            </w:r>
            <w:proofErr w:type="spellEnd"/>
          </w:p>
          <w:p w:rsidR="007C58A9" w:rsidRPr="00205684" w:rsidRDefault="007C58A9" w:rsidP="005F1ED8">
            <w:pPr>
              <w:rPr>
                <w:sz w:val="20"/>
                <w:szCs w:val="20"/>
                <w:lang w:val="fr-CA"/>
              </w:rPr>
            </w:pPr>
          </w:p>
          <w:p w:rsidR="007C58A9" w:rsidRPr="00205684" w:rsidRDefault="007C58A9" w:rsidP="005F1ED8">
            <w:pPr>
              <w:rPr>
                <w:sz w:val="20"/>
                <w:szCs w:val="20"/>
                <w:lang w:val="fr-CA"/>
              </w:rPr>
            </w:pPr>
            <w:r w:rsidRPr="00205684">
              <w:rPr>
                <w:sz w:val="20"/>
                <w:szCs w:val="20"/>
                <w:lang w:val="fr-CA"/>
              </w:rPr>
              <w:tab/>
              <w:t>c. (37630)</w:t>
            </w:r>
          </w:p>
          <w:p w:rsidR="007C58A9" w:rsidRPr="00205684" w:rsidRDefault="007C58A9" w:rsidP="005F1ED8">
            <w:pPr>
              <w:rPr>
                <w:sz w:val="20"/>
                <w:szCs w:val="20"/>
                <w:lang w:val="fr-CA"/>
              </w:rPr>
            </w:pPr>
          </w:p>
          <w:p w:rsidR="007C58A9" w:rsidRPr="00A45194" w:rsidRDefault="00A45194" w:rsidP="005F1ED8">
            <w:pPr>
              <w:rPr>
                <w:b/>
                <w:sz w:val="20"/>
                <w:szCs w:val="20"/>
                <w:lang w:val="fr-CA"/>
              </w:rPr>
            </w:pPr>
            <w:r w:rsidRPr="00A45194">
              <w:rPr>
                <w:b/>
                <w:sz w:val="20"/>
                <w:szCs w:val="20"/>
                <w:lang w:val="fr-CA"/>
              </w:rPr>
              <w:t xml:space="preserve">Banque </w:t>
            </w:r>
            <w:r w:rsidR="00775565">
              <w:rPr>
                <w:b/>
                <w:sz w:val="20"/>
                <w:szCs w:val="20"/>
                <w:lang w:val="fr-CA"/>
              </w:rPr>
              <w:t>c</w:t>
            </w:r>
            <w:r w:rsidRPr="00A45194">
              <w:rPr>
                <w:b/>
                <w:sz w:val="20"/>
                <w:szCs w:val="20"/>
                <w:lang w:val="fr-CA"/>
              </w:rPr>
              <w:t xml:space="preserve">anadienne </w:t>
            </w:r>
            <w:r>
              <w:rPr>
                <w:b/>
                <w:sz w:val="20"/>
                <w:szCs w:val="20"/>
                <w:lang w:val="fr-CA"/>
              </w:rPr>
              <w:t>i</w:t>
            </w:r>
            <w:r w:rsidRPr="00A45194">
              <w:rPr>
                <w:b/>
                <w:sz w:val="20"/>
                <w:szCs w:val="20"/>
                <w:lang w:val="fr-CA"/>
              </w:rPr>
              <w:t xml:space="preserve">mpériale de </w:t>
            </w:r>
            <w:r>
              <w:rPr>
                <w:b/>
                <w:sz w:val="20"/>
                <w:szCs w:val="20"/>
                <w:lang w:val="fr-CA"/>
              </w:rPr>
              <w:t>c</w:t>
            </w:r>
            <w:r w:rsidRPr="00A45194">
              <w:rPr>
                <w:b/>
                <w:sz w:val="20"/>
                <w:szCs w:val="20"/>
                <w:lang w:val="fr-CA"/>
              </w:rPr>
              <w:t>ommerce (</w:t>
            </w:r>
            <w:proofErr w:type="spellStart"/>
            <w:r w:rsidRPr="00A45194">
              <w:rPr>
                <w:b/>
                <w:sz w:val="20"/>
                <w:szCs w:val="20"/>
                <w:lang w:val="fr-CA"/>
              </w:rPr>
              <w:t>Qc</w:t>
            </w:r>
            <w:proofErr w:type="spellEnd"/>
            <w:r w:rsidRPr="00A45194">
              <w:rPr>
                <w:b/>
                <w:sz w:val="20"/>
                <w:szCs w:val="20"/>
                <w:lang w:val="fr-CA"/>
              </w:rPr>
              <w:t>)</w:t>
            </w:r>
          </w:p>
          <w:p w:rsidR="00A45194" w:rsidRDefault="00A45194" w:rsidP="005F1ED8">
            <w:pPr>
              <w:rPr>
                <w:sz w:val="20"/>
                <w:szCs w:val="20"/>
                <w:lang w:val="fr-CA"/>
              </w:rPr>
            </w:pPr>
            <w:r>
              <w:rPr>
                <w:sz w:val="20"/>
                <w:szCs w:val="20"/>
                <w:lang w:val="fr-CA"/>
              </w:rPr>
              <w:tab/>
              <w:t xml:space="preserve">Charles Mercier </w:t>
            </w:r>
          </w:p>
          <w:p w:rsidR="00A45194" w:rsidRDefault="00A45194" w:rsidP="005F1ED8">
            <w:pPr>
              <w:rPr>
                <w:sz w:val="20"/>
                <w:szCs w:val="20"/>
                <w:lang w:val="fr-CA"/>
              </w:rPr>
            </w:pPr>
            <w:r>
              <w:rPr>
                <w:sz w:val="20"/>
                <w:szCs w:val="20"/>
                <w:lang w:val="fr-CA"/>
              </w:rPr>
              <w:tab/>
            </w:r>
            <w:proofErr w:type="spellStart"/>
            <w:r>
              <w:rPr>
                <w:sz w:val="20"/>
                <w:szCs w:val="20"/>
                <w:lang w:val="fr-CA"/>
              </w:rPr>
              <w:t>Fasken</w:t>
            </w:r>
            <w:proofErr w:type="spellEnd"/>
            <w:r>
              <w:rPr>
                <w:sz w:val="20"/>
                <w:szCs w:val="20"/>
                <w:lang w:val="fr-CA"/>
              </w:rPr>
              <w:t xml:space="preserve"> Martineau </w:t>
            </w:r>
            <w:proofErr w:type="spellStart"/>
            <w:r>
              <w:rPr>
                <w:sz w:val="20"/>
                <w:szCs w:val="20"/>
                <w:lang w:val="fr-CA"/>
              </w:rPr>
              <w:t>DuMoulin</w:t>
            </w:r>
            <w:proofErr w:type="spellEnd"/>
            <w:r>
              <w:rPr>
                <w:sz w:val="20"/>
                <w:szCs w:val="20"/>
                <w:lang w:val="fr-CA"/>
              </w:rPr>
              <w:t xml:space="preserve"> LLP</w:t>
            </w:r>
          </w:p>
          <w:p w:rsidR="00A45194" w:rsidRDefault="00A45194" w:rsidP="005F1ED8">
            <w:pPr>
              <w:rPr>
                <w:sz w:val="20"/>
                <w:szCs w:val="20"/>
                <w:lang w:val="fr-CA"/>
              </w:rPr>
            </w:pPr>
          </w:p>
          <w:p w:rsidR="00A45194" w:rsidRDefault="00A45194" w:rsidP="005F1ED8">
            <w:pPr>
              <w:rPr>
                <w:sz w:val="20"/>
                <w:szCs w:val="20"/>
                <w:lang w:val="fr-CA"/>
              </w:rPr>
            </w:pPr>
            <w:r>
              <w:rPr>
                <w:sz w:val="20"/>
                <w:szCs w:val="20"/>
                <w:lang w:val="fr-CA"/>
              </w:rPr>
              <w:t>DATE DE PRODUCTION : 23.06.2017</w:t>
            </w:r>
          </w:p>
          <w:p w:rsidR="00A45194" w:rsidRDefault="005133CB" w:rsidP="005F1ED8">
            <w:pPr>
              <w:rPr>
                <w:sz w:val="20"/>
                <w:szCs w:val="20"/>
                <w:lang w:val="fr-CA"/>
              </w:rPr>
            </w:pPr>
            <w:r>
              <w:rPr>
                <w:sz w:val="20"/>
                <w:szCs w:val="20"/>
                <w:lang w:val="fr-CA"/>
              </w:rPr>
              <w:pict>
                <v:rect id="_x0000_i1030" style="width:108pt;height:1pt" o:hrpct="0" o:hralign="center" o:hrstd="t" o:hrnoshade="t" o:hr="t" fillcolor="black [3213]" stroked="f"/>
              </w:pict>
            </w:r>
          </w:p>
          <w:p w:rsidR="00A45194" w:rsidRPr="00A45194" w:rsidRDefault="00A45194" w:rsidP="005F1ED8">
            <w:pPr>
              <w:rPr>
                <w:sz w:val="20"/>
                <w:szCs w:val="20"/>
                <w:lang w:val="fr-CA"/>
              </w:rPr>
            </w:pPr>
          </w:p>
        </w:tc>
      </w:tr>
      <w:tr w:rsidR="007C58A9" w:rsidRPr="00A45194" w:rsidTr="003B3977">
        <w:tc>
          <w:tcPr>
            <w:tcW w:w="4320" w:type="dxa"/>
            <w:shd w:val="clear" w:color="auto" w:fill="auto"/>
          </w:tcPr>
          <w:p w:rsidR="007C58A9" w:rsidRDefault="00A236E8" w:rsidP="005F1ED8">
            <w:pPr>
              <w:rPr>
                <w:b/>
                <w:sz w:val="20"/>
                <w:szCs w:val="20"/>
                <w:lang w:val="fr-CA"/>
              </w:rPr>
            </w:pPr>
            <w:r>
              <w:rPr>
                <w:b/>
                <w:sz w:val="20"/>
                <w:szCs w:val="20"/>
                <w:lang w:val="fr-CA"/>
              </w:rPr>
              <w:t xml:space="preserve">Jacques </w:t>
            </w:r>
            <w:proofErr w:type="spellStart"/>
            <w:r>
              <w:rPr>
                <w:b/>
                <w:sz w:val="20"/>
                <w:szCs w:val="20"/>
                <w:lang w:val="fr-CA"/>
              </w:rPr>
              <w:t>Caya</w:t>
            </w:r>
            <w:proofErr w:type="spellEnd"/>
          </w:p>
          <w:p w:rsidR="00A236E8" w:rsidRDefault="00A236E8" w:rsidP="005F1ED8">
            <w:pPr>
              <w:rPr>
                <w:sz w:val="20"/>
                <w:szCs w:val="20"/>
                <w:lang w:val="fr-CA"/>
              </w:rPr>
            </w:pPr>
            <w:r>
              <w:rPr>
                <w:b/>
                <w:sz w:val="20"/>
                <w:szCs w:val="20"/>
                <w:lang w:val="fr-CA"/>
              </w:rPr>
              <w:tab/>
            </w:r>
            <w:r>
              <w:rPr>
                <w:sz w:val="20"/>
                <w:szCs w:val="20"/>
                <w:lang w:val="fr-CA"/>
              </w:rPr>
              <w:t xml:space="preserve">Frédéric </w:t>
            </w:r>
            <w:proofErr w:type="spellStart"/>
            <w:r>
              <w:rPr>
                <w:sz w:val="20"/>
                <w:szCs w:val="20"/>
                <w:lang w:val="fr-CA"/>
              </w:rPr>
              <w:t>Allali</w:t>
            </w:r>
            <w:proofErr w:type="spellEnd"/>
          </w:p>
          <w:p w:rsidR="00A236E8" w:rsidRDefault="00A236E8" w:rsidP="005F1ED8">
            <w:pPr>
              <w:rPr>
                <w:sz w:val="20"/>
                <w:szCs w:val="20"/>
                <w:lang w:val="fr-CA"/>
              </w:rPr>
            </w:pPr>
            <w:r>
              <w:rPr>
                <w:sz w:val="20"/>
                <w:szCs w:val="20"/>
                <w:lang w:val="fr-CA"/>
              </w:rPr>
              <w:tab/>
            </w:r>
            <w:proofErr w:type="spellStart"/>
            <w:r>
              <w:rPr>
                <w:sz w:val="20"/>
                <w:szCs w:val="20"/>
                <w:lang w:val="fr-CA"/>
              </w:rPr>
              <w:t>Allali</w:t>
            </w:r>
            <w:proofErr w:type="spellEnd"/>
            <w:r>
              <w:rPr>
                <w:sz w:val="20"/>
                <w:szCs w:val="20"/>
                <w:lang w:val="fr-CA"/>
              </w:rPr>
              <w:t xml:space="preserve"> Brault</w:t>
            </w:r>
          </w:p>
          <w:p w:rsidR="00A236E8" w:rsidRDefault="00A236E8" w:rsidP="005F1ED8">
            <w:pPr>
              <w:rPr>
                <w:sz w:val="20"/>
                <w:szCs w:val="20"/>
                <w:lang w:val="fr-CA"/>
              </w:rPr>
            </w:pPr>
          </w:p>
          <w:p w:rsidR="00A236E8" w:rsidRDefault="00A236E8" w:rsidP="005F1ED8">
            <w:pPr>
              <w:rPr>
                <w:sz w:val="20"/>
                <w:szCs w:val="20"/>
                <w:lang w:val="fr-CA"/>
              </w:rPr>
            </w:pPr>
            <w:r>
              <w:rPr>
                <w:sz w:val="20"/>
                <w:szCs w:val="20"/>
                <w:lang w:val="fr-CA"/>
              </w:rPr>
              <w:tab/>
              <w:t>c. (37633)</w:t>
            </w:r>
          </w:p>
          <w:p w:rsidR="00A236E8" w:rsidRDefault="00A236E8" w:rsidP="005F1ED8">
            <w:pPr>
              <w:rPr>
                <w:sz w:val="20"/>
                <w:szCs w:val="20"/>
                <w:lang w:val="fr-CA"/>
              </w:rPr>
            </w:pPr>
          </w:p>
          <w:p w:rsidR="00A236E8" w:rsidRDefault="00A236E8" w:rsidP="005F1ED8">
            <w:pPr>
              <w:rPr>
                <w:b/>
                <w:sz w:val="20"/>
                <w:szCs w:val="20"/>
                <w:lang w:val="fr-CA"/>
              </w:rPr>
            </w:pPr>
            <w:r>
              <w:rPr>
                <w:b/>
                <w:sz w:val="20"/>
                <w:szCs w:val="20"/>
                <w:lang w:val="fr-CA"/>
              </w:rPr>
              <w:t>Autorité des marchés financiers (</w:t>
            </w:r>
            <w:proofErr w:type="spellStart"/>
            <w:r>
              <w:rPr>
                <w:b/>
                <w:sz w:val="20"/>
                <w:szCs w:val="20"/>
                <w:lang w:val="fr-CA"/>
              </w:rPr>
              <w:t>Qc</w:t>
            </w:r>
            <w:proofErr w:type="spellEnd"/>
            <w:r>
              <w:rPr>
                <w:b/>
                <w:sz w:val="20"/>
                <w:szCs w:val="20"/>
                <w:lang w:val="fr-CA"/>
              </w:rPr>
              <w:t>)</w:t>
            </w:r>
          </w:p>
          <w:p w:rsidR="00A236E8" w:rsidRDefault="00A236E8" w:rsidP="005F1ED8">
            <w:pPr>
              <w:rPr>
                <w:sz w:val="20"/>
                <w:szCs w:val="20"/>
                <w:lang w:val="fr-CA"/>
              </w:rPr>
            </w:pPr>
            <w:r>
              <w:rPr>
                <w:sz w:val="20"/>
                <w:szCs w:val="20"/>
                <w:lang w:val="fr-CA"/>
              </w:rPr>
              <w:tab/>
              <w:t>Valentin Jay</w:t>
            </w:r>
          </w:p>
          <w:p w:rsidR="00A236E8" w:rsidRDefault="00A236E8" w:rsidP="005F1ED8">
            <w:pPr>
              <w:rPr>
                <w:sz w:val="20"/>
                <w:szCs w:val="20"/>
                <w:lang w:val="fr-CA"/>
              </w:rPr>
            </w:pPr>
            <w:r>
              <w:rPr>
                <w:sz w:val="20"/>
                <w:szCs w:val="20"/>
                <w:lang w:val="fr-CA"/>
              </w:rPr>
              <w:tab/>
              <w:t>Autorité des marchés financiers</w:t>
            </w:r>
          </w:p>
          <w:p w:rsidR="00A236E8" w:rsidRDefault="00A236E8" w:rsidP="005F1ED8">
            <w:pPr>
              <w:rPr>
                <w:sz w:val="20"/>
                <w:szCs w:val="20"/>
                <w:lang w:val="fr-CA"/>
              </w:rPr>
            </w:pPr>
          </w:p>
          <w:p w:rsidR="00A236E8" w:rsidRDefault="00A236E8" w:rsidP="005F1ED8">
            <w:pPr>
              <w:rPr>
                <w:sz w:val="20"/>
                <w:szCs w:val="20"/>
                <w:lang w:val="fr-CA"/>
              </w:rPr>
            </w:pPr>
            <w:r>
              <w:rPr>
                <w:sz w:val="20"/>
                <w:szCs w:val="20"/>
                <w:lang w:val="fr-CA"/>
              </w:rPr>
              <w:t>DATE DE PRODUCTION : 23.06.2017</w:t>
            </w:r>
          </w:p>
          <w:p w:rsidR="00A236E8" w:rsidRPr="00A236E8" w:rsidRDefault="005133CB"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C58A9" w:rsidRPr="00A45194" w:rsidRDefault="007C58A9" w:rsidP="00242AEE">
            <w:pPr>
              <w:jc w:val="center"/>
              <w:rPr>
                <w:sz w:val="20"/>
                <w:szCs w:val="20"/>
                <w:lang w:val="fr-CA"/>
              </w:rPr>
            </w:pPr>
          </w:p>
        </w:tc>
        <w:tc>
          <w:tcPr>
            <w:tcW w:w="4320" w:type="dxa"/>
            <w:shd w:val="clear" w:color="auto" w:fill="auto"/>
          </w:tcPr>
          <w:p w:rsidR="007C58A9" w:rsidRPr="00A45194" w:rsidRDefault="007C58A9" w:rsidP="005F1ED8">
            <w:pPr>
              <w:rPr>
                <w:sz w:val="20"/>
                <w:szCs w:val="20"/>
                <w:lang w:val="fr-CA"/>
              </w:rPr>
            </w:pPr>
          </w:p>
        </w:tc>
      </w:tr>
    </w:tbl>
    <w:p w:rsidR="001539BC" w:rsidRDefault="001539BC" w:rsidP="0095096B">
      <w:pPr>
        <w:tabs>
          <w:tab w:val="right" w:pos="9360"/>
        </w:tabs>
        <w:rPr>
          <w:sz w:val="20"/>
          <w:szCs w:val="20"/>
          <w:lang w:val="fr-CA"/>
        </w:rPr>
      </w:pPr>
    </w:p>
    <w:p w:rsidR="001539BC" w:rsidRPr="001539BC" w:rsidRDefault="001539BC" w:rsidP="001539BC">
      <w:pPr>
        <w:rPr>
          <w:sz w:val="20"/>
          <w:szCs w:val="20"/>
          <w:lang w:val="fr-CA"/>
        </w:rPr>
      </w:pPr>
    </w:p>
    <w:p w:rsidR="00242AEE" w:rsidRPr="001539BC" w:rsidRDefault="00242AEE" w:rsidP="001539BC">
      <w:pPr>
        <w:rPr>
          <w:sz w:val="20"/>
          <w:szCs w:val="20"/>
          <w:lang w:val="fr-CA"/>
        </w:rPr>
        <w:sectPr w:rsidR="00242AEE" w:rsidRPr="001539BC" w:rsidSect="001539BC">
          <w:headerReference w:type="default" r:id="rId10"/>
          <w:footerReference w:type="default" r:id="rId11"/>
          <w:headerReference w:type="first" r:id="rId12"/>
          <w:footerReference w:type="first" r:id="rId13"/>
          <w:pgSz w:w="12240" w:h="15840"/>
          <w:pgMar w:top="720" w:right="965" w:bottom="1080" w:left="1656" w:header="706" w:footer="706" w:gutter="0"/>
          <w:pgNumType w:start="111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133C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205684">
              <w:rPr>
                <w:b/>
                <w:szCs w:val="24"/>
                <w:lang w:val="fr-CA"/>
              </w:rPr>
              <w:t xml:space="preserve">DEMANDES SOUMISES À LA COUR </w:t>
            </w:r>
            <w:r w:rsidRPr="001D0D5F">
              <w:rPr>
                <w:b/>
                <w:szCs w:val="24"/>
                <w:lang w:val="fr-CA"/>
              </w:rPr>
              <w:t>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91DAC" w:rsidP="00CB3520">
      <w:pPr>
        <w:widowControl w:val="0"/>
        <w:rPr>
          <w:b/>
          <w:sz w:val="20"/>
          <w:szCs w:val="20"/>
        </w:rPr>
      </w:pPr>
      <w:r>
        <w:rPr>
          <w:b/>
          <w:sz w:val="20"/>
          <w:szCs w:val="20"/>
        </w:rPr>
        <w:t>JULY 10</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10 JUILLET</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91DAC" w:rsidRPr="005133CB" w:rsidTr="00183D35">
        <w:trPr>
          <w:cantSplit/>
        </w:trPr>
        <w:tc>
          <w:tcPr>
            <w:tcW w:w="508" w:type="dxa"/>
          </w:tcPr>
          <w:p w:rsidR="00591DAC" w:rsidRPr="00A45F73" w:rsidRDefault="00591DAC" w:rsidP="00183D35">
            <w:pPr>
              <w:rPr>
                <w:sz w:val="20"/>
                <w:szCs w:val="20"/>
                <w:lang w:val="fr-CA"/>
              </w:rPr>
            </w:pPr>
          </w:p>
        </w:tc>
        <w:tc>
          <w:tcPr>
            <w:tcW w:w="810" w:type="dxa"/>
          </w:tcPr>
          <w:p w:rsidR="00591DAC" w:rsidRPr="00A45F73" w:rsidRDefault="00591DAC" w:rsidP="00183D35">
            <w:pPr>
              <w:rPr>
                <w:sz w:val="20"/>
                <w:szCs w:val="20"/>
                <w:lang w:val="fr-CA"/>
              </w:rPr>
            </w:pPr>
          </w:p>
        </w:tc>
        <w:tc>
          <w:tcPr>
            <w:tcW w:w="8258" w:type="dxa"/>
            <w:gridSpan w:val="3"/>
          </w:tcPr>
          <w:p w:rsidR="00591DAC" w:rsidRDefault="00591DAC" w:rsidP="00591DAC">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Côté</w:t>
            </w:r>
            <w:proofErr w:type="spellEnd"/>
            <w:r>
              <w:rPr>
                <w:b/>
                <w:bCs/>
                <w:sz w:val="20"/>
                <w:szCs w:val="20"/>
              </w:rPr>
              <w:t xml:space="preserve"> and Brown JJ.</w:t>
            </w:r>
          </w:p>
          <w:p w:rsidR="00591DAC" w:rsidRDefault="00591DAC" w:rsidP="00591DAC">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Côté et Brown</w:t>
            </w:r>
          </w:p>
          <w:p w:rsidR="00591DAC" w:rsidRPr="00591DAC" w:rsidRDefault="00591DAC" w:rsidP="00183D35">
            <w:pPr>
              <w:rPr>
                <w:sz w:val="20"/>
                <w:szCs w:val="20"/>
                <w:lang w:val="fr-CA"/>
              </w:rPr>
            </w:pP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1.</w:t>
            </w:r>
          </w:p>
        </w:tc>
        <w:tc>
          <w:tcPr>
            <w:tcW w:w="810" w:type="dxa"/>
          </w:tcPr>
          <w:p w:rsidR="00591DAC" w:rsidRPr="00A45F73" w:rsidRDefault="00591DAC" w:rsidP="00183D35">
            <w:pPr>
              <w:rPr>
                <w:sz w:val="20"/>
                <w:szCs w:val="20"/>
              </w:rPr>
            </w:pPr>
            <w:r w:rsidRPr="00A45F73">
              <w:rPr>
                <w:sz w:val="20"/>
                <w:szCs w:val="20"/>
              </w:rPr>
              <w:t>37569</w:t>
            </w:r>
          </w:p>
        </w:tc>
        <w:tc>
          <w:tcPr>
            <w:tcW w:w="4050" w:type="dxa"/>
          </w:tcPr>
          <w:p w:rsidR="00591DAC" w:rsidRPr="00A45F73" w:rsidRDefault="00591DAC" w:rsidP="00183D35">
            <w:pPr>
              <w:pStyle w:val="SCCAppellantInfoAppellantInfo"/>
              <w:rPr>
                <w:sz w:val="20"/>
                <w:szCs w:val="20"/>
              </w:rPr>
            </w:pPr>
            <w:r w:rsidRPr="00A45F73">
              <w:rPr>
                <w:sz w:val="20"/>
                <w:szCs w:val="20"/>
              </w:rPr>
              <w:t>Cynthia Karen MacKinnon</w:t>
            </w:r>
          </w:p>
          <w:p w:rsidR="00591DAC" w:rsidRPr="00A45F73" w:rsidRDefault="00591DAC" w:rsidP="00183D35">
            <w:pPr>
              <w:pStyle w:val="SCCAppellantInfoAppellantInfo"/>
              <w:rPr>
                <w:sz w:val="20"/>
                <w:szCs w:val="20"/>
              </w:rPr>
            </w:pPr>
            <w:r w:rsidRPr="00A45F73">
              <w:rPr>
                <w:sz w:val="20"/>
                <w:szCs w:val="20"/>
              </w:rPr>
              <w:t>(Alta.) (Criminal)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Her Majesty the Queen</w:t>
            </w: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2.</w:t>
            </w:r>
          </w:p>
        </w:tc>
        <w:tc>
          <w:tcPr>
            <w:tcW w:w="810" w:type="dxa"/>
          </w:tcPr>
          <w:p w:rsidR="00591DAC" w:rsidRPr="00A45F73" w:rsidRDefault="00591DAC" w:rsidP="00183D35">
            <w:pPr>
              <w:rPr>
                <w:sz w:val="20"/>
                <w:szCs w:val="20"/>
              </w:rPr>
            </w:pPr>
            <w:r w:rsidRPr="00A45F73">
              <w:rPr>
                <w:sz w:val="20"/>
                <w:szCs w:val="20"/>
              </w:rPr>
              <w:t>37546</w:t>
            </w:r>
          </w:p>
        </w:tc>
        <w:tc>
          <w:tcPr>
            <w:tcW w:w="4050" w:type="dxa"/>
          </w:tcPr>
          <w:p w:rsidR="00591DAC" w:rsidRPr="00A45F73" w:rsidRDefault="00591DAC" w:rsidP="00183D35">
            <w:pPr>
              <w:pStyle w:val="SCCAppellantInfoAppellantInfo"/>
              <w:rPr>
                <w:sz w:val="20"/>
                <w:szCs w:val="20"/>
              </w:rPr>
            </w:pPr>
            <w:r w:rsidRPr="00A45F73">
              <w:rPr>
                <w:sz w:val="20"/>
                <w:szCs w:val="20"/>
              </w:rPr>
              <w:t>Michelle Constance Moore</w:t>
            </w:r>
          </w:p>
          <w:p w:rsidR="00591DAC" w:rsidRPr="00A45F73" w:rsidRDefault="00591DAC" w:rsidP="00183D35">
            <w:pPr>
              <w:pStyle w:val="SCCAppellantInfoAppellantInfo"/>
              <w:rPr>
                <w:sz w:val="20"/>
                <w:szCs w:val="20"/>
              </w:rPr>
            </w:pPr>
            <w:r w:rsidRPr="00A45F73">
              <w:rPr>
                <w:sz w:val="20"/>
                <w:szCs w:val="20"/>
              </w:rPr>
              <w:t>(Ont.)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Risa Lorraine Sweet</w:t>
            </w:r>
          </w:p>
        </w:tc>
      </w:tr>
      <w:tr w:rsidR="00591DAC" w:rsidRPr="005133CB" w:rsidTr="00183D35">
        <w:trPr>
          <w:cantSplit/>
        </w:trPr>
        <w:tc>
          <w:tcPr>
            <w:tcW w:w="508" w:type="dxa"/>
          </w:tcPr>
          <w:p w:rsidR="00591DAC" w:rsidRPr="00A45F73" w:rsidRDefault="00591DAC" w:rsidP="00183D35">
            <w:pPr>
              <w:rPr>
                <w:sz w:val="20"/>
                <w:szCs w:val="20"/>
              </w:rPr>
            </w:pPr>
          </w:p>
        </w:tc>
        <w:tc>
          <w:tcPr>
            <w:tcW w:w="810" w:type="dxa"/>
          </w:tcPr>
          <w:p w:rsidR="00591DAC" w:rsidRPr="00A45F73" w:rsidRDefault="00591DAC" w:rsidP="00183D35">
            <w:pPr>
              <w:rPr>
                <w:sz w:val="20"/>
                <w:szCs w:val="20"/>
              </w:rPr>
            </w:pPr>
          </w:p>
        </w:tc>
        <w:tc>
          <w:tcPr>
            <w:tcW w:w="8258" w:type="dxa"/>
            <w:gridSpan w:val="3"/>
          </w:tcPr>
          <w:p w:rsidR="00591DAC" w:rsidRDefault="00591DAC" w:rsidP="00591DAC">
            <w:pPr>
              <w:jc w:val="center"/>
              <w:rPr>
                <w:b/>
                <w:bCs/>
                <w:sz w:val="20"/>
                <w:szCs w:val="20"/>
              </w:rPr>
            </w:pPr>
          </w:p>
          <w:p w:rsidR="00591DAC" w:rsidRDefault="00591DAC" w:rsidP="00591DAC">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591DAC" w:rsidRDefault="00591DAC" w:rsidP="00591DAC">
            <w:pPr>
              <w:jc w:val="center"/>
              <w:rPr>
                <w:b/>
                <w:bCs/>
                <w:sz w:val="20"/>
                <w:szCs w:val="20"/>
                <w:lang w:val="fr-CA"/>
              </w:rPr>
            </w:pPr>
            <w:r>
              <w:rPr>
                <w:b/>
                <w:bCs/>
                <w:sz w:val="20"/>
                <w:szCs w:val="20"/>
                <w:lang w:val="fr-CA"/>
              </w:rPr>
              <w:t>Les juges Abella, Gascon et Rowe</w:t>
            </w:r>
          </w:p>
          <w:p w:rsidR="00591DAC" w:rsidRPr="00591DAC" w:rsidRDefault="00591DAC" w:rsidP="00591DAC">
            <w:pPr>
              <w:jc w:val="center"/>
              <w:rPr>
                <w:b/>
                <w:bCs/>
                <w:sz w:val="20"/>
                <w:szCs w:val="20"/>
                <w:lang w:val="fr-CA"/>
              </w:rPr>
            </w:pP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3.</w:t>
            </w:r>
          </w:p>
        </w:tc>
        <w:tc>
          <w:tcPr>
            <w:tcW w:w="810" w:type="dxa"/>
          </w:tcPr>
          <w:p w:rsidR="00591DAC" w:rsidRPr="00A45F73" w:rsidRDefault="00591DAC" w:rsidP="00183D35">
            <w:pPr>
              <w:rPr>
                <w:sz w:val="20"/>
                <w:szCs w:val="20"/>
              </w:rPr>
            </w:pPr>
            <w:r w:rsidRPr="00A45F73">
              <w:rPr>
                <w:sz w:val="20"/>
                <w:szCs w:val="20"/>
              </w:rPr>
              <w:t>36834</w:t>
            </w:r>
          </w:p>
        </w:tc>
        <w:tc>
          <w:tcPr>
            <w:tcW w:w="4050" w:type="dxa"/>
          </w:tcPr>
          <w:p w:rsidR="00591DAC" w:rsidRPr="00A45F73" w:rsidRDefault="00591DAC" w:rsidP="00183D35">
            <w:pPr>
              <w:pStyle w:val="SCCAppellantInfoAppellantInfo"/>
              <w:rPr>
                <w:sz w:val="20"/>
                <w:szCs w:val="20"/>
              </w:rPr>
            </w:pPr>
            <w:r w:rsidRPr="00A45F73">
              <w:rPr>
                <w:sz w:val="20"/>
                <w:szCs w:val="20"/>
              </w:rPr>
              <w:t>Elizabeth Bernard</w:t>
            </w:r>
          </w:p>
          <w:p w:rsidR="00591DAC" w:rsidRPr="00A45F73" w:rsidRDefault="00591DAC" w:rsidP="00183D35">
            <w:pPr>
              <w:pStyle w:val="SCCAppellantInfoAppellantInfo"/>
              <w:rPr>
                <w:sz w:val="20"/>
                <w:szCs w:val="20"/>
              </w:rPr>
            </w:pPr>
            <w:r w:rsidRPr="00A45F73">
              <w:rPr>
                <w:sz w:val="20"/>
                <w:szCs w:val="20"/>
              </w:rPr>
              <w:t>(FC)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Canada Revenue Agency, et al.</w:t>
            </w: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4.</w:t>
            </w:r>
          </w:p>
        </w:tc>
        <w:tc>
          <w:tcPr>
            <w:tcW w:w="810" w:type="dxa"/>
          </w:tcPr>
          <w:p w:rsidR="00591DAC" w:rsidRPr="00A45F73" w:rsidRDefault="00591DAC" w:rsidP="00183D35">
            <w:pPr>
              <w:rPr>
                <w:sz w:val="20"/>
                <w:szCs w:val="20"/>
              </w:rPr>
            </w:pPr>
            <w:r w:rsidRPr="00A45F73">
              <w:rPr>
                <w:sz w:val="20"/>
                <w:szCs w:val="20"/>
              </w:rPr>
              <w:t>37575</w:t>
            </w:r>
          </w:p>
        </w:tc>
        <w:tc>
          <w:tcPr>
            <w:tcW w:w="4050" w:type="dxa"/>
          </w:tcPr>
          <w:p w:rsidR="00591DAC" w:rsidRPr="00A45F73" w:rsidRDefault="00591DAC" w:rsidP="00183D35">
            <w:pPr>
              <w:pStyle w:val="SCCAppellantInfoAppellantInfo"/>
              <w:rPr>
                <w:sz w:val="20"/>
                <w:szCs w:val="20"/>
              </w:rPr>
            </w:pPr>
            <w:r w:rsidRPr="00A45F73">
              <w:rPr>
                <w:sz w:val="20"/>
                <w:szCs w:val="20"/>
              </w:rPr>
              <w:t>Elizabeth Bernard</w:t>
            </w:r>
          </w:p>
          <w:p w:rsidR="00591DAC" w:rsidRPr="00A45F73" w:rsidRDefault="00591DAC" w:rsidP="00183D35">
            <w:pPr>
              <w:pStyle w:val="SCCAppellantInfoAppellantInfo"/>
              <w:rPr>
                <w:sz w:val="20"/>
                <w:szCs w:val="20"/>
              </w:rPr>
            </w:pPr>
            <w:r w:rsidRPr="00A45F73">
              <w:rPr>
                <w:sz w:val="20"/>
                <w:szCs w:val="20"/>
              </w:rPr>
              <w:t>(FC)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Cecilia Close, et al.</w:t>
            </w:r>
          </w:p>
        </w:tc>
      </w:tr>
      <w:tr w:rsidR="00591DAC" w:rsidRPr="005133CB" w:rsidTr="00183D35">
        <w:trPr>
          <w:cantSplit/>
        </w:trPr>
        <w:tc>
          <w:tcPr>
            <w:tcW w:w="508" w:type="dxa"/>
          </w:tcPr>
          <w:p w:rsidR="00591DAC" w:rsidRPr="00A45F73" w:rsidRDefault="00591DAC" w:rsidP="00183D35">
            <w:pPr>
              <w:rPr>
                <w:sz w:val="20"/>
                <w:szCs w:val="20"/>
              </w:rPr>
            </w:pPr>
          </w:p>
        </w:tc>
        <w:tc>
          <w:tcPr>
            <w:tcW w:w="810" w:type="dxa"/>
          </w:tcPr>
          <w:p w:rsidR="00591DAC" w:rsidRPr="00A45F73" w:rsidRDefault="00591DAC" w:rsidP="00183D35">
            <w:pPr>
              <w:rPr>
                <w:sz w:val="20"/>
                <w:szCs w:val="20"/>
              </w:rPr>
            </w:pPr>
          </w:p>
        </w:tc>
        <w:tc>
          <w:tcPr>
            <w:tcW w:w="8258" w:type="dxa"/>
            <w:gridSpan w:val="3"/>
          </w:tcPr>
          <w:p w:rsidR="00591DAC" w:rsidRPr="00A45F73" w:rsidRDefault="00591DAC" w:rsidP="00183D35">
            <w:pPr>
              <w:pStyle w:val="SCCAppellantInfoCoram"/>
              <w:rPr>
                <w:sz w:val="20"/>
                <w:szCs w:val="20"/>
              </w:rPr>
            </w:pPr>
          </w:p>
          <w:p w:rsidR="00591DAC" w:rsidRDefault="00591DAC" w:rsidP="00591DAC">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Brown JJ.</w:t>
            </w:r>
          </w:p>
          <w:p w:rsidR="00591DAC" w:rsidRDefault="00591DAC" w:rsidP="00591DAC">
            <w:pPr>
              <w:jc w:val="center"/>
              <w:rPr>
                <w:b/>
                <w:bCs/>
                <w:sz w:val="20"/>
                <w:szCs w:val="20"/>
                <w:lang w:val="fr-CA"/>
              </w:rPr>
            </w:pPr>
            <w:r>
              <w:rPr>
                <w:b/>
                <w:bCs/>
                <w:sz w:val="20"/>
                <w:szCs w:val="20"/>
                <w:lang w:val="fr-CA"/>
              </w:rPr>
              <w:t xml:space="preserve">Les juges Abella, </w:t>
            </w:r>
            <w:proofErr w:type="spellStart"/>
            <w:r>
              <w:rPr>
                <w:b/>
                <w:bCs/>
                <w:sz w:val="20"/>
                <w:szCs w:val="20"/>
                <w:lang w:val="fr-CA"/>
              </w:rPr>
              <w:t>Karakatsanis</w:t>
            </w:r>
            <w:proofErr w:type="spellEnd"/>
            <w:r>
              <w:rPr>
                <w:b/>
                <w:bCs/>
                <w:sz w:val="20"/>
                <w:szCs w:val="20"/>
                <w:lang w:val="fr-CA"/>
              </w:rPr>
              <w:t xml:space="preserve"> et Brown</w:t>
            </w:r>
          </w:p>
          <w:p w:rsidR="00591DAC" w:rsidRPr="00591DAC" w:rsidRDefault="00591DAC" w:rsidP="00183D35">
            <w:pPr>
              <w:rPr>
                <w:sz w:val="20"/>
                <w:szCs w:val="20"/>
                <w:lang w:val="fr-CA"/>
              </w:rPr>
            </w:pP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5.</w:t>
            </w:r>
          </w:p>
        </w:tc>
        <w:tc>
          <w:tcPr>
            <w:tcW w:w="810" w:type="dxa"/>
          </w:tcPr>
          <w:p w:rsidR="00591DAC" w:rsidRPr="00A45F73" w:rsidRDefault="00591DAC" w:rsidP="00183D35">
            <w:pPr>
              <w:rPr>
                <w:sz w:val="20"/>
                <w:szCs w:val="20"/>
              </w:rPr>
            </w:pPr>
            <w:r w:rsidRPr="00A45F73">
              <w:rPr>
                <w:sz w:val="20"/>
                <w:szCs w:val="20"/>
              </w:rPr>
              <w:t>37623</w:t>
            </w:r>
          </w:p>
        </w:tc>
        <w:tc>
          <w:tcPr>
            <w:tcW w:w="4050" w:type="dxa"/>
          </w:tcPr>
          <w:p w:rsidR="00591DAC" w:rsidRPr="00A45F73" w:rsidRDefault="00591DAC" w:rsidP="00183D35">
            <w:pPr>
              <w:pStyle w:val="SCCAppellantInfoAppellantInfo"/>
              <w:rPr>
                <w:sz w:val="20"/>
                <w:szCs w:val="20"/>
              </w:rPr>
            </w:pPr>
            <w:r w:rsidRPr="00A45F73">
              <w:rPr>
                <w:sz w:val="20"/>
                <w:szCs w:val="20"/>
              </w:rPr>
              <w:t>Jennifer Holley</w:t>
            </w:r>
          </w:p>
          <w:p w:rsidR="00591DAC" w:rsidRPr="00A45F73" w:rsidRDefault="00591DAC" w:rsidP="00183D35">
            <w:pPr>
              <w:pStyle w:val="SCCAppellantInfoAppellantInfo"/>
              <w:rPr>
                <w:sz w:val="20"/>
                <w:szCs w:val="20"/>
              </w:rPr>
            </w:pPr>
            <w:r w:rsidRPr="00A45F73">
              <w:rPr>
                <w:sz w:val="20"/>
                <w:szCs w:val="20"/>
              </w:rPr>
              <w:t>(Ont.)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Nortel Networks Corporation, et al.</w:t>
            </w:r>
          </w:p>
        </w:tc>
      </w:tr>
      <w:tr w:rsidR="00591DAC" w:rsidRPr="005133CB" w:rsidTr="00183D35">
        <w:trPr>
          <w:cantSplit/>
        </w:trPr>
        <w:tc>
          <w:tcPr>
            <w:tcW w:w="508" w:type="dxa"/>
          </w:tcPr>
          <w:p w:rsidR="00591DAC" w:rsidRPr="00A45F73" w:rsidRDefault="00591DAC" w:rsidP="00183D35">
            <w:pPr>
              <w:rPr>
                <w:sz w:val="20"/>
                <w:szCs w:val="20"/>
              </w:rPr>
            </w:pPr>
          </w:p>
        </w:tc>
        <w:tc>
          <w:tcPr>
            <w:tcW w:w="810" w:type="dxa"/>
          </w:tcPr>
          <w:p w:rsidR="00591DAC" w:rsidRPr="00A45F73" w:rsidRDefault="00591DAC" w:rsidP="00183D35">
            <w:pPr>
              <w:rPr>
                <w:sz w:val="20"/>
                <w:szCs w:val="20"/>
              </w:rPr>
            </w:pPr>
          </w:p>
        </w:tc>
        <w:tc>
          <w:tcPr>
            <w:tcW w:w="8258" w:type="dxa"/>
            <w:gridSpan w:val="3"/>
          </w:tcPr>
          <w:p w:rsidR="00591DAC" w:rsidRDefault="00591DAC" w:rsidP="00591DAC">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Wagner JJ.</w:t>
            </w:r>
          </w:p>
          <w:p w:rsidR="00591DAC" w:rsidRDefault="00591DAC" w:rsidP="00591DAC">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Pr>
                <w:b/>
                <w:bCs/>
                <w:sz w:val="20"/>
                <w:szCs w:val="20"/>
                <w:lang w:val="fr-CA"/>
              </w:rPr>
              <w:t>Karakatsanis</w:t>
            </w:r>
            <w:proofErr w:type="spellEnd"/>
            <w:r>
              <w:rPr>
                <w:b/>
                <w:bCs/>
                <w:sz w:val="20"/>
                <w:szCs w:val="20"/>
                <w:lang w:val="fr-CA"/>
              </w:rPr>
              <w:t xml:space="preserve"> et Wagner</w:t>
            </w:r>
          </w:p>
          <w:p w:rsidR="00591DAC" w:rsidRPr="00591DAC" w:rsidRDefault="00591DAC" w:rsidP="00183D35">
            <w:pPr>
              <w:rPr>
                <w:sz w:val="20"/>
                <w:szCs w:val="20"/>
                <w:lang w:val="fr-CA"/>
              </w:rPr>
            </w:pP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6.</w:t>
            </w:r>
          </w:p>
        </w:tc>
        <w:tc>
          <w:tcPr>
            <w:tcW w:w="810" w:type="dxa"/>
          </w:tcPr>
          <w:p w:rsidR="00591DAC" w:rsidRPr="00A45F73" w:rsidRDefault="00591DAC" w:rsidP="00183D35">
            <w:pPr>
              <w:rPr>
                <w:sz w:val="20"/>
                <w:szCs w:val="20"/>
              </w:rPr>
            </w:pPr>
            <w:r w:rsidRPr="00A45F73">
              <w:rPr>
                <w:sz w:val="20"/>
                <w:szCs w:val="20"/>
              </w:rPr>
              <w:t>37557</w:t>
            </w:r>
          </w:p>
        </w:tc>
        <w:tc>
          <w:tcPr>
            <w:tcW w:w="4050" w:type="dxa"/>
          </w:tcPr>
          <w:p w:rsidR="00591DAC" w:rsidRPr="00A45F73" w:rsidRDefault="00591DAC" w:rsidP="00183D35">
            <w:pPr>
              <w:pStyle w:val="SCCAppellantInfoAppellantInfo"/>
              <w:rPr>
                <w:sz w:val="20"/>
                <w:szCs w:val="20"/>
              </w:rPr>
            </w:pPr>
            <w:proofErr w:type="spellStart"/>
            <w:r w:rsidRPr="00A45F73">
              <w:rPr>
                <w:sz w:val="20"/>
                <w:szCs w:val="20"/>
              </w:rPr>
              <w:t>Lubov</w:t>
            </w:r>
            <w:proofErr w:type="spellEnd"/>
            <w:r w:rsidRPr="00A45F73">
              <w:rPr>
                <w:sz w:val="20"/>
                <w:szCs w:val="20"/>
              </w:rPr>
              <w:t xml:space="preserve"> </w:t>
            </w:r>
            <w:proofErr w:type="spellStart"/>
            <w:r w:rsidRPr="00A45F73">
              <w:rPr>
                <w:sz w:val="20"/>
                <w:szCs w:val="20"/>
              </w:rPr>
              <w:t>Volnyansky</w:t>
            </w:r>
            <w:proofErr w:type="spellEnd"/>
          </w:p>
          <w:p w:rsidR="00591DAC" w:rsidRPr="00A45F73" w:rsidRDefault="00591DAC" w:rsidP="00183D35">
            <w:pPr>
              <w:pStyle w:val="SCCAppellantInfoAppellantInfo"/>
              <w:rPr>
                <w:sz w:val="20"/>
                <w:szCs w:val="20"/>
              </w:rPr>
            </w:pPr>
            <w:r w:rsidRPr="00A45F73">
              <w:rPr>
                <w:sz w:val="20"/>
                <w:szCs w:val="20"/>
              </w:rPr>
              <w:t>(Ont.)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Her Majesty the Queen in Right of Ontario, as Represented by the Attorney General of Ontario, et al.</w:t>
            </w:r>
          </w:p>
        </w:tc>
      </w:tr>
      <w:tr w:rsidR="00591DAC" w:rsidRPr="00A45F73" w:rsidTr="00183D35">
        <w:trPr>
          <w:cantSplit/>
        </w:trPr>
        <w:tc>
          <w:tcPr>
            <w:tcW w:w="508" w:type="dxa"/>
          </w:tcPr>
          <w:p w:rsidR="00591DAC" w:rsidRPr="00A45F73" w:rsidRDefault="00591DAC" w:rsidP="00183D35">
            <w:pPr>
              <w:rPr>
                <w:sz w:val="20"/>
                <w:szCs w:val="20"/>
              </w:rPr>
            </w:pPr>
            <w:r w:rsidRPr="00A45F73">
              <w:rPr>
                <w:sz w:val="20"/>
                <w:szCs w:val="20"/>
              </w:rPr>
              <w:t>7.</w:t>
            </w:r>
          </w:p>
        </w:tc>
        <w:tc>
          <w:tcPr>
            <w:tcW w:w="810" w:type="dxa"/>
          </w:tcPr>
          <w:p w:rsidR="00591DAC" w:rsidRPr="00A45F73" w:rsidRDefault="00591DAC" w:rsidP="00183D35">
            <w:pPr>
              <w:rPr>
                <w:sz w:val="20"/>
                <w:szCs w:val="20"/>
              </w:rPr>
            </w:pPr>
            <w:r w:rsidRPr="00A45F73">
              <w:rPr>
                <w:sz w:val="20"/>
                <w:szCs w:val="20"/>
              </w:rPr>
              <w:t>37559</w:t>
            </w:r>
          </w:p>
        </w:tc>
        <w:tc>
          <w:tcPr>
            <w:tcW w:w="4050" w:type="dxa"/>
          </w:tcPr>
          <w:p w:rsidR="00591DAC" w:rsidRPr="00A45F73" w:rsidRDefault="00591DAC" w:rsidP="00183D35">
            <w:pPr>
              <w:pStyle w:val="SCCAppellantInfoAppellantInfo"/>
              <w:rPr>
                <w:sz w:val="20"/>
                <w:szCs w:val="20"/>
              </w:rPr>
            </w:pPr>
            <w:r w:rsidRPr="00A45F73">
              <w:rPr>
                <w:sz w:val="20"/>
                <w:szCs w:val="20"/>
              </w:rPr>
              <w:t xml:space="preserve">Alexander </w:t>
            </w:r>
            <w:proofErr w:type="spellStart"/>
            <w:r w:rsidRPr="00A45F73">
              <w:rPr>
                <w:sz w:val="20"/>
                <w:szCs w:val="20"/>
              </w:rPr>
              <w:t>Wissotzky</w:t>
            </w:r>
            <w:proofErr w:type="spellEnd"/>
          </w:p>
          <w:p w:rsidR="00591DAC" w:rsidRPr="00A45F73" w:rsidRDefault="00591DAC" w:rsidP="00183D35">
            <w:pPr>
              <w:pStyle w:val="SCCAppellantInfoAppellantInfo"/>
              <w:rPr>
                <w:sz w:val="20"/>
                <w:szCs w:val="20"/>
              </w:rPr>
            </w:pPr>
            <w:r w:rsidRPr="00A45F73">
              <w:rPr>
                <w:sz w:val="20"/>
                <w:szCs w:val="20"/>
              </w:rPr>
              <w:t>(Ont.) (Civil) (By Leave)</w:t>
            </w:r>
          </w:p>
        </w:tc>
        <w:tc>
          <w:tcPr>
            <w:tcW w:w="360" w:type="dxa"/>
          </w:tcPr>
          <w:p w:rsidR="00591DAC" w:rsidRPr="00A45F73" w:rsidRDefault="00591DAC" w:rsidP="00183D35">
            <w:pPr>
              <w:rPr>
                <w:sz w:val="20"/>
                <w:szCs w:val="20"/>
              </w:rPr>
            </w:pPr>
            <w:r w:rsidRPr="00A45F73">
              <w:rPr>
                <w:sz w:val="20"/>
                <w:szCs w:val="20"/>
              </w:rPr>
              <w:t>v.</w:t>
            </w:r>
          </w:p>
        </w:tc>
        <w:tc>
          <w:tcPr>
            <w:tcW w:w="3848" w:type="dxa"/>
          </w:tcPr>
          <w:p w:rsidR="00591DAC" w:rsidRPr="00A45F73" w:rsidRDefault="00591DAC" w:rsidP="00183D35">
            <w:pPr>
              <w:pStyle w:val="SCCAppellantInfoAppellantInfo"/>
              <w:rPr>
                <w:sz w:val="20"/>
                <w:szCs w:val="20"/>
              </w:rPr>
            </w:pPr>
            <w:r w:rsidRPr="00A45F73">
              <w:rPr>
                <w:sz w:val="20"/>
                <w:szCs w:val="20"/>
              </w:rPr>
              <w:t>Greg Nisan, et al.</w:t>
            </w:r>
          </w:p>
        </w:tc>
      </w:tr>
    </w:tbl>
    <w:p w:rsidR="00591DAC" w:rsidRPr="00C661B7" w:rsidRDefault="00591DAC"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5133CB" w:rsidP="002E2327">
      <w:pPr>
        <w:widowControl w:val="0"/>
        <w:rPr>
          <w:sz w:val="20"/>
          <w:szCs w:val="20"/>
        </w:rPr>
      </w:pPr>
      <w:r>
        <w:rPr>
          <w:sz w:val="20"/>
          <w:szCs w:val="20"/>
        </w:rPr>
        <w:pict>
          <v:rect id="_x0000_i1034"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133C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11CAF" w:rsidP="000E2959">
      <w:pPr>
        <w:rPr>
          <w:b/>
          <w:sz w:val="20"/>
          <w:szCs w:val="20"/>
        </w:rPr>
      </w:pPr>
      <w:r>
        <w:rPr>
          <w:b/>
          <w:sz w:val="20"/>
          <w:szCs w:val="20"/>
        </w:rPr>
        <w:t>JULY 13</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E8544A">
        <w:rPr>
          <w:b/>
          <w:sz w:val="20"/>
          <w:szCs w:val="20"/>
        </w:rPr>
        <w:t>1</w:t>
      </w:r>
      <w:r>
        <w:rPr>
          <w:b/>
          <w:sz w:val="20"/>
          <w:szCs w:val="20"/>
        </w:rPr>
        <w:t>3</w:t>
      </w:r>
      <w:r w:rsidR="000E2959" w:rsidRPr="00C50A5C">
        <w:rPr>
          <w:b/>
          <w:sz w:val="20"/>
          <w:szCs w:val="20"/>
        </w:rPr>
        <w:t xml:space="preserve"> </w:t>
      </w:r>
      <w:r w:rsidR="00681F61">
        <w:rPr>
          <w:b/>
          <w:sz w:val="20"/>
          <w:szCs w:val="20"/>
        </w:rPr>
        <w:t>J</w:t>
      </w:r>
      <w:r>
        <w:rPr>
          <w:b/>
          <w:sz w:val="20"/>
          <w:szCs w:val="20"/>
        </w:rPr>
        <w:t>UILLET</w:t>
      </w:r>
      <w:r w:rsidR="000E2959" w:rsidRPr="00C50A5C">
        <w:rPr>
          <w:b/>
          <w:sz w:val="20"/>
          <w:szCs w:val="20"/>
        </w:rPr>
        <w:t xml:space="preserve"> </w:t>
      </w:r>
      <w:r w:rsidR="0030050B">
        <w:rPr>
          <w:b/>
          <w:sz w:val="20"/>
          <w:szCs w:val="20"/>
        </w:rPr>
        <w:t>201</w:t>
      </w:r>
      <w:r w:rsidR="00E8544A">
        <w:rPr>
          <w:b/>
          <w:sz w:val="20"/>
          <w:szCs w:val="20"/>
        </w:rPr>
        <w:t>7</w:t>
      </w:r>
    </w:p>
    <w:p w:rsidR="00E8544A" w:rsidRPr="009D287C"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00C1B" w:rsidRPr="00C03744" w:rsidTr="00183D35">
        <w:trPr>
          <w:gridAfter w:val="1"/>
          <w:wAfter w:w="48" w:type="pct"/>
        </w:trPr>
        <w:tc>
          <w:tcPr>
            <w:tcW w:w="537" w:type="pct"/>
          </w:tcPr>
          <w:p w:rsidR="00900C1B" w:rsidRPr="00C03744" w:rsidRDefault="00900C1B" w:rsidP="00183D35">
            <w:pPr>
              <w:jc w:val="both"/>
              <w:rPr>
                <w:sz w:val="20"/>
                <w:szCs w:val="20"/>
              </w:rPr>
            </w:pPr>
            <w:r w:rsidRPr="00C03744">
              <w:rPr>
                <w:rStyle w:val="SCCFileNumberChar"/>
                <w:sz w:val="20"/>
                <w:szCs w:val="20"/>
              </w:rPr>
              <w:t>36986</w:t>
            </w:r>
          </w:p>
        </w:tc>
        <w:tc>
          <w:tcPr>
            <w:tcW w:w="4415" w:type="pct"/>
            <w:gridSpan w:val="3"/>
          </w:tcPr>
          <w:p w:rsidR="00900C1B" w:rsidRDefault="00900C1B" w:rsidP="00900C1B">
            <w:pPr>
              <w:pStyle w:val="SCCLsocParty"/>
              <w:jc w:val="both"/>
              <w:rPr>
                <w:sz w:val="20"/>
                <w:szCs w:val="20"/>
              </w:rPr>
            </w:pPr>
            <w:r w:rsidRPr="00C03744">
              <w:rPr>
                <w:b/>
                <w:sz w:val="20"/>
                <w:szCs w:val="20"/>
                <w:lang w:val="en-US"/>
              </w:rPr>
              <w:t>Dennis James Oland v. Her Majesty the Queen</w:t>
            </w:r>
            <w:r>
              <w:rPr>
                <w:b/>
                <w:sz w:val="20"/>
                <w:szCs w:val="20"/>
                <w:lang w:val="en-US"/>
              </w:rPr>
              <w:t xml:space="preserve"> </w:t>
            </w:r>
            <w:r w:rsidRPr="00900C1B">
              <w:rPr>
                <w:b/>
                <w:sz w:val="20"/>
                <w:szCs w:val="20"/>
                <w:lang w:val="en-US"/>
              </w:rPr>
              <w:t>- and between -</w:t>
            </w:r>
            <w:r w:rsidRPr="00900C1B">
              <w:rPr>
                <w:sz w:val="20"/>
                <w:szCs w:val="20"/>
                <w:lang w:val="en-US"/>
              </w:rPr>
              <w:t xml:space="preserve"> </w:t>
            </w:r>
            <w:r w:rsidRPr="00C03744">
              <w:rPr>
                <w:b/>
                <w:sz w:val="20"/>
                <w:szCs w:val="20"/>
                <w:lang w:val="en-US"/>
              </w:rPr>
              <w:t>Her Majesty the Queen v. Dennis James Oland</w:t>
            </w:r>
            <w:r>
              <w:rPr>
                <w:b/>
                <w:sz w:val="20"/>
                <w:szCs w:val="20"/>
                <w:lang w:val="en-US"/>
              </w:rPr>
              <w:t xml:space="preserve"> </w:t>
            </w:r>
            <w:r w:rsidRPr="00900C1B">
              <w:rPr>
                <w:sz w:val="20"/>
                <w:szCs w:val="20"/>
                <w:lang w:val="en-US"/>
              </w:rPr>
              <w:t xml:space="preserve">(N.B.) </w:t>
            </w:r>
            <w:r w:rsidRPr="00C03744">
              <w:rPr>
                <w:sz w:val="20"/>
                <w:szCs w:val="20"/>
              </w:rPr>
              <w:t>(</w:t>
            </w:r>
            <w:proofErr w:type="spellStart"/>
            <w:r w:rsidRPr="00C03744">
              <w:rPr>
                <w:sz w:val="20"/>
                <w:szCs w:val="20"/>
              </w:rPr>
              <w:t>Criminal</w:t>
            </w:r>
            <w:proofErr w:type="spellEnd"/>
            <w:r w:rsidRPr="00C03744">
              <w:rPr>
                <w:sz w:val="20"/>
                <w:szCs w:val="20"/>
              </w:rPr>
              <w:t xml:space="preserve">) (By </w:t>
            </w:r>
            <w:proofErr w:type="spellStart"/>
            <w:r w:rsidRPr="00C03744">
              <w:rPr>
                <w:sz w:val="20"/>
                <w:szCs w:val="20"/>
              </w:rPr>
              <w:t>Leave</w:t>
            </w:r>
            <w:proofErr w:type="spellEnd"/>
            <w:r w:rsidRPr="00C03744">
              <w:rPr>
                <w:sz w:val="20"/>
                <w:szCs w:val="20"/>
              </w:rPr>
              <w:t>)</w:t>
            </w:r>
          </w:p>
          <w:p w:rsidR="00900C1B" w:rsidRPr="00900C1B" w:rsidRDefault="00900C1B" w:rsidP="00900C1B">
            <w:pPr>
              <w:rPr>
                <w:lang w:val="fr-CA"/>
              </w:rPr>
            </w:pPr>
          </w:p>
        </w:tc>
      </w:tr>
      <w:tr w:rsidR="00900C1B" w:rsidRPr="00C03744" w:rsidTr="00183D35">
        <w:trPr>
          <w:gridAfter w:val="1"/>
          <w:wAfter w:w="48" w:type="pct"/>
        </w:trPr>
        <w:tc>
          <w:tcPr>
            <w:tcW w:w="537" w:type="pct"/>
          </w:tcPr>
          <w:p w:rsidR="00900C1B" w:rsidRPr="00C03744" w:rsidRDefault="00900C1B" w:rsidP="00183D35">
            <w:pPr>
              <w:jc w:val="both"/>
              <w:rPr>
                <w:rStyle w:val="SCCFileNumberChar"/>
                <w:sz w:val="20"/>
                <w:szCs w:val="20"/>
              </w:rPr>
            </w:pPr>
            <w:r>
              <w:rPr>
                <w:rStyle w:val="SCCFileNumberChar"/>
                <w:sz w:val="20"/>
                <w:szCs w:val="20"/>
              </w:rPr>
              <w:t>Coram:</w:t>
            </w:r>
          </w:p>
        </w:tc>
        <w:tc>
          <w:tcPr>
            <w:tcW w:w="4415" w:type="pct"/>
            <w:gridSpan w:val="3"/>
          </w:tcPr>
          <w:p w:rsidR="00900C1B" w:rsidRDefault="00205684" w:rsidP="00900C1B">
            <w:pPr>
              <w:pStyle w:val="SCCLsocParty"/>
              <w:jc w:val="both"/>
              <w:rPr>
                <w:rFonts w:eastAsiaTheme="minorEastAsia"/>
                <w:sz w:val="20"/>
                <w:szCs w:val="20"/>
                <w:lang w:val="en-US" w:eastAsia="en-CA"/>
              </w:rPr>
            </w:pPr>
            <w:proofErr w:type="spellStart"/>
            <w:r w:rsidRPr="00205684">
              <w:rPr>
                <w:rFonts w:eastAsiaTheme="minorEastAsia"/>
                <w:sz w:val="20"/>
                <w:szCs w:val="20"/>
                <w:lang w:val="en-US" w:eastAsia="en-CA"/>
              </w:rPr>
              <w:t>McLachlin</w:t>
            </w:r>
            <w:proofErr w:type="spellEnd"/>
            <w:r w:rsidRPr="00205684">
              <w:rPr>
                <w:rFonts w:eastAsiaTheme="minorEastAsia"/>
                <w:sz w:val="20"/>
                <w:szCs w:val="20"/>
                <w:lang w:val="en-US" w:eastAsia="en-CA"/>
              </w:rPr>
              <w:t xml:space="preserve"> C.J. and </w:t>
            </w:r>
            <w:proofErr w:type="spellStart"/>
            <w:r w:rsidRPr="00205684">
              <w:rPr>
                <w:rFonts w:eastAsiaTheme="minorEastAsia"/>
                <w:sz w:val="20"/>
                <w:szCs w:val="20"/>
                <w:lang w:val="en-US" w:eastAsia="en-CA"/>
              </w:rPr>
              <w:t>Abella</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Moldaver</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Karakatsanis</w:t>
            </w:r>
            <w:proofErr w:type="spellEnd"/>
            <w:r w:rsidRPr="00205684">
              <w:rPr>
                <w:rFonts w:eastAsiaTheme="minorEastAsia"/>
                <w:sz w:val="20"/>
                <w:szCs w:val="20"/>
                <w:lang w:val="en-US" w:eastAsia="en-CA"/>
              </w:rPr>
              <w:t xml:space="preserve">, Wagner, </w:t>
            </w:r>
            <w:proofErr w:type="spellStart"/>
            <w:r w:rsidRPr="00205684">
              <w:rPr>
                <w:rFonts w:eastAsiaTheme="minorEastAsia"/>
                <w:sz w:val="20"/>
                <w:szCs w:val="20"/>
                <w:lang w:val="en-US" w:eastAsia="en-CA"/>
              </w:rPr>
              <w:t>Gascon</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Côté</w:t>
            </w:r>
            <w:proofErr w:type="spellEnd"/>
            <w:r w:rsidRPr="00205684">
              <w:rPr>
                <w:rFonts w:eastAsiaTheme="minorEastAsia"/>
                <w:sz w:val="20"/>
                <w:szCs w:val="20"/>
                <w:lang w:val="en-US" w:eastAsia="en-CA"/>
              </w:rPr>
              <w:t>, Brown and Rowe JJ.</w:t>
            </w:r>
          </w:p>
          <w:p w:rsidR="00205684" w:rsidRPr="00205684" w:rsidRDefault="00205684" w:rsidP="00205684">
            <w:pPr>
              <w:rPr>
                <w:lang w:val="en-US" w:eastAsia="en-CA"/>
              </w:rPr>
            </w:pPr>
          </w:p>
        </w:tc>
      </w:tr>
      <w:tr w:rsidR="00900C1B" w:rsidRPr="00C03744" w:rsidTr="00900C1B">
        <w:trPr>
          <w:gridAfter w:val="1"/>
          <w:wAfter w:w="48" w:type="pct"/>
        </w:trPr>
        <w:tc>
          <w:tcPr>
            <w:tcW w:w="4952" w:type="pct"/>
            <w:gridSpan w:val="4"/>
          </w:tcPr>
          <w:p w:rsidR="00900C1B" w:rsidRDefault="00205684" w:rsidP="00900C1B">
            <w:pPr>
              <w:pStyle w:val="SCCLsocParty"/>
              <w:jc w:val="both"/>
              <w:rPr>
                <w:sz w:val="20"/>
                <w:szCs w:val="20"/>
                <w:lang w:val="en-US"/>
              </w:rPr>
            </w:pPr>
            <w:r w:rsidRPr="00205684">
              <w:rPr>
                <w:sz w:val="20"/>
                <w:szCs w:val="20"/>
                <w:lang w:val="en-US"/>
              </w:rPr>
              <w:t>The parties’ joint motion for an extension of time to serve and file the application for leave to appeal, the response to the application for leave to appeal and the application for leave to cross-appeal is granted. The application for leave to appeal and the application for leave to cross-appeal from the judgment of the Court of Appeal of New Brunswick, 2016 NBCA 58, Number 2-16-CA, dated October 24, 2016, are dismissed.</w:t>
            </w:r>
          </w:p>
          <w:p w:rsidR="00205684" w:rsidRPr="00205684" w:rsidRDefault="00205684" w:rsidP="00205684">
            <w:pPr>
              <w:rPr>
                <w:lang w:val="en-US"/>
              </w:rPr>
            </w:pPr>
          </w:p>
        </w:tc>
      </w:tr>
      <w:tr w:rsidR="00900C1B" w:rsidRPr="00C03744" w:rsidTr="00183D35">
        <w:trPr>
          <w:gridAfter w:val="1"/>
          <w:wAfter w:w="48" w:type="pct"/>
        </w:trPr>
        <w:tc>
          <w:tcPr>
            <w:tcW w:w="4952" w:type="pct"/>
            <w:gridSpan w:val="4"/>
          </w:tcPr>
          <w:p w:rsidR="00900C1B" w:rsidRPr="00C03744" w:rsidRDefault="00900C1B" w:rsidP="00183D35">
            <w:pPr>
              <w:jc w:val="both"/>
              <w:rPr>
                <w:sz w:val="20"/>
                <w:szCs w:val="20"/>
              </w:rPr>
            </w:pPr>
            <w:r w:rsidRPr="00C03744">
              <w:rPr>
                <w:sz w:val="20"/>
                <w:szCs w:val="20"/>
              </w:rPr>
              <w:t>Criminal law — Procedure — Trial judge’s charge to jury — Inferences of guilt — Accused’s father was bludgeoned to death in his office — Accused lied to police about wearing certain jacket, which was found to contain victim’s blood and DNA, when he attended father’s office that day — Accused convicted of second-degree murder — Court of Appeal ordered new trial because trial judge’s instructions on accused’s statement about jacket were erroneous — What rules apply to post-offence false statements? — How should appellate courts assess apparently credible and reliable exculpatory evidence under s. 686(1</w:t>
            </w:r>
            <w:proofErr w:type="gramStart"/>
            <w:r w:rsidRPr="00C03744">
              <w:rPr>
                <w:sz w:val="20"/>
                <w:szCs w:val="20"/>
              </w:rPr>
              <w:t>)(</w:t>
            </w:r>
            <w:proofErr w:type="gramEnd"/>
            <w:r w:rsidRPr="00C03744">
              <w:rPr>
                <w:sz w:val="20"/>
                <w:szCs w:val="20"/>
              </w:rPr>
              <w:t>a)(</w:t>
            </w:r>
            <w:proofErr w:type="spellStart"/>
            <w:r w:rsidRPr="00C03744">
              <w:rPr>
                <w:sz w:val="20"/>
                <w:szCs w:val="20"/>
              </w:rPr>
              <w:t>i</w:t>
            </w:r>
            <w:proofErr w:type="spellEnd"/>
            <w:r w:rsidRPr="00C03744">
              <w:rPr>
                <w:sz w:val="20"/>
                <w:szCs w:val="20"/>
              </w:rPr>
              <w:t xml:space="preserve">) of </w:t>
            </w:r>
            <w:r w:rsidRPr="00C03744">
              <w:rPr>
                <w:i/>
                <w:sz w:val="20"/>
                <w:szCs w:val="20"/>
              </w:rPr>
              <w:t>Criminal Code</w:t>
            </w:r>
            <w:r w:rsidRPr="00C03744">
              <w:rPr>
                <w:sz w:val="20"/>
                <w:szCs w:val="20"/>
              </w:rPr>
              <w:t xml:space="preserve">? — Do s. 487 search warrants implicitly authorize forensic/DNA testing? — What is nature and scope of “independent evidence” required to prove concoction — When does ambiguous after-the-fact conduct require “no probative value” instruction? — How should courts classify, and assess reliability of, computer generated evidence? — How should rule in </w:t>
            </w:r>
            <w:r w:rsidRPr="00C03744">
              <w:rPr>
                <w:i/>
                <w:sz w:val="20"/>
                <w:szCs w:val="20"/>
              </w:rPr>
              <w:t>Browne v. Dunn</w:t>
            </w:r>
            <w:r w:rsidRPr="00C03744">
              <w:rPr>
                <w:sz w:val="20"/>
                <w:szCs w:val="20"/>
              </w:rPr>
              <w:t xml:space="preserve"> (1893) 6 R. 67 (H.L.), apply to cross-examination of accused?</w:t>
            </w:r>
          </w:p>
        </w:tc>
      </w:tr>
      <w:tr w:rsidR="00900C1B" w:rsidRPr="00C03744" w:rsidTr="00183D35">
        <w:trPr>
          <w:gridAfter w:val="1"/>
          <w:wAfter w:w="48" w:type="pct"/>
        </w:trPr>
        <w:tc>
          <w:tcPr>
            <w:tcW w:w="4952" w:type="pct"/>
            <w:gridSpan w:val="4"/>
          </w:tcPr>
          <w:p w:rsidR="00900C1B" w:rsidRPr="00C03744" w:rsidRDefault="00900C1B" w:rsidP="00183D35">
            <w:pPr>
              <w:jc w:val="both"/>
              <w:rPr>
                <w:sz w:val="20"/>
                <w:szCs w:val="20"/>
              </w:rPr>
            </w:pPr>
          </w:p>
        </w:tc>
      </w:tr>
      <w:tr w:rsidR="00900C1B" w:rsidRPr="00C03744" w:rsidTr="00183D35">
        <w:trPr>
          <w:gridAfter w:val="1"/>
          <w:wAfter w:w="48" w:type="pct"/>
        </w:trPr>
        <w:tc>
          <w:tcPr>
            <w:tcW w:w="4952" w:type="pct"/>
            <w:gridSpan w:val="4"/>
          </w:tcPr>
          <w:p w:rsidR="00900C1B" w:rsidRPr="00C03744" w:rsidRDefault="00900C1B" w:rsidP="00183D35">
            <w:pPr>
              <w:jc w:val="both"/>
              <w:rPr>
                <w:sz w:val="20"/>
                <w:szCs w:val="20"/>
              </w:rPr>
            </w:pPr>
            <w:r w:rsidRPr="00C03744">
              <w:rPr>
                <w:sz w:val="20"/>
                <w:szCs w:val="20"/>
              </w:rPr>
              <w:t>Mr. Oland’s father was bludgeoned to death in his office. On the day of the killing, Mr. Oland attended his father’s office. Mr. Oland told the police that he was wearing a navy jacket that day. However, video evidence showed conclusively and he admitted at trial that he was wearing a brown jacket. Forensic testing subsequently confirmed the presence of the victim’s blood and DNA on that jacket. After 30 hours of deliberation, a jury unanimously concluded that Mr. Oland was the killer, and he was therefore convicted of second-degree murder. Mr. Oland sought to appeal his conviction on the basis that the jury’s verdict was unreasonable. Alternatively, he argued that the trial judge made erroneous evidential rulings, specifically in respect to call detail records, the evidence derived from the forensic testing of the jacket and his communications with his wife. Finally, Mr. Oland argued that the judge misdirected the jury, notably in connection with a post-offence statement that he made to the police about the jacket that he was wearing. A unanimous Court of Appeal dismissed Mr. Oland’s application for an acquittal pursuant to s. 686(1</w:t>
            </w:r>
            <w:proofErr w:type="gramStart"/>
            <w:r w:rsidRPr="00C03744">
              <w:rPr>
                <w:sz w:val="20"/>
                <w:szCs w:val="20"/>
              </w:rPr>
              <w:t>)(</w:t>
            </w:r>
            <w:proofErr w:type="gramEnd"/>
            <w:r w:rsidRPr="00C03744">
              <w:rPr>
                <w:sz w:val="20"/>
                <w:szCs w:val="20"/>
              </w:rPr>
              <w:t>a)(</w:t>
            </w:r>
            <w:proofErr w:type="spellStart"/>
            <w:r w:rsidRPr="00C03744">
              <w:rPr>
                <w:sz w:val="20"/>
                <w:szCs w:val="20"/>
              </w:rPr>
              <w:t>i</w:t>
            </w:r>
            <w:proofErr w:type="spellEnd"/>
            <w:r w:rsidRPr="00C03744">
              <w:rPr>
                <w:sz w:val="20"/>
                <w:szCs w:val="20"/>
              </w:rPr>
              <w:t xml:space="preserve">) of the </w:t>
            </w:r>
            <w:r w:rsidRPr="00C03744">
              <w:rPr>
                <w:i/>
                <w:sz w:val="20"/>
                <w:szCs w:val="20"/>
              </w:rPr>
              <w:t>Criminal Code</w:t>
            </w:r>
            <w:r w:rsidRPr="00C03744">
              <w:rPr>
                <w:sz w:val="20"/>
                <w:szCs w:val="20"/>
              </w:rPr>
              <w:t>. However, it quashed his conviction for second-degree murder and ordered a new trial, holding that the judge misdirected the jury on Mr. Oland’s statement about the jacket.</w:t>
            </w:r>
          </w:p>
          <w:p w:rsidR="00900C1B" w:rsidRPr="00C03744" w:rsidRDefault="00900C1B" w:rsidP="00183D35">
            <w:pPr>
              <w:jc w:val="both"/>
              <w:rPr>
                <w:sz w:val="20"/>
                <w:szCs w:val="20"/>
              </w:rPr>
            </w:pPr>
          </w:p>
        </w:tc>
      </w:tr>
      <w:tr w:rsidR="00900C1B" w:rsidRPr="00C03744" w:rsidTr="00183D35">
        <w:tblPrEx>
          <w:tblCellMar>
            <w:bottom w:w="0" w:type="dxa"/>
          </w:tblCellMar>
        </w:tblPrEx>
        <w:tc>
          <w:tcPr>
            <w:tcW w:w="2367" w:type="pct"/>
            <w:gridSpan w:val="2"/>
          </w:tcPr>
          <w:p w:rsidR="00900C1B" w:rsidRPr="00C03744" w:rsidRDefault="00900C1B" w:rsidP="00183D35">
            <w:pPr>
              <w:jc w:val="both"/>
              <w:rPr>
                <w:sz w:val="20"/>
                <w:szCs w:val="20"/>
              </w:rPr>
            </w:pPr>
            <w:r w:rsidRPr="00C03744">
              <w:rPr>
                <w:sz w:val="20"/>
                <w:szCs w:val="20"/>
              </w:rPr>
              <w:t>December 19, 2015</w:t>
            </w:r>
          </w:p>
          <w:p w:rsidR="00900C1B" w:rsidRPr="00C03744" w:rsidRDefault="00900C1B" w:rsidP="00183D35">
            <w:pPr>
              <w:jc w:val="both"/>
              <w:rPr>
                <w:sz w:val="20"/>
                <w:szCs w:val="20"/>
              </w:rPr>
            </w:pPr>
            <w:r w:rsidRPr="00C03744">
              <w:rPr>
                <w:sz w:val="20"/>
                <w:szCs w:val="20"/>
              </w:rPr>
              <w:t>Court of Queen’s Bench of New Brunswick</w:t>
            </w:r>
          </w:p>
          <w:p w:rsidR="00900C1B" w:rsidRPr="00C03744" w:rsidRDefault="00900C1B" w:rsidP="00183D35">
            <w:pPr>
              <w:jc w:val="both"/>
              <w:rPr>
                <w:sz w:val="20"/>
                <w:szCs w:val="20"/>
              </w:rPr>
            </w:pPr>
            <w:r w:rsidRPr="00C03744">
              <w:rPr>
                <w:sz w:val="20"/>
                <w:szCs w:val="20"/>
              </w:rPr>
              <w:t>(Walsh J.)</w:t>
            </w:r>
          </w:p>
          <w:p w:rsidR="00900C1B" w:rsidRPr="00C03744" w:rsidRDefault="00900C1B" w:rsidP="00183D35">
            <w:pPr>
              <w:jc w:val="both"/>
              <w:rPr>
                <w:sz w:val="20"/>
                <w:szCs w:val="20"/>
              </w:rPr>
            </w:pPr>
          </w:p>
        </w:tc>
        <w:tc>
          <w:tcPr>
            <w:tcW w:w="267" w:type="pct"/>
          </w:tcPr>
          <w:p w:rsidR="00900C1B" w:rsidRPr="00C03744" w:rsidRDefault="00900C1B" w:rsidP="00183D35">
            <w:pPr>
              <w:jc w:val="both"/>
              <w:rPr>
                <w:sz w:val="20"/>
                <w:szCs w:val="20"/>
              </w:rPr>
            </w:pPr>
          </w:p>
        </w:tc>
        <w:tc>
          <w:tcPr>
            <w:tcW w:w="2366" w:type="pct"/>
            <w:gridSpan w:val="2"/>
          </w:tcPr>
          <w:p w:rsidR="00900C1B" w:rsidRPr="00C03744" w:rsidRDefault="00900C1B" w:rsidP="00183D35">
            <w:pPr>
              <w:jc w:val="both"/>
              <w:rPr>
                <w:sz w:val="20"/>
                <w:szCs w:val="20"/>
              </w:rPr>
            </w:pPr>
            <w:r w:rsidRPr="00C03744">
              <w:rPr>
                <w:sz w:val="20"/>
                <w:szCs w:val="20"/>
              </w:rPr>
              <w:t>Mr. Oland was convicted by jury of second-degree murder.</w:t>
            </w:r>
          </w:p>
          <w:p w:rsidR="00900C1B" w:rsidRPr="00C03744" w:rsidRDefault="00900C1B" w:rsidP="00183D35">
            <w:pPr>
              <w:jc w:val="both"/>
              <w:rPr>
                <w:sz w:val="20"/>
                <w:szCs w:val="20"/>
              </w:rPr>
            </w:pPr>
          </w:p>
        </w:tc>
      </w:tr>
      <w:tr w:rsidR="00900C1B" w:rsidRPr="00C03744" w:rsidTr="00183D35">
        <w:tblPrEx>
          <w:tblCellMar>
            <w:bottom w:w="0" w:type="dxa"/>
          </w:tblCellMar>
        </w:tblPrEx>
        <w:tc>
          <w:tcPr>
            <w:tcW w:w="2367" w:type="pct"/>
            <w:gridSpan w:val="2"/>
          </w:tcPr>
          <w:p w:rsidR="00900C1B" w:rsidRPr="00C03744" w:rsidRDefault="00900C1B" w:rsidP="00183D35">
            <w:pPr>
              <w:jc w:val="both"/>
              <w:rPr>
                <w:sz w:val="20"/>
                <w:szCs w:val="20"/>
              </w:rPr>
            </w:pPr>
            <w:r w:rsidRPr="00C03744">
              <w:rPr>
                <w:sz w:val="20"/>
                <w:szCs w:val="20"/>
              </w:rPr>
              <w:t>October 24, 2016</w:t>
            </w:r>
          </w:p>
          <w:p w:rsidR="00900C1B" w:rsidRPr="00C03744" w:rsidRDefault="00900C1B" w:rsidP="00183D35">
            <w:pPr>
              <w:jc w:val="both"/>
              <w:rPr>
                <w:sz w:val="20"/>
                <w:szCs w:val="20"/>
              </w:rPr>
            </w:pPr>
            <w:r w:rsidRPr="00C03744">
              <w:rPr>
                <w:sz w:val="20"/>
                <w:szCs w:val="20"/>
              </w:rPr>
              <w:t>Court of Appeal of New Brunswick</w:t>
            </w:r>
          </w:p>
          <w:p w:rsidR="00900C1B" w:rsidRPr="00C03744" w:rsidRDefault="00900C1B" w:rsidP="00183D35">
            <w:pPr>
              <w:jc w:val="both"/>
              <w:rPr>
                <w:sz w:val="20"/>
                <w:szCs w:val="20"/>
              </w:rPr>
            </w:pPr>
            <w:r w:rsidRPr="00C03744">
              <w:rPr>
                <w:sz w:val="20"/>
                <w:szCs w:val="20"/>
              </w:rPr>
              <w:t>(</w:t>
            </w:r>
            <w:proofErr w:type="spellStart"/>
            <w:r w:rsidRPr="00C03744">
              <w:rPr>
                <w:sz w:val="20"/>
                <w:szCs w:val="20"/>
              </w:rPr>
              <w:t>Drapeau</w:t>
            </w:r>
            <w:proofErr w:type="spellEnd"/>
            <w:r w:rsidRPr="00C03744">
              <w:rPr>
                <w:sz w:val="20"/>
                <w:szCs w:val="20"/>
              </w:rPr>
              <w:t xml:space="preserve"> C.J.N.B. and </w:t>
            </w:r>
            <w:proofErr w:type="spellStart"/>
            <w:r w:rsidRPr="00C03744">
              <w:rPr>
                <w:sz w:val="20"/>
                <w:szCs w:val="20"/>
              </w:rPr>
              <w:t>Larlee</w:t>
            </w:r>
            <w:proofErr w:type="spellEnd"/>
            <w:r w:rsidRPr="00C03744">
              <w:rPr>
                <w:sz w:val="20"/>
                <w:szCs w:val="20"/>
              </w:rPr>
              <w:t xml:space="preserve"> and </w:t>
            </w:r>
            <w:proofErr w:type="spellStart"/>
            <w:r w:rsidRPr="00C03744">
              <w:rPr>
                <w:sz w:val="20"/>
                <w:szCs w:val="20"/>
              </w:rPr>
              <w:t>Quigg</w:t>
            </w:r>
            <w:proofErr w:type="spellEnd"/>
            <w:r w:rsidRPr="00C03744">
              <w:rPr>
                <w:sz w:val="20"/>
                <w:szCs w:val="20"/>
              </w:rPr>
              <w:t xml:space="preserve"> </w:t>
            </w:r>
          </w:p>
          <w:p w:rsidR="00900C1B" w:rsidRPr="00C03744" w:rsidRDefault="00900C1B" w:rsidP="00183D35">
            <w:pPr>
              <w:jc w:val="both"/>
              <w:rPr>
                <w:sz w:val="20"/>
                <w:szCs w:val="20"/>
              </w:rPr>
            </w:pPr>
            <w:r w:rsidRPr="00C03744">
              <w:rPr>
                <w:sz w:val="20"/>
                <w:szCs w:val="20"/>
              </w:rPr>
              <w:t>JJ.A.)</w:t>
            </w:r>
          </w:p>
          <w:p w:rsidR="00900C1B" w:rsidRPr="00C03744" w:rsidRDefault="005133CB" w:rsidP="00183D35">
            <w:pPr>
              <w:jc w:val="both"/>
              <w:rPr>
                <w:sz w:val="20"/>
                <w:szCs w:val="20"/>
              </w:rPr>
            </w:pPr>
            <w:hyperlink r:id="rId18" w:history="1">
              <w:r w:rsidR="00900C1B" w:rsidRPr="00C03744">
                <w:rPr>
                  <w:rStyle w:val="Hyperlink"/>
                  <w:sz w:val="20"/>
                  <w:szCs w:val="20"/>
                </w:rPr>
                <w:t>2016 NBCA 58</w:t>
              </w:r>
            </w:hyperlink>
          </w:p>
          <w:p w:rsidR="00900C1B" w:rsidRPr="00C03744" w:rsidRDefault="00900C1B" w:rsidP="00183D35">
            <w:pPr>
              <w:jc w:val="both"/>
              <w:rPr>
                <w:sz w:val="20"/>
                <w:szCs w:val="20"/>
              </w:rPr>
            </w:pPr>
          </w:p>
        </w:tc>
        <w:tc>
          <w:tcPr>
            <w:tcW w:w="267" w:type="pct"/>
          </w:tcPr>
          <w:p w:rsidR="00900C1B" w:rsidRPr="00C03744" w:rsidRDefault="00900C1B" w:rsidP="00183D35">
            <w:pPr>
              <w:jc w:val="both"/>
              <w:rPr>
                <w:sz w:val="20"/>
                <w:szCs w:val="20"/>
              </w:rPr>
            </w:pPr>
          </w:p>
        </w:tc>
        <w:tc>
          <w:tcPr>
            <w:tcW w:w="2366" w:type="pct"/>
            <w:gridSpan w:val="2"/>
          </w:tcPr>
          <w:p w:rsidR="00900C1B" w:rsidRPr="00C03744" w:rsidRDefault="00900C1B" w:rsidP="00183D35">
            <w:pPr>
              <w:jc w:val="both"/>
              <w:rPr>
                <w:sz w:val="20"/>
                <w:szCs w:val="20"/>
              </w:rPr>
            </w:pPr>
            <w:r w:rsidRPr="00C03744">
              <w:rPr>
                <w:sz w:val="20"/>
                <w:szCs w:val="20"/>
              </w:rPr>
              <w:t>Mr. Oland’s application for an acquittal pursuant to s. 686(1</w:t>
            </w:r>
            <w:proofErr w:type="gramStart"/>
            <w:r w:rsidRPr="00C03744">
              <w:rPr>
                <w:sz w:val="20"/>
                <w:szCs w:val="20"/>
              </w:rPr>
              <w:t>)(</w:t>
            </w:r>
            <w:proofErr w:type="gramEnd"/>
            <w:r w:rsidRPr="00C03744">
              <w:rPr>
                <w:sz w:val="20"/>
                <w:szCs w:val="20"/>
              </w:rPr>
              <w:t>a)(</w:t>
            </w:r>
            <w:proofErr w:type="spellStart"/>
            <w:r w:rsidRPr="00C03744">
              <w:rPr>
                <w:sz w:val="20"/>
                <w:szCs w:val="20"/>
              </w:rPr>
              <w:t>i</w:t>
            </w:r>
            <w:proofErr w:type="spellEnd"/>
            <w:r w:rsidRPr="00C03744">
              <w:rPr>
                <w:sz w:val="20"/>
                <w:szCs w:val="20"/>
              </w:rPr>
              <w:t xml:space="preserve">) of the </w:t>
            </w:r>
            <w:r w:rsidRPr="00C03744">
              <w:rPr>
                <w:i/>
                <w:sz w:val="20"/>
                <w:szCs w:val="20"/>
              </w:rPr>
              <w:t>Criminal Code</w:t>
            </w:r>
            <w:r w:rsidRPr="00C03744">
              <w:rPr>
                <w:sz w:val="20"/>
                <w:szCs w:val="20"/>
              </w:rPr>
              <w:t xml:space="preserve"> was dismissed; however, his conviction for second-degree murder was quashed and a new trial ordered.</w:t>
            </w:r>
          </w:p>
          <w:p w:rsidR="00900C1B" w:rsidRPr="00C03744" w:rsidRDefault="00900C1B" w:rsidP="00183D35">
            <w:pPr>
              <w:jc w:val="both"/>
              <w:rPr>
                <w:sz w:val="20"/>
                <w:szCs w:val="20"/>
              </w:rPr>
            </w:pPr>
          </w:p>
        </w:tc>
      </w:tr>
    </w:tbl>
    <w:p w:rsidR="00205684" w:rsidRDefault="00205684">
      <w: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900C1B" w:rsidRPr="00C03744" w:rsidTr="00183D35">
        <w:tc>
          <w:tcPr>
            <w:tcW w:w="2367" w:type="pct"/>
          </w:tcPr>
          <w:p w:rsidR="00900C1B" w:rsidRPr="00C03744" w:rsidRDefault="00900C1B" w:rsidP="00183D35">
            <w:pPr>
              <w:jc w:val="both"/>
              <w:rPr>
                <w:sz w:val="20"/>
                <w:szCs w:val="20"/>
              </w:rPr>
            </w:pPr>
            <w:r w:rsidRPr="00C03744">
              <w:rPr>
                <w:sz w:val="20"/>
                <w:szCs w:val="20"/>
              </w:rPr>
              <w:lastRenderedPageBreak/>
              <w:t>December 16, 2016</w:t>
            </w:r>
          </w:p>
          <w:p w:rsidR="00900C1B" w:rsidRPr="00C03744" w:rsidRDefault="00900C1B" w:rsidP="00183D35">
            <w:pPr>
              <w:jc w:val="both"/>
              <w:rPr>
                <w:sz w:val="20"/>
                <w:szCs w:val="20"/>
              </w:rPr>
            </w:pPr>
            <w:r w:rsidRPr="00C03744">
              <w:rPr>
                <w:sz w:val="20"/>
                <w:szCs w:val="20"/>
              </w:rPr>
              <w:t>Supreme Court of Canada</w:t>
            </w:r>
          </w:p>
          <w:p w:rsidR="00900C1B" w:rsidRPr="00C03744" w:rsidRDefault="00900C1B" w:rsidP="00183D35">
            <w:pPr>
              <w:jc w:val="both"/>
              <w:rPr>
                <w:sz w:val="20"/>
                <w:szCs w:val="20"/>
              </w:rPr>
            </w:pPr>
          </w:p>
        </w:tc>
        <w:tc>
          <w:tcPr>
            <w:tcW w:w="267" w:type="pct"/>
          </w:tcPr>
          <w:p w:rsidR="00900C1B" w:rsidRPr="00C03744" w:rsidRDefault="00900C1B" w:rsidP="00183D35">
            <w:pPr>
              <w:jc w:val="both"/>
              <w:rPr>
                <w:sz w:val="20"/>
                <w:szCs w:val="20"/>
              </w:rPr>
            </w:pPr>
          </w:p>
        </w:tc>
        <w:tc>
          <w:tcPr>
            <w:tcW w:w="2366" w:type="pct"/>
          </w:tcPr>
          <w:p w:rsidR="00900C1B" w:rsidRPr="00C03744" w:rsidRDefault="00900C1B" w:rsidP="00183D35">
            <w:pPr>
              <w:jc w:val="both"/>
              <w:rPr>
                <w:sz w:val="20"/>
                <w:szCs w:val="20"/>
              </w:rPr>
            </w:pPr>
            <w:r w:rsidRPr="00C03744">
              <w:rPr>
                <w:sz w:val="20"/>
                <w:szCs w:val="20"/>
              </w:rPr>
              <w:t>The parties filed a joint motion for an extension of time to serve and file: the applicant’s application for leave to appeal; and both the respondent’s response to the application for leave to appeal and the respondent’s application for leave to cross-appeal.</w:t>
            </w:r>
          </w:p>
          <w:p w:rsidR="00900C1B" w:rsidRPr="00C03744" w:rsidRDefault="00900C1B" w:rsidP="00183D35">
            <w:pPr>
              <w:jc w:val="both"/>
              <w:rPr>
                <w:sz w:val="20"/>
                <w:szCs w:val="20"/>
              </w:rPr>
            </w:pPr>
          </w:p>
        </w:tc>
      </w:tr>
      <w:tr w:rsidR="00900C1B" w:rsidRPr="00C03744" w:rsidTr="00183D35">
        <w:tc>
          <w:tcPr>
            <w:tcW w:w="2367" w:type="pct"/>
          </w:tcPr>
          <w:p w:rsidR="00900C1B" w:rsidRPr="00C03744" w:rsidRDefault="00900C1B" w:rsidP="00183D35">
            <w:pPr>
              <w:jc w:val="both"/>
              <w:rPr>
                <w:sz w:val="20"/>
                <w:szCs w:val="20"/>
              </w:rPr>
            </w:pPr>
            <w:r w:rsidRPr="00C03744">
              <w:rPr>
                <w:sz w:val="20"/>
                <w:szCs w:val="20"/>
              </w:rPr>
              <w:t>January 12, 2017</w:t>
            </w:r>
          </w:p>
          <w:p w:rsidR="00900C1B" w:rsidRPr="00C03744" w:rsidRDefault="00900C1B" w:rsidP="00183D35">
            <w:pPr>
              <w:jc w:val="both"/>
              <w:rPr>
                <w:sz w:val="20"/>
                <w:szCs w:val="20"/>
              </w:rPr>
            </w:pPr>
            <w:r w:rsidRPr="00C03744">
              <w:rPr>
                <w:sz w:val="20"/>
                <w:szCs w:val="20"/>
              </w:rPr>
              <w:t>Court of Appeal of New Brunswick</w:t>
            </w:r>
          </w:p>
          <w:p w:rsidR="00900C1B" w:rsidRPr="00C03744" w:rsidRDefault="00900C1B" w:rsidP="00183D35">
            <w:pPr>
              <w:jc w:val="both"/>
              <w:rPr>
                <w:sz w:val="20"/>
                <w:szCs w:val="20"/>
              </w:rPr>
            </w:pPr>
            <w:r w:rsidRPr="00C03744">
              <w:rPr>
                <w:sz w:val="20"/>
                <w:szCs w:val="20"/>
              </w:rPr>
              <w:t>(</w:t>
            </w:r>
            <w:proofErr w:type="spellStart"/>
            <w:r w:rsidRPr="00C03744">
              <w:rPr>
                <w:sz w:val="20"/>
                <w:szCs w:val="20"/>
              </w:rPr>
              <w:t>Drapeau</w:t>
            </w:r>
            <w:proofErr w:type="spellEnd"/>
            <w:r w:rsidRPr="00C03744">
              <w:rPr>
                <w:sz w:val="20"/>
                <w:szCs w:val="20"/>
              </w:rPr>
              <w:t xml:space="preserve"> C.J.N.B. and </w:t>
            </w:r>
            <w:proofErr w:type="spellStart"/>
            <w:r w:rsidRPr="00C03744">
              <w:rPr>
                <w:sz w:val="20"/>
                <w:szCs w:val="20"/>
              </w:rPr>
              <w:t>Larlee</w:t>
            </w:r>
            <w:proofErr w:type="spellEnd"/>
            <w:r w:rsidRPr="00C03744">
              <w:rPr>
                <w:sz w:val="20"/>
                <w:szCs w:val="20"/>
              </w:rPr>
              <w:t xml:space="preserve"> and </w:t>
            </w:r>
            <w:proofErr w:type="spellStart"/>
            <w:r w:rsidRPr="00C03744">
              <w:rPr>
                <w:sz w:val="20"/>
                <w:szCs w:val="20"/>
              </w:rPr>
              <w:t>Quigg</w:t>
            </w:r>
            <w:proofErr w:type="spellEnd"/>
            <w:r w:rsidRPr="00C03744">
              <w:rPr>
                <w:sz w:val="20"/>
                <w:szCs w:val="20"/>
              </w:rPr>
              <w:t xml:space="preserve"> </w:t>
            </w:r>
          </w:p>
          <w:p w:rsidR="00900C1B" w:rsidRPr="00C03744" w:rsidRDefault="00900C1B" w:rsidP="00183D35">
            <w:pPr>
              <w:jc w:val="both"/>
              <w:rPr>
                <w:sz w:val="20"/>
                <w:szCs w:val="20"/>
              </w:rPr>
            </w:pPr>
            <w:r w:rsidRPr="00C03744">
              <w:rPr>
                <w:sz w:val="20"/>
                <w:szCs w:val="20"/>
              </w:rPr>
              <w:t>JJ.A.)</w:t>
            </w:r>
          </w:p>
          <w:p w:rsidR="00900C1B" w:rsidRPr="00C03744" w:rsidRDefault="005133CB" w:rsidP="00183D35">
            <w:pPr>
              <w:jc w:val="both"/>
              <w:rPr>
                <w:sz w:val="20"/>
                <w:szCs w:val="20"/>
              </w:rPr>
            </w:pPr>
            <w:hyperlink r:id="rId19" w:history="1">
              <w:r w:rsidR="00900C1B" w:rsidRPr="00C03744">
                <w:rPr>
                  <w:rStyle w:val="Hyperlink"/>
                  <w:sz w:val="20"/>
                  <w:szCs w:val="20"/>
                </w:rPr>
                <w:t xml:space="preserve">2016 </w:t>
              </w:r>
              <w:proofErr w:type="spellStart"/>
              <w:r w:rsidR="00900C1B" w:rsidRPr="00C03744">
                <w:rPr>
                  <w:rStyle w:val="Hyperlink"/>
                  <w:sz w:val="20"/>
                  <w:szCs w:val="20"/>
                </w:rPr>
                <w:t>CanLII</w:t>
              </w:r>
              <w:proofErr w:type="spellEnd"/>
              <w:r w:rsidR="00900C1B" w:rsidRPr="00C03744">
                <w:rPr>
                  <w:rStyle w:val="Hyperlink"/>
                  <w:sz w:val="20"/>
                  <w:szCs w:val="20"/>
                </w:rPr>
                <w:t xml:space="preserve"> 101484</w:t>
              </w:r>
            </w:hyperlink>
          </w:p>
          <w:p w:rsidR="00900C1B" w:rsidRPr="00C03744" w:rsidRDefault="00900C1B" w:rsidP="00183D35">
            <w:pPr>
              <w:jc w:val="both"/>
              <w:rPr>
                <w:sz w:val="20"/>
                <w:szCs w:val="20"/>
              </w:rPr>
            </w:pPr>
          </w:p>
        </w:tc>
        <w:tc>
          <w:tcPr>
            <w:tcW w:w="267" w:type="pct"/>
          </w:tcPr>
          <w:p w:rsidR="00900C1B" w:rsidRPr="00C03744" w:rsidRDefault="00900C1B" w:rsidP="00183D35">
            <w:pPr>
              <w:jc w:val="both"/>
              <w:rPr>
                <w:sz w:val="20"/>
                <w:szCs w:val="20"/>
              </w:rPr>
            </w:pPr>
          </w:p>
        </w:tc>
        <w:tc>
          <w:tcPr>
            <w:tcW w:w="2366" w:type="pct"/>
          </w:tcPr>
          <w:p w:rsidR="00900C1B" w:rsidRPr="00C03744" w:rsidRDefault="00900C1B" w:rsidP="00183D35">
            <w:pPr>
              <w:jc w:val="both"/>
              <w:rPr>
                <w:sz w:val="20"/>
                <w:szCs w:val="20"/>
              </w:rPr>
            </w:pPr>
            <w:r w:rsidRPr="00C03744">
              <w:rPr>
                <w:sz w:val="20"/>
                <w:szCs w:val="20"/>
              </w:rPr>
              <w:t>The Court of Appeal issued further reasons for its October 24, 2016 decision (see above).</w:t>
            </w:r>
          </w:p>
          <w:p w:rsidR="00900C1B" w:rsidRPr="00C03744" w:rsidRDefault="00900C1B" w:rsidP="00183D35">
            <w:pPr>
              <w:jc w:val="both"/>
              <w:rPr>
                <w:sz w:val="20"/>
                <w:szCs w:val="20"/>
              </w:rPr>
            </w:pPr>
          </w:p>
        </w:tc>
      </w:tr>
      <w:tr w:rsidR="00900C1B" w:rsidRPr="00C03744" w:rsidTr="00183D35">
        <w:tc>
          <w:tcPr>
            <w:tcW w:w="2367" w:type="pct"/>
          </w:tcPr>
          <w:p w:rsidR="00900C1B" w:rsidRPr="00C03744" w:rsidRDefault="00900C1B" w:rsidP="00183D35">
            <w:pPr>
              <w:jc w:val="both"/>
              <w:rPr>
                <w:sz w:val="20"/>
                <w:szCs w:val="20"/>
              </w:rPr>
            </w:pPr>
            <w:r w:rsidRPr="00C03744">
              <w:rPr>
                <w:sz w:val="20"/>
                <w:szCs w:val="20"/>
              </w:rPr>
              <w:t>January 23, 2017</w:t>
            </w:r>
          </w:p>
          <w:p w:rsidR="00900C1B" w:rsidRPr="00C03744" w:rsidRDefault="00900C1B" w:rsidP="00183D35">
            <w:pPr>
              <w:jc w:val="both"/>
              <w:rPr>
                <w:sz w:val="20"/>
                <w:szCs w:val="20"/>
              </w:rPr>
            </w:pPr>
            <w:r w:rsidRPr="00C03744">
              <w:rPr>
                <w:sz w:val="20"/>
                <w:szCs w:val="20"/>
              </w:rPr>
              <w:t>Supreme Court of Canada</w:t>
            </w:r>
          </w:p>
          <w:p w:rsidR="00900C1B" w:rsidRPr="00C03744" w:rsidRDefault="00900C1B" w:rsidP="00183D35">
            <w:pPr>
              <w:jc w:val="both"/>
              <w:rPr>
                <w:sz w:val="20"/>
                <w:szCs w:val="20"/>
              </w:rPr>
            </w:pPr>
          </w:p>
        </w:tc>
        <w:tc>
          <w:tcPr>
            <w:tcW w:w="267" w:type="pct"/>
          </w:tcPr>
          <w:p w:rsidR="00900C1B" w:rsidRPr="00C03744" w:rsidRDefault="00900C1B" w:rsidP="00183D35">
            <w:pPr>
              <w:jc w:val="both"/>
              <w:rPr>
                <w:sz w:val="20"/>
                <w:szCs w:val="20"/>
              </w:rPr>
            </w:pPr>
          </w:p>
        </w:tc>
        <w:tc>
          <w:tcPr>
            <w:tcW w:w="2366" w:type="pct"/>
          </w:tcPr>
          <w:p w:rsidR="00900C1B" w:rsidRPr="00C03744" w:rsidRDefault="00900C1B" w:rsidP="00183D35">
            <w:pPr>
              <w:jc w:val="both"/>
              <w:rPr>
                <w:sz w:val="20"/>
                <w:szCs w:val="20"/>
              </w:rPr>
            </w:pPr>
            <w:r w:rsidRPr="00C03744">
              <w:rPr>
                <w:sz w:val="20"/>
                <w:szCs w:val="20"/>
              </w:rPr>
              <w:t>Application for leave to appeal filed.</w:t>
            </w:r>
          </w:p>
          <w:p w:rsidR="00900C1B" w:rsidRPr="00C03744" w:rsidRDefault="00900C1B" w:rsidP="00183D35">
            <w:pPr>
              <w:jc w:val="both"/>
              <w:rPr>
                <w:sz w:val="20"/>
                <w:szCs w:val="20"/>
              </w:rPr>
            </w:pPr>
          </w:p>
        </w:tc>
      </w:tr>
      <w:tr w:rsidR="00900C1B" w:rsidRPr="00C03744" w:rsidTr="00183D35">
        <w:tc>
          <w:tcPr>
            <w:tcW w:w="2367" w:type="pct"/>
          </w:tcPr>
          <w:p w:rsidR="00900C1B" w:rsidRPr="00C03744" w:rsidRDefault="00900C1B" w:rsidP="00183D35">
            <w:pPr>
              <w:jc w:val="both"/>
              <w:rPr>
                <w:sz w:val="20"/>
                <w:szCs w:val="20"/>
              </w:rPr>
            </w:pPr>
            <w:r w:rsidRPr="00C03744">
              <w:rPr>
                <w:sz w:val="20"/>
                <w:szCs w:val="20"/>
              </w:rPr>
              <w:t>March 24, 2017</w:t>
            </w:r>
          </w:p>
          <w:p w:rsidR="00900C1B" w:rsidRPr="00C03744" w:rsidRDefault="00900C1B" w:rsidP="00183D35">
            <w:pPr>
              <w:jc w:val="both"/>
              <w:rPr>
                <w:sz w:val="20"/>
                <w:szCs w:val="20"/>
              </w:rPr>
            </w:pPr>
            <w:r w:rsidRPr="00C03744">
              <w:rPr>
                <w:sz w:val="20"/>
                <w:szCs w:val="20"/>
              </w:rPr>
              <w:t>Supreme Court of Canada</w:t>
            </w:r>
          </w:p>
        </w:tc>
        <w:tc>
          <w:tcPr>
            <w:tcW w:w="267" w:type="pct"/>
          </w:tcPr>
          <w:p w:rsidR="00900C1B" w:rsidRPr="00C03744" w:rsidRDefault="00900C1B" w:rsidP="00183D35">
            <w:pPr>
              <w:jc w:val="both"/>
              <w:rPr>
                <w:sz w:val="20"/>
                <w:szCs w:val="20"/>
              </w:rPr>
            </w:pPr>
          </w:p>
        </w:tc>
        <w:tc>
          <w:tcPr>
            <w:tcW w:w="2366" w:type="pct"/>
          </w:tcPr>
          <w:p w:rsidR="00900C1B" w:rsidRPr="00C03744" w:rsidRDefault="00900C1B" w:rsidP="00183D35">
            <w:pPr>
              <w:jc w:val="both"/>
              <w:rPr>
                <w:sz w:val="20"/>
                <w:szCs w:val="20"/>
              </w:rPr>
            </w:pPr>
            <w:r w:rsidRPr="00C03744">
              <w:rPr>
                <w:sz w:val="20"/>
                <w:szCs w:val="20"/>
              </w:rPr>
              <w:t>Application for leave to cross-appeal filed.</w:t>
            </w:r>
          </w:p>
          <w:p w:rsidR="00900C1B" w:rsidRPr="00C03744" w:rsidRDefault="00900C1B" w:rsidP="00183D35">
            <w:pPr>
              <w:jc w:val="both"/>
              <w:rPr>
                <w:sz w:val="20"/>
                <w:szCs w:val="20"/>
              </w:rPr>
            </w:pPr>
          </w:p>
        </w:tc>
      </w:tr>
    </w:tbl>
    <w:p w:rsidR="00900C1B" w:rsidRPr="00900C1B" w:rsidRDefault="005133CB" w:rsidP="00900C1B">
      <w:pPr>
        <w:jc w:val="both"/>
        <w:rPr>
          <w:sz w:val="20"/>
          <w:szCs w:val="20"/>
        </w:rPr>
      </w:pPr>
      <w:r>
        <w:rPr>
          <w:sz w:val="20"/>
          <w:szCs w:val="20"/>
        </w:rPr>
        <w:pict>
          <v:rect id="_x0000_i1037" style="width:2in;height:1pt" o:hrpct="0" o:hralign="center" o:hrstd="t" o:hrnoshade="t" o:hr="t" fillcolor="black [3213]" stroked="f"/>
        </w:pict>
      </w:r>
    </w:p>
    <w:p w:rsidR="00900C1B" w:rsidRPr="00C03744" w:rsidRDefault="00900C1B" w:rsidP="00900C1B">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00C1B" w:rsidRPr="005133CB" w:rsidTr="00183D35">
        <w:trPr>
          <w:gridAfter w:val="1"/>
          <w:wAfter w:w="48" w:type="pct"/>
        </w:trPr>
        <w:tc>
          <w:tcPr>
            <w:tcW w:w="537" w:type="pct"/>
          </w:tcPr>
          <w:p w:rsidR="00900C1B" w:rsidRPr="00C03744" w:rsidRDefault="00900C1B" w:rsidP="00183D35">
            <w:pPr>
              <w:jc w:val="both"/>
              <w:rPr>
                <w:sz w:val="20"/>
                <w:szCs w:val="20"/>
                <w:lang w:val="fr-CA"/>
              </w:rPr>
            </w:pPr>
            <w:r w:rsidRPr="00C03744">
              <w:rPr>
                <w:rStyle w:val="SCCFileNumberChar"/>
                <w:sz w:val="20"/>
                <w:szCs w:val="20"/>
                <w:lang w:val="fr-CA"/>
              </w:rPr>
              <w:t>36986</w:t>
            </w:r>
          </w:p>
        </w:tc>
        <w:tc>
          <w:tcPr>
            <w:tcW w:w="4415" w:type="pct"/>
            <w:gridSpan w:val="3"/>
          </w:tcPr>
          <w:p w:rsidR="00900C1B" w:rsidRPr="00C03744" w:rsidRDefault="00900C1B" w:rsidP="00183D35">
            <w:pPr>
              <w:pStyle w:val="SCCLsocParty"/>
              <w:jc w:val="both"/>
              <w:rPr>
                <w:b/>
                <w:sz w:val="20"/>
                <w:szCs w:val="20"/>
              </w:rPr>
            </w:pPr>
            <w:r w:rsidRPr="00C03744">
              <w:rPr>
                <w:b/>
                <w:sz w:val="20"/>
                <w:szCs w:val="20"/>
              </w:rPr>
              <w:t xml:space="preserve">Dennis James </w:t>
            </w:r>
            <w:proofErr w:type="spellStart"/>
            <w:r w:rsidRPr="00C03744">
              <w:rPr>
                <w:b/>
                <w:sz w:val="20"/>
                <w:szCs w:val="20"/>
              </w:rPr>
              <w:t>Oland</w:t>
            </w:r>
            <w:proofErr w:type="spellEnd"/>
            <w:r w:rsidRPr="00C03744">
              <w:rPr>
                <w:b/>
                <w:sz w:val="20"/>
                <w:szCs w:val="20"/>
              </w:rPr>
              <w:t xml:space="preserve"> c. Sa Majesté la Reine</w:t>
            </w:r>
            <w:r>
              <w:rPr>
                <w:b/>
                <w:sz w:val="20"/>
                <w:szCs w:val="20"/>
              </w:rPr>
              <w:t xml:space="preserve"> </w:t>
            </w:r>
            <w:r w:rsidRPr="00C03744">
              <w:rPr>
                <w:sz w:val="20"/>
                <w:szCs w:val="20"/>
              </w:rPr>
              <w:t>-</w:t>
            </w:r>
            <w:r w:rsidRPr="00900C1B">
              <w:rPr>
                <w:b/>
                <w:sz w:val="20"/>
                <w:szCs w:val="20"/>
              </w:rPr>
              <w:t xml:space="preserve"> et entre - </w:t>
            </w:r>
            <w:r w:rsidRPr="00C03744">
              <w:rPr>
                <w:b/>
                <w:sz w:val="20"/>
                <w:szCs w:val="20"/>
              </w:rPr>
              <w:t xml:space="preserve">Sa Majesté la Reine c. Dennis James </w:t>
            </w:r>
            <w:proofErr w:type="spellStart"/>
            <w:r w:rsidRPr="00C03744">
              <w:rPr>
                <w:b/>
                <w:sz w:val="20"/>
                <w:szCs w:val="20"/>
              </w:rPr>
              <w:t>Oland</w:t>
            </w:r>
            <w:proofErr w:type="spellEnd"/>
          </w:p>
          <w:p w:rsidR="00900C1B" w:rsidRPr="00C03744" w:rsidRDefault="00900C1B" w:rsidP="00183D35">
            <w:pPr>
              <w:jc w:val="both"/>
              <w:rPr>
                <w:sz w:val="20"/>
                <w:szCs w:val="20"/>
                <w:lang w:val="fr-CA"/>
              </w:rPr>
            </w:pPr>
            <w:r w:rsidRPr="00C03744">
              <w:rPr>
                <w:sz w:val="20"/>
                <w:szCs w:val="20"/>
                <w:lang w:val="fr-CA"/>
              </w:rPr>
              <w:t>(N.-B.) (Criminelle) (Sur autorisation)</w:t>
            </w:r>
          </w:p>
        </w:tc>
      </w:tr>
      <w:tr w:rsidR="00900C1B" w:rsidRPr="005133CB" w:rsidTr="00183D35">
        <w:trPr>
          <w:gridAfter w:val="1"/>
          <w:wAfter w:w="48" w:type="pct"/>
        </w:trPr>
        <w:tc>
          <w:tcPr>
            <w:tcW w:w="537" w:type="pct"/>
          </w:tcPr>
          <w:p w:rsidR="00900C1B" w:rsidRPr="00C03744" w:rsidRDefault="00900C1B" w:rsidP="00183D35">
            <w:pPr>
              <w:jc w:val="both"/>
              <w:rPr>
                <w:rStyle w:val="SCCFileNumberChar"/>
                <w:sz w:val="20"/>
                <w:szCs w:val="20"/>
                <w:lang w:val="fr-CA"/>
              </w:rPr>
            </w:pPr>
            <w:r>
              <w:rPr>
                <w:rStyle w:val="SCCFileNumberChar"/>
                <w:sz w:val="20"/>
                <w:szCs w:val="20"/>
                <w:lang w:val="fr-CA"/>
              </w:rPr>
              <w:t>Coram :</w:t>
            </w:r>
          </w:p>
        </w:tc>
        <w:tc>
          <w:tcPr>
            <w:tcW w:w="4415" w:type="pct"/>
            <w:gridSpan w:val="3"/>
          </w:tcPr>
          <w:p w:rsidR="00205684" w:rsidRPr="00205684" w:rsidRDefault="00205684" w:rsidP="00205684">
            <w:pPr>
              <w:pStyle w:val="SCCLsocParty"/>
              <w:jc w:val="both"/>
              <w:rPr>
                <w:rFonts w:eastAsiaTheme="minorEastAsia"/>
                <w:sz w:val="20"/>
                <w:szCs w:val="20"/>
                <w:lang w:val="fr-FR" w:eastAsia="en-CA"/>
              </w:rPr>
            </w:pPr>
            <w:r w:rsidRPr="004A4624">
              <w:rPr>
                <w:rFonts w:eastAsiaTheme="minorEastAsia"/>
                <w:sz w:val="20"/>
                <w:szCs w:val="20"/>
                <w:lang w:val="fr-FR" w:eastAsia="en-CA"/>
              </w:rPr>
              <w:t xml:space="preserve">La juge en chef </w:t>
            </w:r>
            <w:proofErr w:type="spellStart"/>
            <w:r w:rsidRPr="004A4624">
              <w:rPr>
                <w:rFonts w:eastAsiaTheme="minorEastAsia"/>
                <w:sz w:val="20"/>
                <w:szCs w:val="20"/>
                <w:lang w:val="fr-FR" w:eastAsia="en-CA"/>
              </w:rPr>
              <w:t>McLachlin</w:t>
            </w:r>
            <w:proofErr w:type="spellEnd"/>
            <w:r w:rsidRPr="004A4624">
              <w:rPr>
                <w:rFonts w:eastAsiaTheme="minorEastAsia"/>
                <w:sz w:val="20"/>
                <w:szCs w:val="20"/>
                <w:lang w:val="fr-FR" w:eastAsia="en-CA"/>
              </w:rPr>
              <w:t xml:space="preserve"> et les juges Abella, </w:t>
            </w:r>
            <w:proofErr w:type="spellStart"/>
            <w:r w:rsidRPr="004A4624">
              <w:rPr>
                <w:rFonts w:eastAsiaTheme="minorEastAsia"/>
                <w:sz w:val="20"/>
                <w:szCs w:val="20"/>
                <w:lang w:val="fr-FR" w:eastAsia="en-CA"/>
              </w:rPr>
              <w:t>Moldaver</w:t>
            </w:r>
            <w:proofErr w:type="spellEnd"/>
            <w:r w:rsidRPr="004A4624">
              <w:rPr>
                <w:rFonts w:eastAsiaTheme="minorEastAsia"/>
                <w:sz w:val="20"/>
                <w:szCs w:val="20"/>
                <w:lang w:val="fr-FR" w:eastAsia="en-CA"/>
              </w:rPr>
              <w:t xml:space="preserve">, </w:t>
            </w:r>
            <w:proofErr w:type="spellStart"/>
            <w:r w:rsidRPr="004A4624">
              <w:rPr>
                <w:rFonts w:eastAsiaTheme="minorEastAsia"/>
                <w:sz w:val="20"/>
                <w:szCs w:val="20"/>
                <w:lang w:val="fr-FR" w:eastAsia="en-CA"/>
              </w:rPr>
              <w:t>Karakatsanis</w:t>
            </w:r>
            <w:proofErr w:type="spellEnd"/>
            <w:r w:rsidRPr="004A4624">
              <w:rPr>
                <w:rFonts w:eastAsiaTheme="minorEastAsia"/>
                <w:sz w:val="20"/>
                <w:szCs w:val="20"/>
                <w:lang w:val="fr-FR" w:eastAsia="en-CA"/>
              </w:rPr>
              <w:t>, Wagner, Gascon, Côté, Brown et Rowe</w:t>
            </w:r>
          </w:p>
        </w:tc>
      </w:tr>
      <w:tr w:rsidR="00900C1B" w:rsidRPr="005133CB" w:rsidTr="00900C1B">
        <w:trPr>
          <w:gridAfter w:val="1"/>
          <w:wAfter w:w="48" w:type="pct"/>
        </w:trPr>
        <w:tc>
          <w:tcPr>
            <w:tcW w:w="4952" w:type="pct"/>
            <w:gridSpan w:val="4"/>
          </w:tcPr>
          <w:p w:rsidR="00900C1B" w:rsidRDefault="00205684" w:rsidP="00183D35">
            <w:pPr>
              <w:pStyle w:val="SCCLsocParty"/>
              <w:jc w:val="both"/>
              <w:rPr>
                <w:sz w:val="20"/>
                <w:szCs w:val="20"/>
              </w:rPr>
            </w:pPr>
            <w:r w:rsidRPr="004A4624">
              <w:rPr>
                <w:sz w:val="20"/>
                <w:szCs w:val="20"/>
              </w:rPr>
              <w:t>La requête conjointe des parties en prorogation du délai pour signification et dépôt de la demande d’autorisation d’appel, de la réponse à la demande d’autorisation d’appel et de la demande d’autorisation d’appel incident est accueillie. La demande d’autorisation d’appel et la demande d’autorisation d’appel incident de l’arrêt de la Cour d’appel du Nouveau-Brunswick, 2016 NBCA 58, numéro 2-16-CA, daté du 24 octobre 2016, sont rejetées.</w:t>
            </w:r>
          </w:p>
          <w:p w:rsidR="00205684" w:rsidRPr="00205684" w:rsidRDefault="00205684" w:rsidP="00205684">
            <w:pPr>
              <w:rPr>
                <w:lang w:val="fr-CA"/>
              </w:rPr>
            </w:pPr>
          </w:p>
        </w:tc>
      </w:tr>
      <w:tr w:rsidR="00900C1B" w:rsidRPr="005133CB" w:rsidTr="00183D35">
        <w:trPr>
          <w:gridAfter w:val="1"/>
          <w:wAfter w:w="48" w:type="pct"/>
        </w:trPr>
        <w:tc>
          <w:tcPr>
            <w:tcW w:w="4952" w:type="pct"/>
            <w:gridSpan w:val="4"/>
          </w:tcPr>
          <w:p w:rsidR="00900C1B" w:rsidRPr="00C03744" w:rsidRDefault="00900C1B" w:rsidP="00183D35">
            <w:pPr>
              <w:jc w:val="both"/>
              <w:rPr>
                <w:sz w:val="20"/>
                <w:szCs w:val="20"/>
                <w:lang w:val="fr-CA"/>
              </w:rPr>
            </w:pPr>
            <w:r w:rsidRPr="00C03744">
              <w:rPr>
                <w:sz w:val="20"/>
                <w:szCs w:val="20"/>
                <w:lang w:val="fr-CA"/>
              </w:rPr>
              <w:t xml:space="preserve">Droit criminel — Procédure — Exposé du juge du procès au jury — Inférences de culpabilité — Le père de l’accusé a été battu à mort dans son bureau — L’accusé a menti à la police au sujet du veston qu’il portait lorsqu’il s’est rendu au bureau de son père ce jour-là,  un veston sur lequel on a trouvé du sang et de l’ADN de la victime — L’accusé a été déclaré coupable de meurtre au deuxième degré — La Cour d’appel a ordonné un nouveau procès parce que les directives du juge du procès sur la déclaration de l’accusé au sujet du veston avaient été erronées — Quelles règles s’appliquent aux fausses déclarations postérieures à l’infraction? — Comment les cours d’appel doivent-elles évaluer des éléments de preuve </w:t>
            </w:r>
            <w:proofErr w:type="spellStart"/>
            <w:r w:rsidRPr="00C03744">
              <w:rPr>
                <w:sz w:val="20"/>
                <w:szCs w:val="20"/>
                <w:lang w:val="fr-CA"/>
              </w:rPr>
              <w:t>disculpatoires</w:t>
            </w:r>
            <w:proofErr w:type="spellEnd"/>
            <w:r w:rsidRPr="00C03744">
              <w:rPr>
                <w:sz w:val="20"/>
                <w:szCs w:val="20"/>
                <w:lang w:val="fr-CA"/>
              </w:rPr>
              <w:t xml:space="preserve"> apparemment crédibles et fiables sous le régime du sous-al. 686(1)a)(i) du </w:t>
            </w:r>
            <w:r w:rsidRPr="00C03744">
              <w:rPr>
                <w:i/>
                <w:sz w:val="20"/>
                <w:szCs w:val="20"/>
                <w:lang w:val="fr-CA"/>
              </w:rPr>
              <w:t>Code criminel</w:t>
            </w:r>
            <w:r w:rsidRPr="00C03744">
              <w:rPr>
                <w:sz w:val="20"/>
                <w:szCs w:val="20"/>
                <w:lang w:val="fr-CA"/>
              </w:rPr>
              <w:t xml:space="preserve">? — Les mandats de perquisition décernés en application de l’art. 487 autorisent-ils les analyses criminalistiques et la conduite de tests ADN? — Quelles sont la nature et la portée de la « preuve indépendante » nécessaire pour établir l’invention? — Dans quelles situations un comportement ambigu après le fait nécessite-t-il une directive portant que cette conduite n’a « aucune valeur probante »? — Comment les tribunaux doivent-ils classer la preuve générée par ordinateur et en évaluer la fiabilité? — Comment la règle de l’arrêt </w:t>
            </w:r>
            <w:proofErr w:type="spellStart"/>
            <w:r w:rsidRPr="00C03744">
              <w:rPr>
                <w:i/>
                <w:sz w:val="20"/>
                <w:szCs w:val="20"/>
                <w:lang w:val="fr-CA"/>
              </w:rPr>
              <w:t>Browne</w:t>
            </w:r>
            <w:proofErr w:type="spellEnd"/>
            <w:r w:rsidRPr="00C03744">
              <w:rPr>
                <w:i/>
                <w:sz w:val="20"/>
                <w:szCs w:val="20"/>
                <w:lang w:val="fr-CA"/>
              </w:rPr>
              <w:t xml:space="preserve"> c. Dunn</w:t>
            </w:r>
            <w:r w:rsidRPr="00C03744">
              <w:rPr>
                <w:sz w:val="20"/>
                <w:szCs w:val="20"/>
                <w:lang w:val="fr-CA"/>
              </w:rPr>
              <w:t xml:space="preserve"> (1893) 6 R. 67 (H.L.), s’applique-t-elle au contre-interrogatoire de l’accusé?</w:t>
            </w:r>
          </w:p>
        </w:tc>
      </w:tr>
      <w:tr w:rsidR="00900C1B" w:rsidRPr="005133CB" w:rsidTr="00183D35">
        <w:trPr>
          <w:gridAfter w:val="1"/>
          <w:wAfter w:w="48" w:type="pct"/>
        </w:trPr>
        <w:tc>
          <w:tcPr>
            <w:tcW w:w="4952" w:type="pct"/>
            <w:gridSpan w:val="4"/>
          </w:tcPr>
          <w:p w:rsidR="00900C1B" w:rsidRPr="00C03744" w:rsidRDefault="00900C1B" w:rsidP="00183D35">
            <w:pPr>
              <w:jc w:val="both"/>
              <w:rPr>
                <w:sz w:val="20"/>
                <w:szCs w:val="20"/>
                <w:lang w:val="fr-CA"/>
              </w:rPr>
            </w:pPr>
          </w:p>
        </w:tc>
      </w:tr>
      <w:tr w:rsidR="00900C1B" w:rsidRPr="005133CB" w:rsidTr="00183D35">
        <w:trPr>
          <w:gridAfter w:val="1"/>
          <w:wAfter w:w="48" w:type="pct"/>
        </w:trPr>
        <w:tc>
          <w:tcPr>
            <w:tcW w:w="4952" w:type="pct"/>
            <w:gridSpan w:val="4"/>
          </w:tcPr>
          <w:p w:rsidR="00900C1B" w:rsidRPr="00C03744" w:rsidRDefault="00900C1B" w:rsidP="00183D35">
            <w:pPr>
              <w:jc w:val="both"/>
              <w:rPr>
                <w:sz w:val="20"/>
                <w:szCs w:val="20"/>
                <w:lang w:val="fr-CA"/>
              </w:rPr>
            </w:pPr>
            <w:r w:rsidRPr="00C03744">
              <w:rPr>
                <w:sz w:val="20"/>
                <w:szCs w:val="20"/>
                <w:lang w:val="fr-CA"/>
              </w:rPr>
              <w:t>Le père de M. </w:t>
            </w:r>
            <w:proofErr w:type="spellStart"/>
            <w:r w:rsidRPr="00C03744">
              <w:rPr>
                <w:sz w:val="20"/>
                <w:szCs w:val="20"/>
                <w:lang w:val="fr-CA"/>
              </w:rPr>
              <w:t>Oland</w:t>
            </w:r>
            <w:proofErr w:type="spellEnd"/>
            <w:r w:rsidRPr="00C03744">
              <w:rPr>
                <w:sz w:val="20"/>
                <w:szCs w:val="20"/>
                <w:lang w:val="fr-CA"/>
              </w:rPr>
              <w:t xml:space="preserve"> a été battu à mort dans son bureau. Le jour du meurtre, M. </w:t>
            </w:r>
            <w:proofErr w:type="spellStart"/>
            <w:r w:rsidRPr="00C03744">
              <w:rPr>
                <w:sz w:val="20"/>
                <w:szCs w:val="20"/>
                <w:lang w:val="fr-CA"/>
              </w:rPr>
              <w:t>Oland</w:t>
            </w:r>
            <w:proofErr w:type="spellEnd"/>
            <w:r w:rsidRPr="00C03744">
              <w:rPr>
                <w:sz w:val="20"/>
                <w:szCs w:val="20"/>
                <w:lang w:val="fr-CA"/>
              </w:rPr>
              <w:t xml:space="preserve"> s’était rendu au bureau de son père. Monsieur </w:t>
            </w:r>
            <w:proofErr w:type="spellStart"/>
            <w:r w:rsidRPr="00C03744">
              <w:rPr>
                <w:sz w:val="20"/>
                <w:szCs w:val="20"/>
                <w:lang w:val="fr-CA"/>
              </w:rPr>
              <w:t>Oland</w:t>
            </w:r>
            <w:proofErr w:type="spellEnd"/>
            <w:r w:rsidRPr="00C03744">
              <w:rPr>
                <w:sz w:val="20"/>
                <w:szCs w:val="20"/>
                <w:lang w:val="fr-CA"/>
              </w:rPr>
              <w:t xml:space="preserve"> a dit à la police qu’il portait un veston bleu marine ce jour-là. Cependant, des enregistrements vidéo montraient de façon concluante qu’il portait effectivement un veston brun, un fait qu’il a admis au procès. Une analyse criminalistique a par la suite confirmé la présence de sang et d’ADN de la victime sur ce veston. Après trente heures de délibération, un jury a conclu à l’unanimité que M. </w:t>
            </w:r>
            <w:proofErr w:type="spellStart"/>
            <w:r w:rsidRPr="00C03744">
              <w:rPr>
                <w:sz w:val="20"/>
                <w:szCs w:val="20"/>
                <w:lang w:val="fr-CA"/>
              </w:rPr>
              <w:t>Oland</w:t>
            </w:r>
            <w:proofErr w:type="spellEnd"/>
            <w:r w:rsidRPr="00C03744">
              <w:rPr>
                <w:sz w:val="20"/>
                <w:szCs w:val="20"/>
                <w:lang w:val="fr-CA"/>
              </w:rPr>
              <w:t xml:space="preserve"> était le tueur, et il a donc été déclaré coupable de meurtre au deuxième degré. Monsieur </w:t>
            </w:r>
            <w:proofErr w:type="spellStart"/>
            <w:r w:rsidRPr="00C03744">
              <w:rPr>
                <w:sz w:val="20"/>
                <w:szCs w:val="20"/>
                <w:lang w:val="fr-CA"/>
              </w:rPr>
              <w:t>Oland</w:t>
            </w:r>
            <w:proofErr w:type="spellEnd"/>
            <w:r w:rsidRPr="00C03744">
              <w:rPr>
                <w:sz w:val="20"/>
                <w:szCs w:val="20"/>
                <w:lang w:val="fr-CA"/>
              </w:rPr>
              <w:t xml:space="preserve"> a interjeté appel de la déclaration de culpabilité, plaidant que le verdict du jury était déraisonnable. Subsidiairement, il a plaidé que le juge du procès avait pris des décisions erronées sur la preuve, plus particulièrement en ce qui concerne l’enregistrement détaillé des appels, la preuve tirée d’une analyse criminalistique du veston et des communications avec sa femme. Enfin, M. </w:t>
            </w:r>
            <w:proofErr w:type="spellStart"/>
            <w:r w:rsidRPr="00C03744">
              <w:rPr>
                <w:sz w:val="20"/>
                <w:szCs w:val="20"/>
                <w:lang w:val="fr-CA"/>
              </w:rPr>
              <w:t>Oland</w:t>
            </w:r>
            <w:proofErr w:type="spellEnd"/>
            <w:r w:rsidRPr="00C03744">
              <w:rPr>
                <w:sz w:val="20"/>
                <w:szCs w:val="20"/>
                <w:lang w:val="fr-CA"/>
              </w:rPr>
              <w:t xml:space="preserve"> a plaidé que le juge avait donné des directives erronées au jury, notamment relativement à la déclaration postérieure à l’infraction qu’il a faite à la police au </w:t>
            </w:r>
            <w:r w:rsidRPr="00C03744">
              <w:rPr>
                <w:sz w:val="20"/>
                <w:szCs w:val="20"/>
                <w:lang w:val="fr-CA"/>
              </w:rPr>
              <w:lastRenderedPageBreak/>
              <w:t>sujet du veston qu’il portait. À l’unanimité, les juges de la Cour d’appel ont rejeté la demande d’acquittement de M. </w:t>
            </w:r>
            <w:proofErr w:type="spellStart"/>
            <w:r w:rsidRPr="00C03744">
              <w:rPr>
                <w:sz w:val="20"/>
                <w:szCs w:val="20"/>
                <w:lang w:val="fr-CA"/>
              </w:rPr>
              <w:t>Oland</w:t>
            </w:r>
            <w:proofErr w:type="spellEnd"/>
            <w:r w:rsidRPr="00C03744">
              <w:rPr>
                <w:sz w:val="20"/>
                <w:szCs w:val="20"/>
                <w:lang w:val="fr-CA"/>
              </w:rPr>
              <w:t xml:space="preserve"> sous le régime du sous-al. 686(1)a)(i) du </w:t>
            </w:r>
            <w:r w:rsidRPr="00C03744">
              <w:rPr>
                <w:i/>
                <w:sz w:val="20"/>
                <w:szCs w:val="20"/>
                <w:lang w:val="fr-CA"/>
              </w:rPr>
              <w:t>Code criminel</w:t>
            </w:r>
            <w:r w:rsidRPr="00C03744">
              <w:rPr>
                <w:sz w:val="20"/>
                <w:szCs w:val="20"/>
                <w:lang w:val="fr-CA"/>
              </w:rPr>
              <w:t>. Toutefois, la Cour d’appel a annulé la déclaration de culpabilité de meurtre au deuxième degré et a ordonné la tenue d’un nouveau procès, statuant que le juge du procès avait donné des directives erronées au jury relativement à la déclaration de M. </w:t>
            </w:r>
            <w:proofErr w:type="spellStart"/>
            <w:r w:rsidRPr="00C03744">
              <w:rPr>
                <w:sz w:val="20"/>
                <w:szCs w:val="20"/>
                <w:lang w:val="fr-CA"/>
              </w:rPr>
              <w:t>Oland</w:t>
            </w:r>
            <w:proofErr w:type="spellEnd"/>
            <w:r w:rsidRPr="00C03744">
              <w:rPr>
                <w:sz w:val="20"/>
                <w:szCs w:val="20"/>
                <w:lang w:val="fr-CA"/>
              </w:rPr>
              <w:t xml:space="preserve"> au sujet du veston.</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lastRenderedPageBreak/>
              <w:t>19 décembre 2015</w:t>
            </w:r>
          </w:p>
          <w:p w:rsidR="00900C1B" w:rsidRPr="00C03744" w:rsidRDefault="00900C1B" w:rsidP="00183D35">
            <w:pPr>
              <w:jc w:val="both"/>
              <w:rPr>
                <w:sz w:val="20"/>
                <w:szCs w:val="20"/>
                <w:lang w:val="fr-CA"/>
              </w:rPr>
            </w:pPr>
            <w:r w:rsidRPr="00C03744">
              <w:rPr>
                <w:sz w:val="20"/>
                <w:szCs w:val="20"/>
                <w:lang w:val="fr-CA"/>
              </w:rPr>
              <w:t>Cour du Banc de la Reine du Nouveau-Brunswick</w:t>
            </w:r>
          </w:p>
          <w:p w:rsidR="00900C1B" w:rsidRPr="00C03744" w:rsidRDefault="00900C1B" w:rsidP="00183D35">
            <w:pPr>
              <w:jc w:val="both"/>
              <w:rPr>
                <w:sz w:val="20"/>
                <w:szCs w:val="20"/>
                <w:lang w:val="fr-CA"/>
              </w:rPr>
            </w:pPr>
            <w:r w:rsidRPr="00C03744">
              <w:rPr>
                <w:sz w:val="20"/>
                <w:szCs w:val="20"/>
                <w:lang w:val="fr-CA"/>
              </w:rPr>
              <w:t>(Juge Walsh)</w:t>
            </w:r>
          </w:p>
          <w:p w:rsidR="00900C1B" w:rsidRPr="00C03744" w:rsidRDefault="00900C1B" w:rsidP="00183D35">
            <w:pPr>
              <w:jc w:val="both"/>
              <w:rPr>
                <w:sz w:val="20"/>
                <w:szCs w:val="20"/>
                <w:lang w:val="fr-CA"/>
              </w:rPr>
            </w:pP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Déclaration de culpabilité de M. </w:t>
            </w:r>
            <w:proofErr w:type="spellStart"/>
            <w:r w:rsidRPr="00C03744">
              <w:rPr>
                <w:sz w:val="20"/>
                <w:szCs w:val="20"/>
                <w:lang w:val="fr-CA"/>
              </w:rPr>
              <w:t>Oland</w:t>
            </w:r>
            <w:proofErr w:type="spellEnd"/>
            <w:r w:rsidRPr="00C03744">
              <w:rPr>
                <w:sz w:val="20"/>
                <w:szCs w:val="20"/>
                <w:lang w:val="fr-CA"/>
              </w:rPr>
              <w:t>, par un jury, de meurtre au deuxième degré.</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t>24 octobre 2016</w:t>
            </w:r>
          </w:p>
          <w:p w:rsidR="00900C1B" w:rsidRPr="00C03744" w:rsidRDefault="00900C1B" w:rsidP="00183D35">
            <w:pPr>
              <w:jc w:val="both"/>
              <w:rPr>
                <w:sz w:val="20"/>
                <w:szCs w:val="20"/>
                <w:lang w:val="fr-CA"/>
              </w:rPr>
            </w:pPr>
            <w:r w:rsidRPr="00C03744">
              <w:rPr>
                <w:sz w:val="20"/>
                <w:szCs w:val="20"/>
                <w:lang w:val="fr-CA"/>
              </w:rPr>
              <w:t>Cour d’appel du Nouveau-Brunswick</w:t>
            </w:r>
          </w:p>
          <w:p w:rsidR="00900C1B" w:rsidRPr="00C03744" w:rsidRDefault="00900C1B" w:rsidP="00183D35">
            <w:pPr>
              <w:jc w:val="both"/>
              <w:rPr>
                <w:sz w:val="20"/>
                <w:szCs w:val="20"/>
                <w:lang w:val="fr-CA"/>
              </w:rPr>
            </w:pPr>
            <w:r w:rsidRPr="00C03744">
              <w:rPr>
                <w:sz w:val="20"/>
                <w:szCs w:val="20"/>
                <w:lang w:val="fr-CA"/>
              </w:rPr>
              <w:t xml:space="preserve">(Juge en chef Drapeau, juges </w:t>
            </w:r>
            <w:proofErr w:type="spellStart"/>
            <w:r w:rsidRPr="00C03744">
              <w:rPr>
                <w:sz w:val="20"/>
                <w:szCs w:val="20"/>
                <w:lang w:val="fr-CA"/>
              </w:rPr>
              <w:t>Larlee</w:t>
            </w:r>
            <w:proofErr w:type="spellEnd"/>
            <w:r w:rsidRPr="00C03744">
              <w:rPr>
                <w:sz w:val="20"/>
                <w:szCs w:val="20"/>
                <w:lang w:val="fr-CA"/>
              </w:rPr>
              <w:t xml:space="preserve"> et </w:t>
            </w:r>
            <w:proofErr w:type="spellStart"/>
            <w:r w:rsidRPr="00C03744">
              <w:rPr>
                <w:sz w:val="20"/>
                <w:szCs w:val="20"/>
                <w:lang w:val="fr-CA"/>
              </w:rPr>
              <w:t>Quigg</w:t>
            </w:r>
            <w:proofErr w:type="spellEnd"/>
            <w:r w:rsidRPr="00C03744">
              <w:rPr>
                <w:sz w:val="20"/>
                <w:szCs w:val="20"/>
                <w:lang w:val="fr-CA"/>
              </w:rPr>
              <w:t>)</w:t>
            </w:r>
          </w:p>
          <w:p w:rsidR="00900C1B" w:rsidRPr="00C03744" w:rsidRDefault="005133CB" w:rsidP="00183D35">
            <w:pPr>
              <w:jc w:val="both"/>
              <w:rPr>
                <w:sz w:val="20"/>
                <w:szCs w:val="20"/>
                <w:lang w:val="fr-CA"/>
              </w:rPr>
            </w:pPr>
            <w:hyperlink r:id="rId20" w:history="1">
              <w:r w:rsidR="00900C1B" w:rsidRPr="00C03744">
                <w:rPr>
                  <w:rStyle w:val="Hyperlink"/>
                  <w:sz w:val="20"/>
                  <w:szCs w:val="20"/>
                  <w:lang w:val="fr-CA"/>
                </w:rPr>
                <w:t>2016 NBCA 58</w:t>
              </w:r>
            </w:hyperlink>
          </w:p>
          <w:p w:rsidR="00900C1B" w:rsidRPr="00C03744" w:rsidRDefault="00900C1B" w:rsidP="00183D35">
            <w:pPr>
              <w:jc w:val="both"/>
              <w:rPr>
                <w:sz w:val="20"/>
                <w:szCs w:val="20"/>
                <w:lang w:val="fr-CA"/>
              </w:rPr>
            </w:pP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Rejet de la demande d’acquittement de M. </w:t>
            </w:r>
            <w:proofErr w:type="spellStart"/>
            <w:r w:rsidRPr="00C03744">
              <w:rPr>
                <w:sz w:val="20"/>
                <w:szCs w:val="20"/>
                <w:lang w:val="fr-CA"/>
              </w:rPr>
              <w:t>Oland</w:t>
            </w:r>
            <w:proofErr w:type="spellEnd"/>
            <w:r w:rsidRPr="00C03744">
              <w:rPr>
                <w:sz w:val="20"/>
                <w:szCs w:val="20"/>
                <w:lang w:val="fr-CA"/>
              </w:rPr>
              <w:t xml:space="preserve"> en application du sous-al. 686(1)a)(i) du </w:t>
            </w:r>
            <w:r w:rsidRPr="00C03744">
              <w:rPr>
                <w:i/>
                <w:sz w:val="20"/>
                <w:szCs w:val="20"/>
                <w:lang w:val="fr-CA"/>
              </w:rPr>
              <w:t>Code criminel</w:t>
            </w:r>
            <w:r w:rsidRPr="00C03744">
              <w:rPr>
                <w:sz w:val="20"/>
                <w:szCs w:val="20"/>
                <w:lang w:val="fr-CA"/>
              </w:rPr>
              <w:t>; jugement annulant la déclaration de culpabilité de meurtre au deuxième degré et ordonnant de tenue d’un nouveau procès.</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t>16 décembre 2016</w:t>
            </w:r>
          </w:p>
          <w:p w:rsidR="00900C1B" w:rsidRPr="00C03744" w:rsidRDefault="00900C1B" w:rsidP="00183D35">
            <w:pPr>
              <w:jc w:val="both"/>
              <w:rPr>
                <w:sz w:val="20"/>
                <w:szCs w:val="20"/>
                <w:lang w:val="fr-CA"/>
              </w:rPr>
            </w:pPr>
            <w:r w:rsidRPr="00C03744">
              <w:rPr>
                <w:sz w:val="20"/>
                <w:szCs w:val="20"/>
                <w:lang w:val="fr-CA"/>
              </w:rPr>
              <w:t>Cour suprême du Canada</w:t>
            </w:r>
          </w:p>
          <w:p w:rsidR="00900C1B" w:rsidRPr="00C03744" w:rsidRDefault="00900C1B" w:rsidP="00183D35">
            <w:pPr>
              <w:jc w:val="both"/>
              <w:rPr>
                <w:sz w:val="20"/>
                <w:szCs w:val="20"/>
                <w:lang w:val="fr-CA"/>
              </w:rPr>
            </w:pP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Dépôt par les parties d’une requête conjointe en prorogation du délai de signification et de dépôt de la demande d’autorisation d’appel du demandeur, de la réponse de l’intimée à la demande d’autorisation d’appel et de la demande d’autorisation d’appel incident de l’intimée.</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t>12 janvier 2017</w:t>
            </w:r>
          </w:p>
          <w:p w:rsidR="00900C1B" w:rsidRPr="00C03744" w:rsidRDefault="00900C1B" w:rsidP="00183D35">
            <w:pPr>
              <w:jc w:val="both"/>
              <w:rPr>
                <w:sz w:val="20"/>
                <w:szCs w:val="20"/>
                <w:lang w:val="fr-CA"/>
              </w:rPr>
            </w:pPr>
            <w:r w:rsidRPr="00C03744">
              <w:rPr>
                <w:sz w:val="20"/>
                <w:szCs w:val="20"/>
                <w:lang w:val="fr-CA"/>
              </w:rPr>
              <w:t>Cour d’appel du Nouveau-Brunswick</w:t>
            </w:r>
          </w:p>
          <w:p w:rsidR="00900C1B" w:rsidRPr="00C03744" w:rsidRDefault="00900C1B" w:rsidP="00183D35">
            <w:pPr>
              <w:jc w:val="both"/>
              <w:rPr>
                <w:sz w:val="20"/>
                <w:szCs w:val="20"/>
                <w:lang w:val="fr-CA"/>
              </w:rPr>
            </w:pPr>
            <w:r w:rsidRPr="00C03744">
              <w:rPr>
                <w:sz w:val="20"/>
                <w:szCs w:val="20"/>
                <w:lang w:val="fr-CA"/>
              </w:rPr>
              <w:t xml:space="preserve">(Juge en chef Drapeau, juges </w:t>
            </w:r>
            <w:proofErr w:type="spellStart"/>
            <w:r w:rsidRPr="00C03744">
              <w:rPr>
                <w:sz w:val="20"/>
                <w:szCs w:val="20"/>
                <w:lang w:val="fr-CA"/>
              </w:rPr>
              <w:t>Larlee</w:t>
            </w:r>
            <w:proofErr w:type="spellEnd"/>
            <w:r w:rsidRPr="00C03744">
              <w:rPr>
                <w:sz w:val="20"/>
                <w:szCs w:val="20"/>
                <w:lang w:val="fr-CA"/>
              </w:rPr>
              <w:t xml:space="preserve"> et </w:t>
            </w:r>
            <w:proofErr w:type="spellStart"/>
            <w:r w:rsidRPr="00C03744">
              <w:rPr>
                <w:sz w:val="20"/>
                <w:szCs w:val="20"/>
                <w:lang w:val="fr-CA"/>
              </w:rPr>
              <w:t>Quigg</w:t>
            </w:r>
            <w:proofErr w:type="spellEnd"/>
            <w:r w:rsidRPr="00C03744">
              <w:rPr>
                <w:sz w:val="20"/>
                <w:szCs w:val="20"/>
                <w:lang w:val="fr-CA"/>
              </w:rPr>
              <w:t>)</w:t>
            </w:r>
          </w:p>
          <w:p w:rsidR="00900C1B" w:rsidRPr="00C03744" w:rsidRDefault="005133CB" w:rsidP="00183D35">
            <w:pPr>
              <w:jc w:val="both"/>
              <w:rPr>
                <w:sz w:val="20"/>
                <w:szCs w:val="20"/>
                <w:lang w:val="fr-CA"/>
              </w:rPr>
            </w:pPr>
            <w:hyperlink r:id="rId21" w:history="1">
              <w:r w:rsidR="00900C1B" w:rsidRPr="00C03744">
                <w:rPr>
                  <w:rStyle w:val="Hyperlink"/>
                  <w:sz w:val="20"/>
                  <w:szCs w:val="20"/>
                  <w:lang w:val="fr-CA"/>
                </w:rPr>
                <w:t xml:space="preserve">2016 </w:t>
              </w:r>
              <w:proofErr w:type="spellStart"/>
              <w:r w:rsidR="00900C1B" w:rsidRPr="00C03744">
                <w:rPr>
                  <w:rStyle w:val="Hyperlink"/>
                  <w:sz w:val="20"/>
                  <w:szCs w:val="20"/>
                  <w:lang w:val="fr-CA"/>
                </w:rPr>
                <w:t>CanLII</w:t>
              </w:r>
              <w:proofErr w:type="spellEnd"/>
              <w:r w:rsidR="00900C1B" w:rsidRPr="00C03744">
                <w:rPr>
                  <w:rStyle w:val="Hyperlink"/>
                  <w:sz w:val="20"/>
                  <w:szCs w:val="20"/>
                  <w:lang w:val="fr-CA"/>
                </w:rPr>
                <w:t xml:space="preserve"> 101484</w:t>
              </w:r>
            </w:hyperlink>
          </w:p>
          <w:p w:rsidR="00900C1B" w:rsidRPr="00C03744" w:rsidRDefault="00900C1B" w:rsidP="00183D35">
            <w:pPr>
              <w:jc w:val="both"/>
              <w:rPr>
                <w:sz w:val="20"/>
                <w:szCs w:val="20"/>
                <w:lang w:val="fr-CA"/>
              </w:rPr>
            </w:pP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Motifs supplémentaires de la Cour d’appel au soutien de son arrêt du 24 octobre 2016 (voir ci-dessus).</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t>23 janvier 2017</w:t>
            </w:r>
          </w:p>
          <w:p w:rsidR="00900C1B" w:rsidRPr="00C03744" w:rsidRDefault="00900C1B" w:rsidP="00183D35">
            <w:pPr>
              <w:jc w:val="both"/>
              <w:rPr>
                <w:sz w:val="20"/>
                <w:szCs w:val="20"/>
                <w:lang w:val="fr-CA"/>
              </w:rPr>
            </w:pPr>
            <w:r w:rsidRPr="00C03744">
              <w:rPr>
                <w:sz w:val="20"/>
                <w:szCs w:val="20"/>
                <w:lang w:val="fr-CA"/>
              </w:rPr>
              <w:t>Cour suprême du Canada</w:t>
            </w:r>
          </w:p>
          <w:p w:rsidR="00900C1B" w:rsidRPr="00C03744" w:rsidRDefault="00900C1B" w:rsidP="00183D35">
            <w:pPr>
              <w:jc w:val="both"/>
              <w:rPr>
                <w:sz w:val="20"/>
                <w:szCs w:val="20"/>
                <w:lang w:val="fr-CA"/>
              </w:rPr>
            </w:pP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Dépôt de la demande d’autorisation d’appel.</w:t>
            </w:r>
          </w:p>
          <w:p w:rsidR="00900C1B" w:rsidRPr="00C03744" w:rsidRDefault="00900C1B" w:rsidP="00183D35">
            <w:pPr>
              <w:jc w:val="both"/>
              <w:rPr>
                <w:sz w:val="20"/>
                <w:szCs w:val="20"/>
                <w:lang w:val="fr-CA"/>
              </w:rPr>
            </w:pPr>
          </w:p>
        </w:tc>
      </w:tr>
      <w:tr w:rsidR="00900C1B" w:rsidRPr="005133CB" w:rsidTr="00183D35">
        <w:tblPrEx>
          <w:tblCellMar>
            <w:bottom w:w="0" w:type="dxa"/>
          </w:tblCellMar>
        </w:tblPrEx>
        <w:tc>
          <w:tcPr>
            <w:tcW w:w="2367" w:type="pct"/>
            <w:gridSpan w:val="2"/>
          </w:tcPr>
          <w:p w:rsidR="00900C1B" w:rsidRPr="00C03744" w:rsidRDefault="00900C1B" w:rsidP="00183D35">
            <w:pPr>
              <w:jc w:val="both"/>
              <w:rPr>
                <w:sz w:val="20"/>
                <w:szCs w:val="20"/>
                <w:lang w:val="fr-CA"/>
              </w:rPr>
            </w:pPr>
            <w:r w:rsidRPr="00C03744">
              <w:rPr>
                <w:sz w:val="20"/>
                <w:szCs w:val="20"/>
                <w:lang w:val="fr-CA"/>
              </w:rPr>
              <w:t>24 mars 2017</w:t>
            </w:r>
          </w:p>
          <w:p w:rsidR="00900C1B" w:rsidRPr="00C03744" w:rsidRDefault="00900C1B" w:rsidP="00183D35">
            <w:pPr>
              <w:jc w:val="both"/>
              <w:rPr>
                <w:sz w:val="20"/>
                <w:szCs w:val="20"/>
                <w:lang w:val="fr-CA"/>
              </w:rPr>
            </w:pPr>
            <w:r w:rsidRPr="00C03744">
              <w:rPr>
                <w:sz w:val="20"/>
                <w:szCs w:val="20"/>
                <w:lang w:val="fr-CA"/>
              </w:rPr>
              <w:t>Cour suprême du Canada</w:t>
            </w:r>
          </w:p>
        </w:tc>
        <w:tc>
          <w:tcPr>
            <w:tcW w:w="267" w:type="pct"/>
          </w:tcPr>
          <w:p w:rsidR="00900C1B" w:rsidRPr="00C03744" w:rsidRDefault="00900C1B" w:rsidP="00183D35">
            <w:pPr>
              <w:jc w:val="both"/>
              <w:rPr>
                <w:sz w:val="20"/>
                <w:szCs w:val="20"/>
                <w:lang w:val="fr-CA"/>
              </w:rPr>
            </w:pPr>
          </w:p>
        </w:tc>
        <w:tc>
          <w:tcPr>
            <w:tcW w:w="2366" w:type="pct"/>
            <w:gridSpan w:val="2"/>
          </w:tcPr>
          <w:p w:rsidR="00900C1B" w:rsidRPr="00C03744" w:rsidRDefault="00900C1B" w:rsidP="00183D35">
            <w:pPr>
              <w:jc w:val="both"/>
              <w:rPr>
                <w:sz w:val="20"/>
                <w:szCs w:val="20"/>
                <w:lang w:val="fr-CA"/>
              </w:rPr>
            </w:pPr>
            <w:r w:rsidRPr="00C03744">
              <w:rPr>
                <w:sz w:val="20"/>
                <w:szCs w:val="20"/>
                <w:lang w:val="fr-CA"/>
              </w:rPr>
              <w:t>Dépôt de la demande d’autorisation d’appel incident.</w:t>
            </w:r>
          </w:p>
          <w:p w:rsidR="00900C1B" w:rsidRPr="00C03744" w:rsidRDefault="00900C1B" w:rsidP="00183D35">
            <w:pPr>
              <w:jc w:val="both"/>
              <w:rPr>
                <w:sz w:val="20"/>
                <w:szCs w:val="20"/>
                <w:lang w:val="fr-CA"/>
              </w:rPr>
            </w:pPr>
          </w:p>
        </w:tc>
      </w:tr>
    </w:tbl>
    <w:p w:rsidR="00900C1B" w:rsidRPr="00C03744" w:rsidRDefault="005133CB" w:rsidP="00900C1B">
      <w:pPr>
        <w:ind w:left="360" w:hanging="360"/>
        <w:jc w:val="both"/>
        <w:rPr>
          <w:sz w:val="20"/>
          <w:szCs w:val="20"/>
          <w:lang w:val="fr-CA" w:eastAsia="en-CA"/>
        </w:rPr>
      </w:pPr>
      <w:r>
        <w:rPr>
          <w:sz w:val="20"/>
          <w:szCs w:val="20"/>
        </w:rPr>
        <w:pict>
          <v:rect id="_x0000_i1038" style="width:2in;height:1pt" o:hrpct="0" o:hralign="center" o:hrstd="t" o:hrnoshade="t" o:hr="t" fillcolor="black [3213]" stroked="f"/>
        </w:pict>
      </w:r>
    </w:p>
    <w:p w:rsidR="00900C1B" w:rsidRPr="00C03744" w:rsidRDefault="00900C1B" w:rsidP="00900C1B">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00C1B" w:rsidRPr="00C03744" w:rsidTr="00183D35">
        <w:tc>
          <w:tcPr>
            <w:tcW w:w="543" w:type="pct"/>
          </w:tcPr>
          <w:p w:rsidR="00900C1B" w:rsidRPr="00C03744" w:rsidRDefault="00900C1B" w:rsidP="00183D35">
            <w:pPr>
              <w:jc w:val="both"/>
              <w:rPr>
                <w:sz w:val="20"/>
                <w:szCs w:val="20"/>
              </w:rPr>
            </w:pPr>
            <w:r w:rsidRPr="00C03744">
              <w:rPr>
                <w:rStyle w:val="SCCFileNumberChar"/>
                <w:sz w:val="20"/>
                <w:szCs w:val="20"/>
              </w:rPr>
              <w:t>37505</w:t>
            </w:r>
          </w:p>
        </w:tc>
        <w:tc>
          <w:tcPr>
            <w:tcW w:w="4457" w:type="pct"/>
            <w:gridSpan w:val="3"/>
          </w:tcPr>
          <w:p w:rsidR="00900C1B" w:rsidRPr="00C03744" w:rsidRDefault="00900C1B" w:rsidP="00183D35">
            <w:pPr>
              <w:pStyle w:val="SCCLsocParty"/>
              <w:jc w:val="both"/>
              <w:rPr>
                <w:b/>
                <w:sz w:val="20"/>
                <w:szCs w:val="20"/>
                <w:lang w:val="en-US"/>
              </w:rPr>
            </w:pPr>
            <w:r w:rsidRPr="00C03744">
              <w:rPr>
                <w:b/>
                <w:sz w:val="20"/>
                <w:szCs w:val="20"/>
                <w:lang w:val="en-US"/>
              </w:rPr>
              <w:t xml:space="preserve">Denis </w:t>
            </w:r>
            <w:proofErr w:type="spellStart"/>
            <w:r w:rsidRPr="00C03744">
              <w:rPr>
                <w:b/>
                <w:sz w:val="20"/>
                <w:szCs w:val="20"/>
                <w:lang w:val="en-US"/>
              </w:rPr>
              <w:t>Saciragic</w:t>
            </w:r>
            <w:proofErr w:type="spellEnd"/>
            <w:r w:rsidRPr="00C03744">
              <w:rPr>
                <w:b/>
                <w:sz w:val="20"/>
                <w:szCs w:val="20"/>
                <w:lang w:val="en-US"/>
              </w:rPr>
              <w:t xml:space="preserve"> v. Her Majesty the Queen</w:t>
            </w:r>
          </w:p>
          <w:p w:rsidR="00900C1B" w:rsidRPr="00C03744" w:rsidRDefault="00900C1B" w:rsidP="00183D35">
            <w:pPr>
              <w:jc w:val="both"/>
              <w:rPr>
                <w:sz w:val="20"/>
                <w:szCs w:val="20"/>
              </w:rPr>
            </w:pPr>
            <w:r w:rsidRPr="00C03744">
              <w:rPr>
                <w:sz w:val="20"/>
                <w:szCs w:val="20"/>
              </w:rPr>
              <w:t>(Ont.) (Criminal) (By Leave)</w:t>
            </w:r>
          </w:p>
        </w:tc>
      </w:tr>
      <w:tr w:rsidR="00900C1B" w:rsidRPr="00C03744" w:rsidTr="00183D35">
        <w:tc>
          <w:tcPr>
            <w:tcW w:w="543" w:type="pct"/>
          </w:tcPr>
          <w:p w:rsidR="00900C1B" w:rsidRPr="00C03744" w:rsidRDefault="00900C1B" w:rsidP="00183D35">
            <w:pPr>
              <w:jc w:val="both"/>
              <w:rPr>
                <w:rStyle w:val="SCCFileNumberChar"/>
                <w:sz w:val="20"/>
                <w:szCs w:val="20"/>
              </w:rPr>
            </w:pPr>
            <w:r>
              <w:rPr>
                <w:rStyle w:val="SCCFileNumberChar"/>
                <w:sz w:val="20"/>
                <w:szCs w:val="20"/>
              </w:rPr>
              <w:t>Coram:</w:t>
            </w:r>
          </w:p>
        </w:tc>
        <w:tc>
          <w:tcPr>
            <w:tcW w:w="4457" w:type="pct"/>
            <w:gridSpan w:val="3"/>
          </w:tcPr>
          <w:p w:rsidR="00900C1B" w:rsidRDefault="00205684" w:rsidP="00183D35">
            <w:pPr>
              <w:pStyle w:val="SCCLsocParty"/>
              <w:jc w:val="both"/>
              <w:rPr>
                <w:rFonts w:eastAsiaTheme="minorEastAsia"/>
                <w:sz w:val="20"/>
                <w:szCs w:val="20"/>
                <w:lang w:val="en-US" w:eastAsia="en-CA"/>
              </w:rPr>
            </w:pPr>
            <w:proofErr w:type="spellStart"/>
            <w:r w:rsidRPr="00205684">
              <w:rPr>
                <w:rFonts w:eastAsiaTheme="minorEastAsia"/>
                <w:sz w:val="20"/>
                <w:szCs w:val="20"/>
                <w:lang w:val="en-US" w:eastAsia="en-CA"/>
              </w:rPr>
              <w:t>McLachlin</w:t>
            </w:r>
            <w:proofErr w:type="spellEnd"/>
            <w:r w:rsidRPr="00205684">
              <w:rPr>
                <w:rFonts w:eastAsiaTheme="minorEastAsia"/>
                <w:sz w:val="20"/>
                <w:szCs w:val="20"/>
                <w:lang w:val="en-US" w:eastAsia="en-CA"/>
              </w:rPr>
              <w:t xml:space="preserve"> C.J. and </w:t>
            </w:r>
            <w:proofErr w:type="spellStart"/>
            <w:r w:rsidRPr="00205684">
              <w:rPr>
                <w:rFonts w:eastAsiaTheme="minorEastAsia"/>
                <w:sz w:val="20"/>
                <w:szCs w:val="20"/>
                <w:lang w:val="en-US" w:eastAsia="en-CA"/>
              </w:rPr>
              <w:t>Abella</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Moldaver</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Karakatsanis</w:t>
            </w:r>
            <w:proofErr w:type="spellEnd"/>
            <w:r w:rsidRPr="00205684">
              <w:rPr>
                <w:rFonts w:eastAsiaTheme="minorEastAsia"/>
                <w:sz w:val="20"/>
                <w:szCs w:val="20"/>
                <w:lang w:val="en-US" w:eastAsia="en-CA"/>
              </w:rPr>
              <w:t xml:space="preserve">, Wagner, </w:t>
            </w:r>
            <w:proofErr w:type="spellStart"/>
            <w:r w:rsidRPr="00205684">
              <w:rPr>
                <w:rFonts w:eastAsiaTheme="minorEastAsia"/>
                <w:sz w:val="20"/>
                <w:szCs w:val="20"/>
                <w:lang w:val="en-US" w:eastAsia="en-CA"/>
              </w:rPr>
              <w:t>Gascon</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Côté</w:t>
            </w:r>
            <w:proofErr w:type="spellEnd"/>
            <w:r w:rsidRPr="00205684">
              <w:rPr>
                <w:rFonts w:eastAsiaTheme="minorEastAsia"/>
                <w:sz w:val="20"/>
                <w:szCs w:val="20"/>
                <w:lang w:val="en-US" w:eastAsia="en-CA"/>
              </w:rPr>
              <w:t>, Brown and Rowe JJ.</w:t>
            </w:r>
          </w:p>
          <w:p w:rsidR="00205684" w:rsidRPr="00205684" w:rsidRDefault="00205684" w:rsidP="00205684">
            <w:pPr>
              <w:rPr>
                <w:lang w:val="en-US" w:eastAsia="en-CA"/>
              </w:rPr>
            </w:pPr>
          </w:p>
        </w:tc>
      </w:tr>
      <w:tr w:rsidR="00900C1B" w:rsidRPr="00C03744" w:rsidTr="00900C1B">
        <w:tc>
          <w:tcPr>
            <w:tcW w:w="5000" w:type="pct"/>
            <w:gridSpan w:val="4"/>
          </w:tcPr>
          <w:p w:rsidR="00900C1B" w:rsidRDefault="00205684" w:rsidP="00183D35">
            <w:pPr>
              <w:pStyle w:val="SCCLsocParty"/>
              <w:jc w:val="both"/>
              <w:rPr>
                <w:sz w:val="20"/>
                <w:szCs w:val="20"/>
                <w:lang w:val="en-US"/>
              </w:rPr>
            </w:pPr>
            <w:r w:rsidRPr="00205684">
              <w:rPr>
                <w:sz w:val="20"/>
                <w:szCs w:val="20"/>
                <w:lang w:val="en-US"/>
              </w:rPr>
              <w:t>The application for leave to appeal from the judgment of the</w:t>
            </w:r>
            <w:bookmarkStart w:id="1" w:name="BM_1_"/>
            <w:bookmarkEnd w:id="1"/>
            <w:r w:rsidRPr="00205684">
              <w:rPr>
                <w:sz w:val="20"/>
                <w:szCs w:val="20"/>
                <w:lang w:val="en-US"/>
              </w:rPr>
              <w:t xml:space="preserve"> Court of Appeal for Ontario, Number C58368, 2017 ONCA 91, dated February 2, 2017, is dismissed.</w:t>
            </w:r>
          </w:p>
          <w:p w:rsidR="00205684" w:rsidRPr="00205684" w:rsidRDefault="00205684" w:rsidP="00205684">
            <w:pPr>
              <w:rPr>
                <w:lang w:val="en-US"/>
              </w:rPr>
            </w:pPr>
          </w:p>
        </w:tc>
      </w:tr>
      <w:tr w:rsidR="00900C1B" w:rsidRPr="00C03744" w:rsidTr="00183D35">
        <w:tc>
          <w:tcPr>
            <w:tcW w:w="5000" w:type="pct"/>
            <w:gridSpan w:val="4"/>
          </w:tcPr>
          <w:p w:rsidR="00900C1B" w:rsidRPr="00C03744" w:rsidRDefault="00900C1B" w:rsidP="00183D35">
            <w:pPr>
              <w:jc w:val="both"/>
              <w:rPr>
                <w:sz w:val="20"/>
                <w:szCs w:val="20"/>
              </w:rPr>
            </w:pPr>
            <w:r w:rsidRPr="00C03744">
              <w:rPr>
                <w:i/>
                <w:sz w:val="20"/>
                <w:szCs w:val="20"/>
              </w:rPr>
              <w:t>Charter of Rights</w:t>
            </w:r>
            <w:r w:rsidRPr="00C03744">
              <w:rPr>
                <w:sz w:val="20"/>
                <w:szCs w:val="20"/>
              </w:rPr>
              <w:t xml:space="preserve"> – Criminal law – Search and seizure – Is there a reasonable expectation of privacy in information gathered in the common areas of multi-unit buildings – Did the Court of Appeal for Ontario err in law in concluding that the applicant's rights under section 8 of the </w:t>
            </w:r>
            <w:r w:rsidRPr="00C03744">
              <w:rPr>
                <w:i/>
                <w:iCs/>
                <w:sz w:val="20"/>
                <w:szCs w:val="20"/>
              </w:rPr>
              <w:t xml:space="preserve">Canadian Charter of Rights and Freedoms </w:t>
            </w:r>
            <w:r w:rsidRPr="00C03744">
              <w:rPr>
                <w:sz w:val="20"/>
                <w:szCs w:val="20"/>
              </w:rPr>
              <w:t>were not violated as he lacked any reasonable expectation of privacy in relation to the records held by the building management and the information provided to the police.</w:t>
            </w:r>
          </w:p>
          <w:p w:rsidR="00900C1B" w:rsidRPr="00C03744" w:rsidRDefault="00900C1B" w:rsidP="00183D35">
            <w:pPr>
              <w:jc w:val="both"/>
              <w:rPr>
                <w:sz w:val="20"/>
                <w:szCs w:val="20"/>
              </w:rPr>
            </w:pPr>
          </w:p>
        </w:tc>
      </w:tr>
      <w:tr w:rsidR="00900C1B" w:rsidRPr="00C03744" w:rsidTr="00183D35">
        <w:tc>
          <w:tcPr>
            <w:tcW w:w="5000" w:type="pct"/>
            <w:gridSpan w:val="4"/>
          </w:tcPr>
          <w:p w:rsidR="00900C1B" w:rsidRPr="00C03744" w:rsidRDefault="00900C1B" w:rsidP="00183D35">
            <w:pPr>
              <w:jc w:val="both"/>
              <w:rPr>
                <w:sz w:val="20"/>
                <w:szCs w:val="20"/>
              </w:rPr>
            </w:pPr>
            <w:r w:rsidRPr="00C03744">
              <w:rPr>
                <w:sz w:val="20"/>
                <w:szCs w:val="20"/>
              </w:rPr>
              <w:t xml:space="preserve">While under police surveillance, the applicant was seen stopping in the garage of a condominium complex for 23 minutes, then subsequently driving to meet another person in an isolated parking lot. The applicant handed the second person a package. Both men were eventually apprehended, and the package was found to contain cocaine. The applicant was charged with trafficking cocaine and possession for the purpose of trafficking cocaine. The applicant’s car was </w:t>
            </w:r>
            <w:r w:rsidRPr="00C03744">
              <w:rPr>
                <w:sz w:val="20"/>
                <w:szCs w:val="20"/>
              </w:rPr>
              <w:lastRenderedPageBreak/>
              <w:t xml:space="preserve">searched at the time of his arrest, and keys and a fob were found. Based upon information from the fob and from the property manager of the condominium complex, police identified the unit likely entered by the applicant and considered it likely that the unit was being used as the applicant’s stash house. They carried out a warrantless search and subsequently obtained and executed a search warrant that day. Police found and seized nine kilograms of cocaine in the unit. </w:t>
            </w:r>
          </w:p>
          <w:p w:rsidR="00900C1B" w:rsidRPr="00C03744" w:rsidRDefault="00900C1B" w:rsidP="00183D35">
            <w:pPr>
              <w:jc w:val="both"/>
              <w:rPr>
                <w:sz w:val="20"/>
                <w:szCs w:val="20"/>
              </w:rPr>
            </w:pPr>
          </w:p>
          <w:p w:rsidR="00900C1B" w:rsidRPr="00C03744" w:rsidRDefault="00900C1B" w:rsidP="00183D35">
            <w:pPr>
              <w:jc w:val="both"/>
              <w:rPr>
                <w:sz w:val="20"/>
                <w:szCs w:val="20"/>
              </w:rPr>
            </w:pPr>
            <w:r w:rsidRPr="00C03744">
              <w:rPr>
                <w:sz w:val="20"/>
                <w:szCs w:val="20"/>
              </w:rPr>
              <w:t xml:space="preserve">On a pre-trial application the applicant successfully argued that an absence of exigent circumstances rendered the warrantless search of the condominium unreasonable and an infringement of his s. 8 </w:t>
            </w:r>
            <w:r w:rsidRPr="00C03744">
              <w:rPr>
                <w:i/>
                <w:sz w:val="20"/>
                <w:szCs w:val="20"/>
              </w:rPr>
              <w:t>Charter</w:t>
            </w:r>
            <w:r w:rsidRPr="00C03744">
              <w:rPr>
                <w:sz w:val="20"/>
                <w:szCs w:val="20"/>
              </w:rPr>
              <w:t xml:space="preserve"> right. However, the Ontario Superior Court of Justice dismissed the applicant’s application to exclude all evidence seized pursuant to his arrest and the warrant authorized search of the condominium. He was convicted of drug trafficking and possession for the purposes of trafficking. The Court of Appeal for Ontario dismissed his appeal. The applicant challenges that decision as not recognizing a reasonable expectation of privacy for information held by property managers and activities taking place in the common areas of multi-unit buildings.</w:t>
            </w:r>
          </w:p>
        </w:tc>
      </w:tr>
      <w:tr w:rsidR="00900C1B" w:rsidRPr="00C03744" w:rsidTr="00183D35">
        <w:tc>
          <w:tcPr>
            <w:tcW w:w="5000" w:type="pct"/>
            <w:gridSpan w:val="4"/>
          </w:tcPr>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t>December 11, 2013</w:t>
            </w:r>
          </w:p>
          <w:p w:rsidR="00900C1B" w:rsidRPr="00C03744" w:rsidRDefault="00900C1B" w:rsidP="00183D35">
            <w:pPr>
              <w:jc w:val="both"/>
              <w:rPr>
                <w:sz w:val="20"/>
                <w:szCs w:val="20"/>
              </w:rPr>
            </w:pPr>
            <w:r w:rsidRPr="00C03744">
              <w:rPr>
                <w:sz w:val="20"/>
                <w:szCs w:val="20"/>
              </w:rPr>
              <w:t>Ontario Superior Court of Justice</w:t>
            </w:r>
          </w:p>
          <w:p w:rsidR="00900C1B" w:rsidRPr="00C03744" w:rsidRDefault="00900C1B" w:rsidP="00183D35">
            <w:pPr>
              <w:jc w:val="both"/>
              <w:rPr>
                <w:sz w:val="20"/>
                <w:szCs w:val="20"/>
              </w:rPr>
            </w:pPr>
            <w:r w:rsidRPr="00C03744">
              <w:rPr>
                <w:sz w:val="20"/>
                <w:szCs w:val="20"/>
              </w:rPr>
              <w:t>(</w:t>
            </w:r>
            <w:proofErr w:type="spellStart"/>
            <w:r w:rsidRPr="00C03744">
              <w:rPr>
                <w:sz w:val="20"/>
                <w:szCs w:val="20"/>
              </w:rPr>
              <w:t>Croll</w:t>
            </w:r>
            <w:proofErr w:type="spellEnd"/>
            <w:r w:rsidRPr="00C03744">
              <w:rPr>
                <w:sz w:val="20"/>
                <w:szCs w:val="20"/>
              </w:rPr>
              <w:t xml:space="preserve"> J.)</w:t>
            </w:r>
          </w:p>
          <w:p w:rsidR="00900C1B" w:rsidRPr="00C03744" w:rsidRDefault="005133CB" w:rsidP="00183D35">
            <w:pPr>
              <w:jc w:val="both"/>
              <w:rPr>
                <w:sz w:val="20"/>
                <w:szCs w:val="20"/>
              </w:rPr>
            </w:pPr>
            <w:hyperlink r:id="rId22" w:history="1">
              <w:r w:rsidR="00900C1B" w:rsidRPr="00C03744">
                <w:rPr>
                  <w:rStyle w:val="Hyperlink"/>
                  <w:sz w:val="20"/>
                  <w:szCs w:val="20"/>
                </w:rPr>
                <w:t>2013 ONSC 7648</w:t>
              </w:r>
            </w:hyperlink>
          </w:p>
          <w:p w:rsidR="00900C1B" w:rsidRPr="00C03744" w:rsidRDefault="00900C1B" w:rsidP="00183D35">
            <w:pPr>
              <w:jc w:val="both"/>
              <w:rPr>
                <w:sz w:val="20"/>
                <w:szCs w:val="20"/>
              </w:rPr>
            </w:pP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Applicant’s application to exclude all evidence seized pursuant to his arrest and search of a condominium, dismissed</w:t>
            </w:r>
          </w:p>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t>February 2, 2017</w:t>
            </w:r>
          </w:p>
          <w:p w:rsidR="00900C1B" w:rsidRPr="00C03744" w:rsidRDefault="00900C1B" w:rsidP="00183D35">
            <w:pPr>
              <w:jc w:val="both"/>
              <w:rPr>
                <w:sz w:val="20"/>
                <w:szCs w:val="20"/>
              </w:rPr>
            </w:pPr>
            <w:r w:rsidRPr="00C03744">
              <w:rPr>
                <w:sz w:val="20"/>
                <w:szCs w:val="20"/>
              </w:rPr>
              <w:t>Court of Appeal for Ontario</w:t>
            </w:r>
          </w:p>
          <w:p w:rsidR="00900C1B" w:rsidRPr="00C03744" w:rsidRDefault="00900C1B" w:rsidP="00183D35">
            <w:pPr>
              <w:jc w:val="both"/>
              <w:rPr>
                <w:sz w:val="20"/>
                <w:szCs w:val="20"/>
              </w:rPr>
            </w:pPr>
            <w:r w:rsidRPr="00C03744">
              <w:rPr>
                <w:sz w:val="20"/>
                <w:szCs w:val="20"/>
              </w:rPr>
              <w:t xml:space="preserve">(Feldman, </w:t>
            </w:r>
            <w:proofErr w:type="spellStart"/>
            <w:r w:rsidRPr="00C03744">
              <w:rPr>
                <w:sz w:val="20"/>
                <w:szCs w:val="20"/>
              </w:rPr>
              <w:t>Benotto</w:t>
            </w:r>
            <w:proofErr w:type="spellEnd"/>
            <w:r w:rsidRPr="00C03744">
              <w:rPr>
                <w:sz w:val="20"/>
                <w:szCs w:val="20"/>
              </w:rPr>
              <w:t xml:space="preserve"> and Miller JJ.A.)</w:t>
            </w:r>
          </w:p>
          <w:p w:rsidR="00900C1B" w:rsidRPr="00C03744" w:rsidRDefault="005133CB" w:rsidP="00183D35">
            <w:pPr>
              <w:jc w:val="both"/>
              <w:rPr>
                <w:sz w:val="20"/>
                <w:szCs w:val="20"/>
              </w:rPr>
            </w:pPr>
            <w:hyperlink r:id="rId23" w:history="1">
              <w:r w:rsidR="00900C1B" w:rsidRPr="00C03744">
                <w:rPr>
                  <w:rStyle w:val="Hyperlink"/>
                  <w:sz w:val="20"/>
                  <w:szCs w:val="20"/>
                </w:rPr>
                <w:t>2017 ONCA 91</w:t>
              </w:r>
            </w:hyperlink>
            <w:r w:rsidR="00900C1B" w:rsidRPr="00C03744">
              <w:rPr>
                <w:sz w:val="20"/>
                <w:szCs w:val="20"/>
              </w:rPr>
              <w:t>; C58368</w:t>
            </w:r>
          </w:p>
          <w:p w:rsidR="00900C1B" w:rsidRPr="00C03744" w:rsidRDefault="00900C1B" w:rsidP="00183D35">
            <w:pPr>
              <w:jc w:val="both"/>
              <w:rPr>
                <w:sz w:val="20"/>
                <w:szCs w:val="20"/>
              </w:rPr>
            </w:pP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Appeal dismissed</w:t>
            </w:r>
          </w:p>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t>March 30, 2017</w:t>
            </w:r>
          </w:p>
          <w:p w:rsidR="00900C1B" w:rsidRPr="00C03744" w:rsidRDefault="00900C1B" w:rsidP="00183D35">
            <w:pPr>
              <w:jc w:val="both"/>
              <w:rPr>
                <w:sz w:val="20"/>
                <w:szCs w:val="20"/>
              </w:rPr>
            </w:pPr>
            <w:r w:rsidRPr="00C03744">
              <w:rPr>
                <w:sz w:val="20"/>
                <w:szCs w:val="20"/>
              </w:rPr>
              <w:t>Supreme Court of Canada</w:t>
            </w: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Application for leave to appeal filed</w:t>
            </w:r>
          </w:p>
          <w:p w:rsidR="00900C1B" w:rsidRPr="00C03744" w:rsidRDefault="00900C1B" w:rsidP="00183D35">
            <w:pPr>
              <w:jc w:val="both"/>
              <w:rPr>
                <w:sz w:val="20"/>
                <w:szCs w:val="20"/>
              </w:rPr>
            </w:pPr>
          </w:p>
        </w:tc>
      </w:tr>
    </w:tbl>
    <w:p w:rsidR="00900C1B" w:rsidRPr="00C03744" w:rsidRDefault="005133CB" w:rsidP="00900C1B">
      <w:pPr>
        <w:jc w:val="both"/>
        <w:rPr>
          <w:sz w:val="20"/>
          <w:szCs w:val="20"/>
        </w:rPr>
      </w:pPr>
      <w:r>
        <w:rPr>
          <w:sz w:val="20"/>
          <w:szCs w:val="20"/>
        </w:rPr>
        <w:pict>
          <v:rect id="_x0000_i1039" style="width:2in;height:1pt" o:hrpct="0" o:hralign="center" o:hrstd="t" o:hrnoshade="t" o:hr="t" fillcolor="black [3213]" stroked="f"/>
        </w:pict>
      </w:r>
    </w:p>
    <w:p w:rsidR="00900C1B" w:rsidRPr="00C03744" w:rsidRDefault="00900C1B" w:rsidP="00900C1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00C1B" w:rsidRPr="00C03744" w:rsidTr="00183D35">
        <w:tc>
          <w:tcPr>
            <w:tcW w:w="543" w:type="pct"/>
          </w:tcPr>
          <w:p w:rsidR="00900C1B" w:rsidRPr="00C03744" w:rsidRDefault="00900C1B" w:rsidP="00183D35">
            <w:pPr>
              <w:jc w:val="both"/>
              <w:rPr>
                <w:sz w:val="20"/>
                <w:szCs w:val="20"/>
                <w:lang w:val="fr-CA"/>
              </w:rPr>
            </w:pPr>
            <w:r w:rsidRPr="00C03744">
              <w:rPr>
                <w:rStyle w:val="SCCFileNumberChar"/>
                <w:sz w:val="20"/>
                <w:szCs w:val="20"/>
                <w:lang w:val="fr-CA"/>
              </w:rPr>
              <w:t>37505</w:t>
            </w:r>
          </w:p>
        </w:tc>
        <w:tc>
          <w:tcPr>
            <w:tcW w:w="4457" w:type="pct"/>
            <w:gridSpan w:val="3"/>
          </w:tcPr>
          <w:p w:rsidR="00900C1B" w:rsidRPr="00C03744" w:rsidRDefault="00900C1B" w:rsidP="00183D35">
            <w:pPr>
              <w:pStyle w:val="SCCLsocParty"/>
              <w:jc w:val="both"/>
              <w:rPr>
                <w:b/>
                <w:sz w:val="20"/>
                <w:szCs w:val="20"/>
              </w:rPr>
            </w:pPr>
            <w:r w:rsidRPr="00C03744">
              <w:rPr>
                <w:b/>
                <w:sz w:val="20"/>
                <w:szCs w:val="20"/>
              </w:rPr>
              <w:t xml:space="preserve">Denis </w:t>
            </w:r>
            <w:proofErr w:type="spellStart"/>
            <w:r w:rsidRPr="00C03744">
              <w:rPr>
                <w:b/>
                <w:sz w:val="20"/>
                <w:szCs w:val="20"/>
              </w:rPr>
              <w:t>Saciragic</w:t>
            </w:r>
            <w:proofErr w:type="spellEnd"/>
            <w:r w:rsidRPr="00C03744">
              <w:rPr>
                <w:b/>
                <w:sz w:val="20"/>
                <w:szCs w:val="20"/>
              </w:rPr>
              <w:t xml:space="preserve"> c. Sa Majesté la Reine</w:t>
            </w:r>
          </w:p>
          <w:p w:rsidR="00900C1B" w:rsidRPr="00C03744" w:rsidRDefault="00900C1B" w:rsidP="00183D35">
            <w:pPr>
              <w:jc w:val="both"/>
              <w:rPr>
                <w:sz w:val="20"/>
                <w:szCs w:val="20"/>
                <w:lang w:val="fr-CA"/>
              </w:rPr>
            </w:pPr>
            <w:r w:rsidRPr="00C03744">
              <w:rPr>
                <w:sz w:val="20"/>
                <w:szCs w:val="20"/>
                <w:lang w:val="fr-CA"/>
              </w:rPr>
              <w:t>(Ont.) (Criminelle) (Sur autorisation)</w:t>
            </w:r>
          </w:p>
        </w:tc>
      </w:tr>
      <w:tr w:rsidR="00900C1B" w:rsidRPr="005133CB" w:rsidTr="00183D35">
        <w:tc>
          <w:tcPr>
            <w:tcW w:w="543" w:type="pct"/>
          </w:tcPr>
          <w:p w:rsidR="00900C1B" w:rsidRPr="00C03744" w:rsidRDefault="00900C1B" w:rsidP="00183D35">
            <w:pPr>
              <w:jc w:val="both"/>
              <w:rPr>
                <w:rStyle w:val="SCCFileNumberChar"/>
                <w:sz w:val="20"/>
                <w:szCs w:val="20"/>
                <w:lang w:val="fr-CA"/>
              </w:rPr>
            </w:pPr>
            <w:r>
              <w:rPr>
                <w:rStyle w:val="SCCFileNumberChar"/>
                <w:sz w:val="20"/>
                <w:szCs w:val="20"/>
                <w:lang w:val="fr-CA"/>
              </w:rPr>
              <w:t>Coram :</w:t>
            </w:r>
          </w:p>
        </w:tc>
        <w:tc>
          <w:tcPr>
            <w:tcW w:w="4457" w:type="pct"/>
            <w:gridSpan w:val="3"/>
          </w:tcPr>
          <w:p w:rsidR="00205684" w:rsidRPr="00205684" w:rsidRDefault="00205684" w:rsidP="00205684">
            <w:pPr>
              <w:pStyle w:val="SCCLsocParty"/>
              <w:jc w:val="both"/>
              <w:rPr>
                <w:rFonts w:eastAsiaTheme="minorEastAsia"/>
                <w:sz w:val="20"/>
                <w:szCs w:val="20"/>
                <w:lang w:val="fr-FR" w:eastAsia="en-CA"/>
              </w:rPr>
            </w:pPr>
            <w:r w:rsidRPr="00FD0C87">
              <w:rPr>
                <w:rFonts w:eastAsiaTheme="minorEastAsia"/>
                <w:sz w:val="20"/>
                <w:szCs w:val="20"/>
                <w:lang w:val="fr-FR" w:eastAsia="en-CA"/>
              </w:rPr>
              <w:t xml:space="preserve">La juge en chef </w:t>
            </w:r>
            <w:proofErr w:type="spellStart"/>
            <w:r w:rsidRPr="00FD0C87">
              <w:rPr>
                <w:rFonts w:eastAsiaTheme="minorEastAsia"/>
                <w:sz w:val="20"/>
                <w:szCs w:val="20"/>
                <w:lang w:val="fr-FR" w:eastAsia="en-CA"/>
              </w:rPr>
              <w:t>McLachlin</w:t>
            </w:r>
            <w:proofErr w:type="spellEnd"/>
            <w:r w:rsidRPr="00FD0C87">
              <w:rPr>
                <w:rFonts w:eastAsiaTheme="minorEastAsia"/>
                <w:sz w:val="20"/>
                <w:szCs w:val="20"/>
                <w:lang w:val="fr-FR" w:eastAsia="en-CA"/>
              </w:rPr>
              <w:t xml:space="preserve"> et les juges Abella, </w:t>
            </w:r>
            <w:proofErr w:type="spellStart"/>
            <w:r w:rsidRPr="00FD0C87">
              <w:rPr>
                <w:rFonts w:eastAsiaTheme="minorEastAsia"/>
                <w:sz w:val="20"/>
                <w:szCs w:val="20"/>
                <w:lang w:val="fr-FR" w:eastAsia="en-CA"/>
              </w:rPr>
              <w:t>Moldaver</w:t>
            </w:r>
            <w:proofErr w:type="spellEnd"/>
            <w:r w:rsidRPr="00FD0C87">
              <w:rPr>
                <w:rFonts w:eastAsiaTheme="minorEastAsia"/>
                <w:sz w:val="20"/>
                <w:szCs w:val="20"/>
                <w:lang w:val="fr-FR" w:eastAsia="en-CA"/>
              </w:rPr>
              <w:t xml:space="preserve">, </w:t>
            </w:r>
            <w:proofErr w:type="spellStart"/>
            <w:r w:rsidRPr="00FD0C87">
              <w:rPr>
                <w:rFonts w:eastAsiaTheme="minorEastAsia"/>
                <w:sz w:val="20"/>
                <w:szCs w:val="20"/>
                <w:lang w:val="fr-FR" w:eastAsia="en-CA"/>
              </w:rPr>
              <w:t>Karakatsanis</w:t>
            </w:r>
            <w:proofErr w:type="spellEnd"/>
            <w:r w:rsidRPr="00FD0C87">
              <w:rPr>
                <w:rFonts w:eastAsiaTheme="minorEastAsia"/>
                <w:sz w:val="20"/>
                <w:szCs w:val="20"/>
                <w:lang w:val="fr-FR" w:eastAsia="en-CA"/>
              </w:rPr>
              <w:t>, Wagner, Gascon, Côté, Brown et Rowe</w:t>
            </w:r>
          </w:p>
        </w:tc>
      </w:tr>
      <w:tr w:rsidR="00900C1B" w:rsidRPr="005133CB" w:rsidTr="00900C1B">
        <w:tc>
          <w:tcPr>
            <w:tcW w:w="5000" w:type="pct"/>
            <w:gridSpan w:val="4"/>
          </w:tcPr>
          <w:p w:rsidR="00900C1B" w:rsidRDefault="00205684" w:rsidP="00183D35">
            <w:pPr>
              <w:pStyle w:val="SCCLsocParty"/>
              <w:jc w:val="both"/>
              <w:rPr>
                <w:sz w:val="20"/>
                <w:szCs w:val="20"/>
              </w:rPr>
            </w:pPr>
            <w:r w:rsidRPr="00FD0C87">
              <w:rPr>
                <w:sz w:val="20"/>
                <w:szCs w:val="20"/>
              </w:rPr>
              <w:t xml:space="preserve">La demande d’autorisation d’appel de l’arrêt de la </w:t>
            </w:r>
            <w:r w:rsidRPr="00FD0C87">
              <w:rPr>
                <w:sz w:val="20"/>
                <w:szCs w:val="20"/>
                <w:lang w:val="fr-FR"/>
              </w:rPr>
              <w:t>Cour d’appel de l’Ontario</w:t>
            </w:r>
            <w:r w:rsidRPr="00FD0C87">
              <w:rPr>
                <w:sz w:val="20"/>
                <w:szCs w:val="20"/>
              </w:rPr>
              <w:t xml:space="preserve">, numéro </w:t>
            </w:r>
            <w:r w:rsidRPr="00FD0C87">
              <w:rPr>
                <w:sz w:val="20"/>
                <w:szCs w:val="20"/>
                <w:lang w:val="fr-FR"/>
              </w:rPr>
              <w:t xml:space="preserve">C58368, </w:t>
            </w:r>
            <w:r w:rsidRPr="00FD0C87">
              <w:rPr>
                <w:sz w:val="20"/>
                <w:szCs w:val="20"/>
              </w:rPr>
              <w:t xml:space="preserve">2017 ONCA 91, daté du </w:t>
            </w:r>
            <w:r w:rsidRPr="00FD0C87">
              <w:rPr>
                <w:sz w:val="20"/>
                <w:szCs w:val="20"/>
                <w:lang w:val="fr-FR"/>
              </w:rPr>
              <w:t>2 février 2017</w:t>
            </w:r>
            <w:r w:rsidRPr="00FD0C87">
              <w:rPr>
                <w:sz w:val="20"/>
                <w:szCs w:val="20"/>
              </w:rPr>
              <w:t>, est rejet</w:t>
            </w:r>
            <w:proofErr w:type="spellStart"/>
            <w:r w:rsidRPr="00FD0C87">
              <w:rPr>
                <w:sz w:val="20"/>
                <w:szCs w:val="20"/>
                <w:lang w:val="fr-FR"/>
              </w:rPr>
              <w:t>ée</w:t>
            </w:r>
            <w:proofErr w:type="spellEnd"/>
            <w:r w:rsidRPr="00FD0C87">
              <w:rPr>
                <w:sz w:val="20"/>
                <w:szCs w:val="20"/>
              </w:rPr>
              <w:t>.</w:t>
            </w:r>
          </w:p>
          <w:p w:rsidR="00205684" w:rsidRPr="00205684" w:rsidRDefault="00205684" w:rsidP="00205684">
            <w:pPr>
              <w:rPr>
                <w:lang w:val="fr-CA"/>
              </w:rPr>
            </w:pPr>
          </w:p>
        </w:tc>
      </w:tr>
      <w:tr w:rsidR="00900C1B" w:rsidRPr="005133CB" w:rsidTr="00183D35">
        <w:tc>
          <w:tcPr>
            <w:tcW w:w="5000" w:type="pct"/>
            <w:gridSpan w:val="4"/>
          </w:tcPr>
          <w:p w:rsidR="00900C1B" w:rsidRPr="00C03744" w:rsidRDefault="00900C1B" w:rsidP="00183D35">
            <w:pPr>
              <w:jc w:val="both"/>
              <w:rPr>
                <w:sz w:val="20"/>
                <w:szCs w:val="20"/>
                <w:lang w:val="fr-CA"/>
              </w:rPr>
            </w:pPr>
            <w:r w:rsidRPr="00C03744">
              <w:rPr>
                <w:i/>
                <w:sz w:val="20"/>
                <w:szCs w:val="20"/>
                <w:lang w:val="fr-CA"/>
              </w:rPr>
              <w:t>Charte des droits</w:t>
            </w:r>
            <w:r w:rsidRPr="00C03744">
              <w:rPr>
                <w:sz w:val="20"/>
                <w:szCs w:val="20"/>
                <w:lang w:val="fr-CA"/>
              </w:rPr>
              <w:t xml:space="preserve"> – Droit criminel – Fouilles, perquisitions et saisies – Existe-t-il une attente raisonnable en matière de protection de la vie privée à l’égard de renseignements recueillis dans les aires communes d’immeubles à logements multiples? – La Cour d’appel de l’Ontario a-t-elle commis une erreur de droit en concluant que les droits que l’art. 8 de la </w:t>
            </w:r>
            <w:r w:rsidRPr="00C03744">
              <w:rPr>
                <w:i/>
                <w:iCs/>
                <w:sz w:val="20"/>
                <w:szCs w:val="20"/>
                <w:lang w:val="fr-CA"/>
              </w:rPr>
              <w:t xml:space="preserve">Charte canadienne des droits et libertés </w:t>
            </w:r>
            <w:r w:rsidRPr="00C03744">
              <w:rPr>
                <w:iCs/>
                <w:sz w:val="20"/>
                <w:szCs w:val="20"/>
                <w:lang w:val="fr-CA"/>
              </w:rPr>
              <w:t>garantit au demandeur</w:t>
            </w:r>
            <w:r w:rsidRPr="00C03744">
              <w:rPr>
                <w:i/>
                <w:iCs/>
                <w:sz w:val="20"/>
                <w:szCs w:val="20"/>
                <w:lang w:val="fr-CA"/>
              </w:rPr>
              <w:t xml:space="preserve"> </w:t>
            </w:r>
            <w:r w:rsidRPr="00C03744">
              <w:rPr>
                <w:sz w:val="20"/>
                <w:szCs w:val="20"/>
                <w:lang w:val="fr-CA"/>
              </w:rPr>
              <w:t>n’avaient pas été violés, puisque ce dernier ne pouvait avoir d’attente raisonnable en matière de protection de la vie privée à l’égard des documents détenus par la direction de l’immeuble et des renseignements fournis à la police?</w:t>
            </w:r>
          </w:p>
          <w:p w:rsidR="00900C1B" w:rsidRPr="00C03744" w:rsidRDefault="00900C1B" w:rsidP="00183D35">
            <w:pPr>
              <w:jc w:val="both"/>
              <w:rPr>
                <w:sz w:val="20"/>
                <w:szCs w:val="20"/>
                <w:lang w:val="fr-CA"/>
              </w:rPr>
            </w:pPr>
          </w:p>
        </w:tc>
      </w:tr>
      <w:tr w:rsidR="00900C1B" w:rsidRPr="005133CB" w:rsidTr="00183D35">
        <w:tc>
          <w:tcPr>
            <w:tcW w:w="5000" w:type="pct"/>
            <w:gridSpan w:val="4"/>
          </w:tcPr>
          <w:p w:rsidR="00900C1B" w:rsidRPr="00C03744" w:rsidRDefault="00900C1B" w:rsidP="00183D35">
            <w:pPr>
              <w:jc w:val="both"/>
              <w:rPr>
                <w:sz w:val="20"/>
                <w:szCs w:val="20"/>
                <w:lang w:val="fr-CA"/>
              </w:rPr>
            </w:pPr>
            <w:r w:rsidRPr="00C03744">
              <w:rPr>
                <w:sz w:val="20"/>
                <w:szCs w:val="20"/>
                <w:lang w:val="fr-CA"/>
              </w:rPr>
              <w:t xml:space="preserve">Alors qu’il se trouvait sous surveillance policière, le demandeur a été aperçu s’arrêtant dans le garage d’un complexe d’habitation en copropriété pendant 23 minutes, puis se dirigeant en voiture à la rencontre quelqu’un d’autre dans un terrain de stationnement isolé. Le demandeur a remis un paquet à l’autre personne. Les deux hommes ont fini par être appréhendés, et on a découvert que le paquet contenait de la cocaïne. Le demandeur a été accusé de trafic de cocaïne et de possession de cocaïne en vue d’en faire le trafic. La voiture du demandeur a été fouillée au moment de son arrestation et on y a trouvé des clés et une télécommande. Sur le fondement de l’information tirée de la télécommande et de renseignements fournis par le gestionnaire du complexe d’habitation en copropriété, les policiers ont identifié l’unité dans laquelle le demandeur est vraisemblablement entré et ils ont considéré probable que l’unité servait de planque au </w:t>
            </w:r>
            <w:r w:rsidRPr="00C03744">
              <w:rPr>
                <w:sz w:val="20"/>
                <w:szCs w:val="20"/>
                <w:lang w:val="fr-CA"/>
              </w:rPr>
              <w:lastRenderedPageBreak/>
              <w:t xml:space="preserve">demandeur. Ils ont effectué une perquisition sans mandat et subséquemment obtenu et exécuté un mandat de perquisition le jour même. Les policiers ont trouvé et saisi neuf kilogrammes de cocaïne dans l’unité. </w:t>
            </w:r>
          </w:p>
          <w:p w:rsidR="00900C1B" w:rsidRPr="00C03744" w:rsidRDefault="00900C1B" w:rsidP="00183D35">
            <w:pPr>
              <w:jc w:val="both"/>
              <w:rPr>
                <w:sz w:val="20"/>
                <w:szCs w:val="20"/>
                <w:lang w:val="fr-CA"/>
              </w:rPr>
            </w:pPr>
          </w:p>
          <w:p w:rsidR="00900C1B" w:rsidRPr="00C03744" w:rsidRDefault="00900C1B" w:rsidP="00183D35">
            <w:pPr>
              <w:jc w:val="both"/>
              <w:rPr>
                <w:sz w:val="20"/>
                <w:szCs w:val="20"/>
                <w:lang w:val="fr-CA"/>
              </w:rPr>
            </w:pPr>
            <w:r w:rsidRPr="00C03744">
              <w:rPr>
                <w:sz w:val="20"/>
                <w:szCs w:val="20"/>
                <w:lang w:val="fr-CA"/>
              </w:rPr>
              <w:t xml:space="preserve">Sur requête préliminaire au procès, le demandeur a plaidé avec succès que l’absence d’urgence de la situation faisait en sorte que la perquisition sans mandat du condominium était déraisonnable et une atteinte au droit que lui garantit l’art. 8 de la </w:t>
            </w:r>
            <w:r w:rsidRPr="00C03744">
              <w:rPr>
                <w:i/>
                <w:sz w:val="20"/>
                <w:szCs w:val="20"/>
                <w:lang w:val="fr-CA"/>
              </w:rPr>
              <w:t>Charte</w:t>
            </w:r>
            <w:r w:rsidRPr="00C03744">
              <w:rPr>
                <w:sz w:val="20"/>
                <w:szCs w:val="20"/>
                <w:lang w:val="fr-CA"/>
              </w:rPr>
              <w:t>. Toutefois, la Cour supérieure de justice de l’Ontario a rejeté la demande du demandeur en vue d’exclure tous les éléments de preuve saisis dans le cadre de son arrestation et de la perquisition du condominium autorisée par mandat. Le demandeur a été déclaré coupable de trafic de drogue et de possession en vue d’en faire le trafic. La Cour d’appel de l’Ontario a rejeté son appel. Le demandeur conteste cette décision, puisque, selon lui, elle ne reconnaît pas l’existence d’une attente raisonnable en matière de protection de la vie privée à l’égard des renseignements détenus par les gestionnaires d’immeubles et des activités qui ont lieu dans les aires communes   d’immeubles à logements multiples.</w:t>
            </w:r>
          </w:p>
        </w:tc>
      </w:tr>
      <w:tr w:rsidR="00900C1B" w:rsidRPr="005133CB" w:rsidTr="00183D35">
        <w:tc>
          <w:tcPr>
            <w:tcW w:w="5000" w:type="pct"/>
            <w:gridSpan w:val="4"/>
          </w:tcPr>
          <w:p w:rsidR="00900C1B" w:rsidRPr="00C03744" w:rsidRDefault="00900C1B" w:rsidP="00183D35">
            <w:pPr>
              <w:jc w:val="both"/>
              <w:rPr>
                <w:sz w:val="20"/>
                <w:szCs w:val="20"/>
                <w:lang w:val="fr-CA"/>
              </w:rPr>
            </w:pPr>
          </w:p>
        </w:tc>
      </w:tr>
      <w:tr w:rsidR="00900C1B" w:rsidRPr="005133CB" w:rsidTr="00183D35">
        <w:tc>
          <w:tcPr>
            <w:tcW w:w="2427" w:type="pct"/>
            <w:gridSpan w:val="2"/>
          </w:tcPr>
          <w:p w:rsidR="00900C1B" w:rsidRPr="00C03744" w:rsidRDefault="00900C1B" w:rsidP="00183D35">
            <w:pPr>
              <w:jc w:val="both"/>
              <w:rPr>
                <w:sz w:val="20"/>
                <w:szCs w:val="20"/>
                <w:lang w:val="fr-CA"/>
              </w:rPr>
            </w:pPr>
            <w:r w:rsidRPr="00C03744">
              <w:rPr>
                <w:sz w:val="20"/>
                <w:szCs w:val="20"/>
                <w:lang w:val="fr-CA"/>
              </w:rPr>
              <w:t>11 décembre 2013</w:t>
            </w:r>
          </w:p>
          <w:p w:rsidR="00900C1B" w:rsidRPr="00C03744" w:rsidRDefault="00900C1B" w:rsidP="00183D35">
            <w:pPr>
              <w:jc w:val="both"/>
              <w:rPr>
                <w:sz w:val="20"/>
                <w:szCs w:val="20"/>
                <w:lang w:val="fr-CA"/>
              </w:rPr>
            </w:pPr>
            <w:r w:rsidRPr="00C03744">
              <w:rPr>
                <w:sz w:val="20"/>
                <w:szCs w:val="20"/>
                <w:lang w:val="fr-CA"/>
              </w:rPr>
              <w:t>Cour supérieure de justice de l’Ontario</w:t>
            </w:r>
          </w:p>
          <w:p w:rsidR="00900C1B" w:rsidRPr="00C03744" w:rsidRDefault="00900C1B" w:rsidP="00183D35">
            <w:pPr>
              <w:jc w:val="both"/>
              <w:rPr>
                <w:sz w:val="20"/>
                <w:szCs w:val="20"/>
                <w:lang w:val="fr-CA"/>
              </w:rPr>
            </w:pPr>
            <w:r w:rsidRPr="00C03744">
              <w:rPr>
                <w:sz w:val="20"/>
                <w:szCs w:val="20"/>
                <w:lang w:val="fr-CA"/>
              </w:rPr>
              <w:t xml:space="preserve">(Juge </w:t>
            </w:r>
            <w:proofErr w:type="spellStart"/>
            <w:r w:rsidRPr="00C03744">
              <w:rPr>
                <w:sz w:val="20"/>
                <w:szCs w:val="20"/>
                <w:lang w:val="fr-CA"/>
              </w:rPr>
              <w:t>Croll</w:t>
            </w:r>
            <w:proofErr w:type="spellEnd"/>
            <w:r w:rsidRPr="00C03744">
              <w:rPr>
                <w:sz w:val="20"/>
                <w:szCs w:val="20"/>
                <w:lang w:val="fr-CA"/>
              </w:rPr>
              <w:t>)</w:t>
            </w:r>
          </w:p>
          <w:p w:rsidR="00900C1B" w:rsidRPr="00C03744" w:rsidRDefault="005133CB" w:rsidP="00183D35">
            <w:pPr>
              <w:jc w:val="both"/>
              <w:rPr>
                <w:sz w:val="20"/>
                <w:szCs w:val="20"/>
                <w:lang w:val="fr-CA"/>
              </w:rPr>
            </w:pPr>
            <w:hyperlink r:id="rId24" w:history="1">
              <w:r w:rsidR="00900C1B" w:rsidRPr="00C03744">
                <w:rPr>
                  <w:rStyle w:val="Hyperlink"/>
                  <w:sz w:val="20"/>
                  <w:szCs w:val="20"/>
                  <w:lang w:val="fr-CA"/>
                </w:rPr>
                <w:t>2013 ONSC 7648</w:t>
              </w:r>
            </w:hyperlink>
          </w:p>
          <w:p w:rsidR="00900C1B" w:rsidRPr="00C03744" w:rsidRDefault="00900C1B" w:rsidP="00183D35">
            <w:pPr>
              <w:jc w:val="both"/>
              <w:rPr>
                <w:sz w:val="20"/>
                <w:szCs w:val="20"/>
                <w:lang w:val="fr-CA"/>
              </w:rPr>
            </w:pP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Rejet de la requête du demandeur en exclusion de tous les éléments de preuve saisis dans le cadre de son arrestation et de la perquisition d’un condominium</w:t>
            </w:r>
          </w:p>
          <w:p w:rsidR="00900C1B" w:rsidRPr="00C03744" w:rsidRDefault="00900C1B" w:rsidP="00183D35">
            <w:pPr>
              <w:jc w:val="both"/>
              <w:rPr>
                <w:sz w:val="20"/>
                <w:szCs w:val="20"/>
                <w:lang w:val="fr-CA"/>
              </w:rPr>
            </w:pPr>
          </w:p>
        </w:tc>
      </w:tr>
      <w:tr w:rsidR="00900C1B" w:rsidRPr="00C03744" w:rsidTr="00183D35">
        <w:tc>
          <w:tcPr>
            <w:tcW w:w="2427" w:type="pct"/>
            <w:gridSpan w:val="2"/>
          </w:tcPr>
          <w:p w:rsidR="00900C1B" w:rsidRPr="00C03744" w:rsidRDefault="00900C1B" w:rsidP="00183D35">
            <w:pPr>
              <w:jc w:val="both"/>
              <w:rPr>
                <w:sz w:val="20"/>
                <w:szCs w:val="20"/>
                <w:lang w:val="fr-CA"/>
              </w:rPr>
            </w:pPr>
            <w:r w:rsidRPr="00C03744">
              <w:rPr>
                <w:sz w:val="20"/>
                <w:szCs w:val="20"/>
                <w:lang w:val="fr-CA"/>
              </w:rPr>
              <w:t>2 février 2017</w:t>
            </w:r>
          </w:p>
          <w:p w:rsidR="00900C1B" w:rsidRPr="00C03744" w:rsidRDefault="00900C1B" w:rsidP="00183D35">
            <w:pPr>
              <w:jc w:val="both"/>
              <w:rPr>
                <w:sz w:val="20"/>
                <w:szCs w:val="20"/>
                <w:lang w:val="fr-CA"/>
              </w:rPr>
            </w:pPr>
            <w:r w:rsidRPr="00C03744">
              <w:rPr>
                <w:sz w:val="20"/>
                <w:szCs w:val="20"/>
                <w:lang w:val="fr-CA"/>
              </w:rPr>
              <w:t>Cour d’appel de l’Ontario</w:t>
            </w:r>
          </w:p>
          <w:p w:rsidR="00900C1B" w:rsidRPr="00C03744" w:rsidRDefault="00900C1B" w:rsidP="00183D35">
            <w:pPr>
              <w:jc w:val="both"/>
              <w:rPr>
                <w:sz w:val="20"/>
                <w:szCs w:val="20"/>
                <w:lang w:val="fr-CA"/>
              </w:rPr>
            </w:pPr>
            <w:r w:rsidRPr="00C03744">
              <w:rPr>
                <w:sz w:val="20"/>
                <w:szCs w:val="20"/>
                <w:lang w:val="fr-CA"/>
              </w:rPr>
              <w:t xml:space="preserve">(Juges </w:t>
            </w:r>
            <w:proofErr w:type="spellStart"/>
            <w:r w:rsidRPr="00C03744">
              <w:rPr>
                <w:sz w:val="20"/>
                <w:szCs w:val="20"/>
                <w:lang w:val="fr-CA"/>
              </w:rPr>
              <w:t>Feldman</w:t>
            </w:r>
            <w:proofErr w:type="spellEnd"/>
            <w:r w:rsidRPr="00C03744">
              <w:rPr>
                <w:sz w:val="20"/>
                <w:szCs w:val="20"/>
                <w:lang w:val="fr-CA"/>
              </w:rPr>
              <w:t xml:space="preserve">, </w:t>
            </w:r>
            <w:proofErr w:type="spellStart"/>
            <w:r w:rsidRPr="00C03744">
              <w:rPr>
                <w:sz w:val="20"/>
                <w:szCs w:val="20"/>
                <w:lang w:val="fr-CA"/>
              </w:rPr>
              <w:t>Benotto</w:t>
            </w:r>
            <w:proofErr w:type="spellEnd"/>
            <w:r w:rsidRPr="00C03744">
              <w:rPr>
                <w:sz w:val="20"/>
                <w:szCs w:val="20"/>
                <w:lang w:val="fr-CA"/>
              </w:rPr>
              <w:t xml:space="preserve"> et Miller)</w:t>
            </w:r>
          </w:p>
          <w:p w:rsidR="00900C1B" w:rsidRPr="00C03744" w:rsidRDefault="005133CB" w:rsidP="00183D35">
            <w:pPr>
              <w:jc w:val="both"/>
              <w:rPr>
                <w:sz w:val="20"/>
                <w:szCs w:val="20"/>
                <w:lang w:val="fr-CA"/>
              </w:rPr>
            </w:pPr>
            <w:hyperlink r:id="rId25" w:history="1">
              <w:r w:rsidR="00900C1B" w:rsidRPr="00C03744">
                <w:rPr>
                  <w:rStyle w:val="Hyperlink"/>
                  <w:sz w:val="20"/>
                  <w:szCs w:val="20"/>
                  <w:lang w:val="fr-CA"/>
                </w:rPr>
                <w:t>2017 ONCA 91</w:t>
              </w:r>
            </w:hyperlink>
            <w:r w:rsidR="00900C1B" w:rsidRPr="00C03744">
              <w:rPr>
                <w:sz w:val="20"/>
                <w:szCs w:val="20"/>
                <w:lang w:val="fr-CA"/>
              </w:rPr>
              <w:t>; C58368</w:t>
            </w:r>
          </w:p>
          <w:p w:rsidR="00900C1B" w:rsidRPr="00C03744" w:rsidRDefault="00900C1B" w:rsidP="00183D35">
            <w:pPr>
              <w:jc w:val="both"/>
              <w:rPr>
                <w:sz w:val="20"/>
                <w:szCs w:val="20"/>
                <w:lang w:val="fr-CA"/>
              </w:rPr>
            </w:pP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Rejet de l’appel</w:t>
            </w:r>
          </w:p>
          <w:p w:rsidR="00900C1B" w:rsidRPr="00C03744" w:rsidRDefault="00900C1B" w:rsidP="00183D35">
            <w:pPr>
              <w:jc w:val="both"/>
              <w:rPr>
                <w:sz w:val="20"/>
                <w:szCs w:val="20"/>
                <w:lang w:val="fr-CA"/>
              </w:rPr>
            </w:pPr>
          </w:p>
        </w:tc>
      </w:tr>
      <w:tr w:rsidR="00900C1B" w:rsidRPr="005133CB" w:rsidTr="00183D35">
        <w:tc>
          <w:tcPr>
            <w:tcW w:w="2427" w:type="pct"/>
            <w:gridSpan w:val="2"/>
          </w:tcPr>
          <w:p w:rsidR="00900C1B" w:rsidRPr="00C03744" w:rsidRDefault="00900C1B" w:rsidP="00183D35">
            <w:pPr>
              <w:jc w:val="both"/>
              <w:rPr>
                <w:sz w:val="20"/>
                <w:szCs w:val="20"/>
                <w:lang w:val="fr-CA"/>
              </w:rPr>
            </w:pPr>
            <w:r w:rsidRPr="00C03744">
              <w:rPr>
                <w:sz w:val="20"/>
                <w:szCs w:val="20"/>
                <w:lang w:val="fr-CA"/>
              </w:rPr>
              <w:t>30 mars 2017</w:t>
            </w:r>
          </w:p>
          <w:p w:rsidR="00900C1B" w:rsidRPr="00C03744" w:rsidRDefault="00900C1B" w:rsidP="00183D35">
            <w:pPr>
              <w:jc w:val="both"/>
              <w:rPr>
                <w:sz w:val="20"/>
                <w:szCs w:val="20"/>
                <w:lang w:val="fr-CA"/>
              </w:rPr>
            </w:pPr>
            <w:r w:rsidRPr="00C03744">
              <w:rPr>
                <w:sz w:val="20"/>
                <w:szCs w:val="20"/>
                <w:lang w:val="fr-CA"/>
              </w:rPr>
              <w:t>Cour suprême du Canada</w:t>
            </w: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Dépôt de la demande d’autorisation d’appel</w:t>
            </w:r>
          </w:p>
          <w:p w:rsidR="00900C1B" w:rsidRPr="00C03744" w:rsidRDefault="00900C1B" w:rsidP="00183D35">
            <w:pPr>
              <w:jc w:val="both"/>
              <w:rPr>
                <w:sz w:val="20"/>
                <w:szCs w:val="20"/>
                <w:lang w:val="fr-CA"/>
              </w:rPr>
            </w:pPr>
          </w:p>
        </w:tc>
      </w:tr>
    </w:tbl>
    <w:p w:rsidR="00900C1B" w:rsidRPr="00C03744" w:rsidRDefault="005133CB" w:rsidP="00900C1B">
      <w:pPr>
        <w:jc w:val="both"/>
        <w:rPr>
          <w:sz w:val="20"/>
          <w:szCs w:val="20"/>
          <w:lang w:val="fr-CA"/>
        </w:rPr>
      </w:pPr>
      <w:r>
        <w:rPr>
          <w:sz w:val="20"/>
          <w:szCs w:val="20"/>
        </w:rPr>
        <w:pict>
          <v:rect id="_x0000_i1040" style="width:2in;height:1pt" o:hrpct="0" o:hralign="center" o:hrstd="t" o:hrnoshade="t" o:hr="t" fillcolor="black [3213]" stroked="f"/>
        </w:pict>
      </w:r>
    </w:p>
    <w:p w:rsidR="00900C1B" w:rsidRPr="00C03744" w:rsidRDefault="00900C1B" w:rsidP="00900C1B">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00C1B" w:rsidRPr="00C03744" w:rsidTr="00183D35">
        <w:tc>
          <w:tcPr>
            <w:tcW w:w="543" w:type="pct"/>
          </w:tcPr>
          <w:p w:rsidR="00900C1B" w:rsidRPr="00C03744" w:rsidRDefault="00900C1B" w:rsidP="00183D35">
            <w:pPr>
              <w:jc w:val="both"/>
              <w:rPr>
                <w:sz w:val="20"/>
                <w:szCs w:val="20"/>
              </w:rPr>
            </w:pPr>
            <w:r w:rsidRPr="00C03744">
              <w:rPr>
                <w:rStyle w:val="SCCFileNumberChar"/>
                <w:sz w:val="20"/>
                <w:szCs w:val="20"/>
              </w:rPr>
              <w:t>37525</w:t>
            </w:r>
          </w:p>
        </w:tc>
        <w:tc>
          <w:tcPr>
            <w:tcW w:w="4457" w:type="pct"/>
            <w:gridSpan w:val="3"/>
          </w:tcPr>
          <w:p w:rsidR="00900C1B" w:rsidRPr="00C03744" w:rsidRDefault="00900C1B" w:rsidP="00183D35">
            <w:pPr>
              <w:pStyle w:val="SCCLsocParty"/>
              <w:jc w:val="both"/>
              <w:rPr>
                <w:b/>
                <w:sz w:val="20"/>
                <w:szCs w:val="20"/>
                <w:lang w:val="en-US"/>
              </w:rPr>
            </w:pPr>
            <w:r w:rsidRPr="00C03744">
              <w:rPr>
                <w:b/>
                <w:sz w:val="20"/>
                <w:szCs w:val="20"/>
                <w:lang w:val="en-US"/>
              </w:rPr>
              <w:t xml:space="preserve">Masaru </w:t>
            </w:r>
            <w:proofErr w:type="spellStart"/>
            <w:r w:rsidRPr="00C03744">
              <w:rPr>
                <w:b/>
                <w:sz w:val="20"/>
                <w:szCs w:val="20"/>
                <w:lang w:val="en-US"/>
              </w:rPr>
              <w:t>Gennai</w:t>
            </w:r>
            <w:proofErr w:type="spellEnd"/>
            <w:r w:rsidRPr="00C03744">
              <w:rPr>
                <w:b/>
                <w:sz w:val="20"/>
                <w:szCs w:val="20"/>
                <w:lang w:val="en-US"/>
              </w:rPr>
              <w:t xml:space="preserve"> v. Minister of Citizenship and Immigration</w:t>
            </w:r>
          </w:p>
          <w:p w:rsidR="00900C1B" w:rsidRPr="00C03744" w:rsidRDefault="00900C1B" w:rsidP="00183D35">
            <w:pPr>
              <w:jc w:val="both"/>
              <w:rPr>
                <w:sz w:val="20"/>
                <w:szCs w:val="20"/>
              </w:rPr>
            </w:pPr>
            <w:r w:rsidRPr="00C03744">
              <w:rPr>
                <w:sz w:val="20"/>
                <w:szCs w:val="20"/>
              </w:rPr>
              <w:t>(F</w:t>
            </w:r>
            <w:r>
              <w:rPr>
                <w:sz w:val="20"/>
                <w:szCs w:val="20"/>
              </w:rPr>
              <w:t>.</w:t>
            </w:r>
            <w:r w:rsidRPr="00C03744">
              <w:rPr>
                <w:sz w:val="20"/>
                <w:szCs w:val="20"/>
              </w:rPr>
              <w:t>C</w:t>
            </w:r>
            <w:r>
              <w:rPr>
                <w:sz w:val="20"/>
                <w:szCs w:val="20"/>
              </w:rPr>
              <w:t>.</w:t>
            </w:r>
            <w:r w:rsidRPr="00C03744">
              <w:rPr>
                <w:sz w:val="20"/>
                <w:szCs w:val="20"/>
              </w:rPr>
              <w:t>) (Civil) (By Leave)</w:t>
            </w:r>
          </w:p>
        </w:tc>
      </w:tr>
      <w:tr w:rsidR="00900C1B" w:rsidRPr="00C03744" w:rsidTr="00183D35">
        <w:tc>
          <w:tcPr>
            <w:tcW w:w="543" w:type="pct"/>
          </w:tcPr>
          <w:p w:rsidR="00900C1B" w:rsidRPr="00C03744" w:rsidRDefault="00900C1B" w:rsidP="00183D35">
            <w:pPr>
              <w:jc w:val="both"/>
              <w:rPr>
                <w:rStyle w:val="SCCFileNumberChar"/>
                <w:sz w:val="20"/>
                <w:szCs w:val="20"/>
              </w:rPr>
            </w:pPr>
            <w:r>
              <w:rPr>
                <w:rStyle w:val="SCCFileNumberChar"/>
                <w:sz w:val="20"/>
                <w:szCs w:val="20"/>
              </w:rPr>
              <w:t>Coram:</w:t>
            </w:r>
          </w:p>
        </w:tc>
        <w:tc>
          <w:tcPr>
            <w:tcW w:w="4457" w:type="pct"/>
            <w:gridSpan w:val="3"/>
          </w:tcPr>
          <w:p w:rsidR="00900C1B" w:rsidRDefault="00205684" w:rsidP="00183D35">
            <w:pPr>
              <w:pStyle w:val="SCCLsocParty"/>
              <w:jc w:val="both"/>
              <w:rPr>
                <w:rFonts w:eastAsiaTheme="minorEastAsia"/>
                <w:sz w:val="20"/>
                <w:szCs w:val="20"/>
                <w:lang w:val="en-US" w:eastAsia="en-CA"/>
              </w:rPr>
            </w:pPr>
            <w:proofErr w:type="spellStart"/>
            <w:r w:rsidRPr="00205684">
              <w:rPr>
                <w:rFonts w:eastAsiaTheme="minorEastAsia"/>
                <w:sz w:val="20"/>
                <w:szCs w:val="20"/>
                <w:lang w:val="en-US" w:eastAsia="en-CA"/>
              </w:rPr>
              <w:t>McLachlin</w:t>
            </w:r>
            <w:proofErr w:type="spellEnd"/>
            <w:r w:rsidRPr="00205684">
              <w:rPr>
                <w:rFonts w:eastAsiaTheme="minorEastAsia"/>
                <w:sz w:val="20"/>
                <w:szCs w:val="20"/>
                <w:lang w:val="en-US" w:eastAsia="en-CA"/>
              </w:rPr>
              <w:t xml:space="preserve"> C.J. and </w:t>
            </w:r>
            <w:proofErr w:type="spellStart"/>
            <w:r w:rsidRPr="00205684">
              <w:rPr>
                <w:rFonts w:eastAsiaTheme="minorEastAsia"/>
                <w:sz w:val="20"/>
                <w:szCs w:val="20"/>
                <w:lang w:val="en-US" w:eastAsia="en-CA"/>
              </w:rPr>
              <w:t>Abella</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Moldaver</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Karakatsanis</w:t>
            </w:r>
            <w:proofErr w:type="spellEnd"/>
            <w:r w:rsidRPr="00205684">
              <w:rPr>
                <w:rFonts w:eastAsiaTheme="minorEastAsia"/>
                <w:sz w:val="20"/>
                <w:szCs w:val="20"/>
                <w:lang w:val="en-US" w:eastAsia="en-CA"/>
              </w:rPr>
              <w:t xml:space="preserve">, Wagner, </w:t>
            </w:r>
            <w:proofErr w:type="spellStart"/>
            <w:r w:rsidRPr="00205684">
              <w:rPr>
                <w:rFonts w:eastAsiaTheme="minorEastAsia"/>
                <w:sz w:val="20"/>
                <w:szCs w:val="20"/>
                <w:lang w:val="en-US" w:eastAsia="en-CA"/>
              </w:rPr>
              <w:t>Gascon</w:t>
            </w:r>
            <w:proofErr w:type="spellEnd"/>
            <w:r w:rsidRPr="00205684">
              <w:rPr>
                <w:rFonts w:eastAsiaTheme="minorEastAsia"/>
                <w:sz w:val="20"/>
                <w:szCs w:val="20"/>
                <w:lang w:val="en-US" w:eastAsia="en-CA"/>
              </w:rPr>
              <w:t xml:space="preserve">, </w:t>
            </w:r>
            <w:proofErr w:type="spellStart"/>
            <w:r w:rsidRPr="00205684">
              <w:rPr>
                <w:rFonts w:eastAsiaTheme="minorEastAsia"/>
                <w:sz w:val="20"/>
                <w:szCs w:val="20"/>
                <w:lang w:val="en-US" w:eastAsia="en-CA"/>
              </w:rPr>
              <w:t>Côté</w:t>
            </w:r>
            <w:proofErr w:type="spellEnd"/>
            <w:r w:rsidRPr="00205684">
              <w:rPr>
                <w:rFonts w:eastAsiaTheme="minorEastAsia"/>
                <w:sz w:val="20"/>
                <w:szCs w:val="20"/>
                <w:lang w:val="en-US" w:eastAsia="en-CA"/>
              </w:rPr>
              <w:t>, Brown and Rowe JJ.</w:t>
            </w:r>
          </w:p>
          <w:p w:rsidR="00205684" w:rsidRPr="00205684" w:rsidRDefault="00205684" w:rsidP="00205684">
            <w:pPr>
              <w:rPr>
                <w:lang w:val="en-US" w:eastAsia="en-CA"/>
              </w:rPr>
            </w:pPr>
          </w:p>
        </w:tc>
      </w:tr>
      <w:tr w:rsidR="00900C1B" w:rsidRPr="00C03744" w:rsidTr="00900C1B">
        <w:tc>
          <w:tcPr>
            <w:tcW w:w="5000" w:type="pct"/>
            <w:gridSpan w:val="4"/>
          </w:tcPr>
          <w:p w:rsidR="00900C1B" w:rsidRDefault="00205684" w:rsidP="00183D35">
            <w:pPr>
              <w:pStyle w:val="SCCLsocParty"/>
              <w:jc w:val="both"/>
              <w:rPr>
                <w:sz w:val="20"/>
                <w:szCs w:val="20"/>
                <w:lang w:val="en-US"/>
              </w:rPr>
            </w:pPr>
            <w:r w:rsidRPr="00205684">
              <w:rPr>
                <w:sz w:val="20"/>
                <w:szCs w:val="20"/>
                <w:lang w:val="en-US"/>
              </w:rPr>
              <w:t>The application for leave to appeal from the judgment of the Federal Court of Appeal, Number A-153-16, 2017 FCA 29, dated February 10, 2017, is dismissed with costs.</w:t>
            </w:r>
          </w:p>
          <w:p w:rsidR="00205684" w:rsidRPr="00205684" w:rsidRDefault="00205684" w:rsidP="00205684">
            <w:pPr>
              <w:rPr>
                <w:lang w:val="en-US"/>
              </w:rPr>
            </w:pPr>
          </w:p>
        </w:tc>
      </w:tr>
      <w:tr w:rsidR="00900C1B" w:rsidRPr="00C03744" w:rsidTr="00183D35">
        <w:tc>
          <w:tcPr>
            <w:tcW w:w="5000" w:type="pct"/>
            <w:gridSpan w:val="4"/>
          </w:tcPr>
          <w:p w:rsidR="00900C1B" w:rsidRPr="00C03744" w:rsidRDefault="00900C1B" w:rsidP="00183D35">
            <w:pPr>
              <w:jc w:val="both"/>
              <w:rPr>
                <w:sz w:val="20"/>
                <w:szCs w:val="20"/>
              </w:rPr>
            </w:pPr>
            <w:r w:rsidRPr="00C03744">
              <w:rPr>
                <w:sz w:val="20"/>
                <w:szCs w:val="20"/>
              </w:rPr>
              <w:t>Immigration law – Permanent residence application – Judicial review – Procedural fairness – Whether the courts below erred in concluding the doctrine of reasonable (legitimate) expectations as applied to the facts did not amount to a breach of procedural fairness.</w:t>
            </w:r>
          </w:p>
        </w:tc>
      </w:tr>
      <w:tr w:rsidR="00900C1B" w:rsidRPr="00C03744" w:rsidTr="00183D35">
        <w:tc>
          <w:tcPr>
            <w:tcW w:w="5000" w:type="pct"/>
            <w:gridSpan w:val="4"/>
          </w:tcPr>
          <w:p w:rsidR="00900C1B" w:rsidRPr="00C03744" w:rsidRDefault="00900C1B" w:rsidP="00183D35">
            <w:pPr>
              <w:jc w:val="both"/>
              <w:rPr>
                <w:sz w:val="20"/>
                <w:szCs w:val="20"/>
              </w:rPr>
            </w:pPr>
          </w:p>
        </w:tc>
      </w:tr>
      <w:tr w:rsidR="00900C1B" w:rsidRPr="00C03744" w:rsidTr="00183D35">
        <w:tc>
          <w:tcPr>
            <w:tcW w:w="5000" w:type="pct"/>
            <w:gridSpan w:val="4"/>
          </w:tcPr>
          <w:p w:rsidR="00900C1B" w:rsidRPr="00C03744" w:rsidRDefault="00900C1B" w:rsidP="00183D35">
            <w:pPr>
              <w:jc w:val="both"/>
              <w:rPr>
                <w:sz w:val="20"/>
                <w:szCs w:val="20"/>
              </w:rPr>
            </w:pPr>
            <w:r w:rsidRPr="00C03744">
              <w:rPr>
                <w:sz w:val="20"/>
                <w:szCs w:val="20"/>
              </w:rPr>
              <w:t xml:space="preserve">In October 2014, Masaru </w:t>
            </w:r>
            <w:proofErr w:type="spellStart"/>
            <w:r w:rsidRPr="00C03744">
              <w:rPr>
                <w:sz w:val="20"/>
                <w:szCs w:val="20"/>
              </w:rPr>
              <w:t>Gennai</w:t>
            </w:r>
            <w:proofErr w:type="spellEnd"/>
            <w:r w:rsidRPr="00C03744">
              <w:rPr>
                <w:sz w:val="20"/>
                <w:szCs w:val="20"/>
              </w:rPr>
              <w:t xml:space="preserve"> applied for permanent residence in Canada under the Canadian Experience Class (“CEC”) program. His application was returned on January 8, 2015, because it did not comply with the requirements for the completion of the application; specifically, the payment for the application fee was declined several times by his credit card company. On February 10, 2010, Mr. </w:t>
            </w:r>
            <w:proofErr w:type="spellStart"/>
            <w:r w:rsidRPr="00C03744">
              <w:rPr>
                <w:sz w:val="20"/>
                <w:szCs w:val="20"/>
              </w:rPr>
              <w:t>Gennai</w:t>
            </w:r>
            <w:proofErr w:type="spellEnd"/>
            <w:r w:rsidRPr="00C03744">
              <w:rPr>
                <w:sz w:val="20"/>
                <w:szCs w:val="20"/>
              </w:rPr>
              <w:t xml:space="preserve"> resubmitted the application and the fees were paid by an international money order. On February 20, 2015, the respondent refused to consider and returned that application for the reason that on December 1, 2014, Ministerial Instructions were issued requiring all CEC applications made after January 1, 2015 be filed through the new online “Express Entry” system. Mr. </w:t>
            </w:r>
            <w:proofErr w:type="spellStart"/>
            <w:r w:rsidRPr="00C03744">
              <w:rPr>
                <w:sz w:val="20"/>
                <w:szCs w:val="20"/>
              </w:rPr>
              <w:t>Gennai</w:t>
            </w:r>
            <w:proofErr w:type="spellEnd"/>
            <w:r w:rsidRPr="00C03744">
              <w:rPr>
                <w:sz w:val="20"/>
                <w:szCs w:val="20"/>
              </w:rPr>
              <w:t xml:space="preserve"> was advised that since his application had been received after January 1, 2015, it was necessary to resubmit the application for processing through that system. Mr. </w:t>
            </w:r>
            <w:proofErr w:type="spellStart"/>
            <w:r w:rsidRPr="00C03744">
              <w:rPr>
                <w:sz w:val="20"/>
                <w:szCs w:val="20"/>
              </w:rPr>
              <w:t>Gennai</w:t>
            </w:r>
            <w:proofErr w:type="spellEnd"/>
            <w:r w:rsidRPr="00C03744">
              <w:rPr>
                <w:sz w:val="20"/>
                <w:szCs w:val="20"/>
              </w:rPr>
              <w:t xml:space="preserve"> subsequently sought judicial review of the Minister’s February 20, 2015 refusal to consider his application.</w:t>
            </w:r>
          </w:p>
          <w:p w:rsidR="00900C1B" w:rsidRPr="00C03744" w:rsidRDefault="00900C1B" w:rsidP="00183D35">
            <w:pPr>
              <w:jc w:val="both"/>
              <w:rPr>
                <w:sz w:val="20"/>
                <w:szCs w:val="20"/>
              </w:rPr>
            </w:pPr>
          </w:p>
          <w:p w:rsidR="00900C1B" w:rsidRPr="00C03744" w:rsidRDefault="00900C1B" w:rsidP="00183D35">
            <w:pPr>
              <w:jc w:val="both"/>
              <w:rPr>
                <w:sz w:val="20"/>
                <w:szCs w:val="20"/>
              </w:rPr>
            </w:pPr>
            <w:r w:rsidRPr="00C03744">
              <w:rPr>
                <w:sz w:val="20"/>
                <w:szCs w:val="20"/>
              </w:rPr>
              <w:lastRenderedPageBreak/>
              <w:t>The Federal Court dismissed Mr. </w:t>
            </w:r>
            <w:proofErr w:type="spellStart"/>
            <w:r w:rsidRPr="00C03744">
              <w:rPr>
                <w:sz w:val="20"/>
                <w:szCs w:val="20"/>
              </w:rPr>
              <w:t>Gennai’s</w:t>
            </w:r>
            <w:proofErr w:type="spellEnd"/>
            <w:r w:rsidRPr="00C03744">
              <w:rPr>
                <w:sz w:val="20"/>
                <w:szCs w:val="20"/>
              </w:rPr>
              <w:t xml:space="preserve"> application for judicial review, finding the Minister reasonably refused to consider Mr. </w:t>
            </w:r>
            <w:proofErr w:type="spellStart"/>
            <w:r w:rsidRPr="00C03744">
              <w:rPr>
                <w:sz w:val="20"/>
                <w:szCs w:val="20"/>
              </w:rPr>
              <w:t>Gennai’s</w:t>
            </w:r>
            <w:proofErr w:type="spellEnd"/>
            <w:r w:rsidRPr="00C03744">
              <w:rPr>
                <w:sz w:val="20"/>
                <w:szCs w:val="20"/>
              </w:rPr>
              <w:t xml:space="preserve"> application for permanent residence because he had not complied with the requirement in place at the time to submit applications online. The Federal Court of Appeal dismissed the Mr. </w:t>
            </w:r>
            <w:proofErr w:type="spellStart"/>
            <w:r w:rsidRPr="00C03744">
              <w:rPr>
                <w:sz w:val="20"/>
                <w:szCs w:val="20"/>
              </w:rPr>
              <w:t>Gennai’s</w:t>
            </w:r>
            <w:proofErr w:type="spellEnd"/>
            <w:r w:rsidRPr="00C03744">
              <w:rPr>
                <w:sz w:val="20"/>
                <w:szCs w:val="20"/>
              </w:rPr>
              <w:t xml:space="preserve"> appeal.</w:t>
            </w:r>
          </w:p>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lastRenderedPageBreak/>
              <w:t>April 29, 2016</w:t>
            </w:r>
          </w:p>
          <w:p w:rsidR="00900C1B" w:rsidRPr="00C03744" w:rsidRDefault="00900C1B" w:rsidP="00183D35">
            <w:pPr>
              <w:jc w:val="both"/>
              <w:rPr>
                <w:sz w:val="20"/>
                <w:szCs w:val="20"/>
              </w:rPr>
            </w:pPr>
            <w:r w:rsidRPr="00C03744">
              <w:rPr>
                <w:sz w:val="20"/>
                <w:szCs w:val="20"/>
              </w:rPr>
              <w:t>Federal Court</w:t>
            </w:r>
          </w:p>
          <w:p w:rsidR="00900C1B" w:rsidRPr="00C03744" w:rsidRDefault="00900C1B" w:rsidP="00183D35">
            <w:pPr>
              <w:jc w:val="both"/>
              <w:rPr>
                <w:sz w:val="20"/>
                <w:szCs w:val="20"/>
              </w:rPr>
            </w:pPr>
            <w:r w:rsidRPr="00C03744">
              <w:rPr>
                <w:sz w:val="20"/>
                <w:szCs w:val="20"/>
              </w:rPr>
              <w:t>(</w:t>
            </w:r>
            <w:proofErr w:type="spellStart"/>
            <w:r w:rsidRPr="00C03744">
              <w:rPr>
                <w:sz w:val="20"/>
                <w:szCs w:val="20"/>
              </w:rPr>
              <w:t>Heneghan</w:t>
            </w:r>
            <w:proofErr w:type="spellEnd"/>
            <w:r w:rsidRPr="00C03744">
              <w:rPr>
                <w:sz w:val="20"/>
                <w:szCs w:val="20"/>
              </w:rPr>
              <w:t xml:space="preserve"> J.)</w:t>
            </w:r>
          </w:p>
          <w:p w:rsidR="00900C1B" w:rsidRPr="00C03744" w:rsidRDefault="005133CB" w:rsidP="00183D35">
            <w:pPr>
              <w:jc w:val="both"/>
              <w:rPr>
                <w:sz w:val="20"/>
                <w:szCs w:val="20"/>
              </w:rPr>
            </w:pPr>
            <w:hyperlink r:id="rId26" w:history="1">
              <w:r w:rsidR="00900C1B" w:rsidRPr="00C03744">
                <w:rPr>
                  <w:rStyle w:val="Hyperlink"/>
                  <w:sz w:val="20"/>
                  <w:szCs w:val="20"/>
                </w:rPr>
                <w:t>2016 FC 484</w:t>
              </w:r>
            </w:hyperlink>
          </w:p>
          <w:p w:rsidR="00900C1B" w:rsidRPr="00C03744" w:rsidRDefault="00900C1B" w:rsidP="00183D35">
            <w:pPr>
              <w:jc w:val="both"/>
              <w:rPr>
                <w:sz w:val="20"/>
                <w:szCs w:val="20"/>
              </w:rPr>
            </w:pP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Applicant’s application for judicial review, dismissed.</w:t>
            </w:r>
          </w:p>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t>February 10, 2017</w:t>
            </w:r>
          </w:p>
          <w:p w:rsidR="00900C1B" w:rsidRPr="00C03744" w:rsidRDefault="00900C1B" w:rsidP="00183D35">
            <w:pPr>
              <w:jc w:val="both"/>
              <w:rPr>
                <w:sz w:val="20"/>
                <w:szCs w:val="20"/>
              </w:rPr>
            </w:pPr>
            <w:r w:rsidRPr="00C03744">
              <w:rPr>
                <w:sz w:val="20"/>
                <w:szCs w:val="20"/>
              </w:rPr>
              <w:t>Federal Court of Appeal</w:t>
            </w:r>
          </w:p>
          <w:p w:rsidR="00900C1B" w:rsidRPr="00C03744" w:rsidRDefault="00900C1B" w:rsidP="00183D35">
            <w:pPr>
              <w:jc w:val="both"/>
              <w:rPr>
                <w:sz w:val="20"/>
                <w:szCs w:val="20"/>
              </w:rPr>
            </w:pPr>
            <w:r w:rsidRPr="00C03744">
              <w:rPr>
                <w:sz w:val="20"/>
                <w:szCs w:val="20"/>
              </w:rPr>
              <w:t>(Pelletier, Near and Rennie JJ.A.)</w:t>
            </w:r>
          </w:p>
          <w:p w:rsidR="00900C1B" w:rsidRPr="00C03744" w:rsidRDefault="005133CB" w:rsidP="00183D35">
            <w:pPr>
              <w:jc w:val="both"/>
              <w:rPr>
                <w:sz w:val="20"/>
                <w:szCs w:val="20"/>
              </w:rPr>
            </w:pPr>
            <w:hyperlink r:id="rId27" w:history="1">
              <w:r w:rsidR="00900C1B" w:rsidRPr="00C03744">
                <w:rPr>
                  <w:rStyle w:val="Hyperlink"/>
                  <w:sz w:val="20"/>
                  <w:szCs w:val="20"/>
                </w:rPr>
                <w:t>2007 FCA 29</w:t>
              </w:r>
            </w:hyperlink>
          </w:p>
          <w:p w:rsidR="00900C1B" w:rsidRPr="00C03744" w:rsidRDefault="00900C1B" w:rsidP="00183D35">
            <w:pPr>
              <w:jc w:val="both"/>
              <w:rPr>
                <w:sz w:val="20"/>
                <w:szCs w:val="20"/>
              </w:rPr>
            </w:pP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Applicant’s appeal, dismissed.</w:t>
            </w:r>
          </w:p>
          <w:p w:rsidR="00900C1B" w:rsidRPr="00C03744" w:rsidRDefault="00900C1B" w:rsidP="00183D35">
            <w:pPr>
              <w:jc w:val="both"/>
              <w:rPr>
                <w:sz w:val="20"/>
                <w:szCs w:val="20"/>
              </w:rPr>
            </w:pPr>
          </w:p>
        </w:tc>
      </w:tr>
      <w:tr w:rsidR="00900C1B" w:rsidRPr="00C03744" w:rsidTr="00183D35">
        <w:tc>
          <w:tcPr>
            <w:tcW w:w="2427" w:type="pct"/>
            <w:gridSpan w:val="2"/>
          </w:tcPr>
          <w:p w:rsidR="00900C1B" w:rsidRPr="00C03744" w:rsidRDefault="00900C1B" w:rsidP="00183D35">
            <w:pPr>
              <w:jc w:val="both"/>
              <w:rPr>
                <w:sz w:val="20"/>
                <w:szCs w:val="20"/>
              </w:rPr>
            </w:pPr>
            <w:r w:rsidRPr="00C03744">
              <w:rPr>
                <w:sz w:val="20"/>
                <w:szCs w:val="20"/>
              </w:rPr>
              <w:t>April 11, 2017</w:t>
            </w:r>
          </w:p>
          <w:p w:rsidR="00900C1B" w:rsidRPr="00C03744" w:rsidRDefault="00900C1B" w:rsidP="00183D35">
            <w:pPr>
              <w:jc w:val="both"/>
              <w:rPr>
                <w:sz w:val="20"/>
                <w:szCs w:val="20"/>
              </w:rPr>
            </w:pPr>
            <w:r w:rsidRPr="00C03744">
              <w:rPr>
                <w:sz w:val="20"/>
                <w:szCs w:val="20"/>
              </w:rPr>
              <w:t>Supreme Court of Canada</w:t>
            </w:r>
          </w:p>
        </w:tc>
        <w:tc>
          <w:tcPr>
            <w:tcW w:w="243" w:type="pct"/>
          </w:tcPr>
          <w:p w:rsidR="00900C1B" w:rsidRPr="00C03744" w:rsidRDefault="00900C1B" w:rsidP="00183D35">
            <w:pPr>
              <w:jc w:val="both"/>
              <w:rPr>
                <w:sz w:val="20"/>
                <w:szCs w:val="20"/>
              </w:rPr>
            </w:pPr>
          </w:p>
        </w:tc>
        <w:tc>
          <w:tcPr>
            <w:tcW w:w="2330" w:type="pct"/>
          </w:tcPr>
          <w:p w:rsidR="00900C1B" w:rsidRPr="00C03744" w:rsidRDefault="00900C1B" w:rsidP="00183D35">
            <w:pPr>
              <w:jc w:val="both"/>
              <w:rPr>
                <w:sz w:val="20"/>
                <w:szCs w:val="20"/>
              </w:rPr>
            </w:pPr>
            <w:r w:rsidRPr="00C03744">
              <w:rPr>
                <w:sz w:val="20"/>
                <w:szCs w:val="20"/>
              </w:rPr>
              <w:t>Application for leave to appeal filed.</w:t>
            </w:r>
          </w:p>
          <w:p w:rsidR="00900C1B" w:rsidRPr="00C03744" w:rsidRDefault="00900C1B" w:rsidP="00183D35">
            <w:pPr>
              <w:jc w:val="both"/>
              <w:rPr>
                <w:sz w:val="20"/>
                <w:szCs w:val="20"/>
              </w:rPr>
            </w:pPr>
          </w:p>
        </w:tc>
      </w:tr>
    </w:tbl>
    <w:p w:rsidR="00900C1B" w:rsidRPr="00C03744" w:rsidRDefault="005133CB" w:rsidP="00900C1B">
      <w:pPr>
        <w:jc w:val="both"/>
        <w:rPr>
          <w:sz w:val="20"/>
          <w:szCs w:val="20"/>
        </w:rPr>
      </w:pPr>
      <w:r>
        <w:rPr>
          <w:sz w:val="20"/>
          <w:szCs w:val="20"/>
        </w:rPr>
        <w:pict>
          <v:rect id="_x0000_i1041" style="width:2in;height:1pt" o:hrpct="0" o:hralign="center" o:hrstd="t" o:hrnoshade="t" o:hr="t" fillcolor="black [3213]" stroked="f"/>
        </w:pict>
      </w:r>
    </w:p>
    <w:p w:rsidR="00900C1B" w:rsidRPr="00C03744" w:rsidRDefault="00900C1B" w:rsidP="00900C1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00C1B" w:rsidRPr="005133CB" w:rsidTr="00183D35">
        <w:tc>
          <w:tcPr>
            <w:tcW w:w="543" w:type="pct"/>
          </w:tcPr>
          <w:p w:rsidR="00900C1B" w:rsidRPr="00C03744" w:rsidRDefault="00900C1B" w:rsidP="00183D35">
            <w:pPr>
              <w:jc w:val="both"/>
              <w:rPr>
                <w:sz w:val="20"/>
                <w:szCs w:val="20"/>
                <w:lang w:val="fr-CA"/>
              </w:rPr>
            </w:pPr>
            <w:r w:rsidRPr="00C03744">
              <w:rPr>
                <w:rStyle w:val="SCCFileNumberChar"/>
                <w:sz w:val="20"/>
                <w:szCs w:val="20"/>
                <w:lang w:val="fr-CA"/>
              </w:rPr>
              <w:t>37525</w:t>
            </w:r>
          </w:p>
        </w:tc>
        <w:tc>
          <w:tcPr>
            <w:tcW w:w="4457" w:type="pct"/>
          </w:tcPr>
          <w:p w:rsidR="00900C1B" w:rsidRPr="00C03744" w:rsidRDefault="00900C1B" w:rsidP="00183D35">
            <w:pPr>
              <w:pStyle w:val="SCCLsocParty"/>
              <w:jc w:val="both"/>
              <w:rPr>
                <w:b/>
                <w:sz w:val="20"/>
                <w:szCs w:val="20"/>
              </w:rPr>
            </w:pPr>
            <w:r w:rsidRPr="00C03744">
              <w:rPr>
                <w:b/>
                <w:sz w:val="20"/>
                <w:szCs w:val="20"/>
              </w:rPr>
              <w:t xml:space="preserve">Masaru </w:t>
            </w:r>
            <w:proofErr w:type="spellStart"/>
            <w:r w:rsidRPr="00C03744">
              <w:rPr>
                <w:b/>
                <w:sz w:val="20"/>
                <w:szCs w:val="20"/>
              </w:rPr>
              <w:t>Gennai</w:t>
            </w:r>
            <w:proofErr w:type="spellEnd"/>
            <w:r w:rsidRPr="00C03744">
              <w:rPr>
                <w:b/>
                <w:sz w:val="20"/>
                <w:szCs w:val="20"/>
              </w:rPr>
              <w:t xml:space="preserve"> c. Ministre de la Citoyenneté et de l’Immigration</w:t>
            </w:r>
          </w:p>
          <w:p w:rsidR="00900C1B" w:rsidRPr="00C03744" w:rsidRDefault="00900C1B" w:rsidP="00183D35">
            <w:pPr>
              <w:jc w:val="both"/>
              <w:rPr>
                <w:sz w:val="20"/>
                <w:szCs w:val="20"/>
                <w:lang w:val="fr-CA"/>
              </w:rPr>
            </w:pPr>
            <w:r w:rsidRPr="00C03744">
              <w:rPr>
                <w:sz w:val="20"/>
                <w:szCs w:val="20"/>
                <w:lang w:val="fr-CA"/>
              </w:rPr>
              <w:t>(C</w:t>
            </w:r>
            <w:r>
              <w:rPr>
                <w:sz w:val="20"/>
                <w:szCs w:val="20"/>
                <w:lang w:val="fr-CA"/>
              </w:rPr>
              <w:t>.</w:t>
            </w:r>
            <w:r w:rsidRPr="00C03744">
              <w:rPr>
                <w:sz w:val="20"/>
                <w:szCs w:val="20"/>
                <w:lang w:val="fr-CA"/>
              </w:rPr>
              <w:t>F</w:t>
            </w:r>
            <w:r>
              <w:rPr>
                <w:sz w:val="20"/>
                <w:szCs w:val="20"/>
                <w:lang w:val="fr-CA"/>
              </w:rPr>
              <w:t>.</w:t>
            </w:r>
            <w:r w:rsidRPr="00C03744">
              <w:rPr>
                <w:sz w:val="20"/>
                <w:szCs w:val="20"/>
                <w:lang w:val="fr-CA"/>
              </w:rPr>
              <w:t>) (Civile) (Sur autorisation)</w:t>
            </w:r>
          </w:p>
        </w:tc>
      </w:tr>
      <w:tr w:rsidR="00900C1B" w:rsidRPr="005133CB" w:rsidTr="00183D35">
        <w:tc>
          <w:tcPr>
            <w:tcW w:w="543" w:type="pct"/>
          </w:tcPr>
          <w:p w:rsidR="00900C1B" w:rsidRPr="00C03744" w:rsidRDefault="00900C1B" w:rsidP="00183D35">
            <w:pPr>
              <w:jc w:val="both"/>
              <w:rPr>
                <w:rStyle w:val="SCCFileNumberChar"/>
                <w:sz w:val="20"/>
                <w:szCs w:val="20"/>
                <w:lang w:val="fr-CA"/>
              </w:rPr>
            </w:pPr>
            <w:r>
              <w:rPr>
                <w:rStyle w:val="SCCFileNumberChar"/>
                <w:sz w:val="20"/>
                <w:szCs w:val="20"/>
                <w:lang w:val="fr-CA"/>
              </w:rPr>
              <w:t xml:space="preserve">Coram : </w:t>
            </w:r>
          </w:p>
        </w:tc>
        <w:tc>
          <w:tcPr>
            <w:tcW w:w="4457" w:type="pct"/>
          </w:tcPr>
          <w:p w:rsidR="00900C1B" w:rsidRDefault="00205684" w:rsidP="00183D35">
            <w:pPr>
              <w:pStyle w:val="SCCLsocParty"/>
              <w:jc w:val="both"/>
              <w:rPr>
                <w:rFonts w:eastAsiaTheme="minorEastAsia"/>
                <w:sz w:val="20"/>
                <w:szCs w:val="20"/>
                <w:lang w:val="fr-FR" w:eastAsia="en-CA"/>
              </w:rPr>
            </w:pPr>
            <w:r w:rsidRPr="00F00DC5">
              <w:rPr>
                <w:rFonts w:eastAsiaTheme="minorEastAsia"/>
                <w:sz w:val="20"/>
                <w:szCs w:val="20"/>
                <w:lang w:val="fr-FR" w:eastAsia="en-CA"/>
              </w:rPr>
              <w:t xml:space="preserve">La juge en chef </w:t>
            </w:r>
            <w:proofErr w:type="spellStart"/>
            <w:r w:rsidRPr="00F00DC5">
              <w:rPr>
                <w:rFonts w:eastAsiaTheme="minorEastAsia"/>
                <w:sz w:val="20"/>
                <w:szCs w:val="20"/>
                <w:lang w:val="fr-FR" w:eastAsia="en-CA"/>
              </w:rPr>
              <w:t>McLachlin</w:t>
            </w:r>
            <w:proofErr w:type="spellEnd"/>
            <w:r w:rsidRPr="00F00DC5">
              <w:rPr>
                <w:rFonts w:eastAsiaTheme="minorEastAsia"/>
                <w:sz w:val="20"/>
                <w:szCs w:val="20"/>
                <w:lang w:val="fr-FR" w:eastAsia="en-CA"/>
              </w:rPr>
              <w:t xml:space="preserve"> et les juges Abella, </w:t>
            </w:r>
            <w:proofErr w:type="spellStart"/>
            <w:r w:rsidRPr="00F00DC5">
              <w:rPr>
                <w:rFonts w:eastAsiaTheme="minorEastAsia"/>
                <w:sz w:val="20"/>
                <w:szCs w:val="20"/>
                <w:lang w:val="fr-FR" w:eastAsia="en-CA"/>
              </w:rPr>
              <w:t>Moldaver</w:t>
            </w:r>
            <w:proofErr w:type="spellEnd"/>
            <w:r w:rsidRPr="00F00DC5">
              <w:rPr>
                <w:rFonts w:eastAsiaTheme="minorEastAsia"/>
                <w:sz w:val="20"/>
                <w:szCs w:val="20"/>
                <w:lang w:val="fr-FR" w:eastAsia="en-CA"/>
              </w:rPr>
              <w:t xml:space="preserve">, </w:t>
            </w:r>
            <w:proofErr w:type="spellStart"/>
            <w:r w:rsidRPr="00F00DC5">
              <w:rPr>
                <w:rFonts w:eastAsiaTheme="minorEastAsia"/>
                <w:sz w:val="20"/>
                <w:szCs w:val="20"/>
                <w:lang w:val="fr-FR" w:eastAsia="en-CA"/>
              </w:rPr>
              <w:t>Karakatsanis</w:t>
            </w:r>
            <w:proofErr w:type="spellEnd"/>
            <w:r w:rsidRPr="00F00DC5">
              <w:rPr>
                <w:rFonts w:eastAsiaTheme="minorEastAsia"/>
                <w:sz w:val="20"/>
                <w:szCs w:val="20"/>
                <w:lang w:val="fr-FR" w:eastAsia="en-CA"/>
              </w:rPr>
              <w:t>, Wagner, Gascon, Côté, Brown et Rowe</w:t>
            </w:r>
          </w:p>
          <w:p w:rsidR="00205684" w:rsidRPr="00205684" w:rsidRDefault="00205684" w:rsidP="00205684">
            <w:pPr>
              <w:rPr>
                <w:lang w:val="fr-FR" w:eastAsia="en-CA"/>
              </w:rPr>
            </w:pPr>
          </w:p>
        </w:tc>
      </w:tr>
      <w:tr w:rsidR="00900C1B" w:rsidRPr="005133CB" w:rsidTr="00900C1B">
        <w:tc>
          <w:tcPr>
            <w:tcW w:w="5000" w:type="pct"/>
            <w:gridSpan w:val="2"/>
          </w:tcPr>
          <w:p w:rsidR="00900C1B" w:rsidRDefault="00205684" w:rsidP="00183D35">
            <w:pPr>
              <w:pStyle w:val="SCCLsocParty"/>
              <w:jc w:val="both"/>
              <w:rPr>
                <w:sz w:val="20"/>
                <w:szCs w:val="20"/>
              </w:rPr>
            </w:pPr>
            <w:r w:rsidRPr="00F00DC5">
              <w:rPr>
                <w:sz w:val="20"/>
                <w:szCs w:val="20"/>
              </w:rPr>
              <w:t xml:space="preserve">La demande d’autorisation d’appel de l’arrêt de la </w:t>
            </w:r>
            <w:r w:rsidRPr="00F00DC5">
              <w:rPr>
                <w:sz w:val="20"/>
                <w:szCs w:val="20"/>
                <w:lang w:val="fr-FR"/>
              </w:rPr>
              <w:t xml:space="preserve">Cour d’appel fédérale, </w:t>
            </w:r>
            <w:r w:rsidRPr="00F00DC5">
              <w:rPr>
                <w:sz w:val="20"/>
                <w:szCs w:val="20"/>
              </w:rPr>
              <w:t xml:space="preserve">numéro </w:t>
            </w:r>
            <w:r w:rsidRPr="00F00DC5">
              <w:rPr>
                <w:sz w:val="20"/>
                <w:szCs w:val="20"/>
                <w:lang w:val="fr-FR"/>
              </w:rPr>
              <w:t>A-153-16, 2017 FCA 29</w:t>
            </w:r>
            <w:r w:rsidRPr="00F00DC5">
              <w:rPr>
                <w:sz w:val="20"/>
                <w:szCs w:val="20"/>
              </w:rPr>
              <w:t xml:space="preserve">, daté du </w:t>
            </w:r>
            <w:r w:rsidRPr="00F00DC5">
              <w:rPr>
                <w:sz w:val="20"/>
                <w:szCs w:val="20"/>
                <w:lang w:val="fr-FR"/>
              </w:rPr>
              <w:t>10 février 2017</w:t>
            </w:r>
            <w:r w:rsidRPr="00F00DC5">
              <w:rPr>
                <w:sz w:val="20"/>
                <w:szCs w:val="20"/>
              </w:rPr>
              <w:t>, est rejetée avec dépens.</w:t>
            </w:r>
          </w:p>
          <w:p w:rsidR="00205684" w:rsidRPr="00205684" w:rsidRDefault="00205684" w:rsidP="00205684">
            <w:pPr>
              <w:rPr>
                <w:lang w:val="fr-CA"/>
              </w:rPr>
            </w:pPr>
          </w:p>
        </w:tc>
      </w:tr>
      <w:tr w:rsidR="00900C1B" w:rsidRPr="005133CB" w:rsidTr="00183D35">
        <w:tc>
          <w:tcPr>
            <w:tcW w:w="5000" w:type="pct"/>
            <w:gridSpan w:val="2"/>
          </w:tcPr>
          <w:p w:rsidR="00900C1B" w:rsidRPr="00C03744" w:rsidRDefault="00900C1B" w:rsidP="00183D35">
            <w:pPr>
              <w:jc w:val="both"/>
              <w:rPr>
                <w:sz w:val="20"/>
                <w:szCs w:val="20"/>
                <w:lang w:val="fr-CA"/>
              </w:rPr>
            </w:pPr>
            <w:r w:rsidRPr="00C03744">
              <w:rPr>
                <w:sz w:val="20"/>
                <w:szCs w:val="20"/>
                <w:lang w:val="fr-CA"/>
              </w:rPr>
              <w:t xml:space="preserve">Droit de l’immigration – Demande de résidence permanente – Contrôle judiciaire – Équité procédurale – Les juridictions inférieures </w:t>
            </w:r>
            <w:proofErr w:type="spellStart"/>
            <w:r w:rsidRPr="00C03744">
              <w:rPr>
                <w:sz w:val="20"/>
                <w:szCs w:val="20"/>
                <w:lang w:val="fr-CA"/>
              </w:rPr>
              <w:t>ont-elles</w:t>
            </w:r>
            <w:proofErr w:type="spellEnd"/>
            <w:r w:rsidRPr="00C03744">
              <w:rPr>
                <w:sz w:val="20"/>
                <w:szCs w:val="20"/>
                <w:lang w:val="fr-CA"/>
              </w:rPr>
              <w:t xml:space="preserve"> eu tort de conclure que l’application de la doctrine de l’attente raisonnable (légitime) aux faits en l’espèce ne constituait pas un manquement à l’équité procédurale?</w:t>
            </w:r>
          </w:p>
        </w:tc>
      </w:tr>
      <w:tr w:rsidR="00900C1B" w:rsidRPr="005133CB" w:rsidTr="00183D35">
        <w:tc>
          <w:tcPr>
            <w:tcW w:w="5000" w:type="pct"/>
            <w:gridSpan w:val="2"/>
          </w:tcPr>
          <w:p w:rsidR="00900C1B" w:rsidRPr="00C03744" w:rsidRDefault="00900C1B" w:rsidP="00183D35">
            <w:pPr>
              <w:jc w:val="both"/>
              <w:rPr>
                <w:sz w:val="20"/>
                <w:szCs w:val="20"/>
                <w:lang w:val="fr-CA"/>
              </w:rPr>
            </w:pPr>
          </w:p>
        </w:tc>
      </w:tr>
      <w:tr w:rsidR="00900C1B" w:rsidRPr="005133CB" w:rsidTr="00183D35">
        <w:tc>
          <w:tcPr>
            <w:tcW w:w="5000" w:type="pct"/>
            <w:gridSpan w:val="2"/>
          </w:tcPr>
          <w:p w:rsidR="00900C1B" w:rsidRPr="00C03744" w:rsidRDefault="00900C1B" w:rsidP="00183D35">
            <w:pPr>
              <w:jc w:val="both"/>
              <w:rPr>
                <w:sz w:val="20"/>
                <w:szCs w:val="20"/>
                <w:lang w:val="fr-CA"/>
              </w:rPr>
            </w:pPr>
            <w:r w:rsidRPr="00C03744">
              <w:rPr>
                <w:sz w:val="20"/>
                <w:szCs w:val="20"/>
                <w:lang w:val="fr-CA"/>
              </w:rPr>
              <w:t xml:space="preserve">En octobre 2014, Masaru </w:t>
            </w:r>
            <w:proofErr w:type="spellStart"/>
            <w:r w:rsidRPr="00C03744">
              <w:rPr>
                <w:sz w:val="20"/>
                <w:szCs w:val="20"/>
                <w:lang w:val="fr-CA"/>
              </w:rPr>
              <w:t>Gennai</w:t>
            </w:r>
            <w:proofErr w:type="spellEnd"/>
            <w:r w:rsidRPr="00C03744">
              <w:rPr>
                <w:sz w:val="20"/>
                <w:szCs w:val="20"/>
                <w:lang w:val="fr-CA"/>
              </w:rPr>
              <w:t xml:space="preserve"> a présenté une demande de résidence permanente au Canada en vertu du programme de catégorie de l’expérience canadienne (« CEC »). Le 8 janvier 2015, sa demande a été renvoyée, car elle ne respectait pas les exigences liées à la formulation de la demande; en particulier, le paiement des frais liés à la demande a été refusé à plusieurs reprises par la société émettrice de sa carte de crédit. Le 10 février 2010, M. </w:t>
            </w:r>
            <w:proofErr w:type="spellStart"/>
            <w:r w:rsidRPr="00C03744">
              <w:rPr>
                <w:sz w:val="20"/>
                <w:szCs w:val="20"/>
                <w:lang w:val="fr-CA"/>
              </w:rPr>
              <w:t>Gennai</w:t>
            </w:r>
            <w:proofErr w:type="spellEnd"/>
            <w:r w:rsidRPr="00C03744">
              <w:rPr>
                <w:sz w:val="20"/>
                <w:szCs w:val="20"/>
                <w:lang w:val="fr-CA"/>
              </w:rPr>
              <w:t xml:space="preserve"> a présenté la demande à nouveau et les frais ont été payés par mandat-poste international. Le 20 février 2015, l’intimé a refusé d’examiner cette demande et l’a retournée, puisque le 1</w:t>
            </w:r>
            <w:r w:rsidRPr="00C03744">
              <w:rPr>
                <w:sz w:val="20"/>
                <w:szCs w:val="20"/>
                <w:vertAlign w:val="superscript"/>
                <w:lang w:val="fr-CA"/>
              </w:rPr>
              <w:t>er</w:t>
            </w:r>
            <w:r w:rsidRPr="00C03744">
              <w:rPr>
                <w:sz w:val="20"/>
                <w:szCs w:val="20"/>
                <w:lang w:val="fr-CA"/>
              </w:rPr>
              <w:t> décembre 2014, des instructions ministérielles avaient été émises, nécessitant que toutes les demandes de CEC faites après le 1</w:t>
            </w:r>
            <w:r w:rsidRPr="00C03744">
              <w:rPr>
                <w:sz w:val="20"/>
                <w:szCs w:val="20"/>
                <w:vertAlign w:val="superscript"/>
                <w:lang w:val="fr-CA"/>
              </w:rPr>
              <w:t>er </w:t>
            </w:r>
            <w:r w:rsidRPr="00C03744">
              <w:rPr>
                <w:sz w:val="20"/>
                <w:szCs w:val="20"/>
                <w:lang w:val="fr-CA"/>
              </w:rPr>
              <w:t xml:space="preserve">janvier 2015 soient présentées au moyen du nouveau système en ligne « Entrée express ». Monsieur </w:t>
            </w:r>
            <w:proofErr w:type="spellStart"/>
            <w:r w:rsidRPr="00C03744">
              <w:rPr>
                <w:sz w:val="20"/>
                <w:szCs w:val="20"/>
                <w:lang w:val="fr-CA"/>
              </w:rPr>
              <w:t>Gennai</w:t>
            </w:r>
            <w:proofErr w:type="spellEnd"/>
            <w:r w:rsidRPr="00C03744">
              <w:rPr>
                <w:sz w:val="20"/>
                <w:szCs w:val="20"/>
                <w:lang w:val="fr-CA"/>
              </w:rPr>
              <w:t xml:space="preserve"> a été avisé que, puisque sa demande avait été reçue après le 1</w:t>
            </w:r>
            <w:r w:rsidRPr="00C03744">
              <w:rPr>
                <w:sz w:val="20"/>
                <w:szCs w:val="20"/>
                <w:vertAlign w:val="superscript"/>
                <w:lang w:val="fr-CA"/>
              </w:rPr>
              <w:t>er</w:t>
            </w:r>
            <w:r w:rsidRPr="00C03744">
              <w:rPr>
                <w:sz w:val="20"/>
                <w:szCs w:val="20"/>
                <w:lang w:val="fr-CA"/>
              </w:rPr>
              <w:t> janvier 2015, il était nécessaire de la renvoyer aux fins de traitement au moyen de ce système. Monsieur </w:t>
            </w:r>
            <w:proofErr w:type="spellStart"/>
            <w:r w:rsidRPr="00C03744">
              <w:rPr>
                <w:sz w:val="20"/>
                <w:szCs w:val="20"/>
                <w:lang w:val="fr-CA"/>
              </w:rPr>
              <w:t>Gennai</w:t>
            </w:r>
            <w:proofErr w:type="spellEnd"/>
            <w:r w:rsidRPr="00C03744">
              <w:rPr>
                <w:sz w:val="20"/>
                <w:szCs w:val="20"/>
                <w:lang w:val="fr-CA"/>
              </w:rPr>
              <w:t xml:space="preserve"> a subséquemment demandé le contrôle judiciaire du refus du ministre, le 20 février 2015, d’examiner sa demande.</w:t>
            </w:r>
          </w:p>
          <w:p w:rsidR="00900C1B" w:rsidRPr="00C03744" w:rsidRDefault="00900C1B" w:rsidP="00183D35">
            <w:pPr>
              <w:jc w:val="both"/>
              <w:rPr>
                <w:sz w:val="20"/>
                <w:szCs w:val="20"/>
                <w:lang w:val="fr-CA"/>
              </w:rPr>
            </w:pPr>
          </w:p>
          <w:p w:rsidR="00900C1B" w:rsidRPr="00C03744" w:rsidRDefault="00900C1B" w:rsidP="00183D35">
            <w:pPr>
              <w:jc w:val="both"/>
              <w:rPr>
                <w:sz w:val="20"/>
                <w:szCs w:val="20"/>
                <w:lang w:val="fr-CA"/>
              </w:rPr>
            </w:pPr>
            <w:r w:rsidRPr="00C03744">
              <w:rPr>
                <w:sz w:val="20"/>
                <w:szCs w:val="20"/>
                <w:lang w:val="fr-CA"/>
              </w:rPr>
              <w:t>La Cour fédérale a rejeté la demande de contrôle judiciaire présentée par M. </w:t>
            </w:r>
            <w:proofErr w:type="spellStart"/>
            <w:r w:rsidRPr="00C03744">
              <w:rPr>
                <w:sz w:val="20"/>
                <w:szCs w:val="20"/>
                <w:lang w:val="fr-CA"/>
              </w:rPr>
              <w:t>Gennai</w:t>
            </w:r>
            <w:proofErr w:type="spellEnd"/>
            <w:r w:rsidRPr="00C03744">
              <w:rPr>
                <w:sz w:val="20"/>
                <w:szCs w:val="20"/>
                <w:lang w:val="fr-CA"/>
              </w:rPr>
              <w:t>, concluant que le ministre avait raisonnablement refusé d’examiner la demande de résidence permanente de M. </w:t>
            </w:r>
            <w:proofErr w:type="spellStart"/>
            <w:r w:rsidRPr="00C03744">
              <w:rPr>
                <w:sz w:val="20"/>
                <w:szCs w:val="20"/>
                <w:lang w:val="fr-CA"/>
              </w:rPr>
              <w:t>Gennai</w:t>
            </w:r>
            <w:proofErr w:type="spellEnd"/>
            <w:r w:rsidRPr="00C03744">
              <w:rPr>
                <w:sz w:val="20"/>
                <w:szCs w:val="20"/>
                <w:lang w:val="fr-CA"/>
              </w:rPr>
              <w:t>, puisque ce dernier ne s’était pas conformé à l’exigence en place à l’époque, à savoir de présenter les demandes en ligne. La Cour d’appel fédérale a rejeté l’appel de M. </w:t>
            </w:r>
            <w:proofErr w:type="spellStart"/>
            <w:r w:rsidRPr="00C03744">
              <w:rPr>
                <w:sz w:val="20"/>
                <w:szCs w:val="20"/>
                <w:lang w:val="fr-CA"/>
              </w:rPr>
              <w:t>Gennai</w:t>
            </w:r>
            <w:proofErr w:type="spellEnd"/>
            <w:r w:rsidRPr="00C03744">
              <w:rPr>
                <w:sz w:val="20"/>
                <w:szCs w:val="20"/>
                <w:lang w:val="fr-CA"/>
              </w:rPr>
              <w:t>.</w:t>
            </w:r>
          </w:p>
          <w:p w:rsidR="00900C1B" w:rsidRPr="00C03744" w:rsidRDefault="00900C1B" w:rsidP="00183D35">
            <w:pPr>
              <w:jc w:val="both"/>
              <w:rPr>
                <w:sz w:val="20"/>
                <w:szCs w:val="20"/>
                <w:lang w:val="fr-CA"/>
              </w:rPr>
            </w:pPr>
          </w:p>
        </w:tc>
      </w:tr>
    </w:tbl>
    <w:p w:rsidR="00205684" w:rsidRPr="00FC3EF9" w:rsidRDefault="00205684">
      <w:pPr>
        <w:rPr>
          <w:lang w:val="fr-CA"/>
        </w:rPr>
      </w:pPr>
      <w:r w:rsidRPr="00FC3EF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0C1B" w:rsidRPr="005133CB" w:rsidTr="00183D35">
        <w:tc>
          <w:tcPr>
            <w:tcW w:w="2427" w:type="pct"/>
          </w:tcPr>
          <w:p w:rsidR="00900C1B" w:rsidRPr="00C03744" w:rsidRDefault="00900C1B" w:rsidP="00183D35">
            <w:pPr>
              <w:jc w:val="both"/>
              <w:rPr>
                <w:sz w:val="20"/>
                <w:szCs w:val="20"/>
                <w:lang w:val="fr-CA"/>
              </w:rPr>
            </w:pPr>
            <w:r w:rsidRPr="00C03744">
              <w:rPr>
                <w:sz w:val="20"/>
                <w:szCs w:val="20"/>
                <w:lang w:val="fr-CA"/>
              </w:rPr>
              <w:lastRenderedPageBreak/>
              <w:t>29 avril 2016</w:t>
            </w:r>
          </w:p>
          <w:p w:rsidR="00900C1B" w:rsidRPr="00C03744" w:rsidRDefault="00900C1B" w:rsidP="00183D35">
            <w:pPr>
              <w:jc w:val="both"/>
              <w:rPr>
                <w:sz w:val="20"/>
                <w:szCs w:val="20"/>
                <w:lang w:val="fr-CA"/>
              </w:rPr>
            </w:pPr>
            <w:r w:rsidRPr="00C03744">
              <w:rPr>
                <w:sz w:val="20"/>
                <w:szCs w:val="20"/>
                <w:lang w:val="fr-CA"/>
              </w:rPr>
              <w:t>Cour fédérale</w:t>
            </w:r>
          </w:p>
          <w:p w:rsidR="00900C1B" w:rsidRPr="00C03744" w:rsidRDefault="00900C1B" w:rsidP="00183D35">
            <w:pPr>
              <w:jc w:val="both"/>
              <w:rPr>
                <w:sz w:val="20"/>
                <w:szCs w:val="20"/>
                <w:lang w:val="fr-CA"/>
              </w:rPr>
            </w:pPr>
            <w:r w:rsidRPr="00C03744">
              <w:rPr>
                <w:sz w:val="20"/>
                <w:szCs w:val="20"/>
                <w:lang w:val="fr-CA"/>
              </w:rPr>
              <w:t xml:space="preserve">(Juge </w:t>
            </w:r>
            <w:proofErr w:type="spellStart"/>
            <w:r w:rsidRPr="00C03744">
              <w:rPr>
                <w:sz w:val="20"/>
                <w:szCs w:val="20"/>
                <w:lang w:val="fr-CA"/>
              </w:rPr>
              <w:t>Heneghan</w:t>
            </w:r>
            <w:proofErr w:type="spellEnd"/>
            <w:r w:rsidRPr="00C03744">
              <w:rPr>
                <w:sz w:val="20"/>
                <w:szCs w:val="20"/>
                <w:lang w:val="fr-CA"/>
              </w:rPr>
              <w:t>)</w:t>
            </w:r>
          </w:p>
          <w:p w:rsidR="00900C1B" w:rsidRPr="00C03744" w:rsidRDefault="005133CB" w:rsidP="00183D35">
            <w:pPr>
              <w:jc w:val="both"/>
              <w:rPr>
                <w:sz w:val="20"/>
                <w:szCs w:val="20"/>
                <w:lang w:val="fr-CA"/>
              </w:rPr>
            </w:pPr>
            <w:hyperlink r:id="rId28" w:history="1">
              <w:r w:rsidR="00900C1B" w:rsidRPr="00C03744">
                <w:rPr>
                  <w:rStyle w:val="Hyperlink"/>
                  <w:sz w:val="20"/>
                  <w:szCs w:val="20"/>
                  <w:lang w:val="fr-CA"/>
                </w:rPr>
                <w:t>2016 FC 484</w:t>
              </w:r>
            </w:hyperlink>
          </w:p>
          <w:p w:rsidR="00900C1B" w:rsidRPr="00C03744" w:rsidRDefault="00900C1B" w:rsidP="00183D35">
            <w:pPr>
              <w:jc w:val="both"/>
              <w:rPr>
                <w:sz w:val="20"/>
                <w:szCs w:val="20"/>
                <w:lang w:val="fr-CA"/>
              </w:rPr>
            </w:pP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Rejet de la demande de contrôle judiciaire présentée par le demandeur.</w:t>
            </w:r>
          </w:p>
          <w:p w:rsidR="00900C1B" w:rsidRPr="00C03744" w:rsidRDefault="00900C1B" w:rsidP="00183D35">
            <w:pPr>
              <w:jc w:val="both"/>
              <w:rPr>
                <w:sz w:val="20"/>
                <w:szCs w:val="20"/>
                <w:lang w:val="fr-CA"/>
              </w:rPr>
            </w:pPr>
          </w:p>
        </w:tc>
      </w:tr>
      <w:tr w:rsidR="00900C1B" w:rsidRPr="005133CB" w:rsidTr="00183D35">
        <w:tc>
          <w:tcPr>
            <w:tcW w:w="2427" w:type="pct"/>
          </w:tcPr>
          <w:p w:rsidR="00900C1B" w:rsidRPr="00C03744" w:rsidRDefault="00900C1B" w:rsidP="00183D35">
            <w:pPr>
              <w:jc w:val="both"/>
              <w:rPr>
                <w:sz w:val="20"/>
                <w:szCs w:val="20"/>
                <w:lang w:val="fr-CA"/>
              </w:rPr>
            </w:pPr>
            <w:r w:rsidRPr="00C03744">
              <w:rPr>
                <w:sz w:val="20"/>
                <w:szCs w:val="20"/>
                <w:lang w:val="fr-CA"/>
              </w:rPr>
              <w:t>10 février 2017</w:t>
            </w:r>
          </w:p>
          <w:p w:rsidR="00900C1B" w:rsidRPr="00C03744" w:rsidRDefault="00900C1B" w:rsidP="00183D35">
            <w:pPr>
              <w:jc w:val="both"/>
              <w:rPr>
                <w:sz w:val="20"/>
                <w:szCs w:val="20"/>
                <w:lang w:val="fr-CA"/>
              </w:rPr>
            </w:pPr>
            <w:r w:rsidRPr="00C03744">
              <w:rPr>
                <w:sz w:val="20"/>
                <w:szCs w:val="20"/>
                <w:lang w:val="fr-CA"/>
              </w:rPr>
              <w:t>Cour d’appel fédérale</w:t>
            </w:r>
          </w:p>
          <w:p w:rsidR="00900C1B" w:rsidRPr="00C03744" w:rsidRDefault="00900C1B" w:rsidP="00183D35">
            <w:pPr>
              <w:jc w:val="both"/>
              <w:rPr>
                <w:sz w:val="20"/>
                <w:szCs w:val="20"/>
                <w:lang w:val="fr-CA"/>
              </w:rPr>
            </w:pPr>
            <w:r w:rsidRPr="00C03744">
              <w:rPr>
                <w:sz w:val="20"/>
                <w:szCs w:val="20"/>
                <w:lang w:val="fr-CA"/>
              </w:rPr>
              <w:t>(Juges Pelletier, Near et Rennie)</w:t>
            </w:r>
          </w:p>
          <w:p w:rsidR="00900C1B" w:rsidRPr="00C03744" w:rsidRDefault="005133CB" w:rsidP="00183D35">
            <w:pPr>
              <w:jc w:val="both"/>
              <w:rPr>
                <w:sz w:val="20"/>
                <w:szCs w:val="20"/>
                <w:lang w:val="fr-CA"/>
              </w:rPr>
            </w:pPr>
            <w:hyperlink r:id="rId29" w:history="1">
              <w:r w:rsidR="00900C1B" w:rsidRPr="00C03744">
                <w:rPr>
                  <w:rStyle w:val="Hyperlink"/>
                  <w:sz w:val="20"/>
                  <w:szCs w:val="20"/>
                  <w:lang w:val="fr-CA"/>
                </w:rPr>
                <w:t>2007 FCA 29</w:t>
              </w:r>
            </w:hyperlink>
          </w:p>
          <w:p w:rsidR="00900C1B" w:rsidRPr="00C03744" w:rsidRDefault="00900C1B" w:rsidP="00183D35">
            <w:pPr>
              <w:jc w:val="both"/>
              <w:rPr>
                <w:sz w:val="20"/>
                <w:szCs w:val="20"/>
                <w:lang w:val="fr-CA"/>
              </w:rPr>
            </w:pP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Rejet de l’appel du demandeur.</w:t>
            </w:r>
          </w:p>
          <w:p w:rsidR="00900C1B" w:rsidRPr="00C03744" w:rsidRDefault="00900C1B" w:rsidP="00183D35">
            <w:pPr>
              <w:jc w:val="both"/>
              <w:rPr>
                <w:sz w:val="20"/>
                <w:szCs w:val="20"/>
                <w:lang w:val="fr-CA"/>
              </w:rPr>
            </w:pPr>
          </w:p>
        </w:tc>
      </w:tr>
      <w:tr w:rsidR="00900C1B" w:rsidRPr="005133CB" w:rsidTr="00183D35">
        <w:tc>
          <w:tcPr>
            <w:tcW w:w="2427" w:type="pct"/>
          </w:tcPr>
          <w:p w:rsidR="00900C1B" w:rsidRPr="00C03744" w:rsidRDefault="00900C1B" w:rsidP="00183D35">
            <w:pPr>
              <w:jc w:val="both"/>
              <w:rPr>
                <w:sz w:val="20"/>
                <w:szCs w:val="20"/>
                <w:lang w:val="fr-CA"/>
              </w:rPr>
            </w:pPr>
            <w:r w:rsidRPr="00C03744">
              <w:rPr>
                <w:sz w:val="20"/>
                <w:szCs w:val="20"/>
                <w:lang w:val="fr-CA"/>
              </w:rPr>
              <w:t>11 avril 2017</w:t>
            </w:r>
          </w:p>
          <w:p w:rsidR="00900C1B" w:rsidRPr="00C03744" w:rsidRDefault="00900C1B" w:rsidP="00183D35">
            <w:pPr>
              <w:jc w:val="both"/>
              <w:rPr>
                <w:sz w:val="20"/>
                <w:szCs w:val="20"/>
                <w:lang w:val="fr-CA"/>
              </w:rPr>
            </w:pPr>
            <w:r w:rsidRPr="00C03744">
              <w:rPr>
                <w:sz w:val="20"/>
                <w:szCs w:val="20"/>
                <w:lang w:val="fr-CA"/>
              </w:rPr>
              <w:t>Cour suprême du Canada</w:t>
            </w:r>
          </w:p>
        </w:tc>
        <w:tc>
          <w:tcPr>
            <w:tcW w:w="243" w:type="pct"/>
          </w:tcPr>
          <w:p w:rsidR="00900C1B" w:rsidRPr="00C03744" w:rsidRDefault="00900C1B" w:rsidP="00183D35">
            <w:pPr>
              <w:jc w:val="both"/>
              <w:rPr>
                <w:sz w:val="20"/>
                <w:szCs w:val="20"/>
                <w:lang w:val="fr-CA"/>
              </w:rPr>
            </w:pPr>
          </w:p>
        </w:tc>
        <w:tc>
          <w:tcPr>
            <w:tcW w:w="2330" w:type="pct"/>
          </w:tcPr>
          <w:p w:rsidR="00900C1B" w:rsidRPr="00C03744" w:rsidRDefault="00900C1B" w:rsidP="00183D35">
            <w:pPr>
              <w:jc w:val="both"/>
              <w:rPr>
                <w:sz w:val="20"/>
                <w:szCs w:val="20"/>
                <w:lang w:val="fr-CA"/>
              </w:rPr>
            </w:pPr>
            <w:r w:rsidRPr="00C03744">
              <w:rPr>
                <w:sz w:val="20"/>
                <w:szCs w:val="20"/>
                <w:lang w:val="fr-CA"/>
              </w:rPr>
              <w:t>Dépôt de la demande de contrôle judiciaire.</w:t>
            </w:r>
          </w:p>
          <w:p w:rsidR="00900C1B" w:rsidRPr="00C03744" w:rsidRDefault="00900C1B" w:rsidP="00183D35">
            <w:pPr>
              <w:jc w:val="both"/>
              <w:rPr>
                <w:sz w:val="20"/>
                <w:szCs w:val="20"/>
                <w:lang w:val="fr-CA"/>
              </w:rPr>
            </w:pPr>
          </w:p>
        </w:tc>
      </w:tr>
    </w:tbl>
    <w:p w:rsidR="00E8544A" w:rsidRPr="009D287C" w:rsidRDefault="005133CB" w:rsidP="00E8544A">
      <w:pPr>
        <w:jc w:val="both"/>
        <w:rPr>
          <w:sz w:val="20"/>
          <w:lang w:val="fr-CA"/>
        </w:rPr>
      </w:pPr>
      <w:r>
        <w:rPr>
          <w:sz w:val="20"/>
          <w:szCs w:val="20"/>
        </w:rPr>
        <w:pict>
          <v:rect id="_x0000_i1042"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900C1B" w:rsidP="00CA2DEA">
      <w:pPr>
        <w:widowControl w:val="0"/>
        <w:rPr>
          <w:rFonts w:eastAsia="Times New Roman" w:cs="Times New Roman"/>
          <w:sz w:val="20"/>
          <w:szCs w:val="20"/>
          <w:lang w:val="en-US" w:eastAsia="en-CA"/>
        </w:rPr>
      </w:pPr>
      <w:r>
        <w:rPr>
          <w:rFonts w:eastAsia="Times New Roman" w:cs="Times New Roman"/>
          <w:sz w:val="20"/>
          <w:szCs w:val="20"/>
          <w:lang w:val="en-US" w:eastAsia="en-CA"/>
        </w:rPr>
        <w:t>05.07.2017</w:t>
      </w:r>
    </w:p>
    <w:p w:rsidR="00900C1B" w:rsidRDefault="00900C1B" w:rsidP="00CA2DEA">
      <w:pPr>
        <w:widowControl w:val="0"/>
        <w:rPr>
          <w:rFonts w:eastAsia="Times New Roman" w:cs="Times New Roman"/>
          <w:sz w:val="20"/>
          <w:szCs w:val="20"/>
          <w:lang w:val="en-US" w:eastAsia="en-CA"/>
        </w:rPr>
      </w:pPr>
    </w:p>
    <w:p w:rsidR="00900C1B" w:rsidRPr="00900C1B" w:rsidRDefault="00900C1B" w:rsidP="00CA2DEA">
      <w:pPr>
        <w:widowControl w:val="0"/>
        <w:rPr>
          <w:rFonts w:eastAsia="Times New Roman" w:cs="Times New Roman"/>
          <w:sz w:val="20"/>
          <w:szCs w:val="20"/>
          <w:lang w:val="fr-CA" w:eastAsia="en-CA"/>
        </w:rPr>
      </w:pPr>
      <w:proofErr w:type="spellStart"/>
      <w:r w:rsidRPr="00900C1B">
        <w:rPr>
          <w:rFonts w:eastAsia="Times New Roman" w:cs="Times New Roman"/>
          <w:sz w:val="20"/>
          <w:szCs w:val="20"/>
          <w:lang w:val="fr-CA" w:eastAsia="en-CA"/>
        </w:rPr>
        <w:t>Before</w:t>
      </w:r>
      <w:proofErr w:type="spellEnd"/>
      <w:r w:rsidRPr="00900C1B">
        <w:rPr>
          <w:rFonts w:eastAsia="Times New Roman" w:cs="Times New Roman"/>
          <w:sz w:val="20"/>
          <w:szCs w:val="20"/>
          <w:lang w:val="fr-CA" w:eastAsia="en-CA"/>
        </w:rPr>
        <w:t>/Devant: MOLDAVER J. / LE JUGE MOLDAVER</w:t>
      </w:r>
    </w:p>
    <w:p w:rsidR="00900C1B" w:rsidRDefault="00900C1B"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00C1B" w:rsidRPr="00EE39AA" w:rsidTr="00183D35">
        <w:tc>
          <w:tcPr>
            <w:tcW w:w="4380" w:type="dxa"/>
            <w:tcBorders>
              <w:top w:val="nil"/>
              <w:left w:val="nil"/>
              <w:bottom w:val="nil"/>
              <w:right w:val="nil"/>
            </w:tcBorders>
          </w:tcPr>
          <w:p w:rsidR="00900C1B" w:rsidRPr="00D12F79" w:rsidRDefault="00900C1B" w:rsidP="00775565">
            <w:pPr>
              <w:jc w:val="both"/>
              <w:rPr>
                <w:rFonts w:cs="Times New Roman"/>
                <w:b/>
                <w:bCs/>
                <w:color w:val="000000"/>
                <w:sz w:val="20"/>
                <w:szCs w:val="20"/>
                <w:lang w:val="en-GB"/>
              </w:rPr>
            </w:pPr>
            <w:r w:rsidRPr="00D12F79">
              <w:rPr>
                <w:rFonts w:cs="Times New Roman"/>
                <w:b/>
                <w:bCs/>
                <w:color w:val="000000"/>
                <w:sz w:val="20"/>
                <w:szCs w:val="20"/>
                <w:lang w:val="en-GB"/>
              </w:rPr>
              <w:t>Mot</w:t>
            </w:r>
            <w:r w:rsidR="000957BE">
              <w:rPr>
                <w:rFonts w:cs="Times New Roman"/>
                <w:b/>
                <w:bCs/>
                <w:color w:val="000000"/>
                <w:sz w:val="20"/>
                <w:szCs w:val="20"/>
                <w:lang w:val="en-GB"/>
              </w:rPr>
              <w:t>ion for directions</w:t>
            </w:r>
          </w:p>
        </w:tc>
        <w:tc>
          <w:tcPr>
            <w:tcW w:w="720" w:type="dxa"/>
            <w:tcBorders>
              <w:top w:val="nil"/>
              <w:left w:val="nil"/>
              <w:bottom w:val="nil"/>
              <w:right w:val="nil"/>
            </w:tcBorders>
          </w:tcPr>
          <w:p w:rsidR="00900C1B" w:rsidRPr="00D12F79" w:rsidRDefault="00900C1B" w:rsidP="00183D35">
            <w:pPr>
              <w:rPr>
                <w:rFonts w:cs="Times New Roman"/>
                <w:b/>
                <w:bCs/>
                <w:color w:val="000000"/>
                <w:sz w:val="20"/>
                <w:szCs w:val="20"/>
                <w:lang w:val="en-GB"/>
              </w:rPr>
            </w:pPr>
          </w:p>
        </w:tc>
        <w:tc>
          <w:tcPr>
            <w:tcW w:w="4380" w:type="dxa"/>
            <w:tcBorders>
              <w:top w:val="nil"/>
              <w:left w:val="nil"/>
              <w:bottom w:val="nil"/>
              <w:right w:val="nil"/>
            </w:tcBorders>
          </w:tcPr>
          <w:p w:rsidR="00900C1B" w:rsidRDefault="00900C1B" w:rsidP="000957BE">
            <w:pPr>
              <w:jc w:val="both"/>
              <w:rPr>
                <w:rFonts w:cs="Times New Roman"/>
                <w:b/>
                <w:bCs/>
                <w:color w:val="000000"/>
                <w:sz w:val="20"/>
                <w:szCs w:val="20"/>
                <w:lang w:val="en-US"/>
              </w:rPr>
            </w:pPr>
            <w:proofErr w:type="spellStart"/>
            <w:r w:rsidRPr="000957BE">
              <w:rPr>
                <w:rFonts w:cs="Times New Roman"/>
                <w:b/>
                <w:bCs/>
                <w:color w:val="000000"/>
                <w:sz w:val="20"/>
                <w:szCs w:val="20"/>
                <w:lang w:val="en-US"/>
              </w:rPr>
              <w:t>Req</w:t>
            </w:r>
            <w:r w:rsidR="000957BE" w:rsidRPr="000957BE">
              <w:rPr>
                <w:rFonts w:cs="Times New Roman"/>
                <w:b/>
                <w:bCs/>
                <w:color w:val="000000"/>
                <w:sz w:val="20"/>
                <w:szCs w:val="20"/>
                <w:lang w:val="en-US"/>
              </w:rPr>
              <w:t>uête</w:t>
            </w:r>
            <w:proofErr w:type="spellEnd"/>
            <w:r w:rsidR="000957BE" w:rsidRPr="000957BE">
              <w:rPr>
                <w:rFonts w:cs="Times New Roman"/>
                <w:b/>
                <w:bCs/>
                <w:color w:val="000000"/>
                <w:sz w:val="20"/>
                <w:szCs w:val="20"/>
                <w:lang w:val="en-US"/>
              </w:rPr>
              <w:t xml:space="preserve"> </w:t>
            </w:r>
            <w:proofErr w:type="spellStart"/>
            <w:r w:rsidR="000957BE" w:rsidRPr="000957BE">
              <w:rPr>
                <w:rFonts w:cs="Times New Roman"/>
                <w:b/>
                <w:bCs/>
                <w:color w:val="000000"/>
                <w:sz w:val="20"/>
                <w:szCs w:val="20"/>
                <w:lang w:val="en-US"/>
              </w:rPr>
              <w:t>sollicitant</w:t>
            </w:r>
            <w:proofErr w:type="spellEnd"/>
            <w:r w:rsidR="000957BE" w:rsidRPr="000957BE">
              <w:rPr>
                <w:rFonts w:cs="Times New Roman"/>
                <w:b/>
                <w:bCs/>
                <w:color w:val="000000"/>
                <w:sz w:val="20"/>
                <w:szCs w:val="20"/>
                <w:lang w:val="en-US"/>
              </w:rPr>
              <w:t xml:space="preserve"> des directives</w:t>
            </w:r>
          </w:p>
          <w:p w:rsidR="000957BE" w:rsidRPr="000957BE" w:rsidRDefault="000957BE" w:rsidP="000957BE">
            <w:pPr>
              <w:jc w:val="both"/>
              <w:rPr>
                <w:rFonts w:cs="Times New Roman"/>
                <w:color w:val="000000"/>
                <w:sz w:val="20"/>
                <w:szCs w:val="20"/>
                <w:lang w:val="en-US"/>
              </w:rPr>
            </w:pPr>
          </w:p>
        </w:tc>
      </w:tr>
      <w:tr w:rsidR="00900C1B" w:rsidRPr="005133CB" w:rsidTr="00183D35">
        <w:tc>
          <w:tcPr>
            <w:tcW w:w="4380" w:type="dxa"/>
            <w:tcBorders>
              <w:top w:val="nil"/>
              <w:left w:val="nil"/>
              <w:bottom w:val="nil"/>
              <w:right w:val="nil"/>
            </w:tcBorders>
          </w:tcPr>
          <w:p w:rsidR="00900C1B" w:rsidRPr="000957BE" w:rsidRDefault="000957BE" w:rsidP="00183D35">
            <w:pPr>
              <w:jc w:val="both"/>
              <w:rPr>
                <w:rFonts w:cs="Times New Roman"/>
                <w:color w:val="000000"/>
                <w:sz w:val="20"/>
                <w:szCs w:val="20"/>
                <w:lang w:val="fr-CA"/>
              </w:rPr>
            </w:pPr>
            <w:r w:rsidRPr="000957BE">
              <w:rPr>
                <w:rFonts w:cs="Times New Roman"/>
                <w:color w:val="000000"/>
                <w:sz w:val="20"/>
                <w:szCs w:val="20"/>
                <w:lang w:val="fr-CA"/>
              </w:rPr>
              <w:t>Procureur général du Canada et autre</w:t>
            </w:r>
          </w:p>
          <w:p w:rsidR="000957BE" w:rsidRPr="000957BE" w:rsidRDefault="000957BE" w:rsidP="00183D35">
            <w:pPr>
              <w:jc w:val="both"/>
              <w:rPr>
                <w:rFonts w:cs="Times New Roman"/>
                <w:color w:val="000000"/>
                <w:sz w:val="20"/>
                <w:szCs w:val="20"/>
                <w:lang w:val="fr-CA"/>
              </w:rPr>
            </w:pPr>
          </w:p>
          <w:p w:rsidR="000957BE" w:rsidRPr="000957BE" w:rsidRDefault="000957BE" w:rsidP="00183D35">
            <w:pPr>
              <w:jc w:val="both"/>
              <w:rPr>
                <w:rFonts w:cs="Times New Roman"/>
                <w:color w:val="000000"/>
                <w:sz w:val="20"/>
                <w:szCs w:val="20"/>
                <w:lang w:val="fr-CA"/>
              </w:rPr>
            </w:pPr>
            <w:r w:rsidRPr="000957BE">
              <w:rPr>
                <w:rFonts w:cs="Times New Roman"/>
                <w:color w:val="000000"/>
                <w:sz w:val="20"/>
                <w:szCs w:val="20"/>
                <w:lang w:val="fr-CA"/>
              </w:rPr>
              <w:tab/>
              <w:t>c. (37613)</w:t>
            </w:r>
          </w:p>
          <w:p w:rsidR="000957BE" w:rsidRPr="000957BE" w:rsidRDefault="000957BE" w:rsidP="00183D35">
            <w:pPr>
              <w:jc w:val="both"/>
              <w:rPr>
                <w:rFonts w:cs="Times New Roman"/>
                <w:color w:val="000000"/>
                <w:sz w:val="20"/>
                <w:szCs w:val="20"/>
                <w:lang w:val="fr-CA"/>
              </w:rPr>
            </w:pPr>
          </w:p>
          <w:p w:rsidR="000957BE" w:rsidRPr="000957BE" w:rsidRDefault="000957BE" w:rsidP="00183D35">
            <w:pPr>
              <w:jc w:val="both"/>
              <w:rPr>
                <w:rFonts w:cs="Times New Roman"/>
                <w:color w:val="000000"/>
                <w:sz w:val="20"/>
                <w:szCs w:val="20"/>
                <w:lang w:val="fr-CA"/>
              </w:rPr>
            </w:pPr>
            <w:r w:rsidRPr="000957BE">
              <w:rPr>
                <w:rFonts w:cs="Times New Roman"/>
                <w:color w:val="000000"/>
                <w:sz w:val="20"/>
                <w:szCs w:val="20"/>
                <w:lang w:val="fr-CA"/>
              </w:rPr>
              <w:t>Procureure générale du Québec</w:t>
            </w:r>
            <w:r>
              <w:rPr>
                <w:rFonts w:cs="Times New Roman"/>
                <w:color w:val="000000"/>
                <w:sz w:val="20"/>
                <w:szCs w:val="20"/>
                <w:lang w:val="fr-CA"/>
              </w:rPr>
              <w:t xml:space="preserve"> (</w:t>
            </w:r>
            <w:proofErr w:type="spellStart"/>
            <w:r>
              <w:rPr>
                <w:rFonts w:cs="Times New Roman"/>
                <w:color w:val="000000"/>
                <w:sz w:val="20"/>
                <w:szCs w:val="20"/>
                <w:lang w:val="fr-CA"/>
              </w:rPr>
              <w:t>Qc</w:t>
            </w:r>
            <w:proofErr w:type="spellEnd"/>
            <w:r>
              <w:rPr>
                <w:rFonts w:cs="Times New Roman"/>
                <w:color w:val="000000"/>
                <w:sz w:val="20"/>
                <w:szCs w:val="20"/>
                <w:lang w:val="fr-CA"/>
              </w:rPr>
              <w:t>)</w:t>
            </w:r>
          </w:p>
        </w:tc>
        <w:tc>
          <w:tcPr>
            <w:tcW w:w="720" w:type="dxa"/>
            <w:tcBorders>
              <w:top w:val="nil"/>
              <w:left w:val="nil"/>
              <w:bottom w:val="nil"/>
              <w:right w:val="nil"/>
            </w:tcBorders>
          </w:tcPr>
          <w:p w:rsidR="00900C1B" w:rsidRPr="000957BE" w:rsidRDefault="00900C1B" w:rsidP="00183D35">
            <w:pPr>
              <w:jc w:val="both"/>
              <w:rPr>
                <w:rFonts w:cs="Times New Roman"/>
                <w:color w:val="000000"/>
                <w:sz w:val="20"/>
                <w:szCs w:val="20"/>
                <w:lang w:val="fr-CA"/>
              </w:rPr>
            </w:pPr>
          </w:p>
        </w:tc>
        <w:tc>
          <w:tcPr>
            <w:tcW w:w="4380" w:type="dxa"/>
            <w:tcBorders>
              <w:top w:val="nil"/>
              <w:left w:val="nil"/>
              <w:bottom w:val="nil"/>
              <w:right w:val="nil"/>
            </w:tcBorders>
          </w:tcPr>
          <w:p w:rsidR="00900C1B" w:rsidRPr="000957BE" w:rsidRDefault="00900C1B" w:rsidP="00183D35">
            <w:pPr>
              <w:jc w:val="both"/>
              <w:rPr>
                <w:rFonts w:cs="Times New Roman"/>
                <w:color w:val="000000"/>
                <w:sz w:val="20"/>
                <w:szCs w:val="20"/>
                <w:lang w:val="fr-CA"/>
              </w:rPr>
            </w:pPr>
          </w:p>
        </w:tc>
      </w:tr>
    </w:tbl>
    <w:p w:rsidR="00900C1B" w:rsidRPr="000957BE" w:rsidRDefault="00900C1B" w:rsidP="00CA2DEA">
      <w:pPr>
        <w:widowControl w:val="0"/>
        <w:rPr>
          <w:rFonts w:eastAsia="Times New Roman" w:cs="Times New Roman"/>
          <w:sz w:val="20"/>
          <w:szCs w:val="20"/>
          <w:lang w:val="fr-CA" w:eastAsia="en-CA"/>
        </w:rPr>
      </w:pPr>
    </w:p>
    <w:p w:rsidR="000957BE" w:rsidRPr="00232C49" w:rsidRDefault="000957BE" w:rsidP="000957BE">
      <w:pPr>
        <w:rPr>
          <w:rFonts w:cs="Times New Roman"/>
          <w:bCs/>
          <w:sz w:val="20"/>
          <w:szCs w:val="20"/>
          <w:lang w:val="fr-CA"/>
        </w:rPr>
      </w:pPr>
      <w:r w:rsidRPr="00232C49">
        <w:rPr>
          <w:rFonts w:cs="Times New Roman"/>
          <w:b/>
          <w:bCs/>
          <w:sz w:val="20"/>
          <w:szCs w:val="20"/>
          <w:lang w:val="fr-CA"/>
        </w:rPr>
        <w:t xml:space="preserve">À LA SUITE DE LA DEMANDE </w:t>
      </w:r>
      <w:r w:rsidRPr="00232C49">
        <w:rPr>
          <w:rFonts w:cs="Times New Roman"/>
          <w:bCs/>
          <w:sz w:val="20"/>
          <w:szCs w:val="20"/>
          <w:lang w:val="fr-CA"/>
        </w:rPr>
        <w:t>du procureur général du Canada en vue d'obtenir des directives;</w:t>
      </w:r>
    </w:p>
    <w:p w:rsidR="000957BE" w:rsidRPr="00232C49" w:rsidRDefault="000957BE" w:rsidP="000957BE">
      <w:pPr>
        <w:rPr>
          <w:rFonts w:cs="Times New Roman"/>
          <w:b/>
          <w:bCs/>
          <w:sz w:val="20"/>
          <w:szCs w:val="20"/>
          <w:lang w:val="fr-CA"/>
        </w:rPr>
      </w:pPr>
    </w:p>
    <w:p w:rsidR="000957BE" w:rsidRPr="00232C49" w:rsidRDefault="000957BE" w:rsidP="000957BE">
      <w:pPr>
        <w:rPr>
          <w:rFonts w:cs="Times New Roman"/>
          <w:bCs/>
          <w:sz w:val="20"/>
          <w:szCs w:val="20"/>
          <w:lang w:val="fr-CA"/>
        </w:rPr>
      </w:pPr>
      <w:r w:rsidRPr="00232C49">
        <w:rPr>
          <w:rFonts w:cs="Times New Roman"/>
          <w:b/>
          <w:bCs/>
          <w:sz w:val="20"/>
          <w:szCs w:val="20"/>
          <w:lang w:val="fr-CA"/>
        </w:rPr>
        <w:t xml:space="preserve">ET APRÈS EXAMEN </w:t>
      </w:r>
      <w:r w:rsidRPr="00232C49">
        <w:rPr>
          <w:rFonts w:cs="Times New Roman"/>
          <w:bCs/>
          <w:sz w:val="20"/>
          <w:szCs w:val="20"/>
          <w:lang w:val="fr-CA"/>
        </w:rPr>
        <w:t>des documents déposés;</w:t>
      </w:r>
    </w:p>
    <w:p w:rsidR="000957BE" w:rsidRPr="00232C49" w:rsidRDefault="000957BE" w:rsidP="000957BE">
      <w:pPr>
        <w:rPr>
          <w:rFonts w:cs="Times New Roman"/>
          <w:bCs/>
          <w:sz w:val="20"/>
          <w:szCs w:val="20"/>
          <w:lang w:val="fr-CA"/>
        </w:rPr>
      </w:pPr>
    </w:p>
    <w:p w:rsidR="000957BE" w:rsidRPr="00232C49" w:rsidRDefault="000957BE" w:rsidP="000957BE">
      <w:pPr>
        <w:rPr>
          <w:rFonts w:cs="Times New Roman"/>
          <w:bCs/>
          <w:sz w:val="20"/>
          <w:szCs w:val="20"/>
          <w:lang w:val="fr-CA"/>
        </w:rPr>
      </w:pPr>
      <w:r w:rsidRPr="00232C49">
        <w:rPr>
          <w:rFonts w:cs="Times New Roman"/>
          <w:b/>
          <w:bCs/>
          <w:sz w:val="20"/>
          <w:szCs w:val="20"/>
          <w:lang w:val="fr-CA"/>
        </w:rPr>
        <w:t xml:space="preserve">ET CONSIDÉRANT </w:t>
      </w:r>
      <w:r w:rsidRPr="00232C49">
        <w:rPr>
          <w:rFonts w:cs="Times New Roman"/>
          <w:bCs/>
          <w:sz w:val="20"/>
          <w:szCs w:val="20"/>
          <w:lang w:val="fr-CA"/>
        </w:rPr>
        <w:t>le consentement des procureurs généraux du Québec et de la Colombie-Britannique pour que l’ordonnance soit rendue;</w:t>
      </w:r>
    </w:p>
    <w:p w:rsidR="000957BE" w:rsidRPr="00232C49" w:rsidRDefault="000957BE" w:rsidP="000957BE">
      <w:pPr>
        <w:rPr>
          <w:rFonts w:cs="Times New Roman"/>
          <w:b/>
          <w:bCs/>
          <w:sz w:val="20"/>
          <w:szCs w:val="20"/>
          <w:lang w:val="fr-CA"/>
        </w:rPr>
      </w:pPr>
    </w:p>
    <w:p w:rsidR="000957BE" w:rsidRPr="00232C49" w:rsidRDefault="000957BE" w:rsidP="000957BE">
      <w:pPr>
        <w:rPr>
          <w:rFonts w:cs="Times New Roman"/>
          <w:b/>
          <w:bCs/>
          <w:sz w:val="20"/>
          <w:szCs w:val="20"/>
          <w:lang w:val="fr-CA"/>
        </w:rPr>
      </w:pPr>
      <w:r w:rsidRPr="00232C49">
        <w:rPr>
          <w:rFonts w:cs="Times New Roman"/>
          <w:b/>
          <w:bCs/>
          <w:sz w:val="20"/>
          <w:szCs w:val="20"/>
          <w:lang w:val="fr-CA"/>
        </w:rPr>
        <w:t>IL EST PAR LA PRÉSENTE ORDONNÉ CE QUI SUIT :</w:t>
      </w:r>
    </w:p>
    <w:p w:rsidR="000957BE" w:rsidRPr="00232C49" w:rsidRDefault="000957BE" w:rsidP="000957BE">
      <w:pPr>
        <w:rPr>
          <w:rFonts w:cs="Times New Roman"/>
          <w:b/>
          <w:bCs/>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Le procureur général du Canada et le procureur général de la Colombie-Britannique seront désignés comme appelants et la procureure générale du Québec sera désignée comme intimée dans les présents pourvois;</w:t>
      </w:r>
    </w:p>
    <w:p w:rsidR="000957BE" w:rsidRPr="00232C49" w:rsidRDefault="000957BE" w:rsidP="000957BE">
      <w:pPr>
        <w:pStyle w:val="ListParagraph"/>
        <w:spacing w:line="232" w:lineRule="auto"/>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Si les parties estiment que les pourvois soulèvent des questions constitutionnelles, elles signifieront un avis à tous les procureurs généraux qui ne sont pas déjà parties aux procédures et le déposeront au plus tard sept (7) jours après la date de la présente ordonnance;</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Le procureur général du Canada signifiera et déposera un mémoire d’au plus cinquante (50) pages et un dossier conjoint au plus tard le 25 août 2017;</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Le procureur général de la Colombie-Britannique signifiera et déposera un mémoire d’au plus vingt-cinq (25) pages au plus tard le 22 septembre 2017;</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La procureure générale du Québec signifiera et déposera un mémoire d’au plus soixante (60) pages au plus tard le 27 octobre 2017;</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Le procureur général du Canada et le procureur général de la Colombie-Britannique signifieront et déposeront chacun au besoin un mémoire en réplique d’au plus cinq (5) pages au plus tard le 10 novembre 2017;</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Les procureurs généraux qui interviendront dans les présents pourvois signifieront et déposeront chacun leur mémoire au plus tard le 24 novembre 2017;</w:t>
      </w:r>
    </w:p>
    <w:p w:rsidR="000957BE" w:rsidRPr="00232C49" w:rsidRDefault="000957BE" w:rsidP="000957BE">
      <w:pPr>
        <w:pStyle w:val="ListParagraph"/>
        <w:rPr>
          <w:rFonts w:cs="Times New Roman"/>
          <w:sz w:val="20"/>
          <w:szCs w:val="20"/>
          <w:lang w:val="fr-CA"/>
        </w:rPr>
      </w:pPr>
    </w:p>
    <w:p w:rsidR="000957BE" w:rsidRPr="00232C49" w:rsidRDefault="000957BE" w:rsidP="000957B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232C49">
        <w:rPr>
          <w:rFonts w:cs="Times New Roman"/>
          <w:sz w:val="20"/>
          <w:szCs w:val="20"/>
          <w:lang w:val="fr-CA"/>
        </w:rPr>
        <w:t xml:space="preserve">Toute personne qui souhaite intervenir dans les présents pourvois en vertu de l’art. 55 des </w:t>
      </w:r>
      <w:r w:rsidRPr="00232C49">
        <w:rPr>
          <w:rFonts w:cs="Times New Roman"/>
          <w:i/>
          <w:sz w:val="20"/>
          <w:szCs w:val="20"/>
          <w:lang w:val="fr-CA"/>
        </w:rPr>
        <w:t>Règles de la Cour suprême du Canada</w:t>
      </w:r>
      <w:r w:rsidRPr="00232C49">
        <w:rPr>
          <w:rFonts w:cs="Times New Roman"/>
          <w:sz w:val="20"/>
          <w:szCs w:val="20"/>
          <w:lang w:val="fr-CA"/>
        </w:rPr>
        <w:t xml:space="preserve"> signifiera et déposera une requête en autorisation d’intervenir au plus tard le 20 octobre 2017.</w:t>
      </w:r>
    </w:p>
    <w:p w:rsidR="000957BE" w:rsidRPr="000957BE" w:rsidRDefault="000957BE" w:rsidP="000957BE">
      <w:pPr>
        <w:spacing w:line="232" w:lineRule="auto"/>
        <w:rPr>
          <w:rFonts w:cs="Times New Roman"/>
          <w:b/>
          <w:bCs/>
          <w:sz w:val="20"/>
          <w:szCs w:val="20"/>
          <w:lang w:val="fr-CA"/>
        </w:rPr>
      </w:pPr>
    </w:p>
    <w:p w:rsidR="000957BE" w:rsidRPr="000957BE" w:rsidRDefault="000957BE" w:rsidP="000957BE">
      <w:pPr>
        <w:spacing w:line="232" w:lineRule="auto"/>
        <w:rPr>
          <w:rFonts w:cs="Times New Roman"/>
          <w:b/>
          <w:bCs/>
          <w:sz w:val="20"/>
          <w:szCs w:val="20"/>
          <w:lang w:val="fr-CA"/>
        </w:rPr>
      </w:pPr>
    </w:p>
    <w:p w:rsidR="000957BE" w:rsidRPr="000957BE" w:rsidRDefault="000957BE" w:rsidP="000957BE">
      <w:pPr>
        <w:spacing w:line="232" w:lineRule="auto"/>
        <w:rPr>
          <w:rFonts w:cs="Times New Roman"/>
          <w:b/>
          <w:bCs/>
          <w:sz w:val="20"/>
          <w:szCs w:val="20"/>
          <w:lang w:val="fr-CA"/>
        </w:rPr>
      </w:pPr>
    </w:p>
    <w:p w:rsidR="000957BE" w:rsidRPr="00205684" w:rsidRDefault="000957BE">
      <w:pPr>
        <w:rPr>
          <w:rFonts w:cs="Times New Roman"/>
          <w:b/>
          <w:bCs/>
          <w:sz w:val="20"/>
          <w:szCs w:val="20"/>
          <w:lang w:val="fr-CA"/>
        </w:rPr>
      </w:pPr>
      <w:r w:rsidRPr="00205684">
        <w:rPr>
          <w:rFonts w:cs="Times New Roman"/>
          <w:b/>
          <w:bCs/>
          <w:sz w:val="20"/>
          <w:szCs w:val="20"/>
          <w:lang w:val="fr-CA"/>
        </w:rPr>
        <w:br w:type="page"/>
      </w:r>
    </w:p>
    <w:p w:rsidR="000957BE" w:rsidRPr="00232C49" w:rsidRDefault="000957BE" w:rsidP="000957BE">
      <w:pPr>
        <w:spacing w:line="232" w:lineRule="auto"/>
        <w:rPr>
          <w:rFonts w:cs="Times New Roman"/>
          <w:sz w:val="20"/>
          <w:szCs w:val="20"/>
        </w:rPr>
      </w:pPr>
      <w:r w:rsidRPr="00232C49">
        <w:rPr>
          <w:rFonts w:cs="Times New Roman"/>
          <w:b/>
          <w:bCs/>
          <w:sz w:val="20"/>
          <w:szCs w:val="20"/>
        </w:rPr>
        <w:lastRenderedPageBreak/>
        <w:t xml:space="preserve">UPON APPLICATION </w:t>
      </w:r>
      <w:r w:rsidRPr="00232C49">
        <w:rPr>
          <w:rFonts w:cs="Times New Roman"/>
          <w:sz w:val="20"/>
          <w:szCs w:val="20"/>
        </w:rPr>
        <w:t>by the Attorney General of Canada for an order for directions;</w:t>
      </w:r>
    </w:p>
    <w:p w:rsidR="000957BE" w:rsidRPr="00232C49" w:rsidRDefault="000957BE" w:rsidP="000957BE">
      <w:pPr>
        <w:spacing w:line="232" w:lineRule="auto"/>
        <w:rPr>
          <w:rFonts w:cs="Times New Roman"/>
          <w:sz w:val="20"/>
          <w:szCs w:val="20"/>
        </w:rPr>
      </w:pPr>
    </w:p>
    <w:p w:rsidR="000957BE" w:rsidRPr="00232C49" w:rsidRDefault="000957BE" w:rsidP="000957BE">
      <w:pPr>
        <w:spacing w:line="232" w:lineRule="auto"/>
        <w:rPr>
          <w:rFonts w:cs="Times New Roman"/>
          <w:sz w:val="20"/>
          <w:szCs w:val="20"/>
        </w:rPr>
      </w:pPr>
      <w:r w:rsidRPr="00232C49">
        <w:rPr>
          <w:rFonts w:cs="Times New Roman"/>
          <w:b/>
          <w:bCs/>
          <w:sz w:val="20"/>
          <w:szCs w:val="20"/>
        </w:rPr>
        <w:t>AND THE MATERIAL FILED</w:t>
      </w:r>
      <w:r w:rsidRPr="00232C49">
        <w:rPr>
          <w:rFonts w:cs="Times New Roman"/>
          <w:sz w:val="20"/>
          <w:szCs w:val="20"/>
        </w:rPr>
        <w:t xml:space="preserve"> having been read;</w:t>
      </w:r>
    </w:p>
    <w:p w:rsidR="000957BE" w:rsidRPr="00232C49" w:rsidRDefault="000957BE" w:rsidP="000957BE">
      <w:pPr>
        <w:spacing w:line="232" w:lineRule="auto"/>
        <w:rPr>
          <w:rFonts w:cs="Times New Roman"/>
          <w:sz w:val="20"/>
          <w:szCs w:val="20"/>
        </w:rPr>
      </w:pPr>
    </w:p>
    <w:p w:rsidR="000957BE" w:rsidRPr="00232C49" w:rsidRDefault="000957BE" w:rsidP="000957BE">
      <w:pPr>
        <w:spacing w:line="232" w:lineRule="auto"/>
        <w:rPr>
          <w:rFonts w:cs="Times New Roman"/>
          <w:sz w:val="20"/>
          <w:szCs w:val="20"/>
        </w:rPr>
      </w:pPr>
      <w:r w:rsidRPr="00232C49">
        <w:rPr>
          <w:rFonts w:cs="Times New Roman"/>
          <w:b/>
          <w:sz w:val="20"/>
          <w:szCs w:val="20"/>
        </w:rPr>
        <w:t xml:space="preserve">AND NOTING THAT </w:t>
      </w:r>
      <w:r w:rsidRPr="00232C49">
        <w:rPr>
          <w:rFonts w:cs="Times New Roman"/>
          <w:sz w:val="20"/>
          <w:szCs w:val="20"/>
        </w:rPr>
        <w:t>the Attorney General of Quebec and the Attorney General of British Columbia consent to the order;</w:t>
      </w:r>
    </w:p>
    <w:p w:rsidR="000957BE" w:rsidRPr="00232C49" w:rsidRDefault="000957BE" w:rsidP="000957BE">
      <w:pPr>
        <w:spacing w:line="232" w:lineRule="auto"/>
        <w:jc w:val="center"/>
        <w:rPr>
          <w:rFonts w:cs="Times New Roman"/>
          <w:sz w:val="20"/>
          <w:szCs w:val="20"/>
        </w:rPr>
      </w:pPr>
    </w:p>
    <w:p w:rsidR="000957BE" w:rsidRPr="00232C49" w:rsidRDefault="000957BE" w:rsidP="000957BE">
      <w:pPr>
        <w:spacing w:line="232" w:lineRule="auto"/>
        <w:rPr>
          <w:rFonts w:cs="Times New Roman"/>
          <w:b/>
          <w:bCs/>
          <w:sz w:val="20"/>
          <w:szCs w:val="20"/>
        </w:rPr>
      </w:pPr>
    </w:p>
    <w:p w:rsidR="000957BE" w:rsidRPr="00232C49" w:rsidRDefault="000957BE" w:rsidP="000957BE">
      <w:pPr>
        <w:spacing w:line="232" w:lineRule="auto"/>
        <w:rPr>
          <w:rFonts w:cs="Times New Roman"/>
          <w:b/>
          <w:bCs/>
          <w:sz w:val="20"/>
          <w:szCs w:val="20"/>
        </w:rPr>
      </w:pPr>
      <w:r w:rsidRPr="00232C49">
        <w:rPr>
          <w:rFonts w:cs="Times New Roman"/>
          <w:b/>
          <w:bCs/>
          <w:sz w:val="20"/>
          <w:szCs w:val="20"/>
        </w:rPr>
        <w:t>IT IS HEREBY ORDERED THAT:</w:t>
      </w:r>
    </w:p>
    <w:p w:rsidR="000957BE" w:rsidRPr="00232C49" w:rsidRDefault="000957BE" w:rsidP="000957BE">
      <w:pPr>
        <w:spacing w:line="232" w:lineRule="auto"/>
        <w:rPr>
          <w:rFonts w:cs="Times New Roman"/>
          <w:b/>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 General of Canada and the Attorney General of British Columbia shall be named as appellants and the Attorney General of Quebec shall be named as respondent in these appeals;</w:t>
      </w:r>
    </w:p>
    <w:p w:rsidR="000957BE" w:rsidRPr="00232C49" w:rsidRDefault="000957BE" w:rsidP="000957BE">
      <w:pPr>
        <w:spacing w:line="233" w:lineRule="auto"/>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If the parties assert that the appeals raise constitutional questions, they are to serve and file a notice on any attorney general who is not already a party to the appeals within seven (7) days of this order;</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 General of Canada shall serve and file a factum of up to fifty (50) pages and the joint record on or before August 25, 2017;</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 General of British Columbia shall serve and file a factum of up to twenty-five (25) pages on or before September 22, 2017;</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 General of Quebec shall serve and file a factum of up to sixty (60) pages on or before October 27, 2017;</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 General of Canada and the Attorney General of British Columbia shall each serve and file a reply factum of up to five (5) pages on or before November 10, 2017, if necessary;</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rPr>
      </w:pPr>
      <w:r w:rsidRPr="00232C49">
        <w:rPr>
          <w:rFonts w:cs="Times New Roman"/>
          <w:bCs/>
          <w:sz w:val="20"/>
          <w:szCs w:val="20"/>
        </w:rPr>
        <w:t>The attorneys general intervening in these appeals shall each serve and file their factum on or before November 24, 2017; and</w:t>
      </w:r>
    </w:p>
    <w:p w:rsidR="000957BE" w:rsidRPr="00232C49" w:rsidRDefault="000957BE" w:rsidP="000957BE">
      <w:pPr>
        <w:pStyle w:val="ListParagraph"/>
        <w:rPr>
          <w:rFonts w:cs="Times New Roman"/>
          <w:bCs/>
          <w:sz w:val="20"/>
          <w:szCs w:val="20"/>
        </w:rPr>
      </w:pPr>
    </w:p>
    <w:p w:rsidR="000957BE" w:rsidRPr="00232C49" w:rsidRDefault="000957BE" w:rsidP="000957B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cs="Times New Roman"/>
          <w:sz w:val="20"/>
          <w:szCs w:val="20"/>
        </w:rPr>
      </w:pPr>
      <w:r w:rsidRPr="00232C49">
        <w:rPr>
          <w:rFonts w:cs="Times New Roman"/>
          <w:sz w:val="20"/>
          <w:szCs w:val="20"/>
        </w:rPr>
        <w:t xml:space="preserve">Any person wishing to intervene in these appeals under Rule 55 of the </w:t>
      </w:r>
      <w:r w:rsidRPr="00232C49">
        <w:rPr>
          <w:rFonts w:cs="Times New Roman"/>
          <w:i/>
          <w:sz w:val="20"/>
          <w:szCs w:val="20"/>
        </w:rPr>
        <w:t>Rules of the Supreme Court of Canada</w:t>
      </w:r>
      <w:r w:rsidRPr="00232C49">
        <w:rPr>
          <w:rFonts w:cs="Times New Roman"/>
          <w:sz w:val="20"/>
          <w:szCs w:val="20"/>
        </w:rPr>
        <w:t xml:space="preserve"> shall serve and file a motion for leave to intervene on or before October 20, 2017.</w:t>
      </w:r>
    </w:p>
    <w:p w:rsidR="000957BE" w:rsidRPr="00232C49" w:rsidRDefault="000957BE" w:rsidP="000957BE">
      <w:pPr>
        <w:rPr>
          <w:rFonts w:cs="Times New Roman"/>
          <w:b/>
          <w:bCs/>
          <w:sz w:val="20"/>
          <w:szCs w:val="20"/>
        </w:rPr>
      </w:pPr>
    </w:p>
    <w:p w:rsidR="00CA2DEA" w:rsidRPr="006E5D7C" w:rsidRDefault="005133CB"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133C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64416" w:rsidRDefault="00A6245A" w:rsidP="0052229C">
      <w:pPr>
        <w:rPr>
          <w:b/>
          <w:sz w:val="20"/>
          <w:szCs w:val="20"/>
          <w:lang w:val="fr-CA"/>
        </w:rPr>
      </w:pPr>
      <w:r w:rsidRPr="00C64416">
        <w:rPr>
          <w:b/>
          <w:sz w:val="20"/>
          <w:szCs w:val="20"/>
          <w:lang w:val="fr-CA"/>
        </w:rPr>
        <w:t>JULY</w:t>
      </w:r>
      <w:r w:rsidR="0052229C" w:rsidRPr="00C64416">
        <w:rPr>
          <w:b/>
          <w:sz w:val="20"/>
          <w:szCs w:val="20"/>
          <w:lang w:val="fr-CA"/>
        </w:rPr>
        <w:t xml:space="preserve"> 1</w:t>
      </w:r>
      <w:r w:rsidR="0056248C" w:rsidRPr="00C64416">
        <w:rPr>
          <w:b/>
          <w:sz w:val="20"/>
          <w:szCs w:val="20"/>
          <w:lang w:val="fr-CA"/>
        </w:rPr>
        <w:t>3</w:t>
      </w:r>
      <w:r w:rsidR="0052229C" w:rsidRPr="00C64416">
        <w:rPr>
          <w:b/>
          <w:sz w:val="20"/>
          <w:szCs w:val="20"/>
          <w:lang w:val="fr-CA"/>
        </w:rPr>
        <w:t>, 201</w:t>
      </w:r>
      <w:r w:rsidR="0056248C" w:rsidRPr="00C64416">
        <w:rPr>
          <w:b/>
          <w:sz w:val="20"/>
          <w:szCs w:val="20"/>
          <w:lang w:val="fr-CA"/>
        </w:rPr>
        <w:t>7</w:t>
      </w:r>
      <w:r w:rsidR="0052229C" w:rsidRPr="00C64416">
        <w:rPr>
          <w:b/>
          <w:sz w:val="20"/>
          <w:szCs w:val="20"/>
          <w:lang w:val="fr-CA"/>
        </w:rPr>
        <w:t xml:space="preserve"> / LE 1</w:t>
      </w:r>
      <w:r w:rsidR="0056248C" w:rsidRPr="00C64416">
        <w:rPr>
          <w:b/>
          <w:sz w:val="20"/>
          <w:szCs w:val="20"/>
          <w:lang w:val="fr-CA"/>
        </w:rPr>
        <w:t>3</w:t>
      </w:r>
      <w:r w:rsidR="0052229C" w:rsidRPr="00C64416">
        <w:rPr>
          <w:b/>
          <w:sz w:val="20"/>
          <w:szCs w:val="20"/>
          <w:lang w:val="fr-CA"/>
        </w:rPr>
        <w:t xml:space="preserve"> J</w:t>
      </w:r>
      <w:r w:rsidRPr="00C64416">
        <w:rPr>
          <w:b/>
          <w:sz w:val="20"/>
          <w:szCs w:val="20"/>
          <w:lang w:val="fr-CA"/>
        </w:rPr>
        <w:t>UILLET</w:t>
      </w:r>
      <w:r w:rsidR="0052229C" w:rsidRPr="00C64416">
        <w:rPr>
          <w:b/>
          <w:sz w:val="20"/>
          <w:szCs w:val="20"/>
          <w:lang w:val="fr-CA"/>
        </w:rPr>
        <w:t xml:space="preserve"> 201</w:t>
      </w:r>
      <w:r w:rsidR="0056248C" w:rsidRPr="00C64416">
        <w:rPr>
          <w:b/>
          <w:sz w:val="20"/>
          <w:szCs w:val="20"/>
          <w:lang w:val="fr-CA"/>
        </w:rPr>
        <w:t>7</w:t>
      </w:r>
    </w:p>
    <w:p w:rsidR="0052229C" w:rsidRPr="00C64416" w:rsidRDefault="0052229C" w:rsidP="0052229C">
      <w:pPr>
        <w:rPr>
          <w:sz w:val="20"/>
          <w:szCs w:val="20"/>
          <w:lang w:val="fr-CA"/>
        </w:rPr>
      </w:pPr>
    </w:p>
    <w:p w:rsidR="0052229C" w:rsidRPr="00C64416" w:rsidRDefault="000E27A5" w:rsidP="0052229C">
      <w:pPr>
        <w:ind w:left="1440" w:hanging="1440"/>
        <w:jc w:val="both"/>
        <w:rPr>
          <w:sz w:val="20"/>
          <w:lang w:val="fr-CA"/>
        </w:rPr>
      </w:pPr>
      <w:r w:rsidRPr="00C64416">
        <w:rPr>
          <w:b/>
          <w:sz w:val="20"/>
        </w:rPr>
        <w:fldChar w:fldCharType="begin"/>
      </w:r>
      <w:r w:rsidR="0052229C" w:rsidRPr="00C64416">
        <w:rPr>
          <w:b/>
          <w:sz w:val="20"/>
          <w:lang w:val="fr-CA"/>
        </w:rPr>
        <w:instrText xml:space="preserve"> SEQ CHAPTER \h \r 1</w:instrText>
      </w:r>
      <w:r w:rsidRPr="00C64416">
        <w:rPr>
          <w:b/>
          <w:sz w:val="20"/>
        </w:rPr>
        <w:fldChar w:fldCharType="end"/>
      </w:r>
      <w:r w:rsidR="008C060A" w:rsidRPr="00C64416">
        <w:rPr>
          <w:b/>
          <w:sz w:val="20"/>
          <w:lang w:val="fr-CA"/>
        </w:rPr>
        <w:t>36689</w:t>
      </w:r>
      <w:r w:rsidR="0052229C" w:rsidRPr="00C64416">
        <w:rPr>
          <w:sz w:val="20"/>
          <w:lang w:val="fr-CA"/>
        </w:rPr>
        <w:tab/>
      </w:r>
      <w:proofErr w:type="spellStart"/>
      <w:r w:rsidR="008C060A" w:rsidRPr="00C64416">
        <w:rPr>
          <w:b/>
          <w:sz w:val="20"/>
          <w:u w:val="single"/>
          <w:lang w:val="fr-CA"/>
        </w:rPr>
        <w:t>Andrus</w:t>
      </w:r>
      <w:proofErr w:type="spellEnd"/>
      <w:r w:rsidR="008C060A" w:rsidRPr="00C64416">
        <w:rPr>
          <w:b/>
          <w:sz w:val="20"/>
          <w:u w:val="single"/>
          <w:lang w:val="fr-CA"/>
        </w:rPr>
        <w:t xml:space="preserve"> Wilson v. Ramzi Mahmoud </w:t>
      </w:r>
      <w:proofErr w:type="spellStart"/>
      <w:r w:rsidR="008C060A" w:rsidRPr="00C64416">
        <w:rPr>
          <w:b/>
          <w:sz w:val="20"/>
          <w:u w:val="single"/>
          <w:lang w:val="fr-CA"/>
        </w:rPr>
        <w:t>Alharayeri</w:t>
      </w:r>
      <w:proofErr w:type="spellEnd"/>
      <w:r w:rsidR="008C060A" w:rsidRPr="00C64416">
        <w:rPr>
          <w:b/>
          <w:sz w:val="20"/>
          <w:u w:val="single"/>
          <w:lang w:val="fr-CA"/>
        </w:rPr>
        <w:t xml:space="preserve"> </w:t>
      </w:r>
      <w:r w:rsidR="0052229C" w:rsidRPr="00C64416">
        <w:rPr>
          <w:iCs/>
          <w:sz w:val="20"/>
          <w:lang w:val="fr-CA"/>
        </w:rPr>
        <w:t>(Q</w:t>
      </w:r>
      <w:r w:rsidR="008C060A" w:rsidRPr="00C64416">
        <w:rPr>
          <w:iCs/>
          <w:sz w:val="20"/>
          <w:lang w:val="fr-CA"/>
        </w:rPr>
        <w:t>ue.</w:t>
      </w:r>
      <w:r w:rsidR="0052229C" w:rsidRPr="00C64416">
        <w:rPr>
          <w:iCs/>
          <w:sz w:val="20"/>
          <w:lang w:val="fr-CA"/>
        </w:rPr>
        <w:t>)</w:t>
      </w:r>
    </w:p>
    <w:p w:rsidR="0052229C" w:rsidRPr="00FC3EF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FC3EF9">
        <w:rPr>
          <w:b/>
          <w:sz w:val="20"/>
          <w:lang w:val="en-US"/>
        </w:rPr>
        <w:t>201</w:t>
      </w:r>
      <w:r w:rsidR="0056248C" w:rsidRPr="00FC3EF9">
        <w:rPr>
          <w:b/>
          <w:sz w:val="20"/>
          <w:lang w:val="en-US"/>
        </w:rPr>
        <w:t>7</w:t>
      </w:r>
      <w:r w:rsidRPr="00FC3EF9">
        <w:rPr>
          <w:b/>
          <w:sz w:val="20"/>
          <w:lang w:val="en-US"/>
        </w:rPr>
        <w:t xml:space="preserve"> SCC </w:t>
      </w:r>
      <w:r w:rsidR="008C060A" w:rsidRPr="00FC3EF9">
        <w:rPr>
          <w:b/>
          <w:sz w:val="20"/>
          <w:lang w:val="en-US"/>
        </w:rPr>
        <w:t>39</w:t>
      </w:r>
      <w:r w:rsidRPr="00FC3EF9">
        <w:rPr>
          <w:b/>
          <w:sz w:val="20"/>
          <w:lang w:val="en-US"/>
        </w:rPr>
        <w:t xml:space="preserve"> / 201</w:t>
      </w:r>
      <w:r w:rsidR="0056248C" w:rsidRPr="00FC3EF9">
        <w:rPr>
          <w:b/>
          <w:sz w:val="20"/>
          <w:lang w:val="en-US"/>
        </w:rPr>
        <w:t>7</w:t>
      </w:r>
      <w:r w:rsidR="008C060A" w:rsidRPr="00FC3EF9">
        <w:rPr>
          <w:b/>
          <w:sz w:val="20"/>
          <w:lang w:val="en-US"/>
        </w:rPr>
        <w:t xml:space="preserve"> CSC 39</w:t>
      </w:r>
    </w:p>
    <w:p w:rsidR="0052229C" w:rsidRPr="00FC3EF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C64416" w:rsidRDefault="0052229C" w:rsidP="00C64416">
      <w:pPr>
        <w:widowControl w:val="0"/>
        <w:ind w:left="720" w:hanging="720"/>
        <w:rPr>
          <w:sz w:val="20"/>
          <w:szCs w:val="20"/>
          <w:u w:val="single"/>
          <w:lang w:val="en-US"/>
        </w:rPr>
      </w:pPr>
      <w:r w:rsidRPr="00C64416">
        <w:rPr>
          <w:sz w:val="20"/>
          <w:lang w:val="en-US"/>
        </w:rPr>
        <w:t>Coram:</w:t>
      </w:r>
      <w:r w:rsidRPr="00C64416">
        <w:rPr>
          <w:sz w:val="20"/>
          <w:lang w:val="en-US"/>
        </w:rPr>
        <w:tab/>
      </w:r>
      <w:proofErr w:type="spellStart"/>
      <w:r w:rsidR="00C64416" w:rsidRPr="00C64416">
        <w:rPr>
          <w:sz w:val="20"/>
          <w:szCs w:val="20"/>
          <w:u w:val="single"/>
          <w:lang w:val="en-US"/>
        </w:rPr>
        <w:t>McLachlin</w:t>
      </w:r>
      <w:proofErr w:type="spellEnd"/>
      <w:r w:rsidR="00C64416" w:rsidRPr="00C64416">
        <w:rPr>
          <w:sz w:val="20"/>
          <w:szCs w:val="20"/>
          <w:u w:val="single"/>
          <w:lang w:val="en-US"/>
        </w:rPr>
        <w:t xml:space="preserve"> C.J. and </w:t>
      </w:r>
      <w:proofErr w:type="spellStart"/>
      <w:r w:rsidR="00C64416" w:rsidRPr="00C64416">
        <w:rPr>
          <w:sz w:val="20"/>
          <w:szCs w:val="20"/>
          <w:u w:val="single"/>
          <w:lang w:val="en-US"/>
        </w:rPr>
        <w:t>Abella</w:t>
      </w:r>
      <w:proofErr w:type="spellEnd"/>
      <w:r w:rsidR="00C64416" w:rsidRPr="00C64416">
        <w:rPr>
          <w:sz w:val="20"/>
          <w:szCs w:val="20"/>
          <w:u w:val="single"/>
          <w:lang w:val="en-US"/>
        </w:rPr>
        <w:t xml:space="preserve">, </w:t>
      </w:r>
      <w:proofErr w:type="spellStart"/>
      <w:r w:rsidR="00C64416" w:rsidRPr="00C64416">
        <w:rPr>
          <w:sz w:val="20"/>
          <w:szCs w:val="20"/>
          <w:u w:val="single"/>
          <w:lang w:val="en-US"/>
        </w:rPr>
        <w:t>Moldaver</w:t>
      </w:r>
      <w:proofErr w:type="spellEnd"/>
      <w:r w:rsidR="00C64416" w:rsidRPr="00C64416">
        <w:rPr>
          <w:sz w:val="20"/>
          <w:szCs w:val="20"/>
          <w:u w:val="single"/>
          <w:lang w:val="en-US"/>
        </w:rPr>
        <w:t xml:space="preserve">, </w:t>
      </w:r>
      <w:proofErr w:type="spellStart"/>
      <w:r w:rsidR="00C64416" w:rsidRPr="00C64416">
        <w:rPr>
          <w:sz w:val="20"/>
          <w:szCs w:val="20"/>
          <w:u w:val="single"/>
          <w:lang w:val="en-US"/>
        </w:rPr>
        <w:t>Karakatsanis</w:t>
      </w:r>
      <w:proofErr w:type="spellEnd"/>
      <w:r w:rsidR="00C64416" w:rsidRPr="00C64416">
        <w:rPr>
          <w:sz w:val="20"/>
          <w:szCs w:val="20"/>
          <w:u w:val="single"/>
          <w:lang w:val="en-US"/>
        </w:rPr>
        <w:t xml:space="preserve">, Wagner, </w:t>
      </w:r>
      <w:proofErr w:type="spellStart"/>
      <w:r w:rsidR="00C64416" w:rsidRPr="00C64416">
        <w:rPr>
          <w:sz w:val="20"/>
          <w:szCs w:val="20"/>
          <w:u w:val="single"/>
          <w:lang w:val="en-US"/>
        </w:rPr>
        <w:t>Gascon</w:t>
      </w:r>
      <w:proofErr w:type="spellEnd"/>
      <w:r w:rsidR="00C64416" w:rsidRPr="00C64416">
        <w:rPr>
          <w:sz w:val="20"/>
          <w:szCs w:val="20"/>
          <w:u w:val="single"/>
          <w:lang w:val="en-US"/>
        </w:rPr>
        <w:t xml:space="preserve">, </w:t>
      </w:r>
      <w:proofErr w:type="spellStart"/>
      <w:r w:rsidR="00C64416" w:rsidRPr="00C64416">
        <w:rPr>
          <w:sz w:val="20"/>
          <w:szCs w:val="20"/>
          <w:u w:val="single"/>
          <w:lang w:val="en-US"/>
        </w:rPr>
        <w:t>Côté</w:t>
      </w:r>
      <w:proofErr w:type="spellEnd"/>
      <w:r w:rsidR="00C64416" w:rsidRPr="00C64416">
        <w:rPr>
          <w:sz w:val="20"/>
          <w:szCs w:val="20"/>
          <w:u w:val="single"/>
          <w:lang w:val="en-US"/>
        </w:rPr>
        <w:t>, Brown and Rowe JJ.</w:t>
      </w:r>
    </w:p>
    <w:p w:rsidR="00C64416" w:rsidRPr="00C64416" w:rsidRDefault="00C64416" w:rsidP="00C64416">
      <w:pPr>
        <w:widowControl w:val="0"/>
        <w:ind w:left="720" w:hanging="720"/>
        <w:rPr>
          <w:sz w:val="16"/>
          <w:u w:val="single"/>
          <w:lang w:val="en-US"/>
        </w:rPr>
      </w:pPr>
    </w:p>
    <w:p w:rsidR="00C64416" w:rsidRPr="00C64416" w:rsidRDefault="00C64416" w:rsidP="00C64416">
      <w:pPr>
        <w:jc w:val="both"/>
        <w:rPr>
          <w:sz w:val="20"/>
          <w:szCs w:val="20"/>
        </w:rPr>
      </w:pPr>
      <w:r w:rsidRPr="00C64416">
        <w:rPr>
          <w:sz w:val="20"/>
          <w:szCs w:val="20"/>
        </w:rPr>
        <w:t>The appeal from the judgment of the Court of Appeal of Quebec (Montréal), Number 500-09-024260-143, 2015 QCCA 1350, dated August 19, 2015, heard on November 29, 2016, is dismissed with costs.</w:t>
      </w:r>
    </w:p>
    <w:p w:rsidR="0052229C" w:rsidRPr="00C64416" w:rsidRDefault="0052229C" w:rsidP="0052229C">
      <w:pPr>
        <w:jc w:val="both"/>
        <w:rPr>
          <w:rFonts w:eastAsia="Calibri"/>
          <w:sz w:val="20"/>
        </w:rPr>
      </w:pPr>
    </w:p>
    <w:p w:rsidR="00C64416" w:rsidRPr="00DA47B9" w:rsidRDefault="00C64416" w:rsidP="00C64416">
      <w:pPr>
        <w:jc w:val="both"/>
        <w:rPr>
          <w:sz w:val="20"/>
          <w:szCs w:val="20"/>
          <w:lang w:val="fr-CA"/>
        </w:rPr>
      </w:pPr>
      <w:r w:rsidRPr="00C64416">
        <w:rPr>
          <w:sz w:val="20"/>
          <w:szCs w:val="20"/>
          <w:lang w:val="fr-CA"/>
        </w:rPr>
        <w:t>L’appel interjeté contre</w:t>
      </w:r>
      <w:r w:rsidRPr="00DA47B9">
        <w:rPr>
          <w:sz w:val="20"/>
          <w:szCs w:val="20"/>
          <w:lang w:val="fr-CA"/>
        </w:rPr>
        <w:t xml:space="preserve"> l’arrêt de la Cour d’appel du Québec (Montréal), numéro 500-09-024260-143, 2015 QCCA 1350, daté du 19 août 2015, entendu le 29 novembre 2016, est rejeté avec dépens.</w:t>
      </w:r>
    </w:p>
    <w:p w:rsidR="0052229C" w:rsidRPr="00C64416" w:rsidRDefault="0052229C" w:rsidP="0052229C">
      <w:pPr>
        <w:rPr>
          <w:sz w:val="20"/>
          <w:szCs w:val="20"/>
          <w:lang w:val="fr-CA"/>
        </w:rPr>
      </w:pPr>
    </w:p>
    <w:p w:rsidR="0052229C" w:rsidRPr="003B3977" w:rsidRDefault="005133CB" w:rsidP="0052229C">
      <w:pPr>
        <w:spacing w:line="0" w:lineRule="atLeast"/>
        <w:rPr>
          <w:sz w:val="20"/>
          <w:szCs w:val="20"/>
        </w:rPr>
      </w:pPr>
      <w:r>
        <w:rPr>
          <w:b/>
          <w:sz w:val="20"/>
          <w:szCs w:val="20"/>
        </w:rPr>
        <w:pict>
          <v:rect id="_x0000_i104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044AAA" w:rsidRDefault="008C060A" w:rsidP="0052229C">
      <w:pPr>
        <w:ind w:left="1440" w:hanging="1440"/>
        <w:jc w:val="both"/>
        <w:rPr>
          <w:sz w:val="20"/>
          <w:szCs w:val="20"/>
          <w:lang w:val="en-US"/>
        </w:rPr>
      </w:pPr>
      <w:proofErr w:type="spellStart"/>
      <w:r w:rsidRPr="00044AAA">
        <w:rPr>
          <w:rFonts w:eastAsia="Calibri"/>
          <w:i/>
          <w:sz w:val="20"/>
          <w:szCs w:val="20"/>
          <w:lang w:val="fr-CA"/>
        </w:rPr>
        <w:t>Andrus</w:t>
      </w:r>
      <w:proofErr w:type="spellEnd"/>
      <w:r w:rsidRPr="00044AAA">
        <w:rPr>
          <w:rFonts w:eastAsia="Calibri"/>
          <w:i/>
          <w:sz w:val="20"/>
          <w:szCs w:val="20"/>
          <w:lang w:val="fr-CA"/>
        </w:rPr>
        <w:t xml:space="preserve"> Wilson v. Ramzi Mahmoud </w:t>
      </w:r>
      <w:proofErr w:type="spellStart"/>
      <w:r w:rsidRPr="00044AAA">
        <w:rPr>
          <w:rFonts w:eastAsia="Calibri"/>
          <w:i/>
          <w:sz w:val="20"/>
          <w:szCs w:val="20"/>
          <w:lang w:val="fr-CA"/>
        </w:rPr>
        <w:t>Alharayeri</w:t>
      </w:r>
      <w:proofErr w:type="spellEnd"/>
      <w:r w:rsidRPr="00044AAA">
        <w:rPr>
          <w:rFonts w:eastAsia="Calibri"/>
          <w:i/>
          <w:sz w:val="20"/>
          <w:szCs w:val="20"/>
          <w:lang w:val="fr-CA"/>
        </w:rPr>
        <w:t xml:space="preserve"> </w:t>
      </w:r>
      <w:r w:rsidR="0052229C" w:rsidRPr="00044AAA">
        <w:rPr>
          <w:sz w:val="20"/>
          <w:szCs w:val="20"/>
          <w:lang w:val="fr-CA"/>
        </w:rPr>
        <w:t>(Q</w:t>
      </w:r>
      <w:r w:rsidRPr="00044AAA">
        <w:rPr>
          <w:sz w:val="20"/>
          <w:szCs w:val="20"/>
          <w:lang w:val="fr-CA"/>
        </w:rPr>
        <w:t>ue.</w:t>
      </w:r>
      <w:r w:rsidR="0052229C" w:rsidRPr="00044AAA">
        <w:rPr>
          <w:sz w:val="20"/>
          <w:szCs w:val="20"/>
          <w:lang w:val="fr-CA"/>
        </w:rPr>
        <w:t xml:space="preserve">) </w:t>
      </w:r>
      <w:r w:rsidR="0052229C" w:rsidRPr="00044AAA">
        <w:rPr>
          <w:sz w:val="20"/>
          <w:szCs w:val="20"/>
          <w:lang w:val="en-US"/>
        </w:rPr>
        <w:t>(</w:t>
      </w:r>
      <w:hyperlink r:id="rId48" w:history="1">
        <w:r w:rsidR="0052229C" w:rsidRPr="00044AAA">
          <w:rPr>
            <w:rStyle w:val="Hyperlink"/>
            <w:sz w:val="20"/>
            <w:szCs w:val="20"/>
            <w:lang w:val="en-US"/>
          </w:rPr>
          <w:t>3</w:t>
        </w:r>
        <w:r w:rsidRPr="00044AAA">
          <w:rPr>
            <w:rStyle w:val="Hyperlink"/>
            <w:sz w:val="20"/>
            <w:szCs w:val="20"/>
            <w:lang w:val="en-US"/>
          </w:rPr>
          <w:t>6689</w:t>
        </w:r>
      </w:hyperlink>
      <w:r w:rsidR="0052229C" w:rsidRPr="00044AAA">
        <w:rPr>
          <w:sz w:val="20"/>
          <w:szCs w:val="20"/>
          <w:lang w:val="en-US"/>
        </w:rPr>
        <w:t>)</w:t>
      </w:r>
    </w:p>
    <w:p w:rsidR="0052229C" w:rsidRPr="00044AAA" w:rsidRDefault="0052229C" w:rsidP="0052229C">
      <w:pPr>
        <w:jc w:val="both"/>
        <w:rPr>
          <w:b/>
          <w:sz w:val="20"/>
          <w:szCs w:val="20"/>
        </w:rPr>
      </w:pPr>
      <w:r w:rsidRPr="00044AAA">
        <w:rPr>
          <w:b/>
          <w:sz w:val="20"/>
          <w:szCs w:val="20"/>
        </w:rPr>
        <w:t xml:space="preserve">Indexed as:  </w:t>
      </w:r>
      <w:r w:rsidR="00044AAA" w:rsidRPr="00044AAA">
        <w:rPr>
          <w:rStyle w:val="SCCAppellantForIndexChar"/>
          <w:rFonts w:eastAsiaTheme="minorHAnsi"/>
          <w:sz w:val="20"/>
          <w:lang w:val="en-CA"/>
        </w:rPr>
        <w:t xml:space="preserve">Wilson v. </w:t>
      </w:r>
      <w:proofErr w:type="spellStart"/>
      <w:r w:rsidR="00044AAA" w:rsidRPr="00044AAA">
        <w:rPr>
          <w:rStyle w:val="SCCAppellantForIndexChar"/>
          <w:rFonts w:eastAsiaTheme="minorHAnsi"/>
          <w:sz w:val="20"/>
          <w:lang w:val="en-CA"/>
        </w:rPr>
        <w:t>Alharayeri</w:t>
      </w:r>
      <w:proofErr w:type="spellEnd"/>
      <w:r w:rsidR="00044AAA" w:rsidRPr="00044AAA">
        <w:rPr>
          <w:rStyle w:val="SCCAppellantForIndexChar"/>
          <w:rFonts w:eastAsiaTheme="minorHAnsi"/>
          <w:sz w:val="20"/>
          <w:lang w:val="en-CA"/>
        </w:rPr>
        <w:t xml:space="preserve"> </w:t>
      </w:r>
      <w:r w:rsidRPr="00044AAA">
        <w:rPr>
          <w:rStyle w:val="SCCRespondentForIndexChar"/>
          <w:rFonts w:eastAsiaTheme="minorHAnsi"/>
          <w:sz w:val="20"/>
        </w:rPr>
        <w:t xml:space="preserve">/ </w:t>
      </w:r>
      <w:proofErr w:type="spellStart"/>
      <w:proofErr w:type="gramStart"/>
      <w:r w:rsidRPr="00044AAA">
        <w:rPr>
          <w:b/>
          <w:sz w:val="20"/>
          <w:szCs w:val="20"/>
        </w:rPr>
        <w:t>Répertorié</w:t>
      </w:r>
      <w:proofErr w:type="spellEnd"/>
      <w:r w:rsidRPr="00044AAA">
        <w:rPr>
          <w:b/>
          <w:sz w:val="20"/>
          <w:szCs w:val="20"/>
        </w:rPr>
        <w:t> :</w:t>
      </w:r>
      <w:proofErr w:type="gramEnd"/>
      <w:r w:rsidRPr="00044AAA">
        <w:rPr>
          <w:b/>
          <w:sz w:val="20"/>
          <w:szCs w:val="20"/>
        </w:rPr>
        <w:t> </w:t>
      </w:r>
      <w:r w:rsidR="00044AAA" w:rsidRPr="00044AAA">
        <w:rPr>
          <w:rStyle w:val="SCCAppellantForIndexChar"/>
          <w:rFonts w:eastAsiaTheme="minorHAnsi"/>
          <w:sz w:val="20"/>
          <w:lang w:val="en-CA"/>
        </w:rPr>
        <w:t xml:space="preserve">Wilson c. </w:t>
      </w:r>
      <w:proofErr w:type="spellStart"/>
      <w:r w:rsidR="00044AAA" w:rsidRPr="00044AAA">
        <w:rPr>
          <w:rStyle w:val="SCCAppellantForIndexChar"/>
          <w:rFonts w:eastAsiaTheme="minorHAnsi"/>
          <w:sz w:val="20"/>
          <w:lang w:val="en-CA"/>
        </w:rPr>
        <w:t>Alharayeri</w:t>
      </w:r>
      <w:proofErr w:type="spellEnd"/>
    </w:p>
    <w:p w:rsidR="0052229C" w:rsidRPr="00FC3EF9" w:rsidRDefault="0052229C" w:rsidP="0052229C">
      <w:pPr>
        <w:pStyle w:val="SCCSystemYear"/>
        <w:jc w:val="both"/>
        <w:rPr>
          <w:sz w:val="20"/>
        </w:rPr>
      </w:pPr>
      <w:proofErr w:type="spellStart"/>
      <w:r w:rsidRPr="00FC3EF9">
        <w:rPr>
          <w:sz w:val="20"/>
        </w:rPr>
        <w:t>Neutral</w:t>
      </w:r>
      <w:proofErr w:type="spellEnd"/>
      <w:r w:rsidRPr="00FC3EF9">
        <w:rPr>
          <w:sz w:val="20"/>
        </w:rPr>
        <w:t xml:space="preserve"> citation</w:t>
      </w:r>
      <w:proofErr w:type="gramStart"/>
      <w:r w:rsidRPr="00FC3EF9">
        <w:rPr>
          <w:sz w:val="20"/>
        </w:rPr>
        <w:t xml:space="preserve">:  </w:t>
      </w:r>
      <w:r w:rsidR="0030050B" w:rsidRPr="00FC3EF9">
        <w:rPr>
          <w:sz w:val="20"/>
        </w:rPr>
        <w:t>201</w:t>
      </w:r>
      <w:r w:rsidR="0056248C" w:rsidRPr="00FC3EF9">
        <w:rPr>
          <w:sz w:val="20"/>
        </w:rPr>
        <w:t>7</w:t>
      </w:r>
      <w:proofErr w:type="gramEnd"/>
      <w:r w:rsidRPr="00FC3EF9">
        <w:rPr>
          <w:sz w:val="20"/>
        </w:rPr>
        <w:t xml:space="preserve"> SCC </w:t>
      </w:r>
      <w:r w:rsidR="00F56009" w:rsidRPr="00FC3EF9">
        <w:rPr>
          <w:sz w:val="20"/>
        </w:rPr>
        <w:t>39</w:t>
      </w:r>
      <w:r w:rsidRPr="00FC3EF9">
        <w:rPr>
          <w:sz w:val="20"/>
        </w:rPr>
        <w:t xml:space="preserve"> / Référence neutre : </w:t>
      </w:r>
      <w:r w:rsidR="0030050B" w:rsidRPr="00FC3EF9">
        <w:rPr>
          <w:sz w:val="20"/>
        </w:rPr>
        <w:t>201</w:t>
      </w:r>
      <w:r w:rsidR="0056248C" w:rsidRPr="00FC3EF9">
        <w:rPr>
          <w:sz w:val="20"/>
        </w:rPr>
        <w:t>7</w:t>
      </w:r>
      <w:r w:rsidR="00F56009" w:rsidRPr="00FC3EF9">
        <w:rPr>
          <w:sz w:val="20"/>
        </w:rPr>
        <w:t xml:space="preserve"> CSC 39</w:t>
      </w:r>
    </w:p>
    <w:p w:rsidR="0052229C" w:rsidRPr="00044AAA" w:rsidRDefault="0052229C" w:rsidP="0052229C">
      <w:pPr>
        <w:rPr>
          <w:rFonts w:cs="Times New Roman"/>
          <w:sz w:val="20"/>
          <w:szCs w:val="20"/>
          <w:lang w:val="fr-CA"/>
        </w:rPr>
      </w:pPr>
      <w:proofErr w:type="spellStart"/>
      <w:r w:rsidRPr="00044AAA">
        <w:rPr>
          <w:rFonts w:cs="Times New Roman"/>
          <w:sz w:val="20"/>
          <w:szCs w:val="20"/>
          <w:lang w:val="fr-CA"/>
        </w:rPr>
        <w:t>Hearing</w:t>
      </w:r>
      <w:proofErr w:type="spellEnd"/>
      <w:proofErr w:type="gramStart"/>
      <w:r w:rsidRPr="00044AAA">
        <w:rPr>
          <w:rFonts w:cs="Times New Roman"/>
          <w:sz w:val="20"/>
          <w:szCs w:val="20"/>
          <w:lang w:val="fr-CA"/>
        </w:rPr>
        <w:t xml:space="preserve">:  </w:t>
      </w:r>
      <w:proofErr w:type="spellStart"/>
      <w:r w:rsidR="00044AAA" w:rsidRPr="00044AAA">
        <w:rPr>
          <w:rFonts w:cs="Times New Roman"/>
          <w:sz w:val="20"/>
          <w:szCs w:val="20"/>
          <w:lang w:val="fr-CA"/>
        </w:rPr>
        <w:t>November</w:t>
      </w:r>
      <w:proofErr w:type="spellEnd"/>
      <w:proofErr w:type="gramEnd"/>
      <w:r w:rsidR="00044AAA" w:rsidRPr="00044AAA">
        <w:rPr>
          <w:rFonts w:cs="Times New Roman"/>
          <w:sz w:val="20"/>
          <w:szCs w:val="20"/>
          <w:lang w:val="fr-CA"/>
        </w:rPr>
        <w:t xml:space="preserve"> 29</w:t>
      </w:r>
      <w:r w:rsidRPr="00044AAA">
        <w:rPr>
          <w:rFonts w:cs="Times New Roman"/>
          <w:sz w:val="20"/>
          <w:szCs w:val="20"/>
          <w:lang w:val="fr-CA"/>
        </w:rPr>
        <w:t>, 201</w:t>
      </w:r>
      <w:r w:rsidR="0056248C" w:rsidRPr="00044AAA">
        <w:rPr>
          <w:rFonts w:cs="Times New Roman"/>
          <w:sz w:val="20"/>
          <w:szCs w:val="20"/>
          <w:lang w:val="fr-CA"/>
        </w:rPr>
        <w:t>6</w:t>
      </w:r>
      <w:r w:rsidRPr="00044AAA">
        <w:rPr>
          <w:rFonts w:cs="Times New Roman"/>
          <w:sz w:val="20"/>
          <w:szCs w:val="20"/>
          <w:lang w:val="fr-CA"/>
        </w:rPr>
        <w:t xml:space="preserve"> / </w:t>
      </w:r>
      <w:proofErr w:type="spellStart"/>
      <w:r w:rsidRPr="00044AAA">
        <w:rPr>
          <w:rFonts w:cs="Times New Roman"/>
          <w:sz w:val="20"/>
          <w:szCs w:val="20"/>
          <w:lang w:val="fr-CA"/>
        </w:rPr>
        <w:t>Judgment</w:t>
      </w:r>
      <w:proofErr w:type="spellEnd"/>
      <w:r w:rsidRPr="00044AAA">
        <w:rPr>
          <w:rFonts w:cs="Times New Roman"/>
          <w:sz w:val="20"/>
          <w:szCs w:val="20"/>
          <w:lang w:val="fr-CA"/>
        </w:rPr>
        <w:t xml:space="preserve">:  </w:t>
      </w:r>
      <w:r w:rsidR="00F56009" w:rsidRPr="00044AAA">
        <w:rPr>
          <w:rFonts w:cs="Times New Roman"/>
          <w:sz w:val="20"/>
          <w:szCs w:val="20"/>
          <w:lang w:val="fr-CA"/>
        </w:rPr>
        <w:t>July</w:t>
      </w:r>
      <w:r w:rsidRPr="00044AAA">
        <w:rPr>
          <w:rFonts w:cs="Times New Roman"/>
          <w:sz w:val="20"/>
          <w:szCs w:val="20"/>
          <w:lang w:val="fr-CA"/>
        </w:rPr>
        <w:t xml:space="preserve"> 1</w:t>
      </w:r>
      <w:r w:rsidR="0056248C" w:rsidRPr="00044AAA">
        <w:rPr>
          <w:rFonts w:cs="Times New Roman"/>
          <w:sz w:val="20"/>
          <w:szCs w:val="20"/>
          <w:lang w:val="fr-CA"/>
        </w:rPr>
        <w:t>3</w:t>
      </w:r>
      <w:r w:rsidRPr="00044AAA">
        <w:rPr>
          <w:rFonts w:cs="Times New Roman"/>
          <w:sz w:val="20"/>
          <w:szCs w:val="20"/>
          <w:lang w:val="fr-CA"/>
        </w:rPr>
        <w:t xml:space="preserve">, </w:t>
      </w:r>
      <w:r w:rsidR="0056248C" w:rsidRPr="00044AAA">
        <w:rPr>
          <w:rFonts w:cs="Times New Roman"/>
          <w:sz w:val="20"/>
          <w:szCs w:val="20"/>
          <w:lang w:val="fr-CA"/>
        </w:rPr>
        <w:t>2017</w:t>
      </w:r>
    </w:p>
    <w:p w:rsidR="0052229C" w:rsidRPr="003B3977" w:rsidRDefault="0052229C" w:rsidP="0052229C">
      <w:pPr>
        <w:rPr>
          <w:rFonts w:cs="Times New Roman"/>
          <w:sz w:val="20"/>
          <w:szCs w:val="20"/>
          <w:lang w:val="fr-CA"/>
        </w:rPr>
      </w:pPr>
      <w:r w:rsidRPr="00044AAA">
        <w:rPr>
          <w:rFonts w:cs="Times New Roman"/>
          <w:sz w:val="20"/>
          <w:szCs w:val="20"/>
          <w:lang w:val="fr-CA"/>
        </w:rPr>
        <w:t xml:space="preserve">Audition : Le </w:t>
      </w:r>
      <w:r w:rsidR="00044AAA" w:rsidRPr="00044AAA">
        <w:rPr>
          <w:rFonts w:cs="Times New Roman"/>
          <w:sz w:val="20"/>
          <w:szCs w:val="20"/>
          <w:lang w:val="fr-CA"/>
        </w:rPr>
        <w:t>29 novembre</w:t>
      </w:r>
      <w:r w:rsidRPr="00044AAA">
        <w:rPr>
          <w:rFonts w:cs="Times New Roman"/>
          <w:sz w:val="20"/>
          <w:szCs w:val="20"/>
          <w:lang w:val="fr-CA"/>
        </w:rPr>
        <w:t xml:space="preserve"> 201</w:t>
      </w:r>
      <w:r w:rsidR="0056248C" w:rsidRPr="00044AAA">
        <w:rPr>
          <w:rFonts w:cs="Times New Roman"/>
          <w:sz w:val="20"/>
          <w:szCs w:val="20"/>
          <w:lang w:val="fr-CA"/>
        </w:rPr>
        <w:t>6</w:t>
      </w:r>
      <w:r w:rsidRPr="00044AAA">
        <w:rPr>
          <w:rFonts w:cs="Times New Roman"/>
          <w:sz w:val="20"/>
          <w:szCs w:val="20"/>
          <w:lang w:val="fr-CA"/>
        </w:rPr>
        <w:t xml:space="preserve"> / Jugement : Le 1</w:t>
      </w:r>
      <w:r w:rsidR="0056248C" w:rsidRPr="00044AAA">
        <w:rPr>
          <w:rFonts w:cs="Times New Roman"/>
          <w:sz w:val="20"/>
          <w:szCs w:val="20"/>
          <w:lang w:val="fr-CA"/>
        </w:rPr>
        <w:t>3</w:t>
      </w:r>
      <w:r w:rsidRPr="00044AAA">
        <w:rPr>
          <w:rFonts w:cs="Times New Roman"/>
          <w:sz w:val="20"/>
          <w:szCs w:val="20"/>
          <w:lang w:val="fr-CA"/>
        </w:rPr>
        <w:t xml:space="preserve"> </w:t>
      </w:r>
      <w:r w:rsidR="00F56009" w:rsidRPr="00044AAA">
        <w:rPr>
          <w:rFonts w:cs="Times New Roman"/>
          <w:sz w:val="20"/>
          <w:szCs w:val="20"/>
          <w:lang w:val="fr-CA"/>
        </w:rPr>
        <w:t xml:space="preserve">juillet </w:t>
      </w:r>
      <w:r w:rsidR="0030050B" w:rsidRPr="00044AAA">
        <w:rPr>
          <w:rFonts w:cs="Times New Roman"/>
          <w:sz w:val="20"/>
          <w:szCs w:val="20"/>
          <w:lang w:val="fr-CA"/>
        </w:rPr>
        <w:t>201</w:t>
      </w:r>
      <w:r w:rsidR="0056248C" w:rsidRPr="00044AAA">
        <w:rPr>
          <w:rFonts w:cs="Times New Roman"/>
          <w:sz w:val="20"/>
          <w:szCs w:val="20"/>
          <w:lang w:val="fr-CA"/>
        </w:rPr>
        <w:t>7</w:t>
      </w:r>
    </w:p>
    <w:p w:rsidR="005C6840" w:rsidRPr="003B3977" w:rsidRDefault="005133CB"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C3EF9" w:rsidRPr="00597E01" w:rsidRDefault="00FC3EF9" w:rsidP="00FC3EF9">
      <w:pPr>
        <w:jc w:val="both"/>
        <w:rPr>
          <w:sz w:val="20"/>
          <w:szCs w:val="20"/>
        </w:rPr>
      </w:pPr>
      <w:r w:rsidRPr="00597E01">
        <w:rPr>
          <w:sz w:val="20"/>
          <w:szCs w:val="20"/>
        </w:rPr>
        <w:t xml:space="preserve">Present: </w:t>
      </w:r>
      <w:proofErr w:type="spellStart"/>
      <w:r w:rsidRPr="00597E01">
        <w:rPr>
          <w:sz w:val="20"/>
          <w:szCs w:val="20"/>
        </w:rPr>
        <w:t>McLachlin</w:t>
      </w:r>
      <w:proofErr w:type="spellEnd"/>
      <w:r w:rsidRPr="00597E01">
        <w:rPr>
          <w:sz w:val="20"/>
          <w:szCs w:val="20"/>
        </w:rPr>
        <w:t xml:space="preserve"> C.J. and </w:t>
      </w:r>
      <w:proofErr w:type="spellStart"/>
      <w:r w:rsidRPr="00597E01">
        <w:rPr>
          <w:sz w:val="20"/>
          <w:szCs w:val="20"/>
        </w:rPr>
        <w:t>Abella</w:t>
      </w:r>
      <w:proofErr w:type="spellEnd"/>
      <w:r w:rsidRPr="00597E01">
        <w:rPr>
          <w:sz w:val="20"/>
          <w:szCs w:val="20"/>
        </w:rPr>
        <w:t xml:space="preserve">, </w:t>
      </w:r>
      <w:proofErr w:type="spellStart"/>
      <w:r w:rsidRPr="00597E01">
        <w:rPr>
          <w:sz w:val="20"/>
          <w:szCs w:val="20"/>
        </w:rPr>
        <w:t>Moldaver</w:t>
      </w:r>
      <w:proofErr w:type="spellEnd"/>
      <w:r w:rsidRPr="00597E01">
        <w:rPr>
          <w:sz w:val="20"/>
          <w:szCs w:val="20"/>
        </w:rPr>
        <w:t xml:space="preserve">, </w:t>
      </w:r>
      <w:proofErr w:type="spellStart"/>
      <w:r w:rsidRPr="00597E01">
        <w:rPr>
          <w:sz w:val="20"/>
          <w:szCs w:val="20"/>
        </w:rPr>
        <w:t>Karakatsanis</w:t>
      </w:r>
      <w:proofErr w:type="spellEnd"/>
      <w:r w:rsidRPr="00597E01">
        <w:rPr>
          <w:sz w:val="20"/>
          <w:szCs w:val="20"/>
        </w:rPr>
        <w:t xml:space="preserve">, Wagner, </w:t>
      </w:r>
      <w:proofErr w:type="spellStart"/>
      <w:r w:rsidRPr="00597E01">
        <w:rPr>
          <w:sz w:val="20"/>
          <w:szCs w:val="20"/>
        </w:rPr>
        <w:t>Gascon</w:t>
      </w:r>
      <w:proofErr w:type="spellEnd"/>
      <w:r w:rsidRPr="00597E01">
        <w:rPr>
          <w:sz w:val="20"/>
          <w:szCs w:val="20"/>
        </w:rPr>
        <w:t xml:space="preserve">, </w:t>
      </w:r>
      <w:proofErr w:type="spellStart"/>
      <w:r w:rsidRPr="00597E01">
        <w:rPr>
          <w:sz w:val="20"/>
          <w:szCs w:val="20"/>
        </w:rPr>
        <w:t>Côté</w:t>
      </w:r>
      <w:proofErr w:type="spellEnd"/>
      <w:r w:rsidRPr="00597E01">
        <w:rPr>
          <w:sz w:val="20"/>
          <w:szCs w:val="20"/>
        </w:rPr>
        <w:t>, Brown and Rowe JJ.</w:t>
      </w:r>
    </w:p>
    <w:p w:rsidR="00FC3EF9" w:rsidRDefault="00FC3EF9" w:rsidP="00FC3EF9">
      <w:pPr>
        <w:pStyle w:val="SCCNormalDoubleSpacing"/>
        <w:spacing w:line="240" w:lineRule="auto"/>
        <w:rPr>
          <w:sz w:val="20"/>
        </w:rPr>
      </w:pPr>
    </w:p>
    <w:p w:rsidR="00FC3EF9" w:rsidRDefault="00FC3EF9" w:rsidP="00FC3EF9">
      <w:pPr>
        <w:pStyle w:val="SCCNormalDoubleSpacing"/>
        <w:spacing w:line="240" w:lineRule="auto"/>
        <w:rPr>
          <w:i/>
          <w:iCs/>
          <w:sz w:val="20"/>
          <w:lang w:val="en"/>
        </w:rPr>
      </w:pPr>
      <w:r w:rsidRPr="00597E01">
        <w:rPr>
          <w:sz w:val="20"/>
        </w:rPr>
        <w:tab/>
      </w:r>
      <w:r w:rsidRPr="00597E01">
        <w:rPr>
          <w:i/>
          <w:sz w:val="20"/>
        </w:rPr>
        <w:t xml:space="preserve">Commercial law </w:t>
      </w:r>
      <w:r w:rsidRPr="00597E01">
        <w:rPr>
          <w:i/>
          <w:iCs/>
          <w:sz w:val="20"/>
          <w:lang w:val="en"/>
        </w:rPr>
        <w:t xml:space="preserve">— </w:t>
      </w:r>
      <w:r w:rsidRPr="00597E01">
        <w:rPr>
          <w:i/>
          <w:sz w:val="20"/>
        </w:rPr>
        <w:t xml:space="preserve">Corporations </w:t>
      </w:r>
      <w:r w:rsidRPr="00597E01">
        <w:rPr>
          <w:i/>
          <w:iCs/>
          <w:sz w:val="20"/>
          <w:lang w:val="en"/>
        </w:rPr>
        <w:t xml:space="preserve">— </w:t>
      </w:r>
      <w:r w:rsidRPr="00597E01">
        <w:rPr>
          <w:i/>
          <w:sz w:val="20"/>
        </w:rPr>
        <w:t xml:space="preserve">Oppression </w:t>
      </w:r>
      <w:r w:rsidRPr="00597E01">
        <w:rPr>
          <w:i/>
          <w:iCs/>
          <w:sz w:val="20"/>
          <w:lang w:val="en"/>
        </w:rPr>
        <w:t>— Remedy — Criteria governing imposition of personal liability on corporate directors — Corporation’s b</w:t>
      </w:r>
      <w:proofErr w:type="spellStart"/>
      <w:r w:rsidRPr="00597E01">
        <w:rPr>
          <w:i/>
          <w:sz w:val="20"/>
        </w:rPr>
        <w:t>oard</w:t>
      </w:r>
      <w:proofErr w:type="spellEnd"/>
      <w:r w:rsidRPr="00597E01">
        <w:rPr>
          <w:i/>
          <w:sz w:val="20"/>
        </w:rPr>
        <w:t xml:space="preserve"> refusing conversion of preferred shares held by former director before issuing private placement of convertible secured notes, thereby diluting former director’s portfolio </w:t>
      </w:r>
      <w:r w:rsidRPr="00597E01">
        <w:rPr>
          <w:i/>
          <w:iCs/>
          <w:sz w:val="20"/>
          <w:lang w:val="en"/>
        </w:rPr>
        <w:t>— Discussions resulting in refusal being led at board level by director who subsequently had his preferred shares converted so as to benefit from private placement by increasing his control over corporation — Whether trial judge appropriately exercised statutory remedial powers by holding corporate directors personally liable for oppression — Whether pleadings sufficient to ground imposition of personal liability — Canada Business Corporations Act, R.S.C. 1985, c. C</w:t>
      </w:r>
      <w:r w:rsidRPr="00597E01">
        <w:rPr>
          <w:i/>
          <w:iCs/>
          <w:sz w:val="20"/>
          <w:lang w:val="en"/>
        </w:rPr>
        <w:noBreakHyphen/>
        <w:t>44, s. 241(3).</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 xml:space="preserve">From 2005 to 2007, A was the President, the Chief Executive Officer, a significant minority shareholder and a director of Wi2Wi Corporation (“Wi2Wi”). In March 2007, in negotiating the merger of Wi2Wi with another corporation, </w:t>
      </w:r>
      <w:proofErr w:type="spellStart"/>
      <w:r w:rsidRPr="00597E01">
        <w:rPr>
          <w:sz w:val="20"/>
        </w:rPr>
        <w:t>A</w:t>
      </w:r>
      <w:proofErr w:type="spellEnd"/>
      <w:r w:rsidRPr="00597E01">
        <w:rPr>
          <w:sz w:val="20"/>
        </w:rPr>
        <w:t xml:space="preserve"> also agreed to sell it some of his common shares and signed a share purchase agreement to that effect without notifying Wi2Wi’s Board. When the Board found out about the existence of the agreement, A was censured for concealing the deal and failing to disclose the potential conflict of interest. Consequently, A resigned from his functions. W, a member of Wi2Wi’s Board and audit committee, became its President and CEO. Neither the merger nor the share purchase occurred.</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 xml:space="preserve">In September 2007, in response to Wi2Wi’s continuing financial difficulties, the Board decided to issue a private placement of convertible secured notes (“Private Placement”) to its existing common shareholders. Prior to the Private Placement, the Board accelerated the conversion of Class C Convertible Preferred Shares, beneficially held by an investment company for W, into common shares. It did so despite doubts as to whether or not the financial test for C Share conversion had been met. However, A’s Class A and B Convertible Preferred Shares were never converted into common shares, notwithstanding that they met the relevant conversion tests. In Board meetings, W and another director, B, advocated against converting A’s A and B Shares on the basis of A’s conduct and involvement in the parallel share purchase negotiation when he was President. Consequently, A did not participate in the Private Placement and the value of his A and B Shares and the proportion of his common shares in Wi2Wi were substantially reduced. A then filed an application under s. 241 of the </w:t>
      </w:r>
      <w:r w:rsidRPr="00597E01">
        <w:rPr>
          <w:i/>
          <w:sz w:val="20"/>
        </w:rPr>
        <w:t>Canada Business Corporations Act</w:t>
      </w:r>
      <w:r w:rsidRPr="00597E01">
        <w:rPr>
          <w:sz w:val="20"/>
        </w:rPr>
        <w:t xml:space="preserve"> for oppression against four of Wi2Wi’s directors, including W.</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 xml:space="preserve">The trial judge granted the application in part. He held W and B </w:t>
      </w:r>
      <w:proofErr w:type="spellStart"/>
      <w:r w:rsidRPr="00597E01">
        <w:rPr>
          <w:sz w:val="20"/>
        </w:rPr>
        <w:t>solidarily</w:t>
      </w:r>
      <w:proofErr w:type="spellEnd"/>
      <w:r w:rsidRPr="00597E01">
        <w:rPr>
          <w:sz w:val="20"/>
        </w:rPr>
        <w:t xml:space="preserve"> liable for the oppression and ordered them to pay </w:t>
      </w:r>
      <w:proofErr w:type="gramStart"/>
      <w:r w:rsidRPr="00597E01">
        <w:rPr>
          <w:sz w:val="20"/>
        </w:rPr>
        <w:t>A</w:t>
      </w:r>
      <w:proofErr w:type="gramEnd"/>
      <w:r w:rsidRPr="00597E01">
        <w:rPr>
          <w:sz w:val="20"/>
        </w:rPr>
        <w:t xml:space="preserve"> compensation. The Court of Appeal dismissed W and B’s appeal. It held that the imposition of personal liability was justified and that the pleadings did not preclude it. W now appeals to the Court, challenging the trial judge’s conclusion that it was fit to hold him personally liable for the oppressive conduct.</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r>
      <w:r w:rsidRPr="00597E01">
        <w:rPr>
          <w:rStyle w:val="QuoteChar"/>
          <w:sz w:val="20"/>
        </w:rPr>
        <w:t>Held:</w:t>
      </w:r>
      <w:r w:rsidRPr="00597E01">
        <w:rPr>
          <w:sz w:val="20"/>
        </w:rPr>
        <w:t xml:space="preserve"> The appeal should be dismissed.</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 xml:space="preserve">Section 241(3) of the </w:t>
      </w:r>
      <w:r w:rsidRPr="00597E01">
        <w:rPr>
          <w:i/>
          <w:iCs/>
          <w:sz w:val="20"/>
          <w:lang w:val="en"/>
        </w:rPr>
        <w:t>Canada Business Corporations Act</w:t>
      </w:r>
      <w:r w:rsidRPr="00597E01">
        <w:rPr>
          <w:sz w:val="20"/>
        </w:rPr>
        <w:t xml:space="preserve"> gives a trial court broad discretion to “make any interim or final order it thinks fit”, before enumerating specific examples of permissible orders. Some of the examples show that the oppression remedy contemplates liability not only for the corporation, but also for other parties. However, the Act’s wording goes no further to specify when it is fit to hold directors personally liable under this section. As stated in the leading decision, </w:t>
      </w:r>
      <w:r w:rsidRPr="00597E01">
        <w:rPr>
          <w:i/>
          <w:sz w:val="20"/>
        </w:rPr>
        <w:t xml:space="preserve">Budd v. </w:t>
      </w:r>
      <w:proofErr w:type="spellStart"/>
      <w:r w:rsidRPr="00597E01">
        <w:rPr>
          <w:i/>
          <w:sz w:val="20"/>
        </w:rPr>
        <w:t>Gentra</w:t>
      </w:r>
      <w:proofErr w:type="spellEnd"/>
      <w:r w:rsidRPr="00597E01">
        <w:rPr>
          <w:i/>
          <w:sz w:val="20"/>
        </w:rPr>
        <w:t xml:space="preserve"> Inc. </w:t>
      </w:r>
      <w:r w:rsidRPr="00597E01">
        <w:rPr>
          <w:sz w:val="20"/>
        </w:rPr>
        <w:t>(1998), 43 B.L.R. (2d) 27 (Ont. C.A.), determining the personal liability of director requires a two</w:t>
      </w:r>
      <w:r w:rsidRPr="00597E01">
        <w:rPr>
          <w:sz w:val="20"/>
        </w:rPr>
        <w:noBreakHyphen/>
        <w:t xml:space="preserve">pronged approach. First, the oppressive conduct must be properly attributable to the director because of his or her implication in the oppression. Second, the imposition of personal liability must be fit in all the circumstances. </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At least four general principles should guide courts in fashioning a fit remedy under s. 241(3). First, the oppression remedy request must in itself be a fair way of dealing with the situation. It may be fair to hold a director personally liable where he or she has derived a personal benefit in the form of either an immediate financial advantage or increased control of the corporation, breached a personal duty or misused corporate power, or where a remedy against the corporation would unduly prejudice other security holders. These factors merely represent indicia of fairness. The presence of a personal benefit and bad faith remain hallmarks of conduct attracting personal liability, but like the other indicia, they do not constitute necessary conditions. The fairness principle is ultimately unamenable to formulaic exposition and must be assessed in light of all the circumstance of a particular case. Second, any order should go no further than necessary to rectify the oppression. Third, any order may serve only to vindicate the reasonable expectations of security holders, creditors, directors or officers in their capacity as corporate stakeholders. And fourth, a court should consider the general corporate law context in exercising its remedial discretion. Director liability cannot be a surrogate for other forms of statutory or common law relief, particularly where it may be more fitting in the circumstances.</w:t>
      </w:r>
    </w:p>
    <w:p w:rsidR="00FC3EF9" w:rsidRPr="00597E01" w:rsidRDefault="00FC3EF9" w:rsidP="00FC3EF9">
      <w:pPr>
        <w:pStyle w:val="SCCNormalDoubleSpacing"/>
        <w:spacing w:line="240" w:lineRule="auto"/>
        <w:rPr>
          <w:sz w:val="20"/>
          <w:lang w:val="en-US"/>
        </w:rPr>
      </w:pPr>
    </w:p>
    <w:p w:rsidR="00FC3EF9" w:rsidRDefault="00FC3EF9" w:rsidP="00FC3EF9">
      <w:pPr>
        <w:pStyle w:val="SCCNormalDoubleSpacing"/>
        <w:spacing w:line="240" w:lineRule="auto"/>
        <w:rPr>
          <w:sz w:val="20"/>
        </w:rPr>
      </w:pPr>
      <w:r w:rsidRPr="00597E01">
        <w:rPr>
          <w:sz w:val="20"/>
        </w:rPr>
        <w:tab/>
        <w:t xml:space="preserve">In this case, the trial judge appropriately exercised the remedial powers provided in s. 241(3) of the </w:t>
      </w:r>
      <w:r w:rsidRPr="00597E01">
        <w:rPr>
          <w:i/>
          <w:iCs/>
          <w:sz w:val="20"/>
          <w:lang w:val="en"/>
        </w:rPr>
        <w:t>Canada Business Corporations Act</w:t>
      </w:r>
      <w:r w:rsidRPr="00597E01">
        <w:rPr>
          <w:i/>
          <w:sz w:val="20"/>
        </w:rPr>
        <w:t xml:space="preserve"> </w:t>
      </w:r>
      <w:r w:rsidRPr="00597E01">
        <w:rPr>
          <w:sz w:val="20"/>
        </w:rPr>
        <w:t>by holding W personally liable for the oppression. W and B, the only members of the audit committee, played the lead roles in Board discussions resulting in the non</w:t>
      </w:r>
      <w:r w:rsidRPr="00597E01">
        <w:rPr>
          <w:sz w:val="20"/>
        </w:rPr>
        <w:noBreakHyphen/>
        <w:t>conversion of A’s A and B Shares, and were therefore implicated in the oppressive conduct. In addition, W accrued a personal benefit as a result of the oppressive conduct: he increased his control over Wi2Wi through the conversion of his C Shares (which was not the case for the C Shares held by others) into common shares, which allowed him to participate in the Private Placement despite issues as to whether the test for conversion had been met. This was done to the detriment of A, whose own stake in the company was diluted due to his inability to participate in the Private Placement. The remedy went no further than necessary to rectify A’s loss. The quantum of the order was fit as it corresponded to the value of the common shares prior to the Private Placement. Finally, the remedy was appropriately fashioned to vindicate A’s reasonable expectations that (1) his A and B Shares would be converted if Wi2Wi met the applicable financial tests laid out in the corporation’s articles and (2) the Board would consider his rights in any transaction impacting the A and B shares.</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A’s pleadings were also adequate to ground the imposition of personal liability. They alleged the four named directors had acted in their personal interest to the detriment of Wi2Wi and A. Specific allegations were made against the directors and accordingly, damages were sought against them personally. The appropriate response to A’s bare pleadings was a motion for particulars or discovery prior to trial, not a plea before the appellate courts.</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sz w:val="20"/>
        </w:rPr>
      </w:pPr>
      <w:r w:rsidRPr="00597E01">
        <w:rPr>
          <w:sz w:val="20"/>
        </w:rPr>
        <w:tab/>
        <w:t>APPEAL from a judgment of the Quebec Court of Appeal (</w:t>
      </w:r>
      <w:proofErr w:type="spellStart"/>
      <w:r w:rsidRPr="00597E01">
        <w:rPr>
          <w:sz w:val="20"/>
        </w:rPr>
        <w:t>Morissette</w:t>
      </w:r>
      <w:proofErr w:type="spellEnd"/>
      <w:r w:rsidRPr="00597E01">
        <w:rPr>
          <w:sz w:val="20"/>
        </w:rPr>
        <w:t>, Dufresne and Gagnon JJ.A.), 2015 QCCA 1350, 53 B.L.R. (5th) 43, [2015] AZ</w:t>
      </w:r>
      <w:r w:rsidRPr="00597E01">
        <w:rPr>
          <w:sz w:val="20"/>
        </w:rPr>
        <w:noBreakHyphen/>
      </w:r>
      <w:r w:rsidRPr="00597E01">
        <w:rPr>
          <w:sz w:val="20"/>
          <w:lang w:val="en-US"/>
        </w:rPr>
        <w:t>51207607</w:t>
      </w:r>
      <w:r w:rsidRPr="00597E01">
        <w:rPr>
          <w:sz w:val="20"/>
        </w:rPr>
        <w:t xml:space="preserve">, [2015] Q.J. No. 7670 (QL), 2015 </w:t>
      </w:r>
      <w:proofErr w:type="spellStart"/>
      <w:r w:rsidRPr="00597E01">
        <w:rPr>
          <w:sz w:val="20"/>
        </w:rPr>
        <w:t>CarswellQue</w:t>
      </w:r>
      <w:proofErr w:type="spellEnd"/>
      <w:r w:rsidRPr="00597E01">
        <w:rPr>
          <w:sz w:val="20"/>
        </w:rPr>
        <w:t xml:space="preserve"> 13380 (WL Can.), affirming a decision of Hamilton J., 2014 QCCS 180, [2014] AZ</w:t>
      </w:r>
      <w:r w:rsidRPr="00597E01">
        <w:rPr>
          <w:sz w:val="20"/>
        </w:rPr>
        <w:noBreakHyphen/>
      </w:r>
      <w:r w:rsidRPr="00597E01">
        <w:rPr>
          <w:sz w:val="20"/>
          <w:lang w:val="en-US"/>
        </w:rPr>
        <w:t>51037940</w:t>
      </w:r>
      <w:r w:rsidRPr="00597E01">
        <w:rPr>
          <w:sz w:val="20"/>
        </w:rPr>
        <w:t xml:space="preserve">, [2014] Q.J. No. 401 (QL), 2014 </w:t>
      </w:r>
      <w:proofErr w:type="spellStart"/>
      <w:r w:rsidRPr="00597E01">
        <w:rPr>
          <w:sz w:val="20"/>
        </w:rPr>
        <w:t>CarswellQue</w:t>
      </w:r>
      <w:proofErr w:type="spellEnd"/>
      <w:r w:rsidRPr="00597E01">
        <w:rPr>
          <w:sz w:val="20"/>
        </w:rPr>
        <w:t xml:space="preserve"> 419 (WL Can.). Appeal dismissed.</w:t>
      </w:r>
    </w:p>
    <w:p w:rsidR="00FC3EF9" w:rsidRPr="00597E01" w:rsidRDefault="00FC3EF9" w:rsidP="00FC3EF9">
      <w:pPr>
        <w:pStyle w:val="SCCNormalDoubleSpacing"/>
        <w:spacing w:line="240" w:lineRule="auto"/>
        <w:rPr>
          <w:sz w:val="20"/>
        </w:rPr>
      </w:pPr>
    </w:p>
    <w:p w:rsidR="00FC3EF9" w:rsidRDefault="00FC3EF9" w:rsidP="00FC3EF9">
      <w:pPr>
        <w:pStyle w:val="SCCNormalDoubleSpacing"/>
        <w:spacing w:line="240" w:lineRule="auto"/>
        <w:rPr>
          <w:rStyle w:val="SCCCounselPartyRoleChar"/>
          <w:sz w:val="20"/>
        </w:rPr>
      </w:pPr>
      <w:r w:rsidRPr="00597E01">
        <w:rPr>
          <w:rStyle w:val="SCCCounselNameChar"/>
          <w:sz w:val="20"/>
        </w:rPr>
        <w:tab/>
        <w:t>Terrence J. O’Sullivan</w:t>
      </w:r>
      <w:r w:rsidRPr="00FC3EF9">
        <w:rPr>
          <w:rStyle w:val="SCCCounselSeparatorChar"/>
          <w:rFonts w:eastAsia="Calibri"/>
          <w:sz w:val="20"/>
          <w:lang w:val="en-US"/>
        </w:rPr>
        <w:t xml:space="preserve">, </w:t>
      </w:r>
      <w:r w:rsidRPr="00597E01">
        <w:rPr>
          <w:rStyle w:val="SCCCounselNameChar"/>
          <w:sz w:val="20"/>
        </w:rPr>
        <w:t xml:space="preserve">Paul </w:t>
      </w:r>
      <w:proofErr w:type="spellStart"/>
      <w:r w:rsidRPr="00597E01">
        <w:rPr>
          <w:rStyle w:val="SCCCounselNameChar"/>
          <w:sz w:val="20"/>
        </w:rPr>
        <w:t>Michell</w:t>
      </w:r>
      <w:proofErr w:type="spellEnd"/>
      <w:r w:rsidRPr="00FC3EF9">
        <w:rPr>
          <w:rStyle w:val="SCCCounselSeparatorChar"/>
          <w:rFonts w:eastAsia="Calibri"/>
          <w:sz w:val="20"/>
          <w:lang w:val="en-US"/>
        </w:rPr>
        <w:t xml:space="preserve"> and </w:t>
      </w:r>
      <w:r w:rsidRPr="00597E01">
        <w:rPr>
          <w:rStyle w:val="SCCCounselNameChar"/>
          <w:sz w:val="20"/>
        </w:rPr>
        <w:t>Zain Naqi</w:t>
      </w:r>
      <w:r w:rsidRPr="00597E01">
        <w:rPr>
          <w:rStyle w:val="SCCCounselPartyRoleChar"/>
          <w:sz w:val="20"/>
        </w:rPr>
        <w:t>, for the appellant.</w:t>
      </w:r>
    </w:p>
    <w:p w:rsidR="00FC3EF9" w:rsidRPr="00597E01" w:rsidRDefault="00FC3EF9" w:rsidP="00FC3EF9">
      <w:pPr>
        <w:pStyle w:val="SCCNormalDoubleSpacing"/>
        <w:spacing w:line="240" w:lineRule="auto"/>
        <w:rPr>
          <w:sz w:val="20"/>
        </w:rPr>
      </w:pPr>
    </w:p>
    <w:p w:rsidR="00FC3EF9" w:rsidRPr="00597E01" w:rsidRDefault="00FC3EF9" w:rsidP="00FC3EF9">
      <w:pPr>
        <w:pStyle w:val="SCCNormalDoubleSpacing"/>
        <w:spacing w:line="240" w:lineRule="auto"/>
        <w:rPr>
          <w:sz w:val="20"/>
        </w:rPr>
      </w:pPr>
      <w:r w:rsidRPr="00597E01">
        <w:rPr>
          <w:rStyle w:val="SCCCounselNameChar"/>
          <w:sz w:val="20"/>
        </w:rPr>
        <w:tab/>
        <w:t>Douglas C. Mitchell</w:t>
      </w:r>
      <w:r w:rsidRPr="00FC3EF9">
        <w:rPr>
          <w:rStyle w:val="SCCCounselSeparatorChar"/>
          <w:rFonts w:eastAsia="Calibri"/>
          <w:sz w:val="20"/>
          <w:lang w:val="en-US"/>
        </w:rPr>
        <w:t xml:space="preserve"> and </w:t>
      </w:r>
      <w:r w:rsidRPr="00597E01">
        <w:rPr>
          <w:rStyle w:val="SCCCounselNameChar"/>
          <w:sz w:val="20"/>
        </w:rPr>
        <w:t>Emma Lambert</w:t>
      </w:r>
      <w:r w:rsidRPr="00597E01">
        <w:rPr>
          <w:rStyle w:val="SCCCounselPartyRoleChar"/>
          <w:sz w:val="20"/>
        </w:rPr>
        <w:t>, for the respondent.</w:t>
      </w:r>
    </w:p>
    <w:p w:rsidR="00FC3EF9" w:rsidRDefault="00FC3EF9" w:rsidP="00FC3EF9">
      <w:pPr>
        <w:pStyle w:val="SCCNormalDoubleSpacing"/>
        <w:spacing w:line="240" w:lineRule="auto"/>
        <w:rPr>
          <w:sz w:val="20"/>
        </w:rPr>
      </w:pPr>
    </w:p>
    <w:p w:rsidR="0052229C" w:rsidRPr="00FC3EF9" w:rsidRDefault="0052229C" w:rsidP="0052229C">
      <w:pPr>
        <w:rPr>
          <w:rFonts w:cs="Times New Roman"/>
          <w:sz w:val="20"/>
          <w:szCs w:val="20"/>
          <w:lang w:val="fr-CA"/>
        </w:rPr>
      </w:pPr>
      <w:r w:rsidRPr="00FC3EF9">
        <w:rPr>
          <w:rFonts w:cs="Times New Roman"/>
          <w:sz w:val="20"/>
          <w:szCs w:val="20"/>
          <w:lang w:val="fr-CA"/>
        </w:rPr>
        <w:t>________________________</w:t>
      </w:r>
    </w:p>
    <w:p w:rsidR="0052229C" w:rsidRPr="00FC3EF9" w:rsidRDefault="0052229C" w:rsidP="0052229C">
      <w:pPr>
        <w:rPr>
          <w:rFonts w:cs="Times New Roman"/>
          <w:sz w:val="20"/>
          <w:szCs w:val="20"/>
          <w:lang w:val="fr-CA"/>
        </w:rPr>
      </w:pPr>
    </w:p>
    <w:p w:rsidR="00FC3EF9" w:rsidRPr="00DD171A" w:rsidRDefault="00FC3EF9" w:rsidP="00FC3EF9">
      <w:pPr>
        <w:jc w:val="both"/>
        <w:rPr>
          <w:sz w:val="20"/>
          <w:szCs w:val="20"/>
          <w:lang w:val="fr-CA"/>
        </w:rPr>
      </w:pPr>
      <w:r w:rsidRPr="00DD171A">
        <w:rPr>
          <w:sz w:val="20"/>
          <w:szCs w:val="20"/>
          <w:lang w:val="fr-CA"/>
        </w:rPr>
        <w:t xml:space="preserve">Présents : La juge en chef </w:t>
      </w:r>
      <w:proofErr w:type="spellStart"/>
      <w:r w:rsidRPr="00DD171A">
        <w:rPr>
          <w:sz w:val="20"/>
          <w:szCs w:val="20"/>
          <w:lang w:val="fr-CA"/>
        </w:rPr>
        <w:t>McLachlin</w:t>
      </w:r>
      <w:proofErr w:type="spellEnd"/>
      <w:r w:rsidRPr="00DD171A">
        <w:rPr>
          <w:sz w:val="20"/>
          <w:szCs w:val="20"/>
          <w:lang w:val="fr-CA"/>
        </w:rPr>
        <w:t xml:space="preserve"> et les juges Abella, </w:t>
      </w:r>
      <w:proofErr w:type="spellStart"/>
      <w:r w:rsidRPr="00DD171A">
        <w:rPr>
          <w:sz w:val="20"/>
          <w:szCs w:val="20"/>
          <w:lang w:val="fr-CA"/>
        </w:rPr>
        <w:t>Moldaver</w:t>
      </w:r>
      <w:proofErr w:type="spellEnd"/>
      <w:r w:rsidRPr="00DD171A">
        <w:rPr>
          <w:sz w:val="20"/>
          <w:szCs w:val="20"/>
          <w:lang w:val="fr-CA"/>
        </w:rPr>
        <w:t xml:space="preserve">, </w:t>
      </w:r>
      <w:proofErr w:type="spellStart"/>
      <w:r w:rsidRPr="00DD171A">
        <w:rPr>
          <w:sz w:val="20"/>
          <w:szCs w:val="20"/>
          <w:lang w:val="fr-CA"/>
        </w:rPr>
        <w:t>Karakatsanis</w:t>
      </w:r>
      <w:proofErr w:type="spellEnd"/>
      <w:r w:rsidRPr="00DD171A">
        <w:rPr>
          <w:sz w:val="20"/>
          <w:szCs w:val="20"/>
          <w:lang w:val="fr-CA"/>
        </w:rPr>
        <w:t>, Wagner, Gascon, Côté, Brown et Rowe.</w:t>
      </w:r>
    </w:p>
    <w:p w:rsidR="00FC3EF9"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i/>
          <w:iCs/>
          <w:sz w:val="20"/>
          <w:lang w:val="fr-CA"/>
        </w:rPr>
      </w:pPr>
      <w:r w:rsidRPr="00DD171A">
        <w:rPr>
          <w:sz w:val="20"/>
          <w:lang w:val="fr-CA"/>
        </w:rPr>
        <w:tab/>
      </w:r>
      <w:r w:rsidRPr="00DD171A">
        <w:rPr>
          <w:i/>
          <w:sz w:val="20"/>
          <w:lang w:val="fr-CA"/>
        </w:rPr>
        <w:t xml:space="preserve">Droit commercial </w:t>
      </w:r>
      <w:r w:rsidRPr="00DD171A">
        <w:rPr>
          <w:i/>
          <w:iCs/>
          <w:sz w:val="20"/>
          <w:lang w:val="fr-CA"/>
        </w:rPr>
        <w:t>— Sociétés par actions</w:t>
      </w:r>
      <w:r w:rsidRPr="00DD171A">
        <w:rPr>
          <w:i/>
          <w:sz w:val="20"/>
          <w:lang w:val="fr-CA"/>
        </w:rPr>
        <w:t xml:space="preserve"> </w:t>
      </w:r>
      <w:r w:rsidRPr="00DD171A">
        <w:rPr>
          <w:i/>
          <w:iCs/>
          <w:sz w:val="20"/>
          <w:lang w:val="fr-CA"/>
        </w:rPr>
        <w:t>— Abus</w:t>
      </w:r>
      <w:r w:rsidRPr="00DD171A">
        <w:rPr>
          <w:i/>
          <w:sz w:val="20"/>
          <w:lang w:val="fr-CA"/>
        </w:rPr>
        <w:t xml:space="preserve"> </w:t>
      </w:r>
      <w:r w:rsidRPr="00DD171A">
        <w:rPr>
          <w:i/>
          <w:iCs/>
          <w:sz w:val="20"/>
          <w:lang w:val="fr-CA"/>
        </w:rPr>
        <w:t xml:space="preserve">— Réparation — Critères régissant l’imposition d’une responsabilité personnelle à des administrateurs d’une société — Refus du conseil d’administration de la société de permettre la conversion des actions privilégiées détenues par un ancien administrateur avant de procéder à un placement privé de </w:t>
      </w:r>
      <w:r w:rsidRPr="00DD171A">
        <w:rPr>
          <w:i/>
          <w:sz w:val="20"/>
          <w:lang w:val="fr-CA"/>
        </w:rPr>
        <w:t xml:space="preserve">billets garantis convertibles, diluant ainsi le portefeuille de l’ancien administrateur </w:t>
      </w:r>
      <w:r w:rsidRPr="00DD171A">
        <w:rPr>
          <w:i/>
          <w:iCs/>
          <w:sz w:val="20"/>
          <w:lang w:val="fr-CA"/>
        </w:rPr>
        <w:t xml:space="preserve">— Discussions au conseil d’administration ayant donné lieu au refus dirigées par un administrateur dont les actions privilégiées ont par la suite été converties de sorte qu’il puisse retirer un bénéfice personnel du placement privé en augmentant son contrôle sur la société — Le juge du procès </w:t>
      </w:r>
      <w:proofErr w:type="spellStart"/>
      <w:r w:rsidRPr="00DD171A">
        <w:rPr>
          <w:i/>
          <w:iCs/>
          <w:sz w:val="20"/>
          <w:lang w:val="fr-CA"/>
        </w:rPr>
        <w:t>a</w:t>
      </w:r>
      <w:r w:rsidRPr="00DD171A">
        <w:rPr>
          <w:i/>
          <w:iCs/>
          <w:sz w:val="20"/>
          <w:lang w:val="fr-CA"/>
        </w:rPr>
        <w:noBreakHyphen/>
        <w:t>t</w:t>
      </w:r>
      <w:r w:rsidRPr="00DD171A">
        <w:rPr>
          <w:i/>
          <w:iCs/>
          <w:sz w:val="20"/>
          <w:lang w:val="fr-CA"/>
        </w:rPr>
        <w:noBreakHyphen/>
        <w:t>il</w:t>
      </w:r>
      <w:proofErr w:type="spellEnd"/>
      <w:r w:rsidRPr="00DD171A">
        <w:rPr>
          <w:i/>
          <w:iCs/>
          <w:sz w:val="20"/>
          <w:lang w:val="fr-CA"/>
        </w:rPr>
        <w:t xml:space="preserve"> </w:t>
      </w:r>
      <w:r w:rsidRPr="00DD171A">
        <w:rPr>
          <w:i/>
          <w:sz w:val="20"/>
          <w:lang w:val="fr-CA"/>
        </w:rPr>
        <w:t xml:space="preserve">correctement exercé les pouvoirs de réparation prévus dans la loi en concluant que </w:t>
      </w:r>
      <w:r w:rsidRPr="00DD171A">
        <w:rPr>
          <w:i/>
          <w:sz w:val="20"/>
          <w:lang w:val="fr-CA"/>
        </w:rPr>
        <w:lastRenderedPageBreak/>
        <w:t xml:space="preserve">les administrateurs de la société étaient personnellement responsables de l’abus? </w:t>
      </w:r>
      <w:r w:rsidRPr="00DD171A">
        <w:rPr>
          <w:i/>
          <w:iCs/>
          <w:sz w:val="20"/>
          <w:lang w:val="fr-CA"/>
        </w:rPr>
        <w:t>— Les actes de procédure étaient</w:t>
      </w:r>
      <w:r w:rsidRPr="00DD171A">
        <w:rPr>
          <w:i/>
          <w:iCs/>
          <w:sz w:val="20"/>
          <w:lang w:val="fr-CA"/>
        </w:rPr>
        <w:noBreakHyphen/>
        <w:t>ils suffisants pour justifier l’imposition d’une responsabilité personnelle? — Loi canadienne sur les sociétés par actions, L.R.C. 1985, c. C</w:t>
      </w:r>
      <w:r w:rsidRPr="00DD171A">
        <w:rPr>
          <w:i/>
          <w:iCs/>
          <w:sz w:val="20"/>
          <w:lang w:val="fr-CA"/>
        </w:rPr>
        <w:noBreakHyphen/>
        <w:t>44, art. 241(3).</w:t>
      </w:r>
    </w:p>
    <w:p w:rsidR="00FC3EF9" w:rsidRPr="00DD171A" w:rsidRDefault="00FC3EF9" w:rsidP="00FC3EF9">
      <w:pPr>
        <w:pStyle w:val="SCCNormalDoubleSpacing"/>
        <w:spacing w:line="240" w:lineRule="auto"/>
        <w:rPr>
          <w:i/>
          <w:iCs/>
          <w:sz w:val="20"/>
          <w:lang w:val="fr-CA"/>
        </w:rPr>
      </w:pPr>
    </w:p>
    <w:p w:rsidR="00FC3EF9" w:rsidRDefault="00FC3EF9" w:rsidP="00FC3EF9">
      <w:pPr>
        <w:pStyle w:val="SCCNormalDoubleSpacing"/>
        <w:spacing w:line="240" w:lineRule="auto"/>
        <w:rPr>
          <w:sz w:val="20"/>
          <w:lang w:val="fr-CA"/>
        </w:rPr>
      </w:pPr>
      <w:r w:rsidRPr="00DD171A">
        <w:rPr>
          <w:sz w:val="20"/>
          <w:lang w:val="fr-CA"/>
        </w:rPr>
        <w:tab/>
        <w:t xml:space="preserve">De 2005 à 2007, A était président, chef de la direction, actionnaire minoritaire important et administrateur de Wi2Wi Corporation (« Wi2Wi »). En mars 2007, tout en négociant la fusion de Wi2Wi avec une autre entreprise, A </w:t>
      </w:r>
      <w:proofErr w:type="spellStart"/>
      <w:r w:rsidRPr="00DD171A">
        <w:rPr>
          <w:sz w:val="20"/>
          <w:lang w:val="fr-CA"/>
        </w:rPr>
        <w:t>a</w:t>
      </w:r>
      <w:proofErr w:type="spellEnd"/>
      <w:r w:rsidRPr="00DD171A">
        <w:rPr>
          <w:sz w:val="20"/>
          <w:lang w:val="fr-CA"/>
        </w:rPr>
        <w:t xml:space="preserve"> également convenu de vendre à cette dernière certaines de ses actions ordinaires et a signé une convention d’achat d’actions à cet égard sans en aviser le conseil d’administration de Wi2Wi. Lorsqu’il a eu vent de l’existence de cette convention, le conseil d’administration de la société a reproché à A d’avoir caché l’entente et omis de divulguer le conflit d’intérêts potentiel. En conséquence, A </w:t>
      </w:r>
      <w:proofErr w:type="spellStart"/>
      <w:r w:rsidRPr="00DD171A">
        <w:rPr>
          <w:sz w:val="20"/>
          <w:lang w:val="fr-CA"/>
        </w:rPr>
        <w:t>a</w:t>
      </w:r>
      <w:proofErr w:type="spellEnd"/>
      <w:r w:rsidRPr="00DD171A">
        <w:rPr>
          <w:sz w:val="20"/>
          <w:lang w:val="fr-CA"/>
        </w:rPr>
        <w:t xml:space="preserve"> démissionné de ses fonctions. W, qui était membre du conseil d’administration et du comité de vérification de Wi2Wi, est devenu président et chef de la direction de la société. Ni la fusion ni l’achat d’actions n’ont eu lieu.</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 xml:space="preserve">En septembre 2007, en raison des difficultés financières persistantes de Wi2Wi, son conseil d’administration a décidé d’offrir à ses détenteurs d’actions ordinaires des billets garantis convertibles dans le cadre d’un placement privé (« Placement privé »). Avant le Placement privé, le conseil d’administration a accéléré la conversion en actions ordinaires des actions privilégiées de catégorie C convertibles dont une société d’investissement était détentrice au bénéfice de W, et ce, malgré les doutes quant au respect du test financier relatif à la conversion de ces actions de catégories C. Cependant, les actions privilégiées de catégorie A et B convertibles n’ont quant à elles jamais été converties en actions ordinaires, même si les tests relatifs à la conversion étaient respectés. Lors des réunions du conseil d’administration, W et un autre administrateur, B, ont exprimé des doutes sur l’opportunité de permettre la conversion des actions A et B de A, étant donné sa conduite et les négociations parallèles d’achat d’actions qu’il avait menées alors qu’il était président. En conséquence, A n’a pas participé au Placement privé et la valeur de ses actions A et B et la proportion des actions ordinaires qu’il possédait dans Wi2Wi ont considérablement diminué. A </w:t>
      </w:r>
      <w:proofErr w:type="spellStart"/>
      <w:r w:rsidRPr="00DD171A">
        <w:rPr>
          <w:sz w:val="20"/>
          <w:lang w:val="fr-CA"/>
        </w:rPr>
        <w:t>a</w:t>
      </w:r>
      <w:proofErr w:type="spellEnd"/>
      <w:r w:rsidRPr="00DD171A">
        <w:rPr>
          <w:sz w:val="20"/>
          <w:lang w:val="fr-CA"/>
        </w:rPr>
        <w:t xml:space="preserve"> ensuite déposé une demande de redressement pour abus en vertu de l’art. 241 de la </w:t>
      </w:r>
      <w:r w:rsidRPr="00DD171A">
        <w:rPr>
          <w:i/>
          <w:sz w:val="20"/>
          <w:lang w:val="fr-CA"/>
        </w:rPr>
        <w:t>Loi canadienne sur les sociétés par actions,</w:t>
      </w:r>
      <w:r w:rsidRPr="00DD171A">
        <w:rPr>
          <w:sz w:val="20"/>
          <w:lang w:val="fr-CA"/>
        </w:rPr>
        <w:t xml:space="preserve"> et ce, contre quatre des administrateurs de la société, dont W.</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Le juge du procès a accueilli la demande en partie. Il a conclu que W et B étaient solidairement responsables de l’abus et les a condamnés à payer à A une indemnité. La Cour d’appel a rejeté l’appel interjeté par W et B. Elle a conclu que l’imposition d’une responsabilité personnelle était justifiée et que les actes de procédure ne l’empêchaient pas. W se pourvoit maintenant devant la Cour et conteste la conclusion du juge du procès qu’il était pertinent de le tenir personnellement responsable de l’abus.</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r>
      <w:r w:rsidRPr="00DD171A">
        <w:rPr>
          <w:rStyle w:val="QuoteChar"/>
          <w:sz w:val="20"/>
          <w:lang w:val="fr-CA"/>
        </w:rPr>
        <w:t>Arrêt :</w:t>
      </w:r>
      <w:r w:rsidRPr="00DD171A">
        <w:rPr>
          <w:sz w:val="20"/>
          <w:lang w:val="fr-CA"/>
        </w:rPr>
        <w:t xml:space="preserve"> Le pourvoi est rejeté.</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 xml:space="preserve">Le paragraphe 241(3) de la </w:t>
      </w:r>
      <w:r w:rsidRPr="00DD171A">
        <w:rPr>
          <w:i/>
          <w:sz w:val="20"/>
          <w:lang w:val="fr-CA"/>
        </w:rPr>
        <w:t>Loi canadienne sur les sociétés par actions</w:t>
      </w:r>
      <w:r w:rsidRPr="00DD171A">
        <w:rPr>
          <w:sz w:val="20"/>
          <w:lang w:val="fr-CA"/>
        </w:rPr>
        <w:t xml:space="preserve"> confère au juge du procès un large pouvoir discrétionnaire pour « rendre les ordonnances provisoires ou définitives qu’il estime pertinentes », puis énumère des exemples précis d’ordonnances possibles. Certains des exemples montrent que le redressement pour abus vise non seulement la responsabilité de la société en cause, mais aussi celle d’autres parties. Cependant, le libellé de la Loi ne précise pas dans quelles circonstances il est justifié que les administrateurs soient tenus personnellement responsables en application de cette disposition. Comme il est indiqué dans l’arrêt de principe,</w:t>
      </w:r>
      <w:r w:rsidRPr="00DD171A">
        <w:rPr>
          <w:i/>
          <w:sz w:val="20"/>
          <w:lang w:val="fr-CA"/>
        </w:rPr>
        <w:t xml:space="preserve"> </w:t>
      </w:r>
      <w:proofErr w:type="spellStart"/>
      <w:r w:rsidRPr="00DD171A">
        <w:rPr>
          <w:i/>
          <w:sz w:val="20"/>
          <w:lang w:val="fr-CA"/>
        </w:rPr>
        <w:t>Budd</w:t>
      </w:r>
      <w:proofErr w:type="spellEnd"/>
      <w:r w:rsidRPr="00DD171A">
        <w:rPr>
          <w:i/>
          <w:sz w:val="20"/>
          <w:lang w:val="fr-CA"/>
        </w:rPr>
        <w:t xml:space="preserve"> c. </w:t>
      </w:r>
      <w:proofErr w:type="spellStart"/>
      <w:r w:rsidRPr="00DD171A">
        <w:rPr>
          <w:i/>
          <w:sz w:val="20"/>
          <w:lang w:val="fr-CA"/>
        </w:rPr>
        <w:t>Gentra</w:t>
      </w:r>
      <w:proofErr w:type="spellEnd"/>
      <w:r w:rsidRPr="00DD171A">
        <w:rPr>
          <w:i/>
          <w:sz w:val="20"/>
          <w:lang w:val="fr-CA"/>
        </w:rPr>
        <w:t xml:space="preserve"> Inc. </w:t>
      </w:r>
      <w:r w:rsidRPr="00DD171A">
        <w:rPr>
          <w:sz w:val="20"/>
          <w:lang w:val="fr-CA"/>
        </w:rPr>
        <w:t xml:space="preserve">(1998), 43 B.L.R. (2d) 27 (C.A. Ont.), il faut appliquer un test à deux volets pour déterminer s’il y a responsabilité personnelle d’un administrateur. D’abord, la conduite abusive doit être véritablement attribuable à l’administrateur en raison de son implication dans l’abus. Ensuite, l’imposition d’une responsabilité personnelle doit être pertinente compte tenu de toutes les circonstances. </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Au moins quatre principes généraux devraient guider les cours lorsqu’elles sont appelées à façonner une ordonnance pertinente en application du par. 241(3). Premièrement, la demande de redressement en cas d’abus doit en soi constituer une façon équitable de régler la situation. Il peut être équitable de tenir un administrateur personnellement responsable lorsque celui</w:t>
      </w:r>
      <w:r w:rsidRPr="00DD171A">
        <w:rPr>
          <w:sz w:val="20"/>
          <w:lang w:val="fr-CA"/>
        </w:rPr>
        <w:noBreakHyphen/>
        <w:t xml:space="preserve">ci a retiré un bénéfice personnel, que ce soit sous la forme d’un avantage financier immédiat ou d’un contrôle accru de la société, a manqué à une obligation personnelle ou a abusé d’un pouvoir de la société, ou lorsqu’une condamnation de la société porterait indûment préjudice à d’autres détenteurs de valeurs mobilières. Ces facteurs constituent simplement des indices de ce que l’équité requière. L’existence d’un bénéfice personnel et la présence </w:t>
      </w:r>
      <w:r w:rsidRPr="00DD171A">
        <w:rPr>
          <w:sz w:val="20"/>
          <w:lang w:val="fr-CA"/>
        </w:rPr>
        <w:lastRenderedPageBreak/>
        <w:t xml:space="preserve">de mauvaise foi demeurent des signes révélateurs d’une conduite susceptible d’engager une responsabilité personnelle, mais à l’instar des autres indices, ce ne sont pas des conditions nécessaires. Le principe de l’équité est en fait réfractaire aux formules et doit être évalué cas par cas en tenant compte de l’ensemble des circonstances. Deuxièmement, l’ordonnance rendue ne devrait pas accorder plus que ce qui est nécessaire pour réparer l’abus. Troisièmement, l’ordonnance rendue peut uniquement servir à répondre aux attentes raisonnables des détenteurs de valeurs mobilières, créanciers, administrateurs ou dirigeants en leur qualité de parties intéressées de la société. Et quatrièmement, dans l’exercice de leur pouvoir discrétionnaire en matière de réparation, les tribunaux devraient tenir compte du contexte général du droit des sociétés. La condamnation d’un administrateur ne peut constituer un substitut pour d’autres formes de réparations prévues par la loi ou la </w:t>
      </w:r>
      <w:proofErr w:type="spellStart"/>
      <w:r w:rsidRPr="00DD171A">
        <w:rPr>
          <w:sz w:val="20"/>
          <w:lang w:val="fr-CA"/>
        </w:rPr>
        <w:t>common</w:t>
      </w:r>
      <w:proofErr w:type="spellEnd"/>
      <w:r w:rsidRPr="00DD171A">
        <w:rPr>
          <w:sz w:val="20"/>
          <w:lang w:val="fr-CA"/>
        </w:rPr>
        <w:t xml:space="preserve"> </w:t>
      </w:r>
      <w:proofErr w:type="spellStart"/>
      <w:r w:rsidRPr="00DD171A">
        <w:rPr>
          <w:sz w:val="20"/>
          <w:lang w:val="fr-CA"/>
        </w:rPr>
        <w:t>law</w:t>
      </w:r>
      <w:proofErr w:type="spellEnd"/>
      <w:r w:rsidRPr="00DD171A">
        <w:rPr>
          <w:sz w:val="20"/>
          <w:lang w:val="fr-CA"/>
        </w:rPr>
        <w:t>, particulièrement lorsque ces autres réparations seraient plus pertinentes eu égard aux circonstances.</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 xml:space="preserve">En l’espèce, le juge du procès a correctement exercé les pouvoirs de réparation prévus au </w:t>
      </w:r>
      <w:proofErr w:type="spellStart"/>
      <w:r w:rsidRPr="00DD171A">
        <w:rPr>
          <w:sz w:val="20"/>
          <w:lang w:val="fr-CA"/>
        </w:rPr>
        <w:t>par</w:t>
      </w:r>
      <w:proofErr w:type="spellEnd"/>
      <w:r w:rsidRPr="00DD171A">
        <w:rPr>
          <w:sz w:val="20"/>
          <w:lang w:val="fr-CA"/>
        </w:rPr>
        <w:t xml:space="preserve">. 241(3) de la </w:t>
      </w:r>
      <w:r w:rsidRPr="00DD171A">
        <w:rPr>
          <w:i/>
          <w:sz w:val="20"/>
          <w:lang w:val="fr-CA"/>
        </w:rPr>
        <w:t>Loi canadienne sur les sociétés par actions</w:t>
      </w:r>
      <w:r w:rsidRPr="00DD171A">
        <w:rPr>
          <w:sz w:val="20"/>
          <w:lang w:val="fr-CA"/>
        </w:rPr>
        <w:t xml:space="preserve"> en concluant que W était personnellement responsable de l’abus. W et B, les seuls membres du comité de vérification, ont joué un rôle prépondérant dans les discussions du conseil d’administration ayant mené à la non</w:t>
      </w:r>
      <w:r w:rsidRPr="00DD171A">
        <w:rPr>
          <w:sz w:val="20"/>
          <w:lang w:val="fr-CA"/>
        </w:rPr>
        <w:noBreakHyphen/>
        <w:t>conversion des actions A et B de A et ont donc été impliqués dans la conduite abusive. De plus, l’abus a procuré un avantage personnel à W, soit son contrôle accru sur Wi2Wi grâce à la conversion de ses actions C (mais pas des actions C détenues par d’autres) en actions ordinaires, ce qui lui a permis de participer au Placement privé, et ce, malgré l’existence de doutes quant au respect du test relatif à la conversion. Cela s’est fait au détriment de A, dont les propres intérêts dans l’entreprise ont été dilués en raison de son incapacité à participer au Placement privé. La réparation n’a pas accordé plus que ce qui était nécessaire pour remédier à la perte de A. Le montant de l’ordonnance était approprié, puisqu’il correspondait à la valeur des actions ordinaires avant le Placement privé. Enfin, la réparation a été adéquatement élaborée eu égard aux attentes raisonnables de A selon lesquelles 1) ses actions A et B seront converties si la société satisfaisait aux tests financiers applicables établis dans les statuts de la société, et 2) le conseil d’administration tiendra compte de ses droits lors de toute opération ayant une incidence sur les actions A et B.</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DD171A">
        <w:rPr>
          <w:sz w:val="20"/>
          <w:lang w:val="fr-CA"/>
        </w:rPr>
        <w:tab/>
        <w:t xml:space="preserve">Les actes de procédure de A étaient par ailleurs suffisants pour fonder l’imposition d’une responsabilité personnelle. A </w:t>
      </w:r>
      <w:proofErr w:type="spellStart"/>
      <w:r w:rsidRPr="00DD171A">
        <w:rPr>
          <w:sz w:val="20"/>
          <w:lang w:val="fr-CA"/>
        </w:rPr>
        <w:t>a</w:t>
      </w:r>
      <w:proofErr w:type="spellEnd"/>
      <w:r w:rsidRPr="00DD171A">
        <w:rPr>
          <w:sz w:val="20"/>
          <w:lang w:val="fr-CA"/>
        </w:rPr>
        <w:t xml:space="preserve"> allégué que les quatre administrateurs désignés ont agi dans leur intérêt personnel et au détriment de Wi2Wi et de A. Ce dernier a fait des allégations précises contre les administrateurs et, en conséquence, il a demandé qu’ils soient condamnés personnellement à verser des dommages</w:t>
      </w:r>
      <w:r w:rsidRPr="00DD171A">
        <w:rPr>
          <w:sz w:val="20"/>
          <w:lang w:val="fr-CA"/>
        </w:rPr>
        <w:noBreakHyphen/>
        <w:t>intérêts. La réponse la plus appropriée aux actes de procédure minimaux produits par A était une requête pour précisions ou un interrogatoire au préalable, et non un plaidoyer devant les cours d’appel.</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sz w:val="20"/>
          <w:lang w:val="fr-CA"/>
        </w:rPr>
      </w:pPr>
      <w:r w:rsidRPr="00FC3EF9">
        <w:rPr>
          <w:sz w:val="20"/>
          <w:lang w:val="fr-CA"/>
        </w:rPr>
        <w:tab/>
      </w:r>
      <w:r w:rsidRPr="00DD171A">
        <w:rPr>
          <w:sz w:val="20"/>
          <w:lang w:val="fr-CA"/>
        </w:rPr>
        <w:t>POURVOI contre un arrêt de la Cour d’appel du Québec (les juges Morissette, Dufresne et Gagnon), 2015 QCCA 1350, 53 B.L.R. (5th) 43, [2015] AZ</w:t>
      </w:r>
      <w:r w:rsidRPr="00DD171A">
        <w:rPr>
          <w:sz w:val="20"/>
          <w:lang w:val="fr-CA"/>
        </w:rPr>
        <w:noBreakHyphen/>
        <w:t>51207607, [2015] J.Q. n</w:t>
      </w:r>
      <w:r w:rsidRPr="00DD171A">
        <w:rPr>
          <w:sz w:val="20"/>
          <w:vertAlign w:val="superscript"/>
          <w:lang w:val="fr-CA"/>
        </w:rPr>
        <w:t>o</w:t>
      </w:r>
      <w:r w:rsidRPr="00DD171A">
        <w:rPr>
          <w:sz w:val="20"/>
          <w:lang w:val="fr-CA"/>
        </w:rPr>
        <w:t xml:space="preserve"> 7670 (QL), 2015 </w:t>
      </w:r>
      <w:proofErr w:type="spellStart"/>
      <w:r w:rsidRPr="00DD171A">
        <w:rPr>
          <w:sz w:val="20"/>
          <w:lang w:val="fr-CA"/>
        </w:rPr>
        <w:t>CarswellQue</w:t>
      </w:r>
      <w:proofErr w:type="spellEnd"/>
      <w:r w:rsidRPr="00DD171A">
        <w:rPr>
          <w:sz w:val="20"/>
          <w:lang w:val="fr-CA"/>
        </w:rPr>
        <w:t xml:space="preserve"> 7661 (WL Can.), qui a confirmé une décision du juge Hamilton, 2014 QCCS 180, [2014] AZ</w:t>
      </w:r>
      <w:r w:rsidRPr="00DD171A">
        <w:rPr>
          <w:sz w:val="20"/>
          <w:lang w:val="fr-CA"/>
        </w:rPr>
        <w:noBreakHyphen/>
        <w:t xml:space="preserve">51037940, [2014] Q.J. No. 401 (QL), 2014 </w:t>
      </w:r>
      <w:proofErr w:type="spellStart"/>
      <w:r w:rsidRPr="00DD171A">
        <w:rPr>
          <w:sz w:val="20"/>
          <w:lang w:val="fr-CA"/>
        </w:rPr>
        <w:t>CarswellQue</w:t>
      </w:r>
      <w:proofErr w:type="spellEnd"/>
      <w:r w:rsidRPr="00DD171A">
        <w:rPr>
          <w:sz w:val="20"/>
          <w:lang w:val="fr-CA"/>
        </w:rPr>
        <w:t xml:space="preserve"> 419 (WL Can.). Pourvoi rejeté.</w:t>
      </w:r>
    </w:p>
    <w:p w:rsidR="00FC3EF9" w:rsidRPr="00DD171A" w:rsidRDefault="00FC3EF9" w:rsidP="00FC3EF9">
      <w:pPr>
        <w:pStyle w:val="SCCNormalDoubleSpacing"/>
        <w:spacing w:line="240" w:lineRule="auto"/>
        <w:rPr>
          <w:sz w:val="20"/>
          <w:lang w:val="fr-CA"/>
        </w:rPr>
      </w:pPr>
    </w:p>
    <w:p w:rsidR="00FC3EF9" w:rsidRDefault="00FC3EF9" w:rsidP="00FC3EF9">
      <w:pPr>
        <w:pStyle w:val="SCCNormalDoubleSpacing"/>
        <w:spacing w:line="240" w:lineRule="auto"/>
        <w:rPr>
          <w:rStyle w:val="SCCCounselPartyRoleChar"/>
          <w:sz w:val="20"/>
          <w:lang w:val="fr-CA"/>
        </w:rPr>
      </w:pPr>
      <w:r w:rsidRPr="00DD171A">
        <w:rPr>
          <w:rStyle w:val="SCCCounselNameChar"/>
          <w:sz w:val="20"/>
          <w:lang w:val="fr-CA"/>
        </w:rPr>
        <w:tab/>
        <w:t xml:space="preserve">Terrence J. </w:t>
      </w:r>
      <w:proofErr w:type="spellStart"/>
      <w:r w:rsidRPr="00DD171A">
        <w:rPr>
          <w:rStyle w:val="SCCCounselNameChar"/>
          <w:sz w:val="20"/>
          <w:lang w:val="fr-CA"/>
        </w:rPr>
        <w:t>O’Sullivan</w:t>
      </w:r>
      <w:proofErr w:type="spellEnd"/>
      <w:r w:rsidRPr="00DD171A">
        <w:rPr>
          <w:rStyle w:val="SCCCounselSeparatorChar"/>
          <w:rFonts w:eastAsia="Calibri"/>
          <w:sz w:val="20"/>
        </w:rPr>
        <w:t xml:space="preserve">, </w:t>
      </w:r>
      <w:r w:rsidRPr="00DD171A">
        <w:rPr>
          <w:rStyle w:val="SCCCounselNameChar"/>
          <w:sz w:val="20"/>
          <w:lang w:val="fr-CA"/>
        </w:rPr>
        <w:t xml:space="preserve">Paul </w:t>
      </w:r>
      <w:proofErr w:type="spellStart"/>
      <w:r w:rsidRPr="00DD171A">
        <w:rPr>
          <w:rStyle w:val="SCCCounselNameChar"/>
          <w:sz w:val="20"/>
          <w:lang w:val="fr-CA"/>
        </w:rPr>
        <w:t>Michell</w:t>
      </w:r>
      <w:proofErr w:type="spellEnd"/>
      <w:r w:rsidRPr="00DD171A">
        <w:rPr>
          <w:rStyle w:val="SCCCounselSeparatorChar"/>
          <w:rFonts w:eastAsia="Calibri"/>
          <w:sz w:val="20"/>
        </w:rPr>
        <w:t xml:space="preserve"> et </w:t>
      </w:r>
      <w:r w:rsidRPr="00DD171A">
        <w:rPr>
          <w:rStyle w:val="SCCCounselNameChar"/>
          <w:sz w:val="20"/>
          <w:lang w:val="fr-CA"/>
        </w:rPr>
        <w:t xml:space="preserve">Zain </w:t>
      </w:r>
      <w:proofErr w:type="spellStart"/>
      <w:r w:rsidRPr="00DD171A">
        <w:rPr>
          <w:rStyle w:val="SCCCounselNameChar"/>
          <w:sz w:val="20"/>
          <w:lang w:val="fr-CA"/>
        </w:rPr>
        <w:t>Naqi</w:t>
      </w:r>
      <w:proofErr w:type="spellEnd"/>
      <w:r w:rsidRPr="00DD171A">
        <w:rPr>
          <w:rStyle w:val="SCCCounselPartyRoleChar"/>
          <w:sz w:val="20"/>
          <w:lang w:val="fr-CA"/>
        </w:rPr>
        <w:t>, pour l’appelant.</w:t>
      </w:r>
    </w:p>
    <w:p w:rsidR="00FC3EF9" w:rsidRPr="00DD171A" w:rsidRDefault="00FC3EF9" w:rsidP="00FC3EF9">
      <w:pPr>
        <w:pStyle w:val="SCCNormalDoubleSpacing"/>
        <w:spacing w:line="240" w:lineRule="auto"/>
        <w:rPr>
          <w:sz w:val="20"/>
          <w:lang w:val="fr-CA"/>
        </w:rPr>
      </w:pPr>
    </w:p>
    <w:p w:rsidR="00FC3EF9" w:rsidRPr="00DD171A" w:rsidRDefault="00FC3EF9" w:rsidP="00FC3EF9">
      <w:pPr>
        <w:pStyle w:val="SCCNormalDoubleSpacing"/>
        <w:spacing w:line="240" w:lineRule="auto"/>
        <w:rPr>
          <w:sz w:val="20"/>
          <w:lang w:val="fr-CA"/>
        </w:rPr>
      </w:pPr>
      <w:r w:rsidRPr="00DD171A">
        <w:rPr>
          <w:rStyle w:val="SCCCounselNameChar"/>
          <w:sz w:val="20"/>
          <w:lang w:val="fr-CA"/>
        </w:rPr>
        <w:tab/>
        <w:t>Douglas C. Mitchell</w:t>
      </w:r>
      <w:r w:rsidRPr="00DD171A">
        <w:rPr>
          <w:rStyle w:val="SCCCounselSeparatorChar"/>
          <w:rFonts w:eastAsia="Calibri"/>
          <w:sz w:val="20"/>
        </w:rPr>
        <w:t xml:space="preserve"> et </w:t>
      </w:r>
      <w:r w:rsidRPr="00DD171A">
        <w:rPr>
          <w:rStyle w:val="SCCCounselNameChar"/>
          <w:sz w:val="20"/>
          <w:lang w:val="fr-CA"/>
        </w:rPr>
        <w:t>Emma Lambert</w:t>
      </w:r>
      <w:r w:rsidRPr="00DD171A">
        <w:rPr>
          <w:rStyle w:val="SCCCounselPartyRoleChar"/>
          <w:sz w:val="20"/>
          <w:lang w:val="fr-CA"/>
        </w:rPr>
        <w:t>, pour l’intimé.</w:t>
      </w:r>
    </w:p>
    <w:p w:rsidR="00FC3EF9" w:rsidRDefault="00FC3EF9" w:rsidP="00FC3EF9">
      <w:pPr>
        <w:pStyle w:val="SCCNormalDoubleSpacing"/>
        <w:spacing w:line="240" w:lineRule="auto"/>
        <w:rPr>
          <w:sz w:val="20"/>
          <w:lang w:val="fr-CA"/>
        </w:rPr>
      </w:pPr>
    </w:p>
    <w:p w:rsidR="00A64694" w:rsidRDefault="005133CB" w:rsidP="00A64694">
      <w:pPr>
        <w:rPr>
          <w:lang w:val="fr-CA"/>
        </w:rPr>
      </w:pPr>
      <w:r>
        <w:rPr>
          <w:rFonts w:cs="Times New Roman"/>
          <w:sz w:val="20"/>
          <w:szCs w:val="20"/>
          <w:lang w:val="fr-CA"/>
        </w:rPr>
        <w:pict>
          <v:rect id="_x0000_i1052" style="width:144.3pt;height:1pt" o:hrpct="300" o:hralign="center" o:hrstd="t" o:hrnoshade="t" o:hr="t" fillcolor="black [3213]" stroked="f"/>
        </w:pict>
      </w:r>
    </w:p>
    <w:p w:rsidR="00A64694" w:rsidRDefault="00A64694" w:rsidP="00A64694">
      <w:pPr>
        <w:rPr>
          <w:lang w:val="fr-CA"/>
        </w:rPr>
      </w:pPr>
    </w:p>
    <w:p w:rsidR="00A64694" w:rsidRDefault="00A64694" w:rsidP="00A64694">
      <w:pPr>
        <w:rPr>
          <w:lang w:val="fr-CA"/>
        </w:rPr>
      </w:pPr>
    </w:p>
    <w:p w:rsidR="00A64694" w:rsidRPr="00A64694" w:rsidRDefault="00A64694" w:rsidP="00A64694">
      <w:pPr>
        <w:rPr>
          <w:lang w:val="fr-CA"/>
        </w:rPr>
        <w:sectPr w:rsidR="00A64694" w:rsidRPr="00A64694"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bookmarkStart w:id="2" w:name="QuickMark"/>
    <w:bookmarkEnd w:id="2"/>
    <w:p w:rsidR="005133CB" w:rsidRPr="002E0C7E" w:rsidRDefault="005133CB" w:rsidP="005133CB">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5133CB" w:rsidRPr="002E0C7E" w:rsidRDefault="005133CB" w:rsidP="005133CB">
      <w:pPr>
        <w:widowControl w:val="0"/>
        <w:spacing w:line="180" w:lineRule="auto"/>
        <w:rPr>
          <w:rFonts w:asciiTheme="minorHAnsi" w:hAnsiTheme="minorHAnsi" w:cstheme="minorHAnsi"/>
          <w:szCs w:val="24"/>
        </w:rPr>
      </w:pPr>
    </w:p>
    <w:p w:rsidR="005133CB" w:rsidRPr="00C01FCB" w:rsidRDefault="005133CB" w:rsidP="005133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Pr>
          <w:rFonts w:ascii="Arial" w:hAnsi="Arial"/>
          <w:b/>
          <w:i/>
          <w:sz w:val="36"/>
          <w:szCs w:val="36"/>
        </w:rPr>
        <w:t>7</w:t>
      </w:r>
      <w:r w:rsidRPr="00C01FCB">
        <w:rPr>
          <w:rFonts w:ascii="Arial" w:hAnsi="Arial"/>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5133CB" w:rsidRPr="001A011F" w:rsidTr="00695F9F">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5133CB" w:rsidRPr="00256B02" w:rsidTr="00695F9F">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5133CB" w:rsidRPr="001A011F" w:rsidRDefault="005133CB" w:rsidP="00695F9F">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5133CB" w:rsidRPr="00C33804" w:rsidTr="00695F9F">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5133CB" w:rsidRPr="00800AD6" w:rsidRDefault="005133CB" w:rsidP="00695F9F">
            <w:pPr>
              <w:jc w:val="center"/>
              <w:rPr>
                <w:rFonts w:ascii="Arial" w:hAnsi="Arial" w:cs="Arial"/>
                <w:b/>
                <w:sz w:val="13"/>
                <w:szCs w:val="13"/>
              </w:rPr>
            </w:pPr>
          </w:p>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2" w:type="pct"/>
            <w:tcMar>
              <w:bottom w:w="43" w:type="dxa"/>
            </w:tcMar>
            <w:vAlign w:val="bottom"/>
          </w:tcPr>
          <w:p w:rsidR="005133CB" w:rsidRPr="00C33804" w:rsidRDefault="005133CB" w:rsidP="00695F9F">
            <w:pPr>
              <w:jc w:val="center"/>
              <w:rPr>
                <w:rFonts w:ascii="Arial" w:hAnsi="Arial" w:cs="Arial"/>
                <w:sz w:val="13"/>
                <w:szCs w:val="13"/>
              </w:rPr>
            </w:pPr>
          </w:p>
        </w:tc>
        <w:tc>
          <w:tcPr>
            <w:tcW w:w="225" w:type="pct"/>
            <w:tcMar>
              <w:bottom w:w="43" w:type="dxa"/>
            </w:tcMar>
            <w:vAlign w:val="bottom"/>
          </w:tcPr>
          <w:p w:rsidR="005133CB" w:rsidRPr="00C33804" w:rsidRDefault="005133CB" w:rsidP="00695F9F">
            <w:pPr>
              <w:jc w:val="center"/>
              <w:rPr>
                <w:rFonts w:ascii="Arial" w:hAnsi="Arial" w:cs="Arial"/>
                <w:sz w:val="13"/>
                <w:szCs w:val="13"/>
              </w:rPr>
            </w:pPr>
          </w:p>
        </w:tc>
        <w:tc>
          <w:tcPr>
            <w:tcW w:w="223" w:type="pct"/>
            <w:tcMar>
              <w:bottom w:w="43" w:type="dxa"/>
            </w:tcMar>
            <w:vAlign w:val="bottom"/>
          </w:tcPr>
          <w:p w:rsidR="005133CB" w:rsidRPr="00C33804" w:rsidRDefault="005133CB" w:rsidP="00695F9F">
            <w:pPr>
              <w:jc w:val="center"/>
              <w:rPr>
                <w:rFonts w:ascii="Arial" w:hAnsi="Arial" w:cs="Arial"/>
                <w:sz w:val="13"/>
                <w:szCs w:val="13"/>
              </w:rPr>
            </w:pPr>
          </w:p>
        </w:tc>
        <w:tc>
          <w:tcPr>
            <w:tcW w:w="224" w:type="pct"/>
            <w:tcMar>
              <w:bottom w:w="43" w:type="dxa"/>
            </w:tcMar>
            <w:vAlign w:val="bottom"/>
          </w:tcPr>
          <w:p w:rsidR="005133CB" w:rsidRPr="00C33804" w:rsidRDefault="005133CB" w:rsidP="00695F9F">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r>
      <w:tr w:rsidR="005133CB" w:rsidRPr="00C33804" w:rsidTr="00695F9F">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133CB" w:rsidRPr="00CB2402" w:rsidRDefault="005133CB" w:rsidP="00695F9F">
            <w:pPr>
              <w:jc w:val="center"/>
              <w:rPr>
                <w:rFonts w:ascii="Arial" w:hAnsi="Arial" w:cs="Arial"/>
                <w:b/>
                <w:sz w:val="13"/>
                <w:szCs w:val="13"/>
              </w:rPr>
            </w:pPr>
            <w:r w:rsidRPr="00CB2402">
              <w:rPr>
                <w:rFonts w:ascii="Arial" w:hAnsi="Arial" w:cs="Arial"/>
                <w:b/>
                <w:sz w:val="13"/>
                <w:szCs w:val="13"/>
              </w:rPr>
              <w:t>H</w:t>
            </w:r>
          </w:p>
          <w:p w:rsidR="005133CB" w:rsidRPr="00CB2402" w:rsidRDefault="005133CB" w:rsidP="00695F9F">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5133CB" w:rsidRPr="00CB2402"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r>
      <w:tr w:rsidR="005133CB" w:rsidRPr="00C33804" w:rsidTr="00695F9F">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133CB" w:rsidRDefault="005133CB" w:rsidP="00695F9F">
            <w:pPr>
              <w:jc w:val="center"/>
              <w:rPr>
                <w:rFonts w:ascii="Arial" w:hAnsi="Arial" w:cs="Arial"/>
                <w:b/>
                <w:sz w:val="13"/>
                <w:szCs w:val="13"/>
              </w:rPr>
            </w:pPr>
            <w:r>
              <w:rPr>
                <w:rFonts w:ascii="Arial" w:hAnsi="Arial" w:cs="Arial"/>
                <w:b/>
                <w:sz w:val="13"/>
                <w:szCs w:val="13"/>
              </w:rPr>
              <w:t>H</w:t>
            </w:r>
          </w:p>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5133CB" w:rsidRPr="001D41E3" w:rsidRDefault="005133CB" w:rsidP="00695F9F">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5133CB" w:rsidRPr="001D41E3" w:rsidRDefault="005133CB" w:rsidP="00695F9F">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r>
      <w:tr w:rsidR="005133CB" w:rsidRPr="00C33804" w:rsidTr="00695F9F">
        <w:trPr>
          <w:trHeight w:val="346"/>
        </w:trPr>
        <w:tc>
          <w:tcPr>
            <w:tcW w:w="225"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r>
      <w:tr w:rsidR="005133CB" w:rsidRPr="00C33804" w:rsidTr="00695F9F">
        <w:trPr>
          <w:trHeight w:val="346"/>
        </w:trPr>
        <w:tc>
          <w:tcPr>
            <w:tcW w:w="225"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5"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5133CB" w:rsidRPr="00CB2402" w:rsidRDefault="005133CB" w:rsidP="00695F9F">
            <w:pPr>
              <w:rPr>
                <w:rFonts w:ascii="Arial" w:hAnsi="Arial" w:cs="Arial"/>
                <w:sz w:val="13"/>
                <w:szCs w:val="13"/>
              </w:rPr>
            </w:pPr>
            <w:r w:rsidRPr="00CB2402">
              <w:rPr>
                <w:rFonts w:ascii="Arial" w:hAnsi="Arial" w:cs="Arial"/>
                <w:sz w:val="13"/>
                <w:szCs w:val="13"/>
              </w:rPr>
              <w:t xml:space="preserve"> 24 /</w:t>
            </w:r>
          </w:p>
          <w:p w:rsidR="005133CB" w:rsidRPr="00CB2402" w:rsidRDefault="005133CB" w:rsidP="00695F9F">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133CB" w:rsidRPr="00CB2402" w:rsidRDefault="005133CB" w:rsidP="00695F9F">
            <w:pPr>
              <w:jc w:val="center"/>
              <w:rPr>
                <w:rFonts w:ascii="Arial" w:hAnsi="Arial" w:cs="Arial"/>
                <w:b/>
                <w:sz w:val="13"/>
                <w:szCs w:val="13"/>
              </w:rPr>
            </w:pPr>
            <w:r w:rsidRPr="00CB2402">
              <w:rPr>
                <w:rFonts w:ascii="Arial" w:hAnsi="Arial" w:cs="Arial"/>
                <w:b/>
                <w:sz w:val="13"/>
                <w:szCs w:val="13"/>
              </w:rPr>
              <w:t>H</w:t>
            </w:r>
          </w:p>
          <w:p w:rsidR="005133CB" w:rsidRPr="00CB2402" w:rsidRDefault="005133CB" w:rsidP="00695F9F">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133CB" w:rsidRPr="00CB2402" w:rsidRDefault="005133CB" w:rsidP="00695F9F">
            <w:pPr>
              <w:jc w:val="center"/>
              <w:rPr>
                <w:rFonts w:ascii="Arial" w:hAnsi="Arial" w:cs="Arial"/>
                <w:b/>
                <w:sz w:val="13"/>
                <w:szCs w:val="13"/>
              </w:rPr>
            </w:pPr>
            <w:r w:rsidRPr="00CB2402">
              <w:rPr>
                <w:rFonts w:ascii="Arial" w:hAnsi="Arial" w:cs="Arial"/>
                <w:b/>
                <w:sz w:val="13"/>
                <w:szCs w:val="13"/>
              </w:rPr>
              <w:t>H</w:t>
            </w:r>
          </w:p>
          <w:p w:rsidR="005133CB" w:rsidRPr="00CB2402" w:rsidRDefault="005133CB" w:rsidP="00695F9F">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5133CB" w:rsidRPr="00CB2402" w:rsidRDefault="005133CB" w:rsidP="00695F9F">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5133CB" w:rsidRPr="001D41E3" w:rsidRDefault="005133CB" w:rsidP="00695F9F">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r>
    </w:tbl>
    <w:p w:rsidR="005133CB" w:rsidRPr="00D36093" w:rsidRDefault="005133CB" w:rsidP="005133CB">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5133CB" w:rsidRPr="00256B02" w:rsidTr="00695F9F">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5133CB" w:rsidRPr="00256B02" w:rsidTr="00695F9F">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5133CB" w:rsidRPr="00C33804" w:rsidTr="00695F9F">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5133CB" w:rsidRPr="00800AD6" w:rsidRDefault="005133CB" w:rsidP="00695F9F">
            <w:pPr>
              <w:jc w:val="center"/>
              <w:rPr>
                <w:rFonts w:ascii="Arial" w:hAnsi="Arial" w:cs="Arial"/>
                <w:b/>
                <w:sz w:val="13"/>
                <w:szCs w:val="13"/>
              </w:rPr>
            </w:pPr>
            <w:r w:rsidRPr="00800AD6">
              <w:rPr>
                <w:rFonts w:ascii="Arial" w:hAnsi="Arial" w:cs="Arial"/>
                <w:b/>
                <w:sz w:val="13"/>
                <w:szCs w:val="13"/>
              </w:rPr>
              <w:t>H</w:t>
            </w:r>
          </w:p>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2" w:type="pct"/>
            <w:tcMar>
              <w:bottom w:w="43" w:type="dxa"/>
            </w:tcMar>
            <w:vAlign w:val="bottom"/>
          </w:tcPr>
          <w:p w:rsidR="005133CB" w:rsidRPr="00C33804" w:rsidRDefault="005133CB" w:rsidP="00695F9F">
            <w:pPr>
              <w:jc w:val="center"/>
              <w:rPr>
                <w:rFonts w:ascii="Arial" w:hAnsi="Arial" w:cs="Arial"/>
                <w:sz w:val="13"/>
                <w:szCs w:val="13"/>
              </w:rPr>
            </w:pPr>
          </w:p>
        </w:tc>
        <w:tc>
          <w:tcPr>
            <w:tcW w:w="223" w:type="pct"/>
            <w:tcMar>
              <w:bottom w:w="43" w:type="dxa"/>
            </w:tcMar>
            <w:vAlign w:val="bottom"/>
          </w:tcPr>
          <w:p w:rsidR="005133CB" w:rsidRPr="00C33804" w:rsidRDefault="005133CB" w:rsidP="00695F9F">
            <w:pPr>
              <w:jc w:val="center"/>
              <w:rPr>
                <w:rFonts w:ascii="Arial" w:hAnsi="Arial" w:cs="Arial"/>
                <w:sz w:val="13"/>
                <w:szCs w:val="13"/>
              </w:rPr>
            </w:pPr>
          </w:p>
        </w:tc>
        <w:tc>
          <w:tcPr>
            <w:tcW w:w="222" w:type="pct"/>
            <w:tcMar>
              <w:bottom w:w="43" w:type="dxa"/>
            </w:tcMar>
            <w:vAlign w:val="bottom"/>
          </w:tcPr>
          <w:p w:rsidR="005133CB" w:rsidRPr="00C33804" w:rsidRDefault="005133CB" w:rsidP="00695F9F">
            <w:pPr>
              <w:jc w:val="center"/>
              <w:rPr>
                <w:rFonts w:ascii="Arial" w:hAnsi="Arial" w:cs="Arial"/>
                <w:sz w:val="13"/>
                <w:szCs w:val="13"/>
              </w:rPr>
            </w:pPr>
          </w:p>
        </w:tc>
        <w:tc>
          <w:tcPr>
            <w:tcW w:w="223" w:type="pct"/>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r>
      <w:tr w:rsidR="005133CB" w:rsidRPr="00C33804" w:rsidTr="00695F9F">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r>
      <w:tr w:rsidR="005133CB" w:rsidRPr="00C33804" w:rsidTr="00695F9F">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r>
      <w:tr w:rsidR="005133CB" w:rsidRPr="00C33804" w:rsidTr="00695F9F">
        <w:trPr>
          <w:trHeight w:val="346"/>
        </w:trPr>
        <w:tc>
          <w:tcPr>
            <w:tcW w:w="226" w:type="pct"/>
            <w:tcBorders>
              <w:lef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r>
      <w:tr w:rsidR="005133CB" w:rsidRPr="00C33804" w:rsidTr="00695F9F">
        <w:trPr>
          <w:trHeight w:val="346"/>
        </w:trPr>
        <w:tc>
          <w:tcPr>
            <w:tcW w:w="226"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133CB" w:rsidRPr="004A406E" w:rsidRDefault="005133CB" w:rsidP="00695F9F">
            <w:pPr>
              <w:jc w:val="center"/>
              <w:rPr>
                <w:rFonts w:ascii="Arial" w:hAnsi="Arial" w:cs="Arial"/>
                <w:b/>
                <w:sz w:val="13"/>
                <w:szCs w:val="13"/>
              </w:rPr>
            </w:pPr>
            <w:r w:rsidRPr="004A406E">
              <w:rPr>
                <w:rFonts w:ascii="Arial" w:hAnsi="Arial" w:cs="Arial"/>
                <w:b/>
                <w:sz w:val="13"/>
                <w:szCs w:val="13"/>
              </w:rPr>
              <w:t>H</w:t>
            </w:r>
          </w:p>
          <w:p w:rsidR="005133CB" w:rsidRPr="00C33804" w:rsidRDefault="005133CB" w:rsidP="00695F9F">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31</w:t>
            </w:r>
          </w:p>
        </w:tc>
      </w:tr>
      <w:tr w:rsidR="005133CB" w:rsidRPr="00256B02" w:rsidTr="00695F9F">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5133CB" w:rsidRPr="00256B02" w:rsidTr="00695F9F">
        <w:trPr>
          <w:trHeight w:val="216"/>
        </w:trPr>
        <w:tc>
          <w:tcPr>
            <w:tcW w:w="226" w:type="pct"/>
            <w:tcBorders>
              <w:top w:val="double" w:sz="6" w:space="0" w:color="auto"/>
              <w:lef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5133CB" w:rsidRPr="00256B02" w:rsidRDefault="005133CB" w:rsidP="00695F9F">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5133CB" w:rsidRPr="00C33804" w:rsidTr="00695F9F">
        <w:trPr>
          <w:trHeight w:val="346"/>
        </w:trPr>
        <w:tc>
          <w:tcPr>
            <w:tcW w:w="226" w:type="pct"/>
            <w:tcBorders>
              <w:left w:val="double" w:sz="6" w:space="0" w:color="auto"/>
              <w:right w:val="doub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5133CB" w:rsidRPr="00800AD6" w:rsidRDefault="005133CB" w:rsidP="00695F9F">
            <w:pPr>
              <w:jc w:val="center"/>
              <w:rPr>
                <w:rFonts w:ascii="Arial" w:hAnsi="Arial" w:cs="Arial"/>
                <w:b/>
                <w:sz w:val="13"/>
                <w:szCs w:val="13"/>
              </w:rPr>
            </w:pPr>
            <w:r w:rsidRPr="00800AD6">
              <w:rPr>
                <w:rFonts w:ascii="Arial" w:hAnsi="Arial" w:cs="Arial"/>
                <w:b/>
                <w:sz w:val="13"/>
                <w:szCs w:val="13"/>
              </w:rPr>
              <w:t>H</w:t>
            </w:r>
          </w:p>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w:t>
            </w:r>
          </w:p>
        </w:tc>
      </w:tr>
      <w:tr w:rsidR="005133CB" w:rsidRPr="00C33804" w:rsidTr="00695F9F">
        <w:trPr>
          <w:trHeight w:val="346"/>
        </w:trPr>
        <w:tc>
          <w:tcPr>
            <w:tcW w:w="226" w:type="pct"/>
            <w:tcBorders>
              <w:left w:val="double" w:sz="6" w:space="0" w:color="auto"/>
              <w:right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5133CB" w:rsidRDefault="005133CB" w:rsidP="00695F9F">
            <w:pPr>
              <w:jc w:val="center"/>
              <w:rPr>
                <w:rFonts w:ascii="Arial" w:hAnsi="Arial" w:cs="Arial"/>
                <w:sz w:val="13"/>
                <w:szCs w:val="13"/>
              </w:rPr>
            </w:pPr>
          </w:p>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9</w:t>
            </w:r>
          </w:p>
        </w:tc>
      </w:tr>
      <w:tr w:rsidR="005133CB" w:rsidRPr="00C33804" w:rsidTr="00695F9F">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16</w:t>
            </w:r>
          </w:p>
        </w:tc>
      </w:tr>
      <w:tr w:rsidR="005133CB" w:rsidRPr="00C33804" w:rsidTr="00695F9F">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5133CB" w:rsidRPr="00800AD6" w:rsidRDefault="005133CB" w:rsidP="00695F9F">
            <w:pPr>
              <w:jc w:val="center"/>
              <w:rPr>
                <w:rFonts w:ascii="Arial" w:hAnsi="Arial" w:cs="Arial"/>
                <w:b/>
                <w:sz w:val="13"/>
                <w:szCs w:val="13"/>
              </w:rPr>
            </w:pPr>
            <w:r w:rsidRPr="00800AD6">
              <w:rPr>
                <w:rFonts w:ascii="Arial" w:hAnsi="Arial" w:cs="Arial"/>
                <w:b/>
                <w:sz w:val="13"/>
                <w:szCs w:val="13"/>
              </w:rPr>
              <w:t>H</w:t>
            </w:r>
          </w:p>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23</w:t>
            </w:r>
          </w:p>
        </w:tc>
      </w:tr>
      <w:tr w:rsidR="005133CB" w:rsidRPr="00C33804" w:rsidTr="00695F9F">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5133CB" w:rsidRPr="00C33804" w:rsidRDefault="005133CB" w:rsidP="00695F9F">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5133CB" w:rsidRPr="00C33804" w:rsidRDefault="005133CB" w:rsidP="00695F9F">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5133CB" w:rsidRPr="00C33804" w:rsidRDefault="005133CB" w:rsidP="00695F9F">
            <w:pPr>
              <w:jc w:val="center"/>
              <w:rPr>
                <w:rFonts w:ascii="Arial" w:hAnsi="Arial" w:cs="Arial"/>
                <w:sz w:val="13"/>
                <w:szCs w:val="13"/>
              </w:rPr>
            </w:pPr>
            <w:r>
              <w:rPr>
                <w:rFonts w:ascii="Arial" w:hAnsi="Arial" w:cs="Arial"/>
                <w:sz w:val="13"/>
                <w:szCs w:val="13"/>
              </w:rPr>
              <w:t>30</w:t>
            </w:r>
          </w:p>
        </w:tc>
      </w:tr>
    </w:tbl>
    <w:p w:rsidR="005133CB" w:rsidRPr="002E0C7E" w:rsidRDefault="005133CB" w:rsidP="005133CB">
      <w:pPr>
        <w:widowControl w:val="0"/>
        <w:tabs>
          <w:tab w:val="center" w:pos="5400"/>
          <w:tab w:val="right" w:pos="10440"/>
        </w:tabs>
        <w:rPr>
          <w:rFonts w:ascii="Arial" w:hAnsi="Arial"/>
          <w:sz w:val="18"/>
        </w:rPr>
      </w:pPr>
    </w:p>
    <w:p w:rsidR="005133CB" w:rsidRPr="002E0C7E" w:rsidRDefault="005133CB" w:rsidP="005133CB">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5133CB" w:rsidRPr="002E0C7E" w:rsidTr="00695F9F">
        <w:trPr>
          <w:cantSplit/>
        </w:trPr>
        <w:tc>
          <w:tcPr>
            <w:tcW w:w="1770" w:type="dxa"/>
            <w:tcBorders>
              <w:top w:val="nil"/>
              <w:left w:val="nil"/>
              <w:bottom w:val="nil"/>
              <w:right w:val="nil"/>
            </w:tcBorders>
            <w:tcMar>
              <w:top w:w="43" w:type="dxa"/>
              <w:left w:w="120" w:type="dxa"/>
              <w:bottom w:w="29" w:type="dxa"/>
              <w:right w:w="120" w:type="dxa"/>
            </w:tcMar>
          </w:tcPr>
          <w:p w:rsidR="005133CB" w:rsidRPr="002E0C7E" w:rsidRDefault="005133CB" w:rsidP="00695F9F">
            <w:pPr>
              <w:widowControl w:val="0"/>
              <w:rPr>
                <w:rFonts w:ascii="Arial" w:hAnsi="Arial"/>
                <w:sz w:val="16"/>
              </w:rPr>
            </w:pPr>
            <w:r>
              <w:rPr>
                <w:rFonts w:ascii="Arial" w:hAnsi="Arial"/>
                <w:sz w:val="16"/>
              </w:rPr>
              <w:t>Sittings of the C</w:t>
            </w:r>
            <w:r w:rsidRPr="002E0C7E">
              <w:rPr>
                <w:rFonts w:ascii="Arial" w:hAnsi="Arial"/>
                <w:sz w:val="16"/>
              </w:rPr>
              <w:t>ourt:</w:t>
            </w:r>
          </w:p>
          <w:p w:rsidR="005133CB" w:rsidRPr="002E0C7E" w:rsidRDefault="005133CB" w:rsidP="00695F9F">
            <w:pPr>
              <w:widowControl w:val="0"/>
              <w:rPr>
                <w:rFonts w:ascii="Arial" w:hAnsi="Arial"/>
                <w:sz w:val="16"/>
              </w:rPr>
            </w:pPr>
            <w:r>
              <w:rPr>
                <w:rFonts w:ascii="Arial" w:hAnsi="Arial"/>
                <w:sz w:val="16"/>
              </w:rPr>
              <w:t xml:space="preserve">Séances de la </w:t>
            </w:r>
            <w:proofErr w:type="spellStart"/>
            <w:r>
              <w:rPr>
                <w:rFonts w:ascii="Arial" w:hAnsi="Arial"/>
                <w:sz w:val="16"/>
              </w:rPr>
              <w:t>C</w:t>
            </w:r>
            <w:r w:rsidRPr="002E0C7E">
              <w:rPr>
                <w:rFonts w:ascii="Arial" w:hAnsi="Arial"/>
                <w:sz w:val="16"/>
              </w:rPr>
              <w:t>our</w:t>
            </w:r>
            <w:proofErr w:type="spellEnd"/>
            <w:r w:rsidRPr="002E0C7E">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5133CB" w:rsidRPr="002E0C7E" w:rsidRDefault="005133CB" w:rsidP="00695F9F">
            <w:pPr>
              <w:widowControl w:val="0"/>
              <w:rPr>
                <w:rFonts w:ascii="Arial" w:hAnsi="Arial"/>
                <w:sz w:val="16"/>
              </w:rPr>
            </w:pPr>
          </w:p>
          <w:p w:rsidR="005133CB" w:rsidRPr="002E0C7E" w:rsidRDefault="005133CB" w:rsidP="00695F9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5133CB" w:rsidRPr="00B058C3"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5133CB" w:rsidRPr="00B058C3"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5133CB" w:rsidRPr="002E0C7E"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5133CB" w:rsidRPr="002E0C7E"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5133CB" w:rsidRPr="002E0C7E" w:rsidTr="00695F9F">
        <w:trPr>
          <w:cantSplit/>
        </w:trPr>
        <w:tc>
          <w:tcPr>
            <w:tcW w:w="1770" w:type="dxa"/>
            <w:tcBorders>
              <w:top w:val="nil"/>
              <w:left w:val="nil"/>
              <w:bottom w:val="nil"/>
              <w:right w:val="double" w:sz="8" w:space="0" w:color="000000"/>
            </w:tcBorders>
            <w:tcMar>
              <w:top w:w="43" w:type="dxa"/>
              <w:left w:w="120" w:type="dxa"/>
              <w:bottom w:w="29" w:type="dxa"/>
              <w:right w:w="120" w:type="dxa"/>
            </w:tcMar>
          </w:tcPr>
          <w:p w:rsidR="005133CB" w:rsidRPr="002E0C7E"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5133CB" w:rsidRPr="002E0C7E"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5133CB" w:rsidRPr="002E0C7E" w:rsidRDefault="005133CB" w:rsidP="00695F9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5133CB" w:rsidRPr="002E0C7E" w:rsidRDefault="005133CB" w:rsidP="00695F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5133CB" w:rsidRPr="002E0C7E" w:rsidRDefault="005133CB" w:rsidP="005133CB">
      <w:pPr>
        <w:widowControl w:val="0"/>
        <w:rPr>
          <w:rFonts w:ascii="Arial" w:hAnsi="Arial"/>
          <w:sz w:val="16"/>
        </w:rPr>
      </w:pPr>
    </w:p>
    <w:p w:rsidR="005133CB" w:rsidRPr="0022323B" w:rsidRDefault="005133CB" w:rsidP="005133CB">
      <w:pPr>
        <w:widowControl w:val="0"/>
        <w:spacing w:line="180" w:lineRule="auto"/>
        <w:jc w:val="center"/>
        <w:rPr>
          <w:lang w:val="fr-CA"/>
        </w:rPr>
      </w:pPr>
    </w:p>
    <w:p w:rsidR="002410B8" w:rsidRPr="0022323B" w:rsidRDefault="002410B8" w:rsidP="005133CB">
      <w:pPr>
        <w:widowControl w:val="0"/>
        <w:spacing w:line="180" w:lineRule="auto"/>
        <w:jc w:val="center"/>
        <w:rPr>
          <w:lang w:val="fr-CA"/>
        </w:rPr>
      </w:pPr>
      <w:bookmarkStart w:id="3" w:name="_GoBack"/>
      <w:bookmarkEnd w:id="3"/>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65" w:rsidRDefault="00775565" w:rsidP="00A87207">
      <w:r>
        <w:separator/>
      </w:r>
    </w:p>
  </w:endnote>
  <w:endnote w:type="continuationSeparator" w:id="0">
    <w:p w:rsidR="00775565" w:rsidRDefault="0077556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A87207">
    <w:pPr>
      <w:pStyle w:val="Footer"/>
    </w:pPr>
    <w:r>
      <w:pict>
        <v:rect id="_x0000_i1032" style="width:480.95pt;height:1pt" o:hralign="center" o:hrstd="t" o:hrnoshade="t" o:hr="t" fillcolor="black [3213]" stroked="f"/>
      </w:pict>
    </w:r>
  </w:p>
  <w:p w:rsidR="00775565" w:rsidRPr="00B7374B" w:rsidRDefault="007755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1117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EB2B90">
    <w:pPr>
      <w:tabs>
        <w:tab w:val="center" w:pos="4680"/>
      </w:tabs>
    </w:pPr>
    <w:r>
      <w:pict>
        <v:rect id="_x0000_i1047" style="width:480.95pt;height:1pt" o:hralign="center" o:hrstd="t" o:hrnoshade="t" o:hr="t" fillcolor="black [3213]" stroked="f"/>
      </w:pict>
    </w:r>
  </w:p>
  <w:p w:rsidR="00775565" w:rsidRPr="0031432F" w:rsidRDefault="00775565" w:rsidP="00EB2B90">
    <w:pPr>
      <w:tabs>
        <w:tab w:val="center" w:pos="4680"/>
      </w:tabs>
    </w:pPr>
    <w:r>
      <w:tab/>
      <w:t xml:space="preserve">- </w:t>
    </w:r>
    <w:r>
      <w:fldChar w:fldCharType="begin"/>
    </w:r>
    <w:r>
      <w:instrText xml:space="preserve"> PAGE   \* MERGEFORMAT </w:instrText>
    </w:r>
    <w:r>
      <w:fldChar w:fldCharType="separate"/>
    </w:r>
    <w:r w:rsidR="005133CB">
      <w:rPr>
        <w:noProof/>
      </w:rPr>
      <w:t>1125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5565" w:rsidRDefault="0077556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732DB7">
    <w:r>
      <w:pict>
        <v:rect id="_x0000_i1049" style="width:480.95pt;height:1pt" o:hralign="center" o:hrstd="t" o:hrnoshade="t" o:hr="t" fillcolor="black" stroked="f"/>
      </w:pict>
    </w:r>
  </w:p>
  <w:p w:rsidR="00775565" w:rsidRDefault="00775565">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pPr>
      <w:pStyle w:val="Footer"/>
    </w:pPr>
    <w:r>
      <w:pict>
        <v:rect id="_x0000_i1050" style="width:480.95pt;height:1pt" o:hralign="center" o:hrstd="t" o:hrnoshade="t" o:hr="t" fillcolor="black [3213]" stroked="f"/>
      </w:pict>
    </w:r>
  </w:p>
  <w:p w:rsidR="00775565" w:rsidRPr="003C2C0F" w:rsidRDefault="00775565" w:rsidP="00697C62">
    <w:pPr>
      <w:tabs>
        <w:tab w:val="center" w:pos="4680"/>
      </w:tabs>
    </w:pPr>
    <w:r>
      <w:tab/>
      <w:t xml:space="preserve">- </w:t>
    </w:r>
    <w:r>
      <w:fldChar w:fldCharType="begin"/>
    </w:r>
    <w:r>
      <w:instrText xml:space="preserve"> PAGE   \* MERGEFORMAT </w:instrText>
    </w:r>
    <w:r>
      <w:fldChar w:fldCharType="separate"/>
    </w:r>
    <w:r w:rsidR="005133CB">
      <w:rPr>
        <w:noProof/>
      </w:rPr>
      <w:t>1127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5565" w:rsidRDefault="00775565">
    <w:pPr>
      <w:tabs>
        <w:tab w:val="center" w:pos="4740"/>
      </w:tabs>
    </w:pPr>
    <w:r>
      <w:tab/>
      <w:t xml:space="preserve">- </w:t>
    </w:r>
    <w:r>
      <w:pgNum/>
    </w:r>
    <w:r>
      <w:t xml:space="preserve"> -</w:t>
    </w:r>
  </w:p>
  <w:p w:rsidR="00775565" w:rsidRDefault="0077556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5565" w:rsidRDefault="00513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775565" w:rsidRDefault="007755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133CB">
      <w:rPr>
        <w:noProof/>
        <w:szCs w:val="24"/>
      </w:rPr>
      <w:t>1131</w:t>
    </w:r>
    <w:r w:rsidRPr="001775C1">
      <w:rPr>
        <w:szCs w:val="24"/>
      </w:rPr>
      <w:fldChar w:fldCharType="end"/>
    </w:r>
    <w:r>
      <w:t xml:space="preserve"> -</w:t>
    </w:r>
  </w:p>
  <w:p w:rsidR="00775565" w:rsidRDefault="0077556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782AE4">
    <w:pPr>
      <w:tabs>
        <w:tab w:val="center" w:pos="4680"/>
      </w:tabs>
    </w:pPr>
    <w:r>
      <w:pict>
        <v:rect id="_x0000_i1054" style="width:480.95pt;height:1pt" o:hralign="center" o:hrstd="t" o:hrnoshade="t" o:hr="t" fillcolor="black [3213]" stroked="f"/>
      </w:pict>
    </w:r>
  </w:p>
  <w:p w:rsidR="00775565" w:rsidRDefault="0077556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133CB">
      <w:rPr>
        <w:noProof/>
        <w:szCs w:val="24"/>
      </w:rPr>
      <w:t>1128</w:t>
    </w:r>
    <w:r w:rsidRPr="001775C1">
      <w:rPr>
        <w:szCs w:val="24"/>
      </w:rPr>
      <w:fldChar w:fldCharType="end"/>
    </w:r>
    <w:r>
      <w:t xml:space="preserve"> -</w:t>
    </w:r>
  </w:p>
  <w:p w:rsidR="00775565" w:rsidRDefault="0077556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4A" w:rsidRPr="00924065" w:rsidRDefault="00E8544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755F22">
    <w:pPr>
      <w:tabs>
        <w:tab w:val="left" w:pos="-1440"/>
        <w:tab w:val="left" w:pos="-720"/>
      </w:tabs>
    </w:pPr>
    <w:r>
      <w:pict>
        <v:rect id="_x0000_i1033" style="width:480.95pt;height:1pt" o:hralign="center" o:hrstd="t" o:hrnoshade="t" o:hr="t" fillcolor="black [3213]" stroked="f"/>
      </w:pict>
    </w:r>
  </w:p>
  <w:p w:rsidR="00775565" w:rsidRPr="00954D22" w:rsidRDefault="0077556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133CB">
      <w:rPr>
        <w:noProof/>
        <w:szCs w:val="24"/>
      </w:rPr>
      <w:t>1116</w:t>
    </w:r>
    <w:r>
      <w:rPr>
        <w:szCs w:val="24"/>
      </w:rPr>
      <w:fldChar w:fldCharType="end"/>
    </w:r>
    <w:r w:rsidRPr="00954D22">
      <w:rPr>
        <w:szCs w:val="24"/>
      </w:rPr>
      <w:t xml:space="preserve"> -</w:t>
    </w:r>
  </w:p>
  <w:p w:rsidR="00775565" w:rsidRDefault="00775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A87207">
    <w:pPr>
      <w:pStyle w:val="Footer"/>
    </w:pPr>
    <w:r>
      <w:pict>
        <v:rect id="_x0000_i1035" style="width:480.95pt;height:1pt" o:hralign="center" o:hrstd="t" o:hrnoshade="t" o:hr="t" fillcolor="black [3213]" stroked="f"/>
      </w:pict>
    </w:r>
  </w:p>
  <w:p w:rsidR="00775565" w:rsidRPr="00B7374B" w:rsidRDefault="007755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775565" w:rsidRPr="00954D22" w:rsidRDefault="0077556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133CB">
      <w:rPr>
        <w:noProof/>
        <w:szCs w:val="24"/>
      </w:rPr>
      <w:t>1117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5565" w:rsidRDefault="0077556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775565" w:rsidRPr="0009648D" w:rsidRDefault="00775565" w:rsidP="00ED7E83">
    <w:pPr>
      <w:tabs>
        <w:tab w:val="center" w:pos="4680"/>
      </w:tabs>
    </w:pPr>
    <w:r>
      <w:tab/>
    </w:r>
    <w:r w:rsidRPr="0009648D">
      <w:t xml:space="preserve">- </w:t>
    </w:r>
    <w:r>
      <w:fldChar w:fldCharType="begin"/>
    </w:r>
    <w:r>
      <w:instrText xml:space="preserve"> PAGE   \* MERGEFORMAT </w:instrText>
    </w:r>
    <w:r>
      <w:fldChar w:fldCharType="separate"/>
    </w:r>
    <w:r w:rsidR="005133CB">
      <w:rPr>
        <w:noProof/>
      </w:rPr>
      <w:t>1124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pPr>
      <w:pStyle w:val="Footer"/>
      <w:rPr>
        <w:lang w:val="fr-CA"/>
      </w:rPr>
    </w:pPr>
    <w:r>
      <w:rPr>
        <w:lang w:val="fr-CA"/>
      </w:rPr>
      <w:pict>
        <v:rect id="_x0000_i1044" style="width:480.95pt;height:1pt" o:hralign="center" o:hrstd="t" o:hrnoshade="t" o:hr="t" fillcolor="black [3213]" stroked="f"/>
      </w:pict>
    </w:r>
  </w:p>
  <w:p w:rsidR="00775565" w:rsidRDefault="00775565" w:rsidP="00245129">
    <w:pPr>
      <w:tabs>
        <w:tab w:val="center" w:pos="4680"/>
      </w:tabs>
    </w:pPr>
    <w:r>
      <w:tab/>
    </w:r>
    <w:r w:rsidRPr="0009648D">
      <w:t xml:space="preserve">- </w:t>
    </w:r>
    <w:r>
      <w:fldChar w:fldCharType="begin"/>
    </w:r>
    <w:r>
      <w:instrText xml:space="preserve"> PAGE   \* MERGEFORMAT </w:instrText>
    </w:r>
    <w:r>
      <w:fldChar w:fldCharType="separate"/>
    </w:r>
    <w:r w:rsidR="005133CB">
      <w:rPr>
        <w:noProof/>
      </w:rPr>
      <w:t>1118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5565" w:rsidRDefault="0077556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5133CB" w:rsidP="00755F22">
    <w:pPr>
      <w:tabs>
        <w:tab w:val="left" w:pos="-1440"/>
        <w:tab w:val="left" w:pos="-720"/>
      </w:tabs>
    </w:pPr>
    <w:r>
      <w:pict>
        <v:rect id="_x0000_i1046" style="width:480.95pt;height:1pt" o:hralign="center" o:hrstd="t" o:hrnoshade="t" o:hr="t" fillcolor="black [3213]" stroked="f"/>
      </w:pict>
    </w:r>
  </w:p>
  <w:p w:rsidR="00775565" w:rsidRDefault="00775565" w:rsidP="00EB2B90">
    <w:pPr>
      <w:tabs>
        <w:tab w:val="center" w:pos="4680"/>
      </w:tabs>
    </w:pPr>
    <w:r>
      <w:tab/>
      <w:t xml:space="preserve">- </w:t>
    </w:r>
    <w:r>
      <w:fldChar w:fldCharType="begin"/>
    </w:r>
    <w:r>
      <w:instrText xml:space="preserve"> PAGE   \* MERGEFORMAT </w:instrText>
    </w:r>
    <w:r>
      <w:fldChar w:fldCharType="separate"/>
    </w:r>
    <w:r w:rsidR="005133CB">
      <w:rPr>
        <w:noProof/>
      </w:rPr>
      <w:t>1126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65" w:rsidRDefault="00775565" w:rsidP="00A87207">
      <w:r>
        <w:separator/>
      </w:r>
    </w:p>
  </w:footnote>
  <w:footnote w:type="continuationSeparator" w:id="0">
    <w:p w:rsidR="00775565" w:rsidRDefault="0077556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75565" w:rsidRPr="0044776A" w:rsidTr="00245129">
      <w:tc>
        <w:tcPr>
          <w:tcW w:w="4290" w:type="dxa"/>
          <w:tcMar>
            <w:left w:w="0" w:type="dxa"/>
            <w:right w:w="0" w:type="dxa"/>
          </w:tcMar>
        </w:tcPr>
        <w:p w:rsidR="00775565" w:rsidRPr="0044776A" w:rsidRDefault="0077556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75565" w:rsidRPr="0044776A" w:rsidRDefault="00775565" w:rsidP="002E2327">
          <w:pPr>
            <w:keepNext/>
            <w:keepLines/>
            <w:tabs>
              <w:tab w:val="left" w:pos="-1440"/>
              <w:tab w:val="left" w:pos="-720"/>
            </w:tabs>
            <w:jc w:val="center"/>
            <w:rPr>
              <w:sz w:val="20"/>
              <w:szCs w:val="20"/>
            </w:rPr>
          </w:pPr>
        </w:p>
        <w:p w:rsidR="00775565" w:rsidRPr="0044776A" w:rsidRDefault="00775565" w:rsidP="002E2327">
          <w:pPr>
            <w:keepNext/>
            <w:keepLines/>
            <w:tabs>
              <w:tab w:val="left" w:pos="-1440"/>
              <w:tab w:val="left" w:pos="-720"/>
            </w:tabs>
            <w:jc w:val="center"/>
            <w:rPr>
              <w:sz w:val="20"/>
              <w:szCs w:val="20"/>
            </w:rPr>
          </w:pPr>
        </w:p>
        <w:p w:rsidR="00775565" w:rsidRPr="0044776A" w:rsidRDefault="00775565" w:rsidP="002E2327">
          <w:pPr>
            <w:keepNext/>
            <w:keepLines/>
            <w:tabs>
              <w:tab w:val="left" w:pos="-1440"/>
              <w:tab w:val="left" w:pos="-720"/>
            </w:tabs>
            <w:jc w:val="center"/>
            <w:rPr>
              <w:sz w:val="20"/>
              <w:szCs w:val="20"/>
            </w:rPr>
          </w:pPr>
        </w:p>
      </w:tc>
      <w:tc>
        <w:tcPr>
          <w:tcW w:w="4320" w:type="dxa"/>
          <w:tcMar>
            <w:left w:w="0" w:type="dxa"/>
            <w:right w:w="0" w:type="dxa"/>
          </w:tcMar>
        </w:tcPr>
        <w:p w:rsidR="00775565" w:rsidRPr="0044776A" w:rsidRDefault="00775565" w:rsidP="002E2327">
          <w:pPr>
            <w:keepLines/>
            <w:rPr>
              <w:sz w:val="20"/>
              <w:szCs w:val="20"/>
              <w:lang w:val="fr-CA"/>
            </w:rPr>
          </w:pPr>
          <w:r w:rsidRPr="0044776A">
            <w:rPr>
              <w:sz w:val="20"/>
              <w:szCs w:val="20"/>
              <w:lang w:val="fr-CA"/>
            </w:rPr>
            <w:t>DEMANDES D'AUTORISATION D'APPEL DÉPOSÉES</w:t>
          </w:r>
        </w:p>
      </w:tc>
    </w:tr>
  </w:tbl>
  <w:p w:rsidR="00775565" w:rsidRDefault="007755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75565" w:rsidRPr="005133CB">
      <w:tc>
        <w:tcPr>
          <w:tcW w:w="420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75565" w:rsidRPr="003C2C0F"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75565" w:rsidRPr="003C2C0F"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75565" w:rsidRPr="003C2C0F"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5565" w:rsidRPr="005133CB" w:rsidTr="00245129">
      <w:tc>
        <w:tcPr>
          <w:tcW w:w="4200" w:type="dxa"/>
          <w:tcMar>
            <w:left w:w="0" w:type="dxa"/>
            <w:right w:w="0" w:type="dxa"/>
          </w:tcMar>
        </w:tcPr>
        <w:p w:rsidR="00775565" w:rsidRPr="00FF6EEC" w:rsidRDefault="00775565" w:rsidP="00FF6EEC">
          <w:pPr>
            <w:rPr>
              <w:sz w:val="20"/>
              <w:szCs w:val="20"/>
            </w:rPr>
          </w:pPr>
          <w:r w:rsidRPr="00FF6EEC">
            <w:rPr>
              <w:sz w:val="20"/>
              <w:szCs w:val="20"/>
            </w:rPr>
            <w:t>PRONOUNCEMENTS OF APPEALS RESERVED</w:t>
          </w:r>
        </w:p>
      </w:tc>
      <w:tc>
        <w:tcPr>
          <w:tcW w:w="1200" w:type="dxa"/>
          <w:tcMar>
            <w:left w:w="0" w:type="dxa"/>
            <w:right w:w="0" w:type="dxa"/>
          </w:tcMar>
        </w:tcPr>
        <w:p w:rsidR="00775565" w:rsidRPr="00FF6EEC" w:rsidRDefault="00775565" w:rsidP="00FF6EEC">
          <w:pPr>
            <w:jc w:val="center"/>
            <w:rPr>
              <w:sz w:val="20"/>
              <w:szCs w:val="20"/>
            </w:rPr>
          </w:pPr>
        </w:p>
        <w:p w:rsidR="00775565" w:rsidRPr="00FF6EEC" w:rsidRDefault="00775565" w:rsidP="00FF6EEC">
          <w:pPr>
            <w:jc w:val="center"/>
            <w:rPr>
              <w:sz w:val="20"/>
              <w:szCs w:val="20"/>
            </w:rPr>
          </w:pPr>
        </w:p>
        <w:p w:rsidR="00775565" w:rsidRPr="00FF6EEC" w:rsidRDefault="00775565" w:rsidP="00FF6EEC">
          <w:pPr>
            <w:jc w:val="center"/>
            <w:rPr>
              <w:sz w:val="20"/>
              <w:szCs w:val="20"/>
            </w:rPr>
          </w:pPr>
        </w:p>
      </w:tc>
      <w:tc>
        <w:tcPr>
          <w:tcW w:w="4080" w:type="dxa"/>
          <w:tcMar>
            <w:left w:w="0" w:type="dxa"/>
            <w:right w:w="0" w:type="dxa"/>
          </w:tcMar>
        </w:tcPr>
        <w:p w:rsidR="00775565" w:rsidRPr="00FF6EEC" w:rsidRDefault="00775565" w:rsidP="00FF6EEC">
          <w:pPr>
            <w:rPr>
              <w:sz w:val="20"/>
              <w:szCs w:val="20"/>
              <w:lang w:val="fr-CA"/>
            </w:rPr>
          </w:pPr>
          <w:r w:rsidRPr="00FF6EEC">
            <w:rPr>
              <w:sz w:val="20"/>
              <w:szCs w:val="20"/>
              <w:lang w:val="fr-CA"/>
            </w:rPr>
            <w:t>JUGEMENTS RENDUS SUR LES APPELS EN DÉLIBÉRÉ</w:t>
          </w:r>
        </w:p>
      </w:tc>
    </w:tr>
  </w:tbl>
  <w:p w:rsidR="00775565" w:rsidRPr="003C2C0F" w:rsidRDefault="0077556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75565">
      <w:tc>
        <w:tcPr>
          <w:tcW w:w="423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75565"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775565" w:rsidRDefault="0077556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75565" w:rsidRPr="00782AE4" w:rsidTr="00245129">
      <w:tc>
        <w:tcPr>
          <w:tcW w:w="4230" w:type="dxa"/>
          <w:tcMar>
            <w:left w:w="0" w:type="dxa"/>
            <w:right w:w="0" w:type="dxa"/>
          </w:tcMar>
        </w:tcPr>
        <w:p w:rsidR="00775565" w:rsidRPr="00782AE4" w:rsidRDefault="00775565" w:rsidP="00102926">
          <w:pPr>
            <w:keepNext/>
            <w:keepLines/>
            <w:tabs>
              <w:tab w:val="left" w:pos="-1440"/>
              <w:tab w:val="left" w:pos="-720"/>
            </w:tabs>
            <w:rPr>
              <w:sz w:val="20"/>
              <w:szCs w:val="20"/>
            </w:rPr>
          </w:pPr>
          <w:r w:rsidRPr="00782AE4">
            <w:rPr>
              <w:sz w:val="20"/>
              <w:szCs w:val="20"/>
            </w:rPr>
            <w:t xml:space="preserve">HEADNOTES OF RECENT </w:t>
          </w:r>
        </w:p>
        <w:p w:rsidR="00775565" w:rsidRPr="00782AE4"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75565" w:rsidRDefault="00775565" w:rsidP="00102926">
          <w:pPr>
            <w:keepNext/>
            <w:keepLines/>
            <w:tabs>
              <w:tab w:val="left" w:pos="-1440"/>
              <w:tab w:val="left" w:pos="-720"/>
            </w:tabs>
            <w:jc w:val="center"/>
            <w:rPr>
              <w:sz w:val="20"/>
              <w:szCs w:val="20"/>
            </w:rPr>
          </w:pPr>
        </w:p>
        <w:p w:rsidR="00775565" w:rsidRDefault="00775565" w:rsidP="00102926">
          <w:pPr>
            <w:keepNext/>
            <w:keepLines/>
            <w:tabs>
              <w:tab w:val="left" w:pos="-1440"/>
              <w:tab w:val="left" w:pos="-720"/>
            </w:tabs>
            <w:jc w:val="center"/>
            <w:rPr>
              <w:sz w:val="20"/>
              <w:szCs w:val="20"/>
            </w:rPr>
          </w:pPr>
        </w:p>
        <w:p w:rsidR="00775565" w:rsidRPr="00782AE4" w:rsidRDefault="00775565" w:rsidP="00102926">
          <w:pPr>
            <w:keepNext/>
            <w:keepLines/>
            <w:tabs>
              <w:tab w:val="left" w:pos="-1440"/>
              <w:tab w:val="left" w:pos="-720"/>
            </w:tabs>
            <w:jc w:val="center"/>
            <w:rPr>
              <w:sz w:val="20"/>
              <w:szCs w:val="20"/>
            </w:rPr>
          </w:pPr>
        </w:p>
      </w:tc>
      <w:tc>
        <w:tcPr>
          <w:tcW w:w="4080" w:type="dxa"/>
          <w:tcMar>
            <w:left w:w="0" w:type="dxa"/>
            <w:right w:w="0" w:type="dxa"/>
          </w:tcMar>
        </w:tcPr>
        <w:p w:rsidR="00775565" w:rsidRPr="00102926"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75565" w:rsidRPr="00782AE4" w:rsidRDefault="00775565" w:rsidP="00102926">
          <w:pPr>
            <w:keepLines/>
            <w:tabs>
              <w:tab w:val="left" w:pos="-1440"/>
              <w:tab w:val="left" w:pos="-720"/>
            </w:tabs>
            <w:rPr>
              <w:sz w:val="20"/>
              <w:szCs w:val="20"/>
            </w:rPr>
          </w:pPr>
          <w:r w:rsidRPr="00102926">
            <w:rPr>
              <w:sz w:val="20"/>
              <w:szCs w:val="20"/>
              <w:lang w:val="fr-CA"/>
            </w:rPr>
            <w:t>RÉCENTS</w:t>
          </w:r>
        </w:p>
      </w:tc>
    </w:tr>
  </w:tbl>
  <w:p w:rsidR="00775565" w:rsidRDefault="0077556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75565" w:rsidRDefault="0077556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p w:rsidR="00775565" w:rsidRDefault="0077556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4A" w:rsidRDefault="00E85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5565" w:rsidRPr="005133CB" w:rsidTr="00245129">
      <w:tc>
        <w:tcPr>
          <w:tcW w:w="4200" w:type="dxa"/>
          <w:tcMar>
            <w:left w:w="0" w:type="dxa"/>
            <w:right w:w="0" w:type="dxa"/>
          </w:tcMar>
        </w:tcPr>
        <w:p w:rsidR="00775565" w:rsidRPr="0044776A" w:rsidRDefault="00775565" w:rsidP="0044776A">
          <w:pPr>
            <w:keepNext/>
            <w:keepLines/>
            <w:widowControl w:val="0"/>
            <w:rPr>
              <w:sz w:val="20"/>
              <w:szCs w:val="20"/>
            </w:rPr>
          </w:pPr>
          <w:r>
            <w:rPr>
              <w:sz w:val="20"/>
              <w:szCs w:val="20"/>
            </w:rPr>
            <w:t>APPLICATIONS FOR LEAVE</w:t>
          </w:r>
        </w:p>
        <w:p w:rsidR="00775565" w:rsidRPr="0044776A" w:rsidRDefault="0077556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75565" w:rsidRPr="0044776A" w:rsidRDefault="00775565" w:rsidP="0044776A">
          <w:pPr>
            <w:keepNext/>
            <w:keepLines/>
            <w:widowControl w:val="0"/>
            <w:jc w:val="center"/>
            <w:rPr>
              <w:sz w:val="20"/>
              <w:szCs w:val="20"/>
            </w:rPr>
          </w:pPr>
        </w:p>
        <w:p w:rsidR="00775565" w:rsidRPr="0044776A" w:rsidRDefault="00775565" w:rsidP="0044776A">
          <w:pPr>
            <w:keepNext/>
            <w:keepLines/>
            <w:widowControl w:val="0"/>
            <w:jc w:val="center"/>
            <w:rPr>
              <w:sz w:val="20"/>
              <w:szCs w:val="20"/>
            </w:rPr>
          </w:pPr>
        </w:p>
        <w:p w:rsidR="00775565" w:rsidRPr="0044776A" w:rsidRDefault="00775565" w:rsidP="0044776A">
          <w:pPr>
            <w:keepNext/>
            <w:keepLines/>
            <w:widowControl w:val="0"/>
            <w:jc w:val="center"/>
            <w:rPr>
              <w:sz w:val="20"/>
              <w:szCs w:val="20"/>
            </w:rPr>
          </w:pPr>
        </w:p>
      </w:tc>
      <w:tc>
        <w:tcPr>
          <w:tcW w:w="4080" w:type="dxa"/>
          <w:tcMar>
            <w:left w:w="0" w:type="dxa"/>
            <w:right w:w="0" w:type="dxa"/>
          </w:tcMar>
        </w:tcPr>
        <w:p w:rsidR="00775565" w:rsidRPr="0044776A" w:rsidRDefault="00775565" w:rsidP="0044776A">
          <w:pPr>
            <w:keepLines/>
            <w:widowControl w:val="0"/>
            <w:rPr>
              <w:sz w:val="20"/>
              <w:szCs w:val="20"/>
              <w:lang w:val="fr-CA"/>
            </w:rPr>
          </w:pPr>
          <w:r w:rsidRPr="0044776A">
            <w:rPr>
              <w:sz w:val="20"/>
              <w:szCs w:val="20"/>
              <w:lang w:val="fr-CA"/>
            </w:rPr>
            <w:t>DEMANDES SOUMISES À LA COUR DEPUIS LA DERNIÈRE PARUTION</w:t>
          </w:r>
        </w:p>
        <w:p w:rsidR="00775565" w:rsidRPr="0044776A" w:rsidRDefault="00775565" w:rsidP="0044776A">
          <w:pPr>
            <w:widowControl w:val="0"/>
            <w:rPr>
              <w:sz w:val="20"/>
              <w:szCs w:val="20"/>
              <w:lang w:val="fr-CA"/>
            </w:rPr>
          </w:pPr>
        </w:p>
      </w:tc>
    </w:tr>
  </w:tbl>
  <w:p w:rsidR="00775565" w:rsidRPr="002E2327" w:rsidRDefault="0077556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75565" w:rsidRPr="005133CB">
      <w:tc>
        <w:tcPr>
          <w:tcW w:w="420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75565"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5565" w:rsidRPr="00FF6BA5"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75565" w:rsidRPr="00FF6BA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75565" w:rsidRPr="00FF6BA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75565" w:rsidRPr="00FF6BA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5565" w:rsidRPr="005133CB" w:rsidTr="00245129">
      <w:tc>
        <w:tcPr>
          <w:tcW w:w="4200" w:type="dxa"/>
          <w:tcMar>
            <w:left w:w="0" w:type="dxa"/>
            <w:right w:w="0" w:type="dxa"/>
          </w:tcMar>
        </w:tcPr>
        <w:p w:rsidR="00775565" w:rsidRPr="00755F22"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75565" w:rsidRPr="00755F22"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75565" w:rsidRPr="00755F22" w:rsidRDefault="007755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5565" w:rsidRPr="00755F22" w:rsidRDefault="007755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5565" w:rsidRPr="00755F22" w:rsidRDefault="0077556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75565" w:rsidRPr="00755F22"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75565" w:rsidRPr="00FF6BA5" w:rsidRDefault="00775565"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5" w:rsidRDefault="007755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75565">
      <w:tc>
        <w:tcPr>
          <w:tcW w:w="4230" w:type="dxa"/>
          <w:tcMar>
            <w:left w:w="0" w:type="dxa"/>
            <w:right w:w="0" w:type="dxa"/>
          </w:tcMar>
        </w:tcPr>
        <w:p w:rsidR="00775565" w:rsidRDefault="0077556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75565"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5565" w:rsidRDefault="0077556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75565">
      <w:trPr>
        <w:gridAfter w:val="2"/>
        <w:wAfter w:w="5250" w:type="dxa"/>
      </w:trPr>
      <w:tc>
        <w:tcPr>
          <w:tcW w:w="4230" w:type="dxa"/>
          <w:tcMar>
            <w:left w:w="0" w:type="dxa"/>
            <w:right w:w="0" w:type="dxa"/>
          </w:tcMar>
        </w:tcPr>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75565" w:rsidRDefault="00775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75565" w:rsidRPr="00755F22" w:rsidTr="00245129">
      <w:tc>
        <w:tcPr>
          <w:tcW w:w="4230" w:type="dxa"/>
          <w:tcMar>
            <w:left w:w="0" w:type="dxa"/>
            <w:right w:w="0" w:type="dxa"/>
          </w:tcMar>
        </w:tcPr>
        <w:p w:rsidR="00775565" w:rsidRPr="00755F22" w:rsidRDefault="00775565" w:rsidP="00831CA9">
          <w:pPr>
            <w:keepNext/>
            <w:keepLines/>
            <w:rPr>
              <w:sz w:val="20"/>
              <w:szCs w:val="20"/>
            </w:rPr>
          </w:pPr>
          <w:r w:rsidRPr="00755F22">
            <w:rPr>
              <w:sz w:val="20"/>
              <w:szCs w:val="20"/>
            </w:rPr>
            <w:t>MOTIONS</w:t>
          </w:r>
        </w:p>
      </w:tc>
      <w:tc>
        <w:tcPr>
          <w:tcW w:w="1170" w:type="dxa"/>
          <w:tcMar>
            <w:left w:w="0" w:type="dxa"/>
            <w:right w:w="0" w:type="dxa"/>
          </w:tcMar>
        </w:tcPr>
        <w:p w:rsidR="00775565" w:rsidRPr="00755F22" w:rsidRDefault="00775565" w:rsidP="00831CA9">
          <w:pPr>
            <w:keepLines/>
            <w:jc w:val="center"/>
            <w:rPr>
              <w:sz w:val="20"/>
              <w:szCs w:val="20"/>
            </w:rPr>
          </w:pPr>
        </w:p>
        <w:p w:rsidR="00775565" w:rsidRPr="00755F22" w:rsidRDefault="00775565" w:rsidP="00831CA9">
          <w:pPr>
            <w:keepLines/>
            <w:tabs>
              <w:tab w:val="left" w:pos="-1440"/>
              <w:tab w:val="left" w:pos="-720"/>
            </w:tabs>
            <w:jc w:val="center"/>
            <w:rPr>
              <w:sz w:val="20"/>
              <w:szCs w:val="20"/>
            </w:rPr>
          </w:pPr>
        </w:p>
      </w:tc>
      <w:tc>
        <w:tcPr>
          <w:tcW w:w="4080" w:type="dxa"/>
          <w:tcMar>
            <w:left w:w="0" w:type="dxa"/>
            <w:right w:w="0" w:type="dxa"/>
          </w:tcMar>
        </w:tcPr>
        <w:p w:rsidR="00775565" w:rsidRPr="00BA6468" w:rsidRDefault="00775565" w:rsidP="00BA6468">
          <w:pPr>
            <w:keepLines/>
            <w:rPr>
              <w:sz w:val="20"/>
              <w:szCs w:val="20"/>
              <w:lang w:val="fr-CA"/>
            </w:rPr>
          </w:pPr>
          <w:r w:rsidRPr="00BA6468">
            <w:rPr>
              <w:sz w:val="20"/>
              <w:szCs w:val="20"/>
              <w:lang w:val="fr-CA"/>
            </w:rPr>
            <w:t>REQUÊTES</w:t>
          </w:r>
        </w:p>
      </w:tc>
    </w:tr>
  </w:tbl>
  <w:p w:rsidR="00775565" w:rsidRDefault="0077556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D5D"/>
    <w:multiLevelType w:val="hybridMultilevel"/>
    <w:tmpl w:val="9842BB9E"/>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A8C4932"/>
    <w:multiLevelType w:val="hybridMultilevel"/>
    <w:tmpl w:val="751E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AF"/>
    <w:rsid w:val="00002704"/>
    <w:rsid w:val="00020DC3"/>
    <w:rsid w:val="0003223B"/>
    <w:rsid w:val="000327B2"/>
    <w:rsid w:val="00044AAA"/>
    <w:rsid w:val="0004528B"/>
    <w:rsid w:val="00064FBA"/>
    <w:rsid w:val="00091FA6"/>
    <w:rsid w:val="00094E96"/>
    <w:rsid w:val="000957BE"/>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539BC"/>
    <w:rsid w:val="00164E6D"/>
    <w:rsid w:val="00183454"/>
    <w:rsid w:val="00183D35"/>
    <w:rsid w:val="001B157C"/>
    <w:rsid w:val="001B4006"/>
    <w:rsid w:val="001B5C23"/>
    <w:rsid w:val="001C7EF2"/>
    <w:rsid w:val="001D0D5F"/>
    <w:rsid w:val="001D6B8C"/>
    <w:rsid w:val="001F1F83"/>
    <w:rsid w:val="001F40DF"/>
    <w:rsid w:val="001F43F8"/>
    <w:rsid w:val="001F6B2D"/>
    <w:rsid w:val="002021A9"/>
    <w:rsid w:val="00205684"/>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3977"/>
    <w:rsid w:val="003E1D4C"/>
    <w:rsid w:val="00411CAF"/>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133CB"/>
    <w:rsid w:val="0052229C"/>
    <w:rsid w:val="00527CC7"/>
    <w:rsid w:val="0056248C"/>
    <w:rsid w:val="00571CA4"/>
    <w:rsid w:val="00582136"/>
    <w:rsid w:val="00591DAC"/>
    <w:rsid w:val="005C6840"/>
    <w:rsid w:val="005D3F4C"/>
    <w:rsid w:val="005F1ED8"/>
    <w:rsid w:val="005F263E"/>
    <w:rsid w:val="00600252"/>
    <w:rsid w:val="00612A40"/>
    <w:rsid w:val="0062714A"/>
    <w:rsid w:val="00675479"/>
    <w:rsid w:val="00680709"/>
    <w:rsid w:val="00681F61"/>
    <w:rsid w:val="00696BF9"/>
    <w:rsid w:val="00697C62"/>
    <w:rsid w:val="006A329B"/>
    <w:rsid w:val="006A34A7"/>
    <w:rsid w:val="006A7EB8"/>
    <w:rsid w:val="006B6926"/>
    <w:rsid w:val="006C3F47"/>
    <w:rsid w:val="006C5F7A"/>
    <w:rsid w:val="006E06AF"/>
    <w:rsid w:val="006F350F"/>
    <w:rsid w:val="00723D18"/>
    <w:rsid w:val="00732DB7"/>
    <w:rsid w:val="0074238B"/>
    <w:rsid w:val="00745EF7"/>
    <w:rsid w:val="00755F22"/>
    <w:rsid w:val="00762008"/>
    <w:rsid w:val="00766E4A"/>
    <w:rsid w:val="00775565"/>
    <w:rsid w:val="007820CE"/>
    <w:rsid w:val="00782AE4"/>
    <w:rsid w:val="0079724F"/>
    <w:rsid w:val="007A3EAE"/>
    <w:rsid w:val="007C04FC"/>
    <w:rsid w:val="007C3DB0"/>
    <w:rsid w:val="007C47C2"/>
    <w:rsid w:val="007C58A9"/>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C060A"/>
    <w:rsid w:val="008D292F"/>
    <w:rsid w:val="008E03DC"/>
    <w:rsid w:val="00900C1B"/>
    <w:rsid w:val="00902E51"/>
    <w:rsid w:val="00924065"/>
    <w:rsid w:val="00930D68"/>
    <w:rsid w:val="00932756"/>
    <w:rsid w:val="00932DB4"/>
    <w:rsid w:val="00941A4B"/>
    <w:rsid w:val="00946242"/>
    <w:rsid w:val="0095096B"/>
    <w:rsid w:val="00970CD3"/>
    <w:rsid w:val="009723FA"/>
    <w:rsid w:val="00984546"/>
    <w:rsid w:val="00996510"/>
    <w:rsid w:val="009D1F15"/>
    <w:rsid w:val="009D555E"/>
    <w:rsid w:val="009F3024"/>
    <w:rsid w:val="009F39BA"/>
    <w:rsid w:val="00A0355E"/>
    <w:rsid w:val="00A236E8"/>
    <w:rsid w:val="00A375D1"/>
    <w:rsid w:val="00A45194"/>
    <w:rsid w:val="00A51D10"/>
    <w:rsid w:val="00A52A83"/>
    <w:rsid w:val="00A6245A"/>
    <w:rsid w:val="00A64694"/>
    <w:rsid w:val="00A6552C"/>
    <w:rsid w:val="00A87207"/>
    <w:rsid w:val="00A935AA"/>
    <w:rsid w:val="00A956D3"/>
    <w:rsid w:val="00AB2201"/>
    <w:rsid w:val="00AD1D34"/>
    <w:rsid w:val="00AD3259"/>
    <w:rsid w:val="00AF1715"/>
    <w:rsid w:val="00AF3904"/>
    <w:rsid w:val="00B010C0"/>
    <w:rsid w:val="00B4740D"/>
    <w:rsid w:val="00B52989"/>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4416"/>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C272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56009"/>
    <w:rsid w:val="00F761A3"/>
    <w:rsid w:val="00F9272D"/>
    <w:rsid w:val="00F9518C"/>
    <w:rsid w:val="00FA316E"/>
    <w:rsid w:val="00FA3373"/>
    <w:rsid w:val="00FA59EF"/>
    <w:rsid w:val="00FB19A2"/>
    <w:rsid w:val="00FB4A2E"/>
    <w:rsid w:val="00FC3EF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LsocSubfileSeparator">
    <w:name w:val="SCC.Lsoc.SubfileSeparator"/>
    <w:basedOn w:val="Normal"/>
    <w:next w:val="Normal"/>
    <w:link w:val="SCCLsocSubfileSeparatorChar"/>
    <w:rsid w:val="00900C1B"/>
    <w:pPr>
      <w:jc w:val="both"/>
    </w:pPr>
    <w:rPr>
      <w:rFonts w:cs="Times New Roman"/>
      <w:b/>
      <w:szCs w:val="24"/>
    </w:rPr>
  </w:style>
  <w:style w:type="character" w:customStyle="1" w:styleId="SCCLsocSubfileSeparatorChar">
    <w:name w:val="SCC.Lsoc.SubfileSeparator Char"/>
    <w:basedOn w:val="DefaultParagraphFont"/>
    <w:link w:val="SCCLsocSubfileSeparator"/>
    <w:rsid w:val="00900C1B"/>
    <w:rPr>
      <w:rFonts w:cs="Times New Roman"/>
      <w:b/>
      <w:szCs w:val="24"/>
      <w:lang w:val="en-CA"/>
    </w:rPr>
  </w:style>
  <w:style w:type="paragraph" w:customStyle="1" w:styleId="SCCAppellantInfoCoram">
    <w:name w:val="SCC.AppellantInfo.Coram"/>
    <w:basedOn w:val="Normal"/>
    <w:next w:val="Normal"/>
    <w:link w:val="SCCAppellantInfoCoramChar"/>
    <w:rsid w:val="00591DAC"/>
    <w:rPr>
      <w:b/>
      <w:szCs w:val="24"/>
    </w:rPr>
  </w:style>
  <w:style w:type="character" w:customStyle="1" w:styleId="SCCAppellantInfoCoramChar">
    <w:name w:val="SCC.AppellantInfo.Coram Char"/>
    <w:basedOn w:val="DefaultParagraphFont"/>
    <w:link w:val="SCCAppellantInfoCoram"/>
    <w:rsid w:val="00591DAC"/>
    <w:rPr>
      <w:b/>
      <w:szCs w:val="24"/>
      <w:lang w:val="en-CA"/>
    </w:rPr>
  </w:style>
  <w:style w:type="paragraph" w:customStyle="1" w:styleId="SCCAppellantInfoTypeOfCase">
    <w:name w:val="SCC.AppellantInfo.TypeOfCase"/>
    <w:basedOn w:val="Normal"/>
    <w:next w:val="Normal"/>
    <w:link w:val="SCCAppellantInfoTypeOfCaseChar"/>
    <w:rsid w:val="00591DAC"/>
    <w:rPr>
      <w:b/>
      <w:szCs w:val="24"/>
    </w:rPr>
  </w:style>
  <w:style w:type="character" w:customStyle="1" w:styleId="SCCAppellantInfoTypeOfCaseChar">
    <w:name w:val="SCC.AppellantInfo.TypeOfCase Char"/>
    <w:basedOn w:val="DefaultParagraphFont"/>
    <w:link w:val="SCCAppellantInfoTypeOfCase"/>
    <w:rsid w:val="00591DAC"/>
    <w:rPr>
      <w:b/>
      <w:szCs w:val="24"/>
      <w:lang w:val="en-CA"/>
    </w:rPr>
  </w:style>
  <w:style w:type="paragraph" w:customStyle="1" w:styleId="SCCAppellantInfoAppellantInfo">
    <w:name w:val="SCC.AppellantInfo.AppellantInfo"/>
    <w:basedOn w:val="Normal"/>
    <w:next w:val="Normal"/>
    <w:link w:val="SCCAppellantInfoAppellantInfoChar"/>
    <w:rsid w:val="00591DAC"/>
    <w:rPr>
      <w:szCs w:val="24"/>
    </w:rPr>
  </w:style>
  <w:style w:type="character" w:customStyle="1" w:styleId="SCCAppellantInfoAppellantInfoChar">
    <w:name w:val="SCC.AppellantInfo.AppellantInfo Char"/>
    <w:basedOn w:val="DefaultParagraphFont"/>
    <w:link w:val="SCCAppellantInfoAppellantInfo"/>
    <w:rsid w:val="00591DAC"/>
    <w:rPr>
      <w:szCs w:val="24"/>
      <w:lang w:val="en-CA"/>
    </w:rPr>
  </w:style>
  <w:style w:type="paragraph" w:styleId="BalloonText">
    <w:name w:val="Balloon Text"/>
    <w:basedOn w:val="Normal"/>
    <w:link w:val="BalloonTextChar"/>
    <w:uiPriority w:val="99"/>
    <w:semiHidden/>
    <w:unhideWhenUsed/>
    <w:rsid w:val="00775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6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nb/nbca/doc/2016/2016nbca58/2016nbca58.html?resultIndex=4" TargetMode="External"/><Relationship Id="rId26" Type="http://schemas.openxmlformats.org/officeDocument/2006/relationships/hyperlink" Target="https://www.canlii.org/en/ca/fct/doc/2016/2016fc484/2016fc484.html?resultIndex=1" TargetMode="External"/><Relationship Id="rId39" Type="http://schemas.openxmlformats.org/officeDocument/2006/relationships/footer" Target="footer9.xml"/><Relationship Id="rId21" Type="http://schemas.openxmlformats.org/officeDocument/2006/relationships/hyperlink" Target="https://www.canlii.org/en/nb/nbca/doc/2016/2016canlii101484/2016canlii101484.html?autocompleteStr=2016%20canlii%20101484&amp;autocompletePos=1"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on/onca/doc/2017/2017onca91/2017onca91.html?autocompleteStr=2017%20ONCA%2091&amp;autocompletePos=1" TargetMode="Externa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canlii.org/en/nb/nbca/doc/2016/2016nbca58/2016nbca58.html?resultIndex=4" TargetMode="External"/><Relationship Id="rId29" Type="http://schemas.openxmlformats.org/officeDocument/2006/relationships/hyperlink" Target="https://www.canlii.org/en/ca/fca/doc/2017/2017fca29/2017fca29.html?autocompleteStr=Gennai&amp;autocompletePos=3" TargetMode="External"/><Relationship Id="rId41" Type="http://schemas.openxmlformats.org/officeDocument/2006/relationships/footer" Target="footer10.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nlii.org/en/on/onsc/doc/2013/2013onsc7648/2013onsc7648.html?autocompleteStr=2013%20ONSC%207648&amp;autocompletePos=1" TargetMode="Externa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lii.org/en/on/onca/doc/2017/2017onca91/2017onca91.html?autocompleteStr=2017%20ONCA%2091&amp;autocompletePos=1" TargetMode="External"/><Relationship Id="rId28" Type="http://schemas.openxmlformats.org/officeDocument/2006/relationships/hyperlink" Target="https://www.canlii.org/en/ca/fct/doc/2016/2016fc484/2016fc484.html?resultIndex=1" TargetMode="External"/><Relationship Id="rId36" Type="http://schemas.openxmlformats.org/officeDocument/2006/relationships/header" Target="header8.xml"/><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anlii.org/en/nb/nbca/doc/2016/2016canlii101484/2016canlii101484.html?autocompleteStr=2016%20canlii%20101484&amp;autocompletePos=1" TargetMode="Externa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on/onsc/doc/2013/2013onsc7648/2013onsc7648.html?autocompleteStr=2013%20ONSC%207648&amp;autocompletePos=1" TargetMode="External"/><Relationship Id="rId27" Type="http://schemas.openxmlformats.org/officeDocument/2006/relationships/hyperlink" Target="https://www.canlii.org/en/ca/fca/doc/2017/2017fca29/2017fca29.html?autocompleteStr=Gennai&amp;autocompletePos=3" TargetMode="Externa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hyperlink" Target="http://www.scc-csc.ca/case-dossier/info/sum-som-eng.aspx?cas=36689" TargetMode="External"/><Relationship Id="rId56"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footer" Target="footer1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87EF-F090-43BE-A759-92E1F496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19</Pages>
  <Words>7730</Words>
  <Characters>44066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2017-07-07T17:29:00Z</dcterms:created>
  <dcterms:modified xsi:type="dcterms:W3CDTF">2017-07-14T17:59:00Z</dcterms:modified>
</cp:coreProperties>
</file>