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B07D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B07D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B07D6"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B07D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B07D6"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B07D6"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B07D6"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8639C" w:rsidP="00F0068D">
      <w:pPr>
        <w:pBdr>
          <w:bottom w:val="single" w:sz="6" w:space="1" w:color="auto"/>
        </w:pBdr>
        <w:tabs>
          <w:tab w:val="center" w:pos="4680"/>
          <w:tab w:val="right" w:pos="9360"/>
        </w:tabs>
        <w:rPr>
          <w:lang w:val="fr-CA"/>
        </w:rPr>
      </w:pPr>
      <w:r>
        <w:rPr>
          <w:lang w:val="fr-CA"/>
        </w:rPr>
        <w:t>September 22</w:t>
      </w:r>
      <w:r w:rsidR="00440E24" w:rsidRPr="00675479">
        <w:rPr>
          <w:lang w:val="fr-CA"/>
        </w:rPr>
        <w:t>, 201</w:t>
      </w:r>
      <w:r w:rsidR="00E8544A">
        <w:rPr>
          <w:lang w:val="fr-CA"/>
        </w:rPr>
        <w:t>7</w:t>
      </w:r>
      <w:r w:rsidR="00F0068D" w:rsidRPr="00675479">
        <w:rPr>
          <w:lang w:val="fr-CA"/>
        </w:rPr>
        <w:tab/>
        <w:t>1</w:t>
      </w:r>
      <w:r>
        <w:rPr>
          <w:lang w:val="fr-CA"/>
        </w:rPr>
        <w:t>297</w:t>
      </w:r>
      <w:r w:rsidR="00F0068D" w:rsidRPr="00675479">
        <w:rPr>
          <w:lang w:val="fr-CA"/>
        </w:rPr>
        <w:t xml:space="preserve"> - </w:t>
      </w:r>
      <w:r w:rsidR="00990CA8">
        <w:rPr>
          <w:lang w:val="fr-CA"/>
        </w:rPr>
        <w:t>1338</w:t>
      </w:r>
      <w:r w:rsidR="00440E24" w:rsidRPr="00675479">
        <w:rPr>
          <w:lang w:val="fr-CA"/>
        </w:rPr>
        <w:tab/>
      </w:r>
      <w:r w:rsidR="00440E24" w:rsidRPr="002E2327">
        <w:rPr>
          <w:lang w:val="fr-CA"/>
        </w:rPr>
        <w:t>Le</w:t>
      </w:r>
      <w:r w:rsidR="00C73D06">
        <w:rPr>
          <w:lang w:val="fr-CA"/>
        </w:rPr>
        <w:t xml:space="preserve"> </w:t>
      </w:r>
      <w:r>
        <w:rPr>
          <w:lang w:val="fr-CA"/>
        </w:rPr>
        <w:t>22 septembre</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Supreme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Default="0095096B" w:rsidP="0095096B">
            <w:pPr>
              <w:tabs>
                <w:tab w:val="right" w:pos="9360"/>
              </w:tabs>
              <w:rPr>
                <w:rFonts w:cs="Times New Roman"/>
                <w:sz w:val="20"/>
                <w:szCs w:val="20"/>
              </w:rPr>
            </w:pPr>
          </w:p>
          <w:p w:rsidR="00507366" w:rsidRDefault="00507366"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507366">
            <w:pPr>
              <w:tabs>
                <w:tab w:val="right" w:pos="9360"/>
              </w:tabs>
              <w:rPr>
                <w:rFonts w:cs="Times New Roman"/>
                <w:sz w:val="20"/>
                <w:szCs w:val="20"/>
              </w:rPr>
            </w:pPr>
          </w:p>
        </w:tc>
        <w:tc>
          <w:tcPr>
            <w:tcW w:w="1980" w:type="dxa"/>
          </w:tcPr>
          <w:p w:rsidR="0095096B" w:rsidRPr="002E2327" w:rsidRDefault="00EF2E8B" w:rsidP="0095096B">
            <w:pPr>
              <w:jc w:val="center"/>
              <w:rPr>
                <w:rFonts w:cs="Times New Roman"/>
                <w:sz w:val="20"/>
                <w:szCs w:val="20"/>
              </w:rPr>
            </w:pPr>
            <w:r>
              <w:rPr>
                <w:rFonts w:cs="Times New Roman"/>
                <w:sz w:val="20"/>
                <w:szCs w:val="20"/>
              </w:rPr>
              <w:t xml:space="preserve">1297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1298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F2E8B" w:rsidP="0095096B">
            <w:pPr>
              <w:jc w:val="center"/>
              <w:rPr>
                <w:rFonts w:cs="Times New Roman"/>
                <w:sz w:val="20"/>
                <w:szCs w:val="20"/>
              </w:rPr>
            </w:pPr>
            <w:r>
              <w:rPr>
                <w:rFonts w:cs="Times New Roman"/>
                <w:sz w:val="20"/>
                <w:szCs w:val="20"/>
              </w:rPr>
              <w:t>1299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F2E8B" w:rsidP="0095096B">
            <w:pPr>
              <w:jc w:val="center"/>
              <w:rPr>
                <w:rFonts w:cs="Times New Roman"/>
                <w:sz w:val="20"/>
                <w:szCs w:val="20"/>
              </w:rPr>
            </w:pPr>
            <w:r>
              <w:rPr>
                <w:rFonts w:cs="Times New Roman"/>
                <w:sz w:val="20"/>
                <w:szCs w:val="20"/>
              </w:rPr>
              <w:t xml:space="preserve">1300 </w:t>
            </w:r>
            <w:r w:rsidR="0095096B" w:rsidRPr="002E2327">
              <w:rPr>
                <w:rFonts w:cs="Times New Roman"/>
                <w:sz w:val="20"/>
                <w:szCs w:val="20"/>
              </w:rPr>
              <w:t>-</w:t>
            </w:r>
            <w:r>
              <w:rPr>
                <w:rFonts w:cs="Times New Roman"/>
                <w:sz w:val="20"/>
                <w:szCs w:val="20"/>
              </w:rPr>
              <w:t xml:space="preserve"> 1323</w:t>
            </w:r>
          </w:p>
          <w:p w:rsidR="0095096B" w:rsidRDefault="0095096B" w:rsidP="0095096B">
            <w:pPr>
              <w:jc w:val="center"/>
              <w:rPr>
                <w:rFonts w:cs="Times New Roman"/>
                <w:sz w:val="20"/>
                <w:szCs w:val="20"/>
              </w:rPr>
            </w:pPr>
          </w:p>
          <w:p w:rsidR="00507366" w:rsidRPr="002E2327" w:rsidRDefault="00507366" w:rsidP="0095096B">
            <w:pPr>
              <w:jc w:val="center"/>
              <w:rPr>
                <w:rFonts w:cs="Times New Roman"/>
                <w:sz w:val="20"/>
                <w:szCs w:val="20"/>
              </w:rPr>
            </w:pPr>
          </w:p>
          <w:p w:rsidR="0095096B" w:rsidRPr="002E2327" w:rsidRDefault="00EF2E8B" w:rsidP="0095096B">
            <w:pPr>
              <w:jc w:val="center"/>
              <w:rPr>
                <w:rFonts w:cs="Times New Roman"/>
                <w:sz w:val="20"/>
                <w:szCs w:val="20"/>
              </w:rPr>
            </w:pPr>
            <w:r>
              <w:rPr>
                <w:rFonts w:cs="Times New Roman"/>
                <w:sz w:val="20"/>
                <w:szCs w:val="20"/>
              </w:rPr>
              <w:t xml:space="preserve">1324 </w:t>
            </w:r>
            <w:r w:rsidR="0095096B" w:rsidRPr="002E2327">
              <w:rPr>
                <w:rFonts w:cs="Times New Roman"/>
                <w:sz w:val="20"/>
                <w:szCs w:val="20"/>
              </w:rPr>
              <w:t>-</w:t>
            </w:r>
            <w:r>
              <w:rPr>
                <w:rFonts w:cs="Times New Roman"/>
                <w:sz w:val="20"/>
                <w:szCs w:val="20"/>
              </w:rPr>
              <w:t xml:space="preserve"> 1326</w:t>
            </w:r>
          </w:p>
          <w:p w:rsidR="0095096B" w:rsidRPr="002E2327" w:rsidRDefault="0095096B" w:rsidP="0095096B">
            <w:pPr>
              <w:jc w:val="center"/>
              <w:rPr>
                <w:rFonts w:cs="Times New Roman"/>
                <w:sz w:val="20"/>
                <w:szCs w:val="20"/>
              </w:rPr>
            </w:pPr>
          </w:p>
          <w:p w:rsidR="0095096B" w:rsidRPr="002E2327" w:rsidRDefault="00EF2E8B" w:rsidP="0095096B">
            <w:pPr>
              <w:jc w:val="center"/>
              <w:rPr>
                <w:rFonts w:cs="Times New Roman"/>
                <w:sz w:val="20"/>
                <w:szCs w:val="20"/>
              </w:rPr>
            </w:pPr>
            <w:r>
              <w:rPr>
                <w:rFonts w:cs="Times New Roman"/>
                <w:sz w:val="20"/>
                <w:szCs w:val="20"/>
              </w:rPr>
              <w:t>1327</w:t>
            </w:r>
          </w:p>
          <w:p w:rsidR="0095096B" w:rsidRDefault="0095096B" w:rsidP="0095096B">
            <w:pPr>
              <w:jc w:val="center"/>
              <w:rPr>
                <w:rFonts w:cs="Times New Roman"/>
                <w:sz w:val="20"/>
                <w:szCs w:val="20"/>
              </w:rPr>
            </w:pPr>
          </w:p>
          <w:p w:rsidR="00EF2E8B" w:rsidRPr="002E2327" w:rsidRDefault="00EF2E8B" w:rsidP="0095096B">
            <w:pPr>
              <w:jc w:val="center"/>
              <w:rPr>
                <w:rFonts w:cs="Times New Roman"/>
                <w:sz w:val="20"/>
                <w:szCs w:val="20"/>
              </w:rPr>
            </w:pPr>
          </w:p>
          <w:p w:rsidR="0095096B" w:rsidRPr="002E2327" w:rsidRDefault="00EF2E8B" w:rsidP="0095096B">
            <w:pPr>
              <w:jc w:val="center"/>
              <w:rPr>
                <w:rFonts w:cs="Times New Roman"/>
                <w:sz w:val="20"/>
                <w:szCs w:val="20"/>
              </w:rPr>
            </w:pPr>
            <w:r>
              <w:rPr>
                <w:rFonts w:cs="Times New Roman"/>
                <w:sz w:val="20"/>
                <w:szCs w:val="20"/>
              </w:rPr>
              <w:t>1328</w:t>
            </w:r>
          </w:p>
          <w:p w:rsidR="0095096B" w:rsidRDefault="0095096B" w:rsidP="0095096B">
            <w:pPr>
              <w:jc w:val="center"/>
              <w:rPr>
                <w:rFonts w:cs="Times New Roman"/>
                <w:sz w:val="20"/>
                <w:szCs w:val="20"/>
              </w:rPr>
            </w:pPr>
          </w:p>
          <w:p w:rsidR="00507366" w:rsidRPr="002E2327" w:rsidRDefault="00507366" w:rsidP="0095096B">
            <w:pPr>
              <w:jc w:val="center"/>
              <w:rPr>
                <w:rFonts w:cs="Times New Roman"/>
                <w:sz w:val="20"/>
                <w:szCs w:val="20"/>
              </w:rPr>
            </w:pPr>
          </w:p>
          <w:p w:rsidR="0095096B" w:rsidRPr="002E2327" w:rsidRDefault="00EF2E8B" w:rsidP="0095096B">
            <w:pPr>
              <w:jc w:val="center"/>
              <w:rPr>
                <w:rFonts w:cs="Times New Roman"/>
                <w:sz w:val="20"/>
                <w:szCs w:val="20"/>
              </w:rPr>
            </w:pPr>
            <w:r>
              <w:rPr>
                <w:rFonts w:cs="Times New Roman"/>
                <w:sz w:val="20"/>
                <w:szCs w:val="20"/>
              </w:rPr>
              <w:t>1329</w:t>
            </w:r>
          </w:p>
          <w:p w:rsidR="0095096B" w:rsidRPr="002E2327" w:rsidRDefault="0095096B" w:rsidP="0095096B">
            <w:pPr>
              <w:jc w:val="center"/>
              <w:rPr>
                <w:rFonts w:cs="Times New Roman"/>
                <w:sz w:val="20"/>
                <w:szCs w:val="20"/>
              </w:rPr>
            </w:pPr>
          </w:p>
          <w:p w:rsidR="0095096B" w:rsidRPr="002E2327" w:rsidRDefault="00990CA8" w:rsidP="00507366">
            <w:pPr>
              <w:jc w:val="center"/>
              <w:rPr>
                <w:rFonts w:cs="Times New Roman"/>
                <w:sz w:val="20"/>
                <w:szCs w:val="20"/>
              </w:rPr>
            </w:pPr>
            <w:r>
              <w:rPr>
                <w:rFonts w:cs="Times New Roman"/>
                <w:sz w:val="20"/>
                <w:szCs w:val="20"/>
              </w:rPr>
              <w:t>1330 - 1338</w:t>
            </w:r>
            <w:bookmarkStart w:id="0" w:name="_GoBack"/>
            <w:bookmarkEnd w:id="0"/>
          </w:p>
          <w:p w:rsidR="0095096B" w:rsidRPr="002E2327" w:rsidRDefault="0095096B" w:rsidP="0095096B">
            <w:pPr>
              <w:jc w:val="center"/>
              <w:rPr>
                <w:rFonts w:cs="Times New Roman"/>
                <w:sz w:val="20"/>
                <w:szCs w:val="20"/>
              </w:rPr>
            </w:pPr>
          </w:p>
          <w:p w:rsidR="00A87207" w:rsidRPr="002E2327" w:rsidRDefault="00A87207" w:rsidP="00507366">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507366">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6B07D6"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50736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34787A" w:rsidTr="003B3977">
        <w:tc>
          <w:tcPr>
            <w:tcW w:w="4320" w:type="dxa"/>
            <w:shd w:val="clear" w:color="auto" w:fill="auto"/>
          </w:tcPr>
          <w:p w:rsidR="00646A9C" w:rsidRPr="00382DD9" w:rsidRDefault="0034787A" w:rsidP="005F1ED8">
            <w:pPr>
              <w:rPr>
                <w:b/>
                <w:sz w:val="20"/>
                <w:szCs w:val="20"/>
                <w:lang w:val="fr-CA"/>
              </w:rPr>
            </w:pPr>
            <w:r w:rsidRPr="00382DD9">
              <w:rPr>
                <w:b/>
                <w:sz w:val="20"/>
                <w:szCs w:val="20"/>
                <w:lang w:val="fr-CA"/>
              </w:rPr>
              <w:t>E. Jo-Anne Lanigan</w:t>
            </w:r>
          </w:p>
          <w:p w:rsidR="0034787A" w:rsidRPr="00382DD9" w:rsidRDefault="0034787A" w:rsidP="005F1ED8">
            <w:pPr>
              <w:rPr>
                <w:sz w:val="20"/>
                <w:szCs w:val="20"/>
                <w:lang w:val="fr-CA"/>
              </w:rPr>
            </w:pPr>
            <w:r w:rsidRPr="00382DD9">
              <w:rPr>
                <w:b/>
                <w:sz w:val="20"/>
                <w:szCs w:val="20"/>
                <w:lang w:val="fr-CA"/>
              </w:rPr>
              <w:tab/>
            </w:r>
            <w:r w:rsidRPr="00382DD9">
              <w:rPr>
                <w:sz w:val="20"/>
                <w:szCs w:val="20"/>
                <w:lang w:val="fr-CA"/>
              </w:rPr>
              <w:t>E. Jo-Anne Lanigan</w:t>
            </w:r>
          </w:p>
          <w:p w:rsidR="0034787A" w:rsidRPr="00382DD9" w:rsidRDefault="0034787A" w:rsidP="005F1ED8">
            <w:pPr>
              <w:rPr>
                <w:sz w:val="20"/>
                <w:szCs w:val="20"/>
                <w:lang w:val="fr-CA"/>
              </w:rPr>
            </w:pPr>
          </w:p>
          <w:p w:rsidR="0034787A" w:rsidRDefault="0034787A" w:rsidP="005F1ED8">
            <w:pPr>
              <w:rPr>
                <w:sz w:val="20"/>
                <w:szCs w:val="20"/>
              </w:rPr>
            </w:pPr>
            <w:r w:rsidRPr="00382DD9">
              <w:rPr>
                <w:sz w:val="20"/>
                <w:szCs w:val="20"/>
                <w:lang w:val="fr-CA"/>
              </w:rPr>
              <w:tab/>
            </w:r>
            <w:r>
              <w:rPr>
                <w:sz w:val="20"/>
                <w:szCs w:val="20"/>
              </w:rPr>
              <w:t>v. (37717)</w:t>
            </w:r>
          </w:p>
          <w:p w:rsidR="0034787A" w:rsidRDefault="0034787A" w:rsidP="005F1ED8">
            <w:pPr>
              <w:rPr>
                <w:sz w:val="20"/>
                <w:szCs w:val="20"/>
              </w:rPr>
            </w:pPr>
          </w:p>
          <w:p w:rsidR="0034787A" w:rsidRPr="0034787A" w:rsidRDefault="0034787A" w:rsidP="005F1ED8">
            <w:pPr>
              <w:rPr>
                <w:b/>
                <w:sz w:val="20"/>
                <w:szCs w:val="20"/>
              </w:rPr>
            </w:pPr>
            <w:r>
              <w:rPr>
                <w:b/>
                <w:sz w:val="20"/>
                <w:szCs w:val="20"/>
              </w:rPr>
              <w:t>Prince Edward Island Teachers’ Federation (P.E.I.)</w:t>
            </w:r>
          </w:p>
          <w:p w:rsidR="00646A9C" w:rsidRDefault="0034787A" w:rsidP="005F1ED8">
            <w:pPr>
              <w:rPr>
                <w:sz w:val="20"/>
                <w:szCs w:val="20"/>
              </w:rPr>
            </w:pPr>
            <w:r>
              <w:rPr>
                <w:b/>
                <w:sz w:val="20"/>
                <w:szCs w:val="20"/>
              </w:rPr>
              <w:tab/>
            </w:r>
            <w:r>
              <w:rPr>
                <w:sz w:val="20"/>
                <w:szCs w:val="20"/>
              </w:rPr>
              <w:t>David C. Wallbridge</w:t>
            </w:r>
          </w:p>
          <w:p w:rsidR="0034787A" w:rsidRPr="0034787A" w:rsidRDefault="0034787A" w:rsidP="005F1ED8">
            <w:pPr>
              <w:rPr>
                <w:sz w:val="20"/>
                <w:szCs w:val="20"/>
              </w:rPr>
            </w:pPr>
            <w:r>
              <w:rPr>
                <w:sz w:val="20"/>
                <w:szCs w:val="20"/>
              </w:rPr>
              <w:tab/>
              <w:t>Pink, Larkin</w:t>
            </w:r>
          </w:p>
          <w:p w:rsidR="0034787A" w:rsidRDefault="0034787A" w:rsidP="005F1ED8">
            <w:pPr>
              <w:rPr>
                <w:sz w:val="20"/>
                <w:szCs w:val="20"/>
              </w:rPr>
            </w:pPr>
          </w:p>
          <w:p w:rsidR="0034787A" w:rsidRDefault="0034787A" w:rsidP="0034787A">
            <w:pPr>
              <w:rPr>
                <w:sz w:val="20"/>
                <w:szCs w:val="20"/>
              </w:rPr>
            </w:pPr>
            <w:r w:rsidRPr="0034787A">
              <w:rPr>
                <w:b/>
                <w:sz w:val="20"/>
                <w:szCs w:val="20"/>
              </w:rPr>
              <w:t>-</w:t>
            </w:r>
            <w:r>
              <w:rPr>
                <w:b/>
                <w:sz w:val="20"/>
                <w:szCs w:val="20"/>
              </w:rPr>
              <w:t xml:space="preserve"> </w:t>
            </w:r>
            <w:r>
              <w:rPr>
                <w:sz w:val="20"/>
                <w:szCs w:val="20"/>
              </w:rPr>
              <w:t xml:space="preserve">and between - </w:t>
            </w:r>
          </w:p>
          <w:p w:rsidR="0034787A" w:rsidRDefault="0034787A" w:rsidP="0034787A">
            <w:pPr>
              <w:rPr>
                <w:sz w:val="20"/>
                <w:szCs w:val="20"/>
              </w:rPr>
            </w:pPr>
          </w:p>
          <w:p w:rsidR="0034787A" w:rsidRPr="0034787A" w:rsidRDefault="0034787A" w:rsidP="0034787A">
            <w:pPr>
              <w:rPr>
                <w:b/>
                <w:sz w:val="20"/>
                <w:szCs w:val="20"/>
                <w:lang w:val="fr-CA"/>
              </w:rPr>
            </w:pPr>
            <w:r w:rsidRPr="0034787A">
              <w:rPr>
                <w:b/>
                <w:sz w:val="20"/>
                <w:szCs w:val="20"/>
                <w:lang w:val="fr-CA"/>
              </w:rPr>
              <w:t>E. Jo-Anne Lanigan</w:t>
            </w:r>
          </w:p>
          <w:p w:rsidR="0034787A" w:rsidRPr="0034787A" w:rsidRDefault="0034787A" w:rsidP="0034787A">
            <w:pPr>
              <w:rPr>
                <w:sz w:val="20"/>
                <w:szCs w:val="20"/>
                <w:lang w:val="fr-CA"/>
              </w:rPr>
            </w:pPr>
            <w:r w:rsidRPr="0034787A">
              <w:rPr>
                <w:b/>
                <w:sz w:val="20"/>
                <w:szCs w:val="20"/>
                <w:lang w:val="fr-CA"/>
              </w:rPr>
              <w:tab/>
            </w:r>
            <w:r w:rsidRPr="0034787A">
              <w:rPr>
                <w:sz w:val="20"/>
                <w:szCs w:val="20"/>
                <w:lang w:val="fr-CA"/>
              </w:rPr>
              <w:t>E. Jo-Anne Lanigan</w:t>
            </w:r>
          </w:p>
          <w:p w:rsidR="0034787A" w:rsidRPr="0034787A" w:rsidRDefault="0034787A" w:rsidP="0034787A">
            <w:pPr>
              <w:rPr>
                <w:sz w:val="20"/>
                <w:szCs w:val="20"/>
                <w:lang w:val="fr-CA"/>
              </w:rPr>
            </w:pPr>
          </w:p>
          <w:p w:rsidR="0034787A" w:rsidRDefault="0034787A" w:rsidP="0034787A">
            <w:pPr>
              <w:rPr>
                <w:sz w:val="20"/>
                <w:szCs w:val="20"/>
              </w:rPr>
            </w:pPr>
            <w:r w:rsidRPr="0034787A">
              <w:rPr>
                <w:sz w:val="20"/>
                <w:szCs w:val="20"/>
                <w:lang w:val="fr-CA"/>
              </w:rPr>
              <w:tab/>
            </w:r>
            <w:r>
              <w:rPr>
                <w:sz w:val="20"/>
                <w:szCs w:val="20"/>
              </w:rPr>
              <w:t>v. (37717)</w:t>
            </w:r>
          </w:p>
          <w:p w:rsidR="0034787A" w:rsidRDefault="0034787A" w:rsidP="0034787A">
            <w:pPr>
              <w:rPr>
                <w:sz w:val="20"/>
                <w:szCs w:val="20"/>
              </w:rPr>
            </w:pPr>
          </w:p>
          <w:p w:rsidR="0034787A" w:rsidRPr="0034787A" w:rsidRDefault="0034787A" w:rsidP="0034787A">
            <w:pPr>
              <w:rPr>
                <w:b/>
                <w:sz w:val="20"/>
                <w:szCs w:val="20"/>
              </w:rPr>
            </w:pPr>
            <w:r>
              <w:rPr>
                <w:b/>
                <w:sz w:val="20"/>
                <w:szCs w:val="20"/>
              </w:rPr>
              <w:t>Prince Edward Island Teachers’ Federation (P.E.I.)</w:t>
            </w:r>
          </w:p>
          <w:p w:rsidR="0034787A" w:rsidRDefault="0034787A" w:rsidP="0034787A">
            <w:pPr>
              <w:rPr>
                <w:sz w:val="20"/>
                <w:szCs w:val="20"/>
              </w:rPr>
            </w:pPr>
            <w:r>
              <w:rPr>
                <w:b/>
                <w:sz w:val="20"/>
                <w:szCs w:val="20"/>
              </w:rPr>
              <w:tab/>
            </w:r>
            <w:r>
              <w:rPr>
                <w:sz w:val="20"/>
                <w:szCs w:val="20"/>
              </w:rPr>
              <w:t>David C. Wallbridge</w:t>
            </w:r>
          </w:p>
          <w:p w:rsidR="0034787A" w:rsidRPr="0034787A" w:rsidRDefault="0034787A" w:rsidP="0034787A">
            <w:pPr>
              <w:rPr>
                <w:sz w:val="20"/>
                <w:szCs w:val="20"/>
              </w:rPr>
            </w:pPr>
            <w:r>
              <w:rPr>
                <w:sz w:val="20"/>
                <w:szCs w:val="20"/>
              </w:rPr>
              <w:tab/>
              <w:t>Pink, Larkin</w:t>
            </w:r>
          </w:p>
          <w:p w:rsidR="0034787A" w:rsidRDefault="0034787A" w:rsidP="0034787A">
            <w:pPr>
              <w:rPr>
                <w:b/>
                <w:sz w:val="20"/>
                <w:szCs w:val="20"/>
              </w:rPr>
            </w:pPr>
          </w:p>
          <w:p w:rsidR="0034787A" w:rsidRDefault="0034787A" w:rsidP="0034787A">
            <w:pPr>
              <w:rPr>
                <w:sz w:val="20"/>
                <w:szCs w:val="20"/>
              </w:rPr>
            </w:pPr>
            <w:r w:rsidRPr="0034787A">
              <w:rPr>
                <w:sz w:val="20"/>
                <w:szCs w:val="20"/>
              </w:rPr>
              <w:t xml:space="preserve">FILING DATE: </w:t>
            </w:r>
            <w:r>
              <w:rPr>
                <w:sz w:val="20"/>
                <w:szCs w:val="20"/>
              </w:rPr>
              <w:t>10.08.2017</w:t>
            </w:r>
          </w:p>
          <w:p w:rsidR="00C21644" w:rsidRDefault="006B07D6" w:rsidP="005F1ED8">
            <w:pPr>
              <w:rPr>
                <w:sz w:val="20"/>
                <w:szCs w:val="20"/>
                <w:lang w:val="fr-CA"/>
              </w:rPr>
            </w:pPr>
            <w:r>
              <w:rPr>
                <w:sz w:val="20"/>
                <w:szCs w:val="20"/>
                <w:lang w:val="fr-CA"/>
              </w:rPr>
              <w:pict>
                <v:rect id="_x0000_i1025" style="width:108pt;height:1pt" o:hrpct="0" o:hralign="center" o:hrstd="t" o:hrnoshade="t" o:hr="t" fillcolor="black [3213]" stroked="f"/>
              </w:pict>
            </w:r>
          </w:p>
          <w:p w:rsidR="0034787A" w:rsidRPr="00A935AA" w:rsidRDefault="0034787A"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34787A" w:rsidP="00E8544A">
            <w:pPr>
              <w:rPr>
                <w:b/>
                <w:sz w:val="20"/>
                <w:szCs w:val="20"/>
                <w:lang w:val="fr-CA"/>
              </w:rPr>
            </w:pPr>
            <w:r>
              <w:rPr>
                <w:b/>
                <w:sz w:val="20"/>
                <w:szCs w:val="20"/>
                <w:lang w:val="fr-CA"/>
              </w:rPr>
              <w:t>Réjean Kègle</w:t>
            </w:r>
          </w:p>
          <w:p w:rsidR="0034787A" w:rsidRDefault="0034787A" w:rsidP="00E8544A">
            <w:pPr>
              <w:rPr>
                <w:sz w:val="20"/>
                <w:szCs w:val="20"/>
                <w:lang w:val="fr-CA"/>
              </w:rPr>
            </w:pPr>
            <w:r>
              <w:rPr>
                <w:b/>
                <w:sz w:val="20"/>
                <w:szCs w:val="20"/>
                <w:lang w:val="fr-CA"/>
              </w:rPr>
              <w:tab/>
            </w:r>
            <w:r>
              <w:rPr>
                <w:sz w:val="20"/>
                <w:szCs w:val="20"/>
                <w:lang w:val="fr-CA"/>
              </w:rPr>
              <w:t>Réjean Kègle</w:t>
            </w:r>
          </w:p>
          <w:p w:rsidR="0034787A" w:rsidRDefault="0034787A" w:rsidP="00E8544A">
            <w:pPr>
              <w:rPr>
                <w:sz w:val="20"/>
                <w:szCs w:val="20"/>
                <w:lang w:val="fr-CA"/>
              </w:rPr>
            </w:pPr>
          </w:p>
          <w:p w:rsidR="0034787A" w:rsidRDefault="0034787A" w:rsidP="00E8544A">
            <w:pPr>
              <w:rPr>
                <w:sz w:val="20"/>
                <w:szCs w:val="20"/>
                <w:lang w:val="fr-CA"/>
              </w:rPr>
            </w:pPr>
            <w:r>
              <w:rPr>
                <w:sz w:val="20"/>
                <w:szCs w:val="20"/>
                <w:lang w:val="fr-CA"/>
              </w:rPr>
              <w:tab/>
              <w:t>c. (37730)</w:t>
            </w:r>
          </w:p>
          <w:p w:rsidR="0034787A" w:rsidRDefault="0034787A" w:rsidP="00E8544A">
            <w:pPr>
              <w:rPr>
                <w:sz w:val="20"/>
                <w:szCs w:val="20"/>
                <w:lang w:val="fr-CA"/>
              </w:rPr>
            </w:pPr>
          </w:p>
          <w:p w:rsidR="0034787A" w:rsidRDefault="0034787A" w:rsidP="00E8544A">
            <w:pPr>
              <w:rPr>
                <w:b/>
                <w:sz w:val="20"/>
                <w:szCs w:val="20"/>
                <w:lang w:val="fr-CA"/>
              </w:rPr>
            </w:pPr>
            <w:r>
              <w:rPr>
                <w:b/>
                <w:sz w:val="20"/>
                <w:szCs w:val="20"/>
                <w:lang w:val="fr-CA"/>
              </w:rPr>
              <w:t>Stan O’Neil (Qc)</w:t>
            </w:r>
          </w:p>
          <w:p w:rsidR="0034787A" w:rsidRDefault="0034787A" w:rsidP="00E8544A">
            <w:pPr>
              <w:rPr>
                <w:sz w:val="20"/>
                <w:szCs w:val="20"/>
                <w:lang w:val="fr-CA"/>
              </w:rPr>
            </w:pPr>
            <w:r>
              <w:rPr>
                <w:sz w:val="20"/>
                <w:szCs w:val="20"/>
                <w:lang w:val="fr-CA"/>
              </w:rPr>
              <w:tab/>
              <w:t>Nicolas Robichon</w:t>
            </w:r>
          </w:p>
          <w:p w:rsidR="0034787A" w:rsidRDefault="0034787A" w:rsidP="00E8544A">
            <w:pPr>
              <w:rPr>
                <w:sz w:val="20"/>
                <w:szCs w:val="20"/>
                <w:lang w:val="fr-CA"/>
              </w:rPr>
            </w:pPr>
            <w:r>
              <w:rPr>
                <w:sz w:val="20"/>
                <w:szCs w:val="20"/>
                <w:lang w:val="fr-CA"/>
              </w:rPr>
              <w:tab/>
              <w:t>Donati Maisonneuve</w:t>
            </w:r>
          </w:p>
          <w:p w:rsidR="0034787A" w:rsidRDefault="0034787A" w:rsidP="00E8544A">
            <w:pPr>
              <w:rPr>
                <w:sz w:val="20"/>
                <w:szCs w:val="20"/>
                <w:lang w:val="fr-CA"/>
              </w:rPr>
            </w:pPr>
          </w:p>
          <w:p w:rsidR="0034787A" w:rsidRDefault="0034787A" w:rsidP="00E8544A">
            <w:pPr>
              <w:rPr>
                <w:sz w:val="20"/>
                <w:szCs w:val="20"/>
                <w:lang w:val="fr-CA"/>
              </w:rPr>
            </w:pPr>
            <w:r>
              <w:rPr>
                <w:sz w:val="20"/>
                <w:szCs w:val="20"/>
                <w:lang w:val="fr-CA"/>
              </w:rPr>
              <w:t>DATE DE PRODUCTION : 17.08.2017</w:t>
            </w:r>
          </w:p>
          <w:p w:rsidR="0034787A" w:rsidRDefault="006B07D6" w:rsidP="00E8544A">
            <w:pPr>
              <w:rPr>
                <w:sz w:val="20"/>
                <w:szCs w:val="20"/>
                <w:lang w:val="fr-CA"/>
              </w:rPr>
            </w:pPr>
            <w:r>
              <w:rPr>
                <w:sz w:val="20"/>
                <w:szCs w:val="20"/>
                <w:lang w:val="fr-CA"/>
              </w:rPr>
              <w:pict>
                <v:rect id="_x0000_i1026" style="width:108pt;height:1pt" o:hrpct="0" o:hralign="center" o:hrstd="t" o:hrnoshade="t" o:hr="t" fillcolor="black [3213]" stroked="f"/>
              </w:pict>
            </w:r>
          </w:p>
          <w:p w:rsidR="0034787A" w:rsidRDefault="0034787A" w:rsidP="00E8544A">
            <w:pPr>
              <w:rPr>
                <w:sz w:val="20"/>
                <w:szCs w:val="20"/>
                <w:lang w:val="fr-CA"/>
              </w:rPr>
            </w:pPr>
          </w:p>
          <w:p w:rsidR="0034787A" w:rsidRDefault="0034787A" w:rsidP="00E8544A">
            <w:pPr>
              <w:rPr>
                <w:b/>
                <w:sz w:val="20"/>
                <w:szCs w:val="20"/>
                <w:lang w:val="fr-CA"/>
              </w:rPr>
            </w:pPr>
            <w:r>
              <w:rPr>
                <w:b/>
                <w:sz w:val="20"/>
                <w:szCs w:val="20"/>
                <w:lang w:val="fr-CA"/>
              </w:rPr>
              <w:t xml:space="preserve">Kyla Lee et al. </w:t>
            </w:r>
          </w:p>
          <w:p w:rsidR="0034787A" w:rsidRDefault="0034787A" w:rsidP="00E8544A">
            <w:pPr>
              <w:rPr>
                <w:sz w:val="20"/>
                <w:szCs w:val="20"/>
                <w:lang w:val="fr-CA"/>
              </w:rPr>
            </w:pPr>
            <w:r>
              <w:rPr>
                <w:b/>
                <w:sz w:val="20"/>
                <w:szCs w:val="20"/>
                <w:lang w:val="fr-CA"/>
              </w:rPr>
              <w:tab/>
            </w:r>
            <w:r>
              <w:rPr>
                <w:sz w:val="20"/>
                <w:szCs w:val="20"/>
                <w:lang w:val="fr-CA"/>
              </w:rPr>
              <w:t>Kyla Lee</w:t>
            </w:r>
          </w:p>
          <w:p w:rsidR="0034787A" w:rsidRPr="00382DD9" w:rsidRDefault="0034787A" w:rsidP="00E8544A">
            <w:pPr>
              <w:rPr>
                <w:sz w:val="20"/>
                <w:szCs w:val="20"/>
                <w:lang w:val="en-US"/>
              </w:rPr>
            </w:pPr>
            <w:r>
              <w:rPr>
                <w:sz w:val="20"/>
                <w:szCs w:val="20"/>
                <w:lang w:val="fr-CA"/>
              </w:rPr>
              <w:tab/>
            </w:r>
            <w:r w:rsidRPr="00382DD9">
              <w:rPr>
                <w:sz w:val="20"/>
                <w:szCs w:val="20"/>
                <w:lang w:val="en-US"/>
              </w:rPr>
              <w:t>Acumen Law Corporation</w:t>
            </w:r>
          </w:p>
          <w:p w:rsidR="0034787A" w:rsidRPr="00382DD9" w:rsidRDefault="0034787A" w:rsidP="00E8544A">
            <w:pPr>
              <w:rPr>
                <w:sz w:val="20"/>
                <w:szCs w:val="20"/>
                <w:lang w:val="en-US"/>
              </w:rPr>
            </w:pPr>
          </w:p>
          <w:p w:rsidR="0034787A" w:rsidRPr="00382DD9" w:rsidRDefault="0034787A" w:rsidP="00E8544A">
            <w:pPr>
              <w:rPr>
                <w:sz w:val="20"/>
                <w:szCs w:val="20"/>
                <w:lang w:val="en-US"/>
              </w:rPr>
            </w:pPr>
            <w:r w:rsidRPr="00382DD9">
              <w:rPr>
                <w:sz w:val="20"/>
                <w:szCs w:val="20"/>
                <w:lang w:val="en-US"/>
              </w:rPr>
              <w:tab/>
              <w:t>v. (37735)</w:t>
            </w:r>
          </w:p>
          <w:p w:rsidR="0034787A" w:rsidRPr="00382DD9" w:rsidRDefault="0034787A" w:rsidP="00E8544A">
            <w:pPr>
              <w:rPr>
                <w:sz w:val="20"/>
                <w:szCs w:val="20"/>
                <w:lang w:val="en-US"/>
              </w:rPr>
            </w:pPr>
          </w:p>
          <w:p w:rsidR="0034787A" w:rsidRDefault="0034787A" w:rsidP="00E8544A">
            <w:pPr>
              <w:rPr>
                <w:b/>
                <w:sz w:val="20"/>
                <w:szCs w:val="20"/>
                <w:lang w:val="en-US"/>
              </w:rPr>
            </w:pPr>
            <w:r w:rsidRPr="0034787A">
              <w:rPr>
                <w:b/>
                <w:sz w:val="20"/>
                <w:szCs w:val="20"/>
                <w:lang w:val="en-US"/>
              </w:rPr>
              <w:t>Attorney General of British Columbia (B.C.)</w:t>
            </w:r>
          </w:p>
          <w:p w:rsidR="0034787A" w:rsidRDefault="0034787A" w:rsidP="00E8544A">
            <w:pPr>
              <w:rPr>
                <w:sz w:val="20"/>
                <w:szCs w:val="20"/>
                <w:lang w:val="en-US"/>
              </w:rPr>
            </w:pPr>
            <w:r>
              <w:rPr>
                <w:b/>
                <w:sz w:val="20"/>
                <w:szCs w:val="20"/>
                <w:lang w:val="en-US"/>
              </w:rPr>
              <w:tab/>
            </w:r>
            <w:r>
              <w:rPr>
                <w:sz w:val="20"/>
                <w:szCs w:val="20"/>
                <w:lang w:val="en-US"/>
              </w:rPr>
              <w:t>Deborah K. Lovett</w:t>
            </w:r>
          </w:p>
          <w:p w:rsidR="0034787A" w:rsidRDefault="0034787A" w:rsidP="00E8544A">
            <w:pPr>
              <w:rPr>
                <w:sz w:val="20"/>
                <w:szCs w:val="20"/>
                <w:lang w:val="en-US"/>
              </w:rPr>
            </w:pPr>
            <w:r>
              <w:rPr>
                <w:sz w:val="20"/>
                <w:szCs w:val="20"/>
                <w:lang w:val="en-US"/>
              </w:rPr>
              <w:tab/>
              <w:t>Lovett Westmacott</w:t>
            </w:r>
          </w:p>
          <w:p w:rsidR="0034787A" w:rsidRDefault="0034787A" w:rsidP="00E8544A">
            <w:pPr>
              <w:rPr>
                <w:sz w:val="20"/>
                <w:szCs w:val="20"/>
                <w:lang w:val="en-US"/>
              </w:rPr>
            </w:pPr>
          </w:p>
          <w:p w:rsidR="0034787A" w:rsidRDefault="0034787A" w:rsidP="00E8544A">
            <w:pPr>
              <w:rPr>
                <w:sz w:val="20"/>
                <w:szCs w:val="20"/>
                <w:lang w:val="en-US"/>
              </w:rPr>
            </w:pPr>
            <w:r>
              <w:rPr>
                <w:sz w:val="20"/>
                <w:szCs w:val="20"/>
                <w:lang w:val="en-US"/>
              </w:rPr>
              <w:t>FILING DATE: 07.09.2017</w:t>
            </w:r>
          </w:p>
          <w:p w:rsidR="0034787A" w:rsidRPr="0034787A" w:rsidRDefault="006B07D6" w:rsidP="00E8544A">
            <w:pPr>
              <w:rPr>
                <w:sz w:val="20"/>
                <w:szCs w:val="20"/>
                <w:lang w:val="en-US"/>
              </w:rPr>
            </w:pPr>
            <w:r>
              <w:rPr>
                <w:sz w:val="20"/>
                <w:szCs w:val="20"/>
                <w:lang w:val="fr-CA"/>
              </w:rPr>
              <w:pict>
                <v:rect id="_x0000_i1027" style="width:108pt;height:1pt" o:hrpct="0" o:hralign="center" o:hrstd="t" o:hrnoshade="t" o:hr="t" fillcolor="black [3213]" stroked="f"/>
              </w:pict>
            </w:r>
          </w:p>
        </w:tc>
      </w:tr>
      <w:tr w:rsidR="0034787A" w:rsidRPr="00BB738C" w:rsidTr="003B3977">
        <w:tc>
          <w:tcPr>
            <w:tcW w:w="4320" w:type="dxa"/>
            <w:shd w:val="clear" w:color="auto" w:fill="auto"/>
          </w:tcPr>
          <w:p w:rsidR="0034787A" w:rsidRPr="00382DD9" w:rsidRDefault="00BB738C" w:rsidP="005F1ED8">
            <w:pPr>
              <w:rPr>
                <w:b/>
                <w:sz w:val="20"/>
                <w:szCs w:val="20"/>
                <w:lang w:val="fr-CA"/>
              </w:rPr>
            </w:pPr>
            <w:r w:rsidRPr="00382DD9">
              <w:rPr>
                <w:b/>
                <w:sz w:val="20"/>
                <w:szCs w:val="20"/>
                <w:lang w:val="fr-CA"/>
              </w:rPr>
              <w:t>Gilles Coulombe</w:t>
            </w:r>
          </w:p>
          <w:p w:rsidR="00BB738C" w:rsidRPr="00382DD9" w:rsidRDefault="00BB738C" w:rsidP="005F1ED8">
            <w:pPr>
              <w:rPr>
                <w:sz w:val="20"/>
                <w:szCs w:val="20"/>
                <w:lang w:val="fr-CA"/>
              </w:rPr>
            </w:pPr>
            <w:r w:rsidRPr="00382DD9">
              <w:rPr>
                <w:b/>
                <w:sz w:val="20"/>
                <w:szCs w:val="20"/>
                <w:lang w:val="fr-CA"/>
              </w:rPr>
              <w:tab/>
            </w:r>
            <w:r w:rsidRPr="00382DD9">
              <w:rPr>
                <w:sz w:val="20"/>
                <w:szCs w:val="20"/>
                <w:lang w:val="fr-CA"/>
              </w:rPr>
              <w:t>Gilles Coulombe</w:t>
            </w:r>
          </w:p>
          <w:p w:rsidR="00BB738C" w:rsidRPr="00382DD9" w:rsidRDefault="00BB738C" w:rsidP="005F1ED8">
            <w:pPr>
              <w:rPr>
                <w:sz w:val="20"/>
                <w:szCs w:val="20"/>
                <w:lang w:val="fr-CA"/>
              </w:rPr>
            </w:pPr>
          </w:p>
          <w:p w:rsidR="00BB738C" w:rsidRPr="00382DD9" w:rsidRDefault="00BB738C" w:rsidP="005F1ED8">
            <w:pPr>
              <w:rPr>
                <w:sz w:val="20"/>
                <w:szCs w:val="20"/>
                <w:lang w:val="fr-CA"/>
              </w:rPr>
            </w:pPr>
            <w:r w:rsidRPr="00382DD9">
              <w:rPr>
                <w:sz w:val="20"/>
                <w:szCs w:val="20"/>
                <w:lang w:val="fr-CA"/>
              </w:rPr>
              <w:tab/>
              <w:t>c. (37721)</w:t>
            </w:r>
          </w:p>
          <w:p w:rsidR="00BB738C" w:rsidRPr="00382DD9" w:rsidRDefault="00BB738C" w:rsidP="005F1ED8">
            <w:pPr>
              <w:rPr>
                <w:sz w:val="20"/>
                <w:szCs w:val="20"/>
                <w:lang w:val="fr-CA"/>
              </w:rPr>
            </w:pPr>
          </w:p>
          <w:p w:rsidR="00BB738C" w:rsidRPr="00382DD9" w:rsidRDefault="0076331E" w:rsidP="005F1ED8">
            <w:pPr>
              <w:rPr>
                <w:b/>
                <w:sz w:val="20"/>
                <w:szCs w:val="20"/>
                <w:lang w:val="fr-CA"/>
              </w:rPr>
            </w:pPr>
            <w:r>
              <w:rPr>
                <w:b/>
                <w:sz w:val="20"/>
                <w:szCs w:val="20"/>
                <w:lang w:val="fr-CA"/>
              </w:rPr>
              <w:t>Agence du revenu</w:t>
            </w:r>
            <w:r w:rsidR="00BB738C" w:rsidRPr="00382DD9">
              <w:rPr>
                <w:b/>
                <w:sz w:val="20"/>
                <w:szCs w:val="20"/>
                <w:lang w:val="fr-CA"/>
              </w:rPr>
              <w:t xml:space="preserve"> du Québec</w:t>
            </w:r>
          </w:p>
          <w:p w:rsidR="00BB738C" w:rsidRPr="00382DD9" w:rsidRDefault="00BB738C" w:rsidP="005F1ED8">
            <w:pPr>
              <w:rPr>
                <w:sz w:val="20"/>
                <w:szCs w:val="20"/>
                <w:lang w:val="fr-CA"/>
              </w:rPr>
            </w:pPr>
            <w:r w:rsidRPr="00382DD9">
              <w:rPr>
                <w:b/>
                <w:sz w:val="20"/>
                <w:szCs w:val="20"/>
                <w:lang w:val="fr-CA"/>
              </w:rPr>
              <w:tab/>
            </w:r>
            <w:r w:rsidRPr="00382DD9">
              <w:rPr>
                <w:sz w:val="20"/>
                <w:szCs w:val="20"/>
                <w:lang w:val="fr-CA"/>
              </w:rPr>
              <w:t>Chantale Paris</w:t>
            </w:r>
          </w:p>
          <w:p w:rsidR="00BB738C" w:rsidRPr="00382DD9" w:rsidRDefault="00BB738C" w:rsidP="005F1ED8">
            <w:pPr>
              <w:rPr>
                <w:sz w:val="20"/>
                <w:szCs w:val="20"/>
                <w:lang w:val="fr-CA"/>
              </w:rPr>
            </w:pPr>
            <w:r w:rsidRPr="00382DD9">
              <w:rPr>
                <w:sz w:val="20"/>
                <w:szCs w:val="20"/>
                <w:lang w:val="fr-CA"/>
              </w:rPr>
              <w:tab/>
              <w:t>Larivière Meunier</w:t>
            </w:r>
          </w:p>
          <w:p w:rsidR="00BB738C" w:rsidRPr="00382DD9" w:rsidRDefault="00BB738C" w:rsidP="005F1ED8">
            <w:pPr>
              <w:rPr>
                <w:sz w:val="20"/>
                <w:szCs w:val="20"/>
                <w:lang w:val="fr-CA"/>
              </w:rPr>
            </w:pPr>
          </w:p>
          <w:p w:rsidR="00BB738C" w:rsidRPr="00382DD9" w:rsidRDefault="00BB738C" w:rsidP="005F1ED8">
            <w:pPr>
              <w:rPr>
                <w:sz w:val="20"/>
                <w:szCs w:val="20"/>
                <w:lang w:val="fr-CA"/>
              </w:rPr>
            </w:pPr>
            <w:r w:rsidRPr="00382DD9">
              <w:rPr>
                <w:sz w:val="20"/>
                <w:szCs w:val="20"/>
                <w:lang w:val="fr-CA"/>
              </w:rPr>
              <w:t>DATE DE PRODUCTION: 10.08.2017</w:t>
            </w:r>
          </w:p>
          <w:p w:rsidR="00BB738C" w:rsidRPr="00BB738C" w:rsidRDefault="006B07D6" w:rsidP="005F1ED8">
            <w:pPr>
              <w:rPr>
                <w:sz w:val="20"/>
                <w:szCs w:val="20"/>
                <w:lang w:val="en-US"/>
              </w:rPr>
            </w:pPr>
            <w:r>
              <w:rPr>
                <w:sz w:val="20"/>
                <w:szCs w:val="20"/>
                <w:lang w:val="fr-CA"/>
              </w:rPr>
              <w:pict>
                <v:rect id="_x0000_i1028" style="width:108pt;height:1pt" o:hrpct="0" o:hralign="center" o:hrstd="t" o:hrnoshade="t" o:hr="t" fillcolor="black [3213]" stroked="f"/>
              </w:pict>
            </w:r>
          </w:p>
          <w:p w:rsidR="0034787A" w:rsidRPr="0034787A" w:rsidRDefault="0034787A" w:rsidP="005F1ED8">
            <w:pPr>
              <w:rPr>
                <w:b/>
                <w:sz w:val="20"/>
                <w:szCs w:val="20"/>
                <w:lang w:val="en-US"/>
              </w:rPr>
            </w:pPr>
          </w:p>
        </w:tc>
        <w:tc>
          <w:tcPr>
            <w:tcW w:w="1181" w:type="dxa"/>
            <w:shd w:val="clear" w:color="auto" w:fill="auto"/>
          </w:tcPr>
          <w:p w:rsidR="0034787A" w:rsidRPr="0034787A" w:rsidRDefault="0034787A" w:rsidP="00242AEE">
            <w:pPr>
              <w:jc w:val="center"/>
              <w:rPr>
                <w:sz w:val="20"/>
                <w:szCs w:val="20"/>
                <w:lang w:val="en-US"/>
              </w:rPr>
            </w:pPr>
          </w:p>
        </w:tc>
        <w:tc>
          <w:tcPr>
            <w:tcW w:w="4320" w:type="dxa"/>
            <w:shd w:val="clear" w:color="auto" w:fill="auto"/>
          </w:tcPr>
          <w:p w:rsidR="0034787A" w:rsidRDefault="00BB738C" w:rsidP="00E8544A">
            <w:pPr>
              <w:rPr>
                <w:b/>
                <w:sz w:val="20"/>
                <w:szCs w:val="20"/>
                <w:lang w:val="en-US"/>
              </w:rPr>
            </w:pPr>
            <w:r>
              <w:rPr>
                <w:b/>
                <w:sz w:val="20"/>
                <w:szCs w:val="20"/>
                <w:lang w:val="en-US"/>
              </w:rPr>
              <w:t>Tanja Ivic</w:t>
            </w:r>
          </w:p>
          <w:p w:rsidR="00BB738C" w:rsidRDefault="00BB738C" w:rsidP="00E8544A">
            <w:pPr>
              <w:rPr>
                <w:sz w:val="20"/>
                <w:szCs w:val="20"/>
                <w:lang w:val="en-US"/>
              </w:rPr>
            </w:pPr>
            <w:r>
              <w:rPr>
                <w:b/>
                <w:sz w:val="20"/>
                <w:szCs w:val="20"/>
                <w:lang w:val="en-US"/>
              </w:rPr>
              <w:tab/>
            </w:r>
            <w:r>
              <w:rPr>
                <w:sz w:val="20"/>
                <w:szCs w:val="20"/>
                <w:lang w:val="en-US"/>
              </w:rPr>
              <w:t>Gavin MacKenzie</w:t>
            </w:r>
          </w:p>
          <w:p w:rsidR="00BB738C" w:rsidRDefault="00BB738C" w:rsidP="00E8544A">
            <w:pPr>
              <w:rPr>
                <w:sz w:val="20"/>
                <w:szCs w:val="20"/>
                <w:lang w:val="en-US"/>
              </w:rPr>
            </w:pPr>
            <w:r>
              <w:rPr>
                <w:sz w:val="20"/>
                <w:szCs w:val="20"/>
                <w:lang w:val="en-US"/>
              </w:rPr>
              <w:tab/>
              <w:t>MacKenzie Barristers</w:t>
            </w:r>
          </w:p>
          <w:p w:rsidR="00BB738C" w:rsidRDefault="00BB738C" w:rsidP="00E8544A">
            <w:pPr>
              <w:rPr>
                <w:sz w:val="20"/>
                <w:szCs w:val="20"/>
                <w:lang w:val="en-US"/>
              </w:rPr>
            </w:pPr>
          </w:p>
          <w:p w:rsidR="00BB738C" w:rsidRPr="00382DD9" w:rsidRDefault="00BB738C" w:rsidP="00E8544A">
            <w:pPr>
              <w:rPr>
                <w:sz w:val="20"/>
                <w:szCs w:val="20"/>
                <w:lang w:val="fr-CA"/>
              </w:rPr>
            </w:pPr>
            <w:r>
              <w:rPr>
                <w:sz w:val="20"/>
                <w:szCs w:val="20"/>
                <w:lang w:val="en-US"/>
              </w:rPr>
              <w:tab/>
            </w:r>
            <w:r w:rsidRPr="00382DD9">
              <w:rPr>
                <w:sz w:val="20"/>
                <w:szCs w:val="20"/>
                <w:lang w:val="fr-CA"/>
              </w:rPr>
              <w:t>v. (37718)</w:t>
            </w:r>
          </w:p>
          <w:p w:rsidR="00BB738C" w:rsidRPr="00382DD9" w:rsidRDefault="00BB738C" w:rsidP="00E8544A">
            <w:pPr>
              <w:rPr>
                <w:sz w:val="20"/>
                <w:szCs w:val="20"/>
                <w:lang w:val="fr-CA"/>
              </w:rPr>
            </w:pPr>
          </w:p>
          <w:p w:rsidR="00BB738C" w:rsidRPr="00382DD9" w:rsidRDefault="00BB738C" w:rsidP="00E8544A">
            <w:pPr>
              <w:rPr>
                <w:b/>
                <w:sz w:val="20"/>
                <w:szCs w:val="20"/>
                <w:lang w:val="en-US"/>
              </w:rPr>
            </w:pPr>
            <w:r w:rsidRPr="00BB738C">
              <w:rPr>
                <w:b/>
                <w:sz w:val="20"/>
                <w:szCs w:val="20"/>
                <w:lang w:val="fr-CA"/>
              </w:rPr>
              <w:t xml:space="preserve">Velibor Boro Lakovic et al. </w:t>
            </w:r>
            <w:r w:rsidRPr="00382DD9">
              <w:rPr>
                <w:b/>
                <w:sz w:val="20"/>
                <w:szCs w:val="20"/>
                <w:lang w:val="en-US"/>
              </w:rPr>
              <w:t>(Ont.)</w:t>
            </w:r>
          </w:p>
          <w:p w:rsidR="00BB738C" w:rsidRPr="00382DD9" w:rsidRDefault="00BB738C" w:rsidP="00E8544A">
            <w:pPr>
              <w:rPr>
                <w:sz w:val="20"/>
                <w:szCs w:val="20"/>
                <w:lang w:val="en-US"/>
              </w:rPr>
            </w:pPr>
            <w:r w:rsidRPr="00382DD9">
              <w:rPr>
                <w:sz w:val="20"/>
                <w:szCs w:val="20"/>
                <w:lang w:val="en-US"/>
              </w:rPr>
              <w:tab/>
              <w:t>J. Sebastian Winny</w:t>
            </w:r>
          </w:p>
          <w:p w:rsidR="00BB738C" w:rsidRPr="00382DD9" w:rsidRDefault="00BB738C" w:rsidP="00E8544A">
            <w:pPr>
              <w:rPr>
                <w:sz w:val="20"/>
                <w:szCs w:val="20"/>
                <w:lang w:val="en-US"/>
              </w:rPr>
            </w:pPr>
          </w:p>
          <w:p w:rsidR="00BB738C" w:rsidRPr="00382DD9" w:rsidRDefault="00BB738C" w:rsidP="00E8544A">
            <w:pPr>
              <w:rPr>
                <w:sz w:val="20"/>
                <w:szCs w:val="20"/>
                <w:lang w:val="en-US"/>
              </w:rPr>
            </w:pPr>
            <w:r w:rsidRPr="00382DD9">
              <w:rPr>
                <w:sz w:val="20"/>
                <w:szCs w:val="20"/>
                <w:lang w:val="en-US"/>
              </w:rPr>
              <w:t>FILING DATE : 31.08.2017</w:t>
            </w:r>
          </w:p>
          <w:p w:rsidR="00BB738C" w:rsidRPr="00BB738C" w:rsidRDefault="006B07D6" w:rsidP="00E8544A">
            <w:pPr>
              <w:rPr>
                <w:sz w:val="20"/>
                <w:szCs w:val="20"/>
                <w:lang w:val="fr-CA"/>
              </w:rPr>
            </w:pPr>
            <w:r>
              <w:rPr>
                <w:sz w:val="20"/>
                <w:szCs w:val="20"/>
                <w:lang w:val="fr-CA"/>
              </w:rPr>
              <w:pict>
                <v:rect id="_x0000_i1029" style="width:108pt;height:1pt" o:hrpct="0" o:hralign="center" o:hrstd="t" o:hrnoshade="t" o:hr="t" fillcolor="black [3213]" stroked="f"/>
              </w:pict>
            </w:r>
          </w:p>
        </w:tc>
      </w:tr>
      <w:tr w:rsidR="00C21644" w:rsidRPr="00BB738C" w:rsidTr="003B3977">
        <w:tc>
          <w:tcPr>
            <w:tcW w:w="4320" w:type="dxa"/>
            <w:shd w:val="clear" w:color="auto" w:fill="auto"/>
          </w:tcPr>
          <w:p w:rsidR="00C21644" w:rsidRDefault="00BB738C" w:rsidP="003B3977">
            <w:pPr>
              <w:rPr>
                <w:b/>
                <w:sz w:val="20"/>
                <w:szCs w:val="20"/>
                <w:lang w:val="fr-CA"/>
              </w:rPr>
            </w:pPr>
            <w:r>
              <w:rPr>
                <w:b/>
                <w:sz w:val="20"/>
                <w:szCs w:val="20"/>
                <w:lang w:val="fr-CA"/>
              </w:rPr>
              <w:t>Claude Trépanier et autre</w:t>
            </w:r>
          </w:p>
          <w:p w:rsidR="00BB738C" w:rsidRDefault="00BB738C" w:rsidP="003B3977">
            <w:pPr>
              <w:rPr>
                <w:sz w:val="20"/>
                <w:szCs w:val="20"/>
                <w:lang w:val="fr-CA"/>
              </w:rPr>
            </w:pPr>
            <w:r>
              <w:rPr>
                <w:b/>
                <w:sz w:val="20"/>
                <w:szCs w:val="20"/>
                <w:lang w:val="fr-CA"/>
              </w:rPr>
              <w:tab/>
            </w:r>
            <w:r>
              <w:rPr>
                <w:sz w:val="20"/>
                <w:szCs w:val="20"/>
                <w:lang w:val="fr-CA"/>
              </w:rPr>
              <w:t>Francis Meloche</w:t>
            </w:r>
          </w:p>
          <w:p w:rsidR="00BB738C" w:rsidRDefault="00BB738C" w:rsidP="003B3977">
            <w:pPr>
              <w:rPr>
                <w:sz w:val="20"/>
                <w:szCs w:val="20"/>
                <w:lang w:val="fr-CA"/>
              </w:rPr>
            </w:pPr>
            <w:r>
              <w:rPr>
                <w:sz w:val="20"/>
                <w:szCs w:val="20"/>
                <w:lang w:val="fr-CA"/>
              </w:rPr>
              <w:tab/>
              <w:t>Municonseil Avocats inc.</w:t>
            </w:r>
          </w:p>
          <w:p w:rsidR="00BB738C" w:rsidRDefault="00BB738C" w:rsidP="003B3977">
            <w:pPr>
              <w:rPr>
                <w:sz w:val="20"/>
                <w:szCs w:val="20"/>
                <w:lang w:val="fr-CA"/>
              </w:rPr>
            </w:pPr>
          </w:p>
          <w:p w:rsidR="00BB738C" w:rsidRDefault="00BB738C" w:rsidP="003B3977">
            <w:pPr>
              <w:rPr>
                <w:sz w:val="20"/>
                <w:szCs w:val="20"/>
                <w:lang w:val="fr-CA"/>
              </w:rPr>
            </w:pPr>
            <w:r>
              <w:rPr>
                <w:sz w:val="20"/>
                <w:szCs w:val="20"/>
                <w:lang w:val="fr-CA"/>
              </w:rPr>
              <w:tab/>
              <w:t>c. (37723)</w:t>
            </w:r>
          </w:p>
          <w:p w:rsidR="00BB738C" w:rsidRDefault="00BB738C" w:rsidP="003B3977">
            <w:pPr>
              <w:rPr>
                <w:sz w:val="20"/>
                <w:szCs w:val="20"/>
                <w:lang w:val="fr-CA"/>
              </w:rPr>
            </w:pPr>
          </w:p>
          <w:p w:rsidR="00BB738C" w:rsidRDefault="00BB738C" w:rsidP="003B3977">
            <w:pPr>
              <w:rPr>
                <w:b/>
                <w:sz w:val="20"/>
                <w:szCs w:val="20"/>
                <w:lang w:val="fr-CA"/>
              </w:rPr>
            </w:pPr>
            <w:r>
              <w:rPr>
                <w:b/>
                <w:sz w:val="20"/>
                <w:szCs w:val="20"/>
                <w:lang w:val="fr-CA"/>
              </w:rPr>
              <w:t xml:space="preserve">Yves Bolduc, en sa </w:t>
            </w:r>
            <w:r w:rsidR="00745B82">
              <w:rPr>
                <w:b/>
                <w:sz w:val="20"/>
                <w:szCs w:val="20"/>
                <w:lang w:val="fr-CA"/>
              </w:rPr>
              <w:t>qualité de ministre de la santé et des services sociaux et autre (Qc)</w:t>
            </w:r>
          </w:p>
          <w:p w:rsidR="00745B82" w:rsidRDefault="00745B82" w:rsidP="003B3977">
            <w:pPr>
              <w:rPr>
                <w:sz w:val="20"/>
                <w:szCs w:val="20"/>
                <w:lang w:val="fr-CA"/>
              </w:rPr>
            </w:pPr>
            <w:r>
              <w:rPr>
                <w:b/>
                <w:sz w:val="20"/>
                <w:szCs w:val="20"/>
                <w:lang w:val="fr-CA"/>
              </w:rPr>
              <w:tab/>
            </w:r>
            <w:r>
              <w:rPr>
                <w:sz w:val="20"/>
                <w:szCs w:val="20"/>
                <w:lang w:val="fr-CA"/>
              </w:rPr>
              <w:t xml:space="preserve">Patrice Claude </w:t>
            </w:r>
          </w:p>
          <w:p w:rsidR="00745B82" w:rsidRDefault="00745B82" w:rsidP="003B3977">
            <w:pPr>
              <w:rPr>
                <w:sz w:val="20"/>
                <w:szCs w:val="20"/>
                <w:lang w:val="fr-CA"/>
              </w:rPr>
            </w:pPr>
            <w:r>
              <w:rPr>
                <w:sz w:val="20"/>
                <w:szCs w:val="20"/>
                <w:lang w:val="fr-CA"/>
              </w:rPr>
              <w:tab/>
              <w:t>Bernard, Roy &amp; Associés</w:t>
            </w:r>
          </w:p>
          <w:p w:rsidR="00745B82" w:rsidRDefault="00745B82" w:rsidP="003B3977">
            <w:pPr>
              <w:rPr>
                <w:sz w:val="20"/>
                <w:szCs w:val="20"/>
                <w:lang w:val="fr-CA"/>
              </w:rPr>
            </w:pPr>
          </w:p>
          <w:p w:rsidR="00745B82" w:rsidRDefault="00745B82" w:rsidP="003B3977">
            <w:pPr>
              <w:rPr>
                <w:sz w:val="20"/>
                <w:szCs w:val="20"/>
                <w:lang w:val="fr-CA"/>
              </w:rPr>
            </w:pPr>
            <w:r>
              <w:rPr>
                <w:sz w:val="20"/>
                <w:szCs w:val="20"/>
                <w:lang w:val="fr-CA"/>
              </w:rPr>
              <w:t>DATE DE PRODUCTION : 31.08.2017</w:t>
            </w:r>
          </w:p>
          <w:p w:rsidR="00745B82" w:rsidRDefault="006B07D6" w:rsidP="003B3977">
            <w:pPr>
              <w:rPr>
                <w:sz w:val="20"/>
                <w:szCs w:val="20"/>
                <w:lang w:val="fr-CA"/>
              </w:rPr>
            </w:pPr>
            <w:r>
              <w:rPr>
                <w:sz w:val="20"/>
                <w:szCs w:val="20"/>
                <w:lang w:val="fr-CA"/>
              </w:rPr>
              <w:pict>
                <v:rect id="_x0000_i1030" style="width:108pt;height:1pt" o:hrpct="0" o:hralign="center" o:hrstd="t" o:hrnoshade="t" o:hr="t" fillcolor="black [3213]" stroked="f"/>
              </w:pict>
            </w:r>
          </w:p>
          <w:p w:rsidR="00745B82" w:rsidRPr="00745B82" w:rsidRDefault="00745B82" w:rsidP="003B3977">
            <w:pPr>
              <w:rPr>
                <w:sz w:val="20"/>
                <w:szCs w:val="20"/>
                <w:lang w:val="fr-CA"/>
              </w:rPr>
            </w:pPr>
          </w:p>
        </w:tc>
        <w:tc>
          <w:tcPr>
            <w:tcW w:w="1181" w:type="dxa"/>
            <w:shd w:val="clear" w:color="auto" w:fill="auto"/>
          </w:tcPr>
          <w:p w:rsidR="00C21644" w:rsidRPr="00BB738C" w:rsidRDefault="00C21644" w:rsidP="00242AEE">
            <w:pPr>
              <w:jc w:val="center"/>
              <w:rPr>
                <w:sz w:val="20"/>
                <w:szCs w:val="20"/>
                <w:lang w:val="fr-CA"/>
              </w:rPr>
            </w:pPr>
          </w:p>
        </w:tc>
        <w:tc>
          <w:tcPr>
            <w:tcW w:w="4320" w:type="dxa"/>
            <w:shd w:val="clear" w:color="auto" w:fill="auto"/>
          </w:tcPr>
          <w:p w:rsidR="00C21644" w:rsidRPr="00382DD9" w:rsidRDefault="00B6560C" w:rsidP="00E8544A">
            <w:pPr>
              <w:rPr>
                <w:b/>
                <w:sz w:val="20"/>
                <w:szCs w:val="20"/>
                <w:lang w:val="en-US"/>
              </w:rPr>
            </w:pPr>
            <w:r w:rsidRPr="00382DD9">
              <w:rPr>
                <w:b/>
                <w:sz w:val="20"/>
                <w:szCs w:val="20"/>
                <w:lang w:val="en-US"/>
              </w:rPr>
              <w:t xml:space="preserve">Lianne Tregobov </w:t>
            </w:r>
          </w:p>
          <w:p w:rsidR="00B6560C" w:rsidRPr="00382DD9" w:rsidRDefault="00B6560C" w:rsidP="00B6560C">
            <w:pPr>
              <w:rPr>
                <w:sz w:val="20"/>
                <w:szCs w:val="20"/>
                <w:lang w:val="en-US"/>
              </w:rPr>
            </w:pPr>
            <w:r w:rsidRPr="00382DD9">
              <w:rPr>
                <w:b/>
                <w:sz w:val="20"/>
                <w:szCs w:val="20"/>
                <w:lang w:val="en-US"/>
              </w:rPr>
              <w:tab/>
            </w:r>
            <w:r w:rsidRPr="00382DD9">
              <w:rPr>
                <w:sz w:val="20"/>
                <w:szCs w:val="20"/>
                <w:lang w:val="en-US"/>
              </w:rPr>
              <w:t>Faron J. Trippier</w:t>
            </w:r>
          </w:p>
          <w:p w:rsidR="00B6560C" w:rsidRPr="00382DD9" w:rsidRDefault="00B6560C" w:rsidP="00B6560C">
            <w:pPr>
              <w:rPr>
                <w:sz w:val="20"/>
                <w:szCs w:val="20"/>
                <w:lang w:val="en-US"/>
              </w:rPr>
            </w:pPr>
            <w:r w:rsidRPr="00382DD9">
              <w:rPr>
                <w:sz w:val="20"/>
                <w:szCs w:val="20"/>
                <w:lang w:val="en-US"/>
              </w:rPr>
              <w:tab/>
              <w:t>Fast Trippier Law</w:t>
            </w:r>
          </w:p>
          <w:p w:rsidR="00B6560C" w:rsidRPr="00382DD9" w:rsidRDefault="00B6560C" w:rsidP="00B6560C">
            <w:pPr>
              <w:rPr>
                <w:sz w:val="20"/>
                <w:szCs w:val="20"/>
                <w:lang w:val="en-US"/>
              </w:rPr>
            </w:pPr>
          </w:p>
          <w:p w:rsidR="00B6560C" w:rsidRPr="00382DD9" w:rsidRDefault="00B6560C" w:rsidP="00B6560C">
            <w:pPr>
              <w:rPr>
                <w:sz w:val="20"/>
                <w:szCs w:val="20"/>
                <w:lang w:val="en-US"/>
              </w:rPr>
            </w:pPr>
            <w:r w:rsidRPr="00382DD9">
              <w:rPr>
                <w:sz w:val="20"/>
                <w:szCs w:val="20"/>
                <w:lang w:val="en-US"/>
              </w:rPr>
              <w:tab/>
              <w:t>v. (37727)</w:t>
            </w:r>
          </w:p>
          <w:p w:rsidR="00B6560C" w:rsidRPr="00382DD9" w:rsidRDefault="00B6560C" w:rsidP="00B6560C">
            <w:pPr>
              <w:rPr>
                <w:sz w:val="20"/>
                <w:szCs w:val="20"/>
                <w:lang w:val="en-US"/>
              </w:rPr>
            </w:pPr>
          </w:p>
          <w:p w:rsidR="00B6560C" w:rsidRPr="00382DD9" w:rsidRDefault="00B6560C" w:rsidP="00B6560C">
            <w:pPr>
              <w:rPr>
                <w:b/>
                <w:sz w:val="20"/>
                <w:szCs w:val="20"/>
                <w:lang w:val="en-US"/>
              </w:rPr>
            </w:pPr>
            <w:r w:rsidRPr="00382DD9">
              <w:rPr>
                <w:b/>
                <w:sz w:val="20"/>
                <w:szCs w:val="20"/>
                <w:lang w:val="en-US"/>
              </w:rPr>
              <w:t>Normand Paradis, Irene Paradis, Glen Williams et al. (Man.)</w:t>
            </w:r>
          </w:p>
          <w:p w:rsidR="00B6560C" w:rsidRPr="00382DD9" w:rsidRDefault="00B6560C" w:rsidP="00B6560C">
            <w:pPr>
              <w:rPr>
                <w:sz w:val="20"/>
                <w:szCs w:val="20"/>
                <w:lang w:val="en-US"/>
              </w:rPr>
            </w:pPr>
            <w:r w:rsidRPr="00382DD9">
              <w:rPr>
                <w:sz w:val="20"/>
                <w:szCs w:val="20"/>
                <w:lang w:val="en-US"/>
              </w:rPr>
              <w:tab/>
              <w:t>Sam A. Gabor</w:t>
            </w:r>
          </w:p>
          <w:p w:rsidR="00B6560C" w:rsidRPr="00382DD9" w:rsidRDefault="00B6560C" w:rsidP="00B6560C">
            <w:pPr>
              <w:rPr>
                <w:sz w:val="20"/>
                <w:szCs w:val="20"/>
                <w:lang w:val="en-US"/>
              </w:rPr>
            </w:pPr>
            <w:r w:rsidRPr="00382DD9">
              <w:rPr>
                <w:sz w:val="20"/>
                <w:szCs w:val="20"/>
                <w:lang w:val="en-US"/>
              </w:rPr>
              <w:tab/>
              <w:t>Taylor McCaffrey LLP</w:t>
            </w:r>
          </w:p>
          <w:p w:rsidR="00B6560C" w:rsidRPr="00382DD9" w:rsidRDefault="00B6560C" w:rsidP="00B6560C">
            <w:pPr>
              <w:rPr>
                <w:sz w:val="20"/>
                <w:szCs w:val="20"/>
                <w:lang w:val="en-US"/>
              </w:rPr>
            </w:pPr>
          </w:p>
          <w:p w:rsidR="00B6560C" w:rsidRPr="00382DD9" w:rsidRDefault="00B6560C" w:rsidP="00B6560C">
            <w:pPr>
              <w:rPr>
                <w:sz w:val="20"/>
                <w:szCs w:val="20"/>
                <w:lang w:val="en-US"/>
              </w:rPr>
            </w:pPr>
            <w:r w:rsidRPr="00382DD9">
              <w:rPr>
                <w:sz w:val="20"/>
                <w:szCs w:val="20"/>
                <w:lang w:val="en-US"/>
              </w:rPr>
              <w:t>FILING DATE : 31.08.2017</w:t>
            </w:r>
          </w:p>
          <w:p w:rsidR="00B6560C" w:rsidRPr="00B6560C" w:rsidRDefault="006B07D6" w:rsidP="00B6560C">
            <w:pPr>
              <w:rPr>
                <w:sz w:val="20"/>
                <w:szCs w:val="20"/>
                <w:lang w:val="fr-CA"/>
              </w:rPr>
            </w:pPr>
            <w:r>
              <w:rPr>
                <w:sz w:val="20"/>
                <w:szCs w:val="20"/>
                <w:lang w:val="fr-CA"/>
              </w:rPr>
              <w:pict>
                <v:rect id="_x0000_i1031" style="width:108pt;height:1pt" o:hrpct="0" o:hralign="center" o:hrstd="t" o:hrnoshade="t" o:hr="t" fillcolor="black [3213]" stroked="f"/>
              </w:pict>
            </w:r>
          </w:p>
        </w:tc>
      </w:tr>
    </w:tbl>
    <w:p w:rsidR="00875849" w:rsidRDefault="00875849">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BB738C" w:rsidTr="003B3977">
        <w:tc>
          <w:tcPr>
            <w:tcW w:w="4320" w:type="dxa"/>
            <w:shd w:val="clear" w:color="auto" w:fill="auto"/>
          </w:tcPr>
          <w:p w:rsidR="00C21644" w:rsidRDefault="00875849" w:rsidP="005F1ED8">
            <w:pPr>
              <w:rPr>
                <w:b/>
                <w:sz w:val="20"/>
                <w:szCs w:val="20"/>
                <w:lang w:val="fr-CA"/>
              </w:rPr>
            </w:pPr>
            <w:r>
              <w:rPr>
                <w:b/>
                <w:sz w:val="20"/>
                <w:szCs w:val="20"/>
                <w:lang w:val="fr-CA"/>
              </w:rPr>
              <w:lastRenderedPageBreak/>
              <w:t>Hélène Banvill</w:t>
            </w:r>
            <w:r w:rsidR="0076331E">
              <w:rPr>
                <w:b/>
                <w:sz w:val="20"/>
                <w:szCs w:val="20"/>
                <w:lang w:val="fr-CA"/>
              </w:rPr>
              <w:t>e</w:t>
            </w:r>
            <w:r>
              <w:rPr>
                <w:b/>
                <w:sz w:val="20"/>
                <w:szCs w:val="20"/>
                <w:lang w:val="fr-CA"/>
              </w:rPr>
              <w:t>-Joncas et autres</w:t>
            </w:r>
          </w:p>
          <w:p w:rsidR="00875849" w:rsidRDefault="00875849" w:rsidP="005F1ED8">
            <w:pPr>
              <w:rPr>
                <w:sz w:val="20"/>
                <w:szCs w:val="20"/>
                <w:lang w:val="fr-CA"/>
              </w:rPr>
            </w:pPr>
            <w:r>
              <w:rPr>
                <w:b/>
                <w:sz w:val="20"/>
                <w:szCs w:val="20"/>
                <w:lang w:val="fr-CA"/>
              </w:rPr>
              <w:tab/>
            </w:r>
            <w:r>
              <w:rPr>
                <w:sz w:val="20"/>
                <w:szCs w:val="20"/>
                <w:lang w:val="fr-CA"/>
              </w:rPr>
              <w:t>Paul Langevin</w:t>
            </w:r>
          </w:p>
          <w:p w:rsidR="00875849" w:rsidRDefault="00875849" w:rsidP="005F1ED8">
            <w:pPr>
              <w:rPr>
                <w:sz w:val="20"/>
                <w:szCs w:val="20"/>
                <w:lang w:val="fr-CA"/>
              </w:rPr>
            </w:pPr>
            <w:r>
              <w:rPr>
                <w:sz w:val="20"/>
                <w:szCs w:val="20"/>
                <w:lang w:val="fr-CA"/>
              </w:rPr>
              <w:tab/>
              <w:t>LPL avocats inc.</w:t>
            </w:r>
          </w:p>
          <w:p w:rsidR="00875849" w:rsidRDefault="00875849" w:rsidP="005F1ED8">
            <w:pPr>
              <w:rPr>
                <w:sz w:val="20"/>
                <w:szCs w:val="20"/>
                <w:lang w:val="fr-CA"/>
              </w:rPr>
            </w:pPr>
          </w:p>
          <w:p w:rsidR="00875849" w:rsidRDefault="00875849" w:rsidP="005F1ED8">
            <w:pPr>
              <w:rPr>
                <w:sz w:val="20"/>
                <w:szCs w:val="20"/>
                <w:lang w:val="fr-CA"/>
              </w:rPr>
            </w:pPr>
            <w:r>
              <w:rPr>
                <w:sz w:val="20"/>
                <w:szCs w:val="20"/>
                <w:lang w:val="fr-CA"/>
              </w:rPr>
              <w:tab/>
              <w:t>c. (37729)</w:t>
            </w:r>
          </w:p>
          <w:p w:rsidR="00875849" w:rsidRDefault="00875849" w:rsidP="005F1ED8">
            <w:pPr>
              <w:rPr>
                <w:sz w:val="20"/>
                <w:szCs w:val="20"/>
                <w:lang w:val="fr-CA"/>
              </w:rPr>
            </w:pPr>
          </w:p>
          <w:p w:rsidR="00875849" w:rsidRDefault="00875849" w:rsidP="005F1ED8">
            <w:pPr>
              <w:rPr>
                <w:b/>
                <w:sz w:val="20"/>
                <w:szCs w:val="20"/>
                <w:lang w:val="fr-CA"/>
              </w:rPr>
            </w:pPr>
            <w:r>
              <w:rPr>
                <w:b/>
                <w:sz w:val="20"/>
                <w:szCs w:val="20"/>
                <w:lang w:val="fr-CA"/>
              </w:rPr>
              <w:t>Station Mont-Tremblant, société en commandite (Qc)</w:t>
            </w:r>
          </w:p>
          <w:p w:rsidR="00875849" w:rsidRDefault="00875849" w:rsidP="005F1ED8">
            <w:pPr>
              <w:rPr>
                <w:sz w:val="20"/>
                <w:szCs w:val="20"/>
                <w:lang w:val="fr-CA"/>
              </w:rPr>
            </w:pPr>
            <w:r>
              <w:rPr>
                <w:sz w:val="20"/>
                <w:szCs w:val="20"/>
                <w:lang w:val="fr-CA"/>
              </w:rPr>
              <w:tab/>
              <w:t>Francis Rouleau</w:t>
            </w:r>
          </w:p>
          <w:p w:rsidR="00875849" w:rsidRDefault="00875849" w:rsidP="005F1ED8">
            <w:pPr>
              <w:rPr>
                <w:sz w:val="20"/>
                <w:szCs w:val="20"/>
                <w:lang w:val="fr-CA"/>
              </w:rPr>
            </w:pPr>
            <w:r>
              <w:rPr>
                <w:sz w:val="20"/>
                <w:szCs w:val="20"/>
                <w:lang w:val="fr-CA"/>
              </w:rPr>
              <w:tab/>
              <w:t>Blake, Cassels &amp; Graydon LLP</w:t>
            </w:r>
          </w:p>
          <w:p w:rsidR="00875849" w:rsidRDefault="00875849" w:rsidP="005F1ED8">
            <w:pPr>
              <w:rPr>
                <w:sz w:val="20"/>
                <w:szCs w:val="20"/>
                <w:lang w:val="fr-CA"/>
              </w:rPr>
            </w:pPr>
          </w:p>
          <w:p w:rsidR="00875849" w:rsidRDefault="00875849" w:rsidP="005F1ED8">
            <w:pPr>
              <w:rPr>
                <w:sz w:val="20"/>
                <w:szCs w:val="20"/>
                <w:lang w:val="fr-CA"/>
              </w:rPr>
            </w:pPr>
            <w:r>
              <w:rPr>
                <w:sz w:val="20"/>
                <w:szCs w:val="20"/>
                <w:lang w:val="fr-CA"/>
              </w:rPr>
              <w:t>DATE DE PRODUCTION : 31.08.2017</w:t>
            </w:r>
          </w:p>
          <w:p w:rsidR="00875849" w:rsidRPr="00875849" w:rsidRDefault="006B07D6" w:rsidP="005F1ED8">
            <w:pPr>
              <w:rPr>
                <w:sz w:val="20"/>
                <w:szCs w:val="20"/>
                <w:lang w:val="fr-CA"/>
              </w:rPr>
            </w:pPr>
            <w:r>
              <w:rPr>
                <w:sz w:val="20"/>
                <w:szCs w:val="20"/>
                <w:lang w:val="fr-CA"/>
              </w:rPr>
              <w:pict>
                <v:rect id="_x0000_i1032" style="width:108pt;height:1pt" o:hrpct="0" o:hralign="center" o:hrstd="t" o:hrnoshade="t" o:hr="t" fillcolor="black [3213]" stroked="f"/>
              </w:pict>
            </w:r>
          </w:p>
          <w:p w:rsidR="00875849" w:rsidRPr="00875849" w:rsidRDefault="00875849" w:rsidP="005F1ED8">
            <w:pPr>
              <w:rPr>
                <w:b/>
                <w:sz w:val="20"/>
                <w:szCs w:val="20"/>
                <w:lang w:val="fr-CA"/>
              </w:rPr>
            </w:pPr>
          </w:p>
        </w:tc>
        <w:tc>
          <w:tcPr>
            <w:tcW w:w="1181" w:type="dxa"/>
            <w:shd w:val="clear" w:color="auto" w:fill="auto"/>
          </w:tcPr>
          <w:p w:rsidR="00C21644" w:rsidRPr="00BB738C" w:rsidRDefault="00C21644" w:rsidP="00242AEE">
            <w:pPr>
              <w:jc w:val="center"/>
              <w:rPr>
                <w:sz w:val="20"/>
                <w:szCs w:val="20"/>
                <w:lang w:val="fr-CA"/>
              </w:rPr>
            </w:pPr>
          </w:p>
        </w:tc>
        <w:tc>
          <w:tcPr>
            <w:tcW w:w="4320" w:type="dxa"/>
            <w:shd w:val="clear" w:color="auto" w:fill="auto"/>
          </w:tcPr>
          <w:p w:rsidR="00C21644" w:rsidRPr="00BB738C" w:rsidRDefault="00C21644" w:rsidP="005F1ED8">
            <w:pPr>
              <w:rPr>
                <w:sz w:val="20"/>
                <w:szCs w:val="20"/>
                <w:lang w:val="fr-CA"/>
              </w:rPr>
            </w:pPr>
          </w:p>
        </w:tc>
      </w:tr>
      <w:tr w:rsidR="00875849" w:rsidRPr="00BB738C" w:rsidTr="003B3977">
        <w:tc>
          <w:tcPr>
            <w:tcW w:w="4320" w:type="dxa"/>
            <w:shd w:val="clear" w:color="auto" w:fill="auto"/>
          </w:tcPr>
          <w:p w:rsidR="00875849" w:rsidRPr="00BB738C" w:rsidRDefault="00875849" w:rsidP="005F1ED8">
            <w:pPr>
              <w:rPr>
                <w:sz w:val="20"/>
                <w:szCs w:val="20"/>
                <w:lang w:val="fr-CA"/>
              </w:rPr>
            </w:pPr>
          </w:p>
        </w:tc>
        <w:tc>
          <w:tcPr>
            <w:tcW w:w="1181" w:type="dxa"/>
            <w:shd w:val="clear" w:color="auto" w:fill="auto"/>
          </w:tcPr>
          <w:p w:rsidR="00875849" w:rsidRPr="00BB738C" w:rsidRDefault="00875849" w:rsidP="00242AEE">
            <w:pPr>
              <w:jc w:val="center"/>
              <w:rPr>
                <w:sz w:val="20"/>
                <w:szCs w:val="20"/>
                <w:lang w:val="fr-CA"/>
              </w:rPr>
            </w:pPr>
          </w:p>
        </w:tc>
        <w:tc>
          <w:tcPr>
            <w:tcW w:w="4320" w:type="dxa"/>
            <w:shd w:val="clear" w:color="auto" w:fill="auto"/>
          </w:tcPr>
          <w:p w:rsidR="00875849" w:rsidRPr="00BB738C" w:rsidRDefault="00875849" w:rsidP="005F1ED8">
            <w:pPr>
              <w:rPr>
                <w:sz w:val="20"/>
                <w:szCs w:val="20"/>
                <w:lang w:val="fr-CA"/>
              </w:rPr>
            </w:pPr>
          </w:p>
        </w:tc>
      </w:tr>
      <w:tr w:rsidR="00875849" w:rsidRPr="00BB738C" w:rsidTr="003B3977">
        <w:tc>
          <w:tcPr>
            <w:tcW w:w="4320" w:type="dxa"/>
            <w:shd w:val="clear" w:color="auto" w:fill="auto"/>
          </w:tcPr>
          <w:p w:rsidR="00875849" w:rsidRPr="00BB738C" w:rsidRDefault="00875849" w:rsidP="005F1ED8">
            <w:pPr>
              <w:rPr>
                <w:sz w:val="20"/>
                <w:szCs w:val="20"/>
                <w:lang w:val="fr-CA"/>
              </w:rPr>
            </w:pPr>
          </w:p>
        </w:tc>
        <w:tc>
          <w:tcPr>
            <w:tcW w:w="1181" w:type="dxa"/>
            <w:shd w:val="clear" w:color="auto" w:fill="auto"/>
          </w:tcPr>
          <w:p w:rsidR="00875849" w:rsidRPr="00BB738C" w:rsidRDefault="00875849" w:rsidP="00242AEE">
            <w:pPr>
              <w:jc w:val="center"/>
              <w:rPr>
                <w:sz w:val="20"/>
                <w:szCs w:val="20"/>
                <w:lang w:val="fr-CA"/>
              </w:rPr>
            </w:pPr>
          </w:p>
        </w:tc>
        <w:tc>
          <w:tcPr>
            <w:tcW w:w="4320" w:type="dxa"/>
            <w:shd w:val="clear" w:color="auto" w:fill="auto"/>
          </w:tcPr>
          <w:p w:rsidR="00875849" w:rsidRPr="00BB738C" w:rsidRDefault="00875849" w:rsidP="005F1ED8">
            <w:pPr>
              <w:rPr>
                <w:sz w:val="20"/>
                <w:szCs w:val="20"/>
                <w:lang w:val="fr-CA"/>
              </w:rPr>
            </w:pPr>
          </w:p>
        </w:tc>
      </w:tr>
    </w:tbl>
    <w:p w:rsidR="00242AEE" w:rsidRPr="00BB738C" w:rsidRDefault="00242AEE" w:rsidP="0095096B">
      <w:pPr>
        <w:tabs>
          <w:tab w:val="right" w:pos="9360"/>
        </w:tabs>
        <w:rPr>
          <w:sz w:val="20"/>
          <w:szCs w:val="20"/>
          <w:lang w:val="fr-CA"/>
        </w:rPr>
      </w:pPr>
    </w:p>
    <w:p w:rsidR="00C01FCB" w:rsidRPr="00BB738C" w:rsidRDefault="00C01FCB" w:rsidP="0095096B">
      <w:pPr>
        <w:tabs>
          <w:tab w:val="right" w:pos="9360"/>
        </w:tabs>
        <w:rPr>
          <w:sz w:val="20"/>
          <w:szCs w:val="20"/>
          <w:lang w:val="fr-CA"/>
        </w:rPr>
      </w:pPr>
    </w:p>
    <w:p w:rsidR="00C01FCB" w:rsidRPr="00BB738C" w:rsidRDefault="00C01FCB" w:rsidP="0095096B">
      <w:pPr>
        <w:tabs>
          <w:tab w:val="right" w:pos="9360"/>
        </w:tabs>
        <w:rPr>
          <w:sz w:val="20"/>
          <w:szCs w:val="20"/>
          <w:lang w:val="fr-CA"/>
        </w:rPr>
      </w:pPr>
    </w:p>
    <w:p w:rsidR="00242AEE" w:rsidRPr="00BB738C" w:rsidRDefault="00242AEE" w:rsidP="0095096B">
      <w:pPr>
        <w:tabs>
          <w:tab w:val="right" w:pos="9360"/>
        </w:tabs>
        <w:rPr>
          <w:sz w:val="20"/>
          <w:szCs w:val="20"/>
          <w:lang w:val="fr-CA"/>
        </w:rPr>
        <w:sectPr w:rsidR="00242AEE" w:rsidRPr="00BB738C" w:rsidSect="00A608ED">
          <w:headerReference w:type="default" r:id="rId10"/>
          <w:footerReference w:type="default" r:id="rId11"/>
          <w:headerReference w:type="first" r:id="rId12"/>
          <w:footerReference w:type="first" r:id="rId13"/>
          <w:pgSz w:w="12240" w:h="15840"/>
          <w:pgMar w:top="720" w:right="965" w:bottom="1080" w:left="1656" w:header="706" w:footer="706" w:gutter="0"/>
          <w:pgNumType w:start="129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6B07D6" w:rsidTr="00BA6468">
        <w:trPr>
          <w:trHeight w:val="900"/>
        </w:trPr>
        <w:tc>
          <w:tcPr>
            <w:tcW w:w="4200" w:type="dxa"/>
            <w:tcMar>
              <w:left w:w="0" w:type="dxa"/>
              <w:right w:w="0" w:type="dxa"/>
            </w:tcMar>
          </w:tcPr>
          <w:p w:rsidR="002E2327" w:rsidRPr="00382DD9" w:rsidRDefault="002E2327" w:rsidP="002E2327">
            <w:pPr>
              <w:keepNext/>
              <w:keepLines/>
              <w:widowControl w:val="0"/>
              <w:rPr>
                <w:b/>
                <w:szCs w:val="24"/>
                <w:lang w:val="en-US"/>
              </w:rPr>
            </w:pPr>
            <w:r w:rsidRPr="00382DD9">
              <w:rPr>
                <w:b/>
                <w:szCs w:val="24"/>
                <w:lang w:val="en-US"/>
              </w:rPr>
              <w:lastRenderedPageBreak/>
              <w:t>APPLICATIONS FOR LEAVE SUBMITTED TO COURT SINCE LAST ISSUE</w:t>
            </w:r>
          </w:p>
        </w:tc>
        <w:tc>
          <w:tcPr>
            <w:tcW w:w="1200" w:type="dxa"/>
            <w:tcMar>
              <w:left w:w="0" w:type="dxa"/>
              <w:right w:w="0" w:type="dxa"/>
            </w:tcMar>
          </w:tcPr>
          <w:p w:rsidR="002E2327" w:rsidRPr="00382DD9" w:rsidRDefault="002E2327" w:rsidP="002E2327">
            <w:pPr>
              <w:keepNext/>
              <w:keepLines/>
              <w:widowControl w:val="0"/>
              <w:jc w:val="center"/>
              <w:rPr>
                <w:b/>
                <w:szCs w:val="24"/>
                <w:lang w:val="en-US"/>
              </w:rPr>
            </w:pPr>
          </w:p>
          <w:p w:rsidR="001D0D5F" w:rsidRPr="00382DD9" w:rsidRDefault="001D0D5F" w:rsidP="002E2327">
            <w:pPr>
              <w:keepNext/>
              <w:keepLines/>
              <w:widowControl w:val="0"/>
              <w:jc w:val="center"/>
              <w:rPr>
                <w:b/>
                <w:szCs w:val="24"/>
                <w:lang w:val="en-US"/>
              </w:rPr>
            </w:pPr>
          </w:p>
          <w:p w:rsidR="001D0D5F" w:rsidRPr="00382DD9" w:rsidRDefault="001D0D5F" w:rsidP="002E2327">
            <w:pPr>
              <w:keepNext/>
              <w:keepLines/>
              <w:widowControl w:val="0"/>
              <w:jc w:val="center"/>
              <w:rPr>
                <w:b/>
                <w:szCs w:val="24"/>
                <w:lang w:val="en-US"/>
              </w:rPr>
            </w:pPr>
          </w:p>
          <w:p w:rsidR="001D0D5F" w:rsidRPr="00382DD9"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382DD9" w:rsidP="00CB3520">
      <w:pPr>
        <w:widowControl w:val="0"/>
        <w:rPr>
          <w:b/>
          <w:sz w:val="20"/>
          <w:szCs w:val="20"/>
        </w:rPr>
      </w:pPr>
      <w:r>
        <w:rPr>
          <w:b/>
          <w:sz w:val="20"/>
          <w:szCs w:val="20"/>
        </w:rPr>
        <w:t>SEPTEMBER 18</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18 SEPTEMBRE</w:t>
      </w:r>
      <w:r w:rsidR="00CB3520" w:rsidRPr="00C50A5C">
        <w:rPr>
          <w:b/>
          <w:sz w:val="20"/>
          <w:szCs w:val="20"/>
        </w:rPr>
        <w:t xml:space="preserve"> 201</w:t>
      </w:r>
      <w:r w:rsidR="00E8544A">
        <w:rPr>
          <w:b/>
          <w:sz w:val="20"/>
          <w:szCs w:val="20"/>
        </w:rPr>
        <w:t>7</w:t>
      </w:r>
    </w:p>
    <w:p w:rsidR="00CB3520" w:rsidRPr="00C50A5C" w:rsidRDefault="00CB3520" w:rsidP="00CB3520">
      <w:pPr>
        <w:widowControl w:val="0"/>
        <w:rPr>
          <w:b/>
          <w:sz w:val="20"/>
          <w:szCs w:val="20"/>
        </w:rPr>
      </w:pPr>
    </w:p>
    <w:p w:rsidR="00C661B7" w:rsidRDefault="00C661B7" w:rsidP="00C661B7">
      <w:pPr>
        <w:jc w:val="center"/>
        <w:rPr>
          <w:b/>
          <w:bCs/>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60166B" w:rsidRPr="006B07D6" w:rsidTr="00972BA9">
        <w:trPr>
          <w:cantSplit/>
        </w:trPr>
        <w:tc>
          <w:tcPr>
            <w:tcW w:w="508" w:type="dxa"/>
          </w:tcPr>
          <w:p w:rsidR="0060166B" w:rsidRPr="008E3884" w:rsidRDefault="0060166B" w:rsidP="00972BA9">
            <w:pPr>
              <w:rPr>
                <w:sz w:val="20"/>
                <w:szCs w:val="20"/>
                <w:lang w:val="fr-CA"/>
              </w:rPr>
            </w:pPr>
          </w:p>
        </w:tc>
        <w:tc>
          <w:tcPr>
            <w:tcW w:w="810" w:type="dxa"/>
          </w:tcPr>
          <w:p w:rsidR="0060166B" w:rsidRPr="008E3884" w:rsidRDefault="0060166B" w:rsidP="00972BA9">
            <w:pPr>
              <w:rPr>
                <w:sz w:val="20"/>
                <w:szCs w:val="20"/>
                <w:lang w:val="fr-CA"/>
              </w:rPr>
            </w:pPr>
          </w:p>
        </w:tc>
        <w:tc>
          <w:tcPr>
            <w:tcW w:w="8258" w:type="dxa"/>
            <w:gridSpan w:val="3"/>
          </w:tcPr>
          <w:p w:rsidR="0060166B" w:rsidRDefault="0060166B" w:rsidP="0060166B">
            <w:pPr>
              <w:jc w:val="center"/>
              <w:rPr>
                <w:b/>
                <w:bCs/>
                <w:sz w:val="20"/>
                <w:szCs w:val="20"/>
              </w:rPr>
            </w:pPr>
            <w:r>
              <w:rPr>
                <w:b/>
                <w:bCs/>
                <w:sz w:val="20"/>
                <w:szCs w:val="20"/>
              </w:rPr>
              <w:t>CORAM:  Chief Justice McLachlin and Côté and Brown JJ.</w:t>
            </w:r>
          </w:p>
          <w:p w:rsidR="0060166B" w:rsidRDefault="0060166B" w:rsidP="0060166B">
            <w:pPr>
              <w:jc w:val="center"/>
              <w:rPr>
                <w:sz w:val="20"/>
                <w:szCs w:val="20"/>
                <w:lang w:val="fr-CA"/>
              </w:rPr>
            </w:pPr>
            <w:r>
              <w:rPr>
                <w:b/>
                <w:bCs/>
                <w:sz w:val="20"/>
                <w:szCs w:val="20"/>
                <w:lang w:val="fr-CA"/>
              </w:rPr>
              <w:t>La juge en chef McLachlin et les juges Côté et Brown</w:t>
            </w:r>
          </w:p>
          <w:p w:rsidR="0060166B" w:rsidRPr="0060166B" w:rsidRDefault="0060166B" w:rsidP="0060166B">
            <w:pPr>
              <w:tabs>
                <w:tab w:val="left" w:pos="1620"/>
              </w:tabs>
              <w:rPr>
                <w:sz w:val="20"/>
                <w:szCs w:val="20"/>
                <w:lang w:val="fr-CA"/>
              </w:rPr>
            </w:pPr>
          </w:p>
        </w:tc>
      </w:tr>
      <w:tr w:rsidR="0060166B" w:rsidRPr="008E3884" w:rsidTr="00972BA9">
        <w:trPr>
          <w:cantSplit/>
        </w:trPr>
        <w:tc>
          <w:tcPr>
            <w:tcW w:w="508" w:type="dxa"/>
          </w:tcPr>
          <w:p w:rsidR="0060166B" w:rsidRPr="008E3884" w:rsidRDefault="0060166B" w:rsidP="00972BA9">
            <w:pPr>
              <w:rPr>
                <w:sz w:val="20"/>
                <w:szCs w:val="20"/>
              </w:rPr>
            </w:pPr>
            <w:r w:rsidRPr="008E3884">
              <w:rPr>
                <w:sz w:val="20"/>
                <w:szCs w:val="20"/>
              </w:rPr>
              <w:t>1.</w:t>
            </w:r>
          </w:p>
        </w:tc>
        <w:tc>
          <w:tcPr>
            <w:tcW w:w="810" w:type="dxa"/>
          </w:tcPr>
          <w:p w:rsidR="0060166B" w:rsidRPr="008E3884" w:rsidRDefault="0060166B" w:rsidP="00972BA9">
            <w:pPr>
              <w:rPr>
                <w:sz w:val="20"/>
                <w:szCs w:val="20"/>
              </w:rPr>
            </w:pPr>
            <w:r w:rsidRPr="008E3884">
              <w:rPr>
                <w:sz w:val="20"/>
                <w:szCs w:val="20"/>
              </w:rPr>
              <w:t>37632</w:t>
            </w:r>
          </w:p>
        </w:tc>
        <w:tc>
          <w:tcPr>
            <w:tcW w:w="4050" w:type="dxa"/>
          </w:tcPr>
          <w:p w:rsidR="0060166B" w:rsidRPr="008E3884" w:rsidRDefault="0060166B" w:rsidP="00972BA9">
            <w:pPr>
              <w:pStyle w:val="SCCAppellantInfoAppellantInfo"/>
              <w:rPr>
                <w:sz w:val="20"/>
                <w:szCs w:val="20"/>
              </w:rPr>
            </w:pPr>
            <w:r w:rsidRPr="008E3884">
              <w:rPr>
                <w:sz w:val="20"/>
                <w:szCs w:val="20"/>
              </w:rPr>
              <w:t>Wayne Daniel Rennie</w:t>
            </w:r>
          </w:p>
          <w:p w:rsidR="0060166B" w:rsidRPr="008E3884" w:rsidRDefault="0060166B" w:rsidP="00972BA9">
            <w:pPr>
              <w:pStyle w:val="SCCAppellantInfoAppellantInfo"/>
              <w:rPr>
                <w:sz w:val="20"/>
                <w:szCs w:val="20"/>
              </w:rPr>
            </w:pPr>
            <w:r w:rsidRPr="008E3884">
              <w:rPr>
                <w:sz w:val="20"/>
                <w:szCs w:val="20"/>
              </w:rPr>
              <w:t>(Man.) (Criminal) (By Leave)</w:t>
            </w:r>
          </w:p>
        </w:tc>
        <w:tc>
          <w:tcPr>
            <w:tcW w:w="360" w:type="dxa"/>
          </w:tcPr>
          <w:p w:rsidR="0060166B" w:rsidRPr="008E3884" w:rsidRDefault="0060166B" w:rsidP="00972BA9">
            <w:pPr>
              <w:rPr>
                <w:sz w:val="20"/>
                <w:szCs w:val="20"/>
              </w:rPr>
            </w:pPr>
            <w:r w:rsidRPr="008E3884">
              <w:rPr>
                <w:sz w:val="20"/>
                <w:szCs w:val="20"/>
              </w:rPr>
              <w:t>v.</w:t>
            </w:r>
          </w:p>
        </w:tc>
        <w:tc>
          <w:tcPr>
            <w:tcW w:w="3848" w:type="dxa"/>
          </w:tcPr>
          <w:p w:rsidR="0060166B" w:rsidRPr="008E3884" w:rsidRDefault="0060166B" w:rsidP="00972BA9">
            <w:pPr>
              <w:pStyle w:val="SCCAppellantInfoAppellantInfo"/>
              <w:rPr>
                <w:sz w:val="20"/>
                <w:szCs w:val="20"/>
              </w:rPr>
            </w:pPr>
            <w:r w:rsidRPr="008E3884">
              <w:rPr>
                <w:sz w:val="20"/>
                <w:szCs w:val="20"/>
              </w:rPr>
              <w:t>Her Majesty the Queen</w:t>
            </w:r>
          </w:p>
        </w:tc>
      </w:tr>
      <w:tr w:rsidR="0060166B" w:rsidRPr="008E3884" w:rsidTr="00972BA9">
        <w:trPr>
          <w:cantSplit/>
        </w:trPr>
        <w:tc>
          <w:tcPr>
            <w:tcW w:w="508" w:type="dxa"/>
          </w:tcPr>
          <w:p w:rsidR="0060166B" w:rsidRPr="008E3884" w:rsidRDefault="0060166B" w:rsidP="00972BA9">
            <w:pPr>
              <w:rPr>
                <w:sz w:val="20"/>
                <w:szCs w:val="20"/>
              </w:rPr>
            </w:pPr>
            <w:r w:rsidRPr="008E3884">
              <w:rPr>
                <w:sz w:val="20"/>
                <w:szCs w:val="20"/>
              </w:rPr>
              <w:t>2.</w:t>
            </w:r>
          </w:p>
        </w:tc>
        <w:tc>
          <w:tcPr>
            <w:tcW w:w="810" w:type="dxa"/>
          </w:tcPr>
          <w:p w:rsidR="0060166B" w:rsidRPr="008E3884" w:rsidRDefault="0060166B" w:rsidP="00972BA9">
            <w:pPr>
              <w:rPr>
                <w:sz w:val="20"/>
                <w:szCs w:val="20"/>
              </w:rPr>
            </w:pPr>
            <w:r w:rsidRPr="008E3884">
              <w:rPr>
                <w:sz w:val="20"/>
                <w:szCs w:val="20"/>
              </w:rPr>
              <w:t>37597</w:t>
            </w:r>
          </w:p>
        </w:tc>
        <w:tc>
          <w:tcPr>
            <w:tcW w:w="4050" w:type="dxa"/>
          </w:tcPr>
          <w:p w:rsidR="0060166B" w:rsidRPr="008E3884" w:rsidRDefault="0060166B" w:rsidP="00972BA9">
            <w:pPr>
              <w:pStyle w:val="SCCAppellantInfoAppellantInfo"/>
              <w:rPr>
                <w:sz w:val="20"/>
                <w:szCs w:val="20"/>
                <w:lang w:val="fr-CA"/>
              </w:rPr>
            </w:pPr>
            <w:r w:rsidRPr="008E3884">
              <w:rPr>
                <w:sz w:val="20"/>
                <w:szCs w:val="20"/>
                <w:lang w:val="fr-CA"/>
              </w:rPr>
              <w:t>Succession de feu Jean Bigras</w:t>
            </w:r>
          </w:p>
          <w:p w:rsidR="0060166B" w:rsidRDefault="0060166B" w:rsidP="00972BA9">
            <w:pPr>
              <w:pStyle w:val="SCCAppellantInfoAppellantInfo"/>
              <w:rPr>
                <w:sz w:val="20"/>
                <w:szCs w:val="20"/>
                <w:lang w:val="fr-CA"/>
              </w:rPr>
            </w:pPr>
            <w:r w:rsidRPr="008E3884">
              <w:rPr>
                <w:sz w:val="20"/>
                <w:szCs w:val="20"/>
                <w:lang w:val="fr-CA"/>
              </w:rPr>
              <w:t>(Qc) (Civile) (Autorisation)</w:t>
            </w:r>
          </w:p>
          <w:p w:rsidR="0060166B" w:rsidRPr="0060166B" w:rsidRDefault="0060166B" w:rsidP="0060166B">
            <w:pPr>
              <w:rPr>
                <w:lang w:val="fr-CA"/>
              </w:rPr>
            </w:pPr>
          </w:p>
        </w:tc>
        <w:tc>
          <w:tcPr>
            <w:tcW w:w="360" w:type="dxa"/>
          </w:tcPr>
          <w:p w:rsidR="0060166B" w:rsidRPr="008E3884" w:rsidRDefault="0060166B" w:rsidP="00972BA9">
            <w:pPr>
              <w:rPr>
                <w:sz w:val="20"/>
                <w:szCs w:val="20"/>
              </w:rPr>
            </w:pPr>
            <w:r w:rsidRPr="008E3884">
              <w:rPr>
                <w:sz w:val="20"/>
                <w:szCs w:val="20"/>
              </w:rPr>
              <w:t>c.</w:t>
            </w:r>
          </w:p>
        </w:tc>
        <w:tc>
          <w:tcPr>
            <w:tcW w:w="3848" w:type="dxa"/>
          </w:tcPr>
          <w:p w:rsidR="0060166B" w:rsidRPr="008E3884" w:rsidRDefault="0060166B" w:rsidP="00972BA9">
            <w:pPr>
              <w:pStyle w:val="SCCAppellantInfoAppellantInfo"/>
              <w:rPr>
                <w:sz w:val="20"/>
                <w:szCs w:val="20"/>
              </w:rPr>
            </w:pPr>
            <w:r w:rsidRPr="008E3884">
              <w:rPr>
                <w:sz w:val="20"/>
                <w:szCs w:val="20"/>
              </w:rPr>
              <w:t>Investissements Monit inc.</w:t>
            </w:r>
          </w:p>
        </w:tc>
      </w:tr>
      <w:tr w:rsidR="0060166B" w:rsidRPr="006B07D6" w:rsidTr="00972BA9">
        <w:trPr>
          <w:cantSplit/>
        </w:trPr>
        <w:tc>
          <w:tcPr>
            <w:tcW w:w="508" w:type="dxa"/>
          </w:tcPr>
          <w:p w:rsidR="0060166B" w:rsidRPr="008E3884" w:rsidRDefault="0060166B" w:rsidP="00972BA9">
            <w:pPr>
              <w:rPr>
                <w:sz w:val="20"/>
                <w:szCs w:val="20"/>
              </w:rPr>
            </w:pPr>
          </w:p>
        </w:tc>
        <w:tc>
          <w:tcPr>
            <w:tcW w:w="810" w:type="dxa"/>
          </w:tcPr>
          <w:p w:rsidR="0060166B" w:rsidRPr="008E3884" w:rsidRDefault="0060166B" w:rsidP="00972BA9">
            <w:pPr>
              <w:rPr>
                <w:sz w:val="20"/>
                <w:szCs w:val="20"/>
              </w:rPr>
            </w:pPr>
          </w:p>
        </w:tc>
        <w:tc>
          <w:tcPr>
            <w:tcW w:w="8258" w:type="dxa"/>
            <w:gridSpan w:val="3"/>
          </w:tcPr>
          <w:p w:rsidR="0060166B" w:rsidRDefault="0060166B" w:rsidP="0060166B">
            <w:pPr>
              <w:jc w:val="center"/>
              <w:rPr>
                <w:b/>
                <w:bCs/>
                <w:sz w:val="20"/>
                <w:szCs w:val="20"/>
                <w:lang w:val="en-US"/>
              </w:rPr>
            </w:pPr>
            <w:r>
              <w:rPr>
                <w:b/>
                <w:bCs/>
                <w:sz w:val="20"/>
                <w:szCs w:val="20"/>
              </w:rPr>
              <w:t>CORAM: Abella, Gascon and Rowe JJ.</w:t>
            </w:r>
          </w:p>
          <w:p w:rsidR="0060166B" w:rsidRDefault="0060166B" w:rsidP="0060166B">
            <w:pPr>
              <w:jc w:val="center"/>
              <w:rPr>
                <w:b/>
                <w:bCs/>
                <w:sz w:val="20"/>
                <w:szCs w:val="20"/>
                <w:lang w:val="fr-CA"/>
              </w:rPr>
            </w:pPr>
            <w:r>
              <w:rPr>
                <w:b/>
                <w:bCs/>
                <w:sz w:val="20"/>
                <w:szCs w:val="20"/>
                <w:lang w:val="fr-CA"/>
              </w:rPr>
              <w:t>Les juges Abella, Gascon et Rowe</w:t>
            </w:r>
          </w:p>
          <w:p w:rsidR="0060166B" w:rsidRPr="0060166B" w:rsidRDefault="0060166B" w:rsidP="00972BA9">
            <w:pPr>
              <w:rPr>
                <w:sz w:val="20"/>
                <w:szCs w:val="20"/>
                <w:lang w:val="fr-CA"/>
              </w:rPr>
            </w:pPr>
          </w:p>
        </w:tc>
      </w:tr>
      <w:tr w:rsidR="0060166B" w:rsidRPr="008E3884" w:rsidTr="00972BA9">
        <w:trPr>
          <w:cantSplit/>
        </w:trPr>
        <w:tc>
          <w:tcPr>
            <w:tcW w:w="508" w:type="dxa"/>
          </w:tcPr>
          <w:p w:rsidR="0060166B" w:rsidRPr="008E3884" w:rsidRDefault="0060166B" w:rsidP="00972BA9">
            <w:pPr>
              <w:rPr>
                <w:sz w:val="20"/>
                <w:szCs w:val="20"/>
              </w:rPr>
            </w:pPr>
            <w:r w:rsidRPr="008E3884">
              <w:rPr>
                <w:sz w:val="20"/>
                <w:szCs w:val="20"/>
              </w:rPr>
              <w:t>3.</w:t>
            </w:r>
          </w:p>
        </w:tc>
        <w:tc>
          <w:tcPr>
            <w:tcW w:w="810" w:type="dxa"/>
          </w:tcPr>
          <w:p w:rsidR="0060166B" w:rsidRPr="008E3884" w:rsidRDefault="0060166B" w:rsidP="00972BA9">
            <w:pPr>
              <w:rPr>
                <w:sz w:val="20"/>
                <w:szCs w:val="20"/>
              </w:rPr>
            </w:pPr>
            <w:r w:rsidRPr="008E3884">
              <w:rPr>
                <w:sz w:val="20"/>
                <w:szCs w:val="20"/>
              </w:rPr>
              <w:t>37590</w:t>
            </w:r>
          </w:p>
        </w:tc>
        <w:tc>
          <w:tcPr>
            <w:tcW w:w="4050" w:type="dxa"/>
          </w:tcPr>
          <w:p w:rsidR="0060166B" w:rsidRPr="008E3884" w:rsidRDefault="0060166B" w:rsidP="00972BA9">
            <w:pPr>
              <w:pStyle w:val="SCCAppellantInfoAppellantInfo"/>
              <w:rPr>
                <w:sz w:val="20"/>
                <w:szCs w:val="20"/>
              </w:rPr>
            </w:pPr>
            <w:r w:rsidRPr="008E3884">
              <w:rPr>
                <w:sz w:val="20"/>
                <w:szCs w:val="20"/>
              </w:rPr>
              <w:t>Teamsters Canada Rail Conference</w:t>
            </w:r>
          </w:p>
          <w:p w:rsidR="0060166B" w:rsidRPr="008E3884" w:rsidRDefault="0060166B" w:rsidP="00972BA9">
            <w:pPr>
              <w:pStyle w:val="SCCAppellantInfoAppellantInfo"/>
              <w:rPr>
                <w:sz w:val="20"/>
                <w:szCs w:val="20"/>
              </w:rPr>
            </w:pPr>
            <w:r w:rsidRPr="008E3884">
              <w:rPr>
                <w:sz w:val="20"/>
                <w:szCs w:val="20"/>
              </w:rPr>
              <w:t>(Que.) (Civil) (By Leave)</w:t>
            </w:r>
          </w:p>
        </w:tc>
        <w:tc>
          <w:tcPr>
            <w:tcW w:w="360" w:type="dxa"/>
          </w:tcPr>
          <w:p w:rsidR="0060166B" w:rsidRPr="008E3884" w:rsidRDefault="0060166B" w:rsidP="00972BA9">
            <w:pPr>
              <w:rPr>
                <w:sz w:val="20"/>
                <w:szCs w:val="20"/>
              </w:rPr>
            </w:pPr>
            <w:r w:rsidRPr="008E3884">
              <w:rPr>
                <w:sz w:val="20"/>
                <w:szCs w:val="20"/>
              </w:rPr>
              <w:t>v.</w:t>
            </w:r>
          </w:p>
        </w:tc>
        <w:tc>
          <w:tcPr>
            <w:tcW w:w="3848" w:type="dxa"/>
          </w:tcPr>
          <w:p w:rsidR="0060166B" w:rsidRPr="008E3884" w:rsidRDefault="0060166B" w:rsidP="00972BA9">
            <w:pPr>
              <w:pStyle w:val="SCCAppellantInfoAppellantInfo"/>
              <w:rPr>
                <w:sz w:val="20"/>
                <w:szCs w:val="20"/>
              </w:rPr>
            </w:pPr>
            <w:r w:rsidRPr="008E3884">
              <w:rPr>
                <w:sz w:val="20"/>
                <w:szCs w:val="20"/>
              </w:rPr>
              <w:t>Canadian National Railway Company</w:t>
            </w:r>
          </w:p>
        </w:tc>
      </w:tr>
      <w:tr w:rsidR="0060166B" w:rsidRPr="008E3884" w:rsidTr="00972BA9">
        <w:trPr>
          <w:cantSplit/>
        </w:trPr>
        <w:tc>
          <w:tcPr>
            <w:tcW w:w="508" w:type="dxa"/>
          </w:tcPr>
          <w:p w:rsidR="0060166B" w:rsidRPr="008E3884" w:rsidRDefault="0060166B" w:rsidP="00972BA9">
            <w:pPr>
              <w:rPr>
                <w:sz w:val="20"/>
                <w:szCs w:val="20"/>
              </w:rPr>
            </w:pPr>
            <w:r w:rsidRPr="008E3884">
              <w:rPr>
                <w:sz w:val="20"/>
                <w:szCs w:val="20"/>
              </w:rPr>
              <w:t>4.</w:t>
            </w:r>
          </w:p>
        </w:tc>
        <w:tc>
          <w:tcPr>
            <w:tcW w:w="810" w:type="dxa"/>
          </w:tcPr>
          <w:p w:rsidR="0060166B" w:rsidRPr="008E3884" w:rsidRDefault="0060166B" w:rsidP="00972BA9">
            <w:pPr>
              <w:rPr>
                <w:sz w:val="20"/>
                <w:szCs w:val="20"/>
              </w:rPr>
            </w:pPr>
            <w:r w:rsidRPr="008E3884">
              <w:rPr>
                <w:sz w:val="20"/>
                <w:szCs w:val="20"/>
              </w:rPr>
              <w:t>37573</w:t>
            </w:r>
          </w:p>
        </w:tc>
        <w:tc>
          <w:tcPr>
            <w:tcW w:w="4050" w:type="dxa"/>
          </w:tcPr>
          <w:p w:rsidR="0060166B" w:rsidRPr="008E3884" w:rsidRDefault="0060166B" w:rsidP="00972BA9">
            <w:pPr>
              <w:pStyle w:val="SCCAppellantInfoAppellantInfo"/>
              <w:rPr>
                <w:sz w:val="20"/>
                <w:szCs w:val="20"/>
              </w:rPr>
            </w:pPr>
            <w:r w:rsidRPr="008E3884">
              <w:rPr>
                <w:sz w:val="20"/>
                <w:szCs w:val="20"/>
              </w:rPr>
              <w:t>Teamsters Canada Rail Conference</w:t>
            </w:r>
          </w:p>
          <w:p w:rsidR="0060166B" w:rsidRDefault="0060166B" w:rsidP="00972BA9">
            <w:pPr>
              <w:pStyle w:val="SCCAppellantInfoAppellantInfo"/>
              <w:rPr>
                <w:sz w:val="20"/>
                <w:szCs w:val="20"/>
              </w:rPr>
            </w:pPr>
            <w:r w:rsidRPr="008E3884">
              <w:rPr>
                <w:sz w:val="20"/>
                <w:szCs w:val="20"/>
              </w:rPr>
              <w:t>(Que.) (Civil) (By Leave)</w:t>
            </w:r>
          </w:p>
          <w:p w:rsidR="0060166B" w:rsidRPr="0060166B" w:rsidRDefault="0060166B" w:rsidP="0060166B"/>
        </w:tc>
        <w:tc>
          <w:tcPr>
            <w:tcW w:w="360" w:type="dxa"/>
          </w:tcPr>
          <w:p w:rsidR="0060166B" w:rsidRPr="008E3884" w:rsidRDefault="0060166B" w:rsidP="00972BA9">
            <w:pPr>
              <w:rPr>
                <w:sz w:val="20"/>
                <w:szCs w:val="20"/>
              </w:rPr>
            </w:pPr>
            <w:r w:rsidRPr="008E3884">
              <w:rPr>
                <w:sz w:val="20"/>
                <w:szCs w:val="20"/>
              </w:rPr>
              <w:t>v.</w:t>
            </w:r>
          </w:p>
        </w:tc>
        <w:tc>
          <w:tcPr>
            <w:tcW w:w="3848" w:type="dxa"/>
          </w:tcPr>
          <w:p w:rsidR="0060166B" w:rsidRPr="008E3884" w:rsidRDefault="0060166B" w:rsidP="00972BA9">
            <w:pPr>
              <w:pStyle w:val="SCCAppellantInfoAppellantInfo"/>
              <w:rPr>
                <w:sz w:val="20"/>
                <w:szCs w:val="20"/>
              </w:rPr>
            </w:pPr>
            <w:r w:rsidRPr="008E3884">
              <w:rPr>
                <w:sz w:val="20"/>
                <w:szCs w:val="20"/>
              </w:rPr>
              <w:t>Canadian Pacific Railway Company</w:t>
            </w:r>
          </w:p>
        </w:tc>
      </w:tr>
      <w:tr w:rsidR="0060166B" w:rsidRPr="006B07D6" w:rsidTr="00972BA9">
        <w:trPr>
          <w:cantSplit/>
        </w:trPr>
        <w:tc>
          <w:tcPr>
            <w:tcW w:w="508" w:type="dxa"/>
          </w:tcPr>
          <w:p w:rsidR="0060166B" w:rsidRPr="008E3884" w:rsidRDefault="0060166B" w:rsidP="00972BA9">
            <w:pPr>
              <w:rPr>
                <w:sz w:val="20"/>
                <w:szCs w:val="20"/>
              </w:rPr>
            </w:pPr>
          </w:p>
        </w:tc>
        <w:tc>
          <w:tcPr>
            <w:tcW w:w="810" w:type="dxa"/>
          </w:tcPr>
          <w:p w:rsidR="0060166B" w:rsidRPr="008E3884" w:rsidRDefault="0060166B" w:rsidP="00972BA9">
            <w:pPr>
              <w:rPr>
                <w:sz w:val="20"/>
                <w:szCs w:val="20"/>
              </w:rPr>
            </w:pPr>
          </w:p>
        </w:tc>
        <w:tc>
          <w:tcPr>
            <w:tcW w:w="8258" w:type="dxa"/>
            <w:gridSpan w:val="3"/>
          </w:tcPr>
          <w:p w:rsidR="0060166B" w:rsidRDefault="0060166B" w:rsidP="0060166B">
            <w:pPr>
              <w:jc w:val="center"/>
              <w:rPr>
                <w:b/>
                <w:bCs/>
                <w:sz w:val="20"/>
                <w:szCs w:val="20"/>
                <w:lang w:val="en-US"/>
              </w:rPr>
            </w:pPr>
            <w:r>
              <w:rPr>
                <w:b/>
                <w:bCs/>
                <w:sz w:val="20"/>
                <w:szCs w:val="20"/>
              </w:rPr>
              <w:t>CORAM: Moldaver, Karakatsanis and Wagner JJ.</w:t>
            </w:r>
          </w:p>
          <w:p w:rsidR="0060166B" w:rsidRDefault="0060166B" w:rsidP="0060166B">
            <w:pPr>
              <w:jc w:val="center"/>
              <w:rPr>
                <w:b/>
                <w:bCs/>
                <w:sz w:val="20"/>
                <w:szCs w:val="20"/>
                <w:lang w:val="fr-CA"/>
              </w:rPr>
            </w:pPr>
            <w:r>
              <w:rPr>
                <w:b/>
                <w:bCs/>
                <w:sz w:val="20"/>
                <w:szCs w:val="20"/>
                <w:lang w:val="fr-CA"/>
              </w:rPr>
              <w:t xml:space="preserve">Les juges Moldaver, </w:t>
            </w:r>
            <w:r w:rsidRPr="006A5035">
              <w:rPr>
                <w:b/>
                <w:bCs/>
                <w:sz w:val="20"/>
                <w:szCs w:val="20"/>
                <w:lang w:val="fr-CA"/>
              </w:rPr>
              <w:t xml:space="preserve">Karakatsanis </w:t>
            </w:r>
            <w:r>
              <w:rPr>
                <w:b/>
                <w:bCs/>
                <w:sz w:val="20"/>
                <w:szCs w:val="20"/>
                <w:lang w:val="fr-CA"/>
              </w:rPr>
              <w:t>et Wagner</w:t>
            </w:r>
          </w:p>
          <w:p w:rsidR="0060166B" w:rsidRPr="0060166B" w:rsidRDefault="0060166B" w:rsidP="0060166B">
            <w:pPr>
              <w:jc w:val="center"/>
              <w:rPr>
                <w:sz w:val="20"/>
                <w:szCs w:val="20"/>
                <w:lang w:val="fr-CA"/>
              </w:rPr>
            </w:pPr>
          </w:p>
        </w:tc>
      </w:tr>
      <w:tr w:rsidR="0060166B" w:rsidRPr="008E3884" w:rsidTr="00972BA9">
        <w:trPr>
          <w:cantSplit/>
        </w:trPr>
        <w:tc>
          <w:tcPr>
            <w:tcW w:w="508" w:type="dxa"/>
          </w:tcPr>
          <w:p w:rsidR="0060166B" w:rsidRPr="008E3884" w:rsidRDefault="0060166B" w:rsidP="00972BA9">
            <w:pPr>
              <w:rPr>
                <w:sz w:val="20"/>
                <w:szCs w:val="20"/>
              </w:rPr>
            </w:pPr>
            <w:r w:rsidRPr="008E3884">
              <w:rPr>
                <w:sz w:val="20"/>
                <w:szCs w:val="20"/>
              </w:rPr>
              <w:t>5.</w:t>
            </w:r>
          </w:p>
        </w:tc>
        <w:tc>
          <w:tcPr>
            <w:tcW w:w="810" w:type="dxa"/>
          </w:tcPr>
          <w:p w:rsidR="0060166B" w:rsidRPr="008E3884" w:rsidRDefault="0060166B" w:rsidP="00972BA9">
            <w:pPr>
              <w:rPr>
                <w:sz w:val="20"/>
                <w:szCs w:val="20"/>
              </w:rPr>
            </w:pPr>
            <w:r w:rsidRPr="008E3884">
              <w:rPr>
                <w:sz w:val="20"/>
                <w:szCs w:val="20"/>
              </w:rPr>
              <w:t>37585</w:t>
            </w:r>
          </w:p>
        </w:tc>
        <w:tc>
          <w:tcPr>
            <w:tcW w:w="4050" w:type="dxa"/>
          </w:tcPr>
          <w:p w:rsidR="0060166B" w:rsidRPr="008E3884" w:rsidRDefault="0060166B" w:rsidP="00972BA9">
            <w:pPr>
              <w:pStyle w:val="SCCAppellantInfoAppellantInfo"/>
              <w:rPr>
                <w:sz w:val="20"/>
                <w:szCs w:val="20"/>
              </w:rPr>
            </w:pPr>
            <w:r w:rsidRPr="008E3884">
              <w:rPr>
                <w:sz w:val="20"/>
                <w:szCs w:val="20"/>
              </w:rPr>
              <w:t>Tanner Currie</w:t>
            </w:r>
          </w:p>
          <w:p w:rsidR="0060166B" w:rsidRPr="008E3884" w:rsidRDefault="0060166B" w:rsidP="00972BA9">
            <w:pPr>
              <w:pStyle w:val="SCCAppellantInfoAppellantInfo"/>
              <w:rPr>
                <w:sz w:val="20"/>
                <w:szCs w:val="20"/>
              </w:rPr>
            </w:pPr>
            <w:r w:rsidRPr="008E3884">
              <w:rPr>
                <w:sz w:val="20"/>
                <w:szCs w:val="20"/>
              </w:rPr>
              <w:t>(Ont.) (Civil) (By Leave)</w:t>
            </w:r>
          </w:p>
        </w:tc>
        <w:tc>
          <w:tcPr>
            <w:tcW w:w="360" w:type="dxa"/>
          </w:tcPr>
          <w:p w:rsidR="0060166B" w:rsidRPr="008E3884" w:rsidRDefault="0060166B" w:rsidP="00972BA9">
            <w:pPr>
              <w:rPr>
                <w:sz w:val="20"/>
                <w:szCs w:val="20"/>
              </w:rPr>
            </w:pPr>
            <w:r w:rsidRPr="008E3884">
              <w:rPr>
                <w:sz w:val="20"/>
                <w:szCs w:val="20"/>
              </w:rPr>
              <w:t>v.</w:t>
            </w:r>
          </w:p>
        </w:tc>
        <w:tc>
          <w:tcPr>
            <w:tcW w:w="3848" w:type="dxa"/>
          </w:tcPr>
          <w:p w:rsidR="0060166B" w:rsidRPr="008E3884" w:rsidRDefault="0060166B" w:rsidP="00972BA9">
            <w:pPr>
              <w:pStyle w:val="SCCAppellantInfoAppellantInfo"/>
              <w:rPr>
                <w:sz w:val="20"/>
                <w:szCs w:val="20"/>
              </w:rPr>
            </w:pPr>
            <w:r w:rsidRPr="008E3884">
              <w:rPr>
                <w:sz w:val="20"/>
                <w:szCs w:val="20"/>
              </w:rPr>
              <w:t>Attorney General of Ontario, et al.</w:t>
            </w:r>
          </w:p>
        </w:tc>
      </w:tr>
      <w:tr w:rsidR="0060166B" w:rsidRPr="008E3884" w:rsidTr="00972BA9">
        <w:trPr>
          <w:cantSplit/>
        </w:trPr>
        <w:tc>
          <w:tcPr>
            <w:tcW w:w="508" w:type="dxa"/>
          </w:tcPr>
          <w:p w:rsidR="0060166B" w:rsidRPr="008E3884" w:rsidRDefault="0060166B" w:rsidP="00972BA9">
            <w:pPr>
              <w:rPr>
                <w:sz w:val="20"/>
                <w:szCs w:val="20"/>
              </w:rPr>
            </w:pPr>
            <w:r w:rsidRPr="008E3884">
              <w:rPr>
                <w:sz w:val="20"/>
                <w:szCs w:val="20"/>
              </w:rPr>
              <w:t>6.</w:t>
            </w:r>
          </w:p>
        </w:tc>
        <w:tc>
          <w:tcPr>
            <w:tcW w:w="810" w:type="dxa"/>
          </w:tcPr>
          <w:p w:rsidR="0060166B" w:rsidRPr="008E3884" w:rsidRDefault="0060166B" w:rsidP="00972BA9">
            <w:pPr>
              <w:rPr>
                <w:sz w:val="20"/>
                <w:szCs w:val="20"/>
              </w:rPr>
            </w:pPr>
            <w:r w:rsidRPr="008E3884">
              <w:rPr>
                <w:sz w:val="20"/>
                <w:szCs w:val="20"/>
              </w:rPr>
              <w:t>37591</w:t>
            </w:r>
          </w:p>
        </w:tc>
        <w:tc>
          <w:tcPr>
            <w:tcW w:w="4050" w:type="dxa"/>
          </w:tcPr>
          <w:p w:rsidR="0060166B" w:rsidRPr="008E3884" w:rsidRDefault="0060166B" w:rsidP="00972BA9">
            <w:pPr>
              <w:pStyle w:val="SCCAppellantInfoAppellantInfo"/>
              <w:rPr>
                <w:sz w:val="20"/>
                <w:szCs w:val="20"/>
              </w:rPr>
            </w:pPr>
            <w:r w:rsidRPr="008E3884">
              <w:rPr>
                <w:sz w:val="20"/>
                <w:szCs w:val="20"/>
              </w:rPr>
              <w:t>Corneliu Prisecaru, et al.</w:t>
            </w:r>
          </w:p>
          <w:p w:rsidR="0060166B" w:rsidRPr="008E3884" w:rsidRDefault="0060166B" w:rsidP="00972BA9">
            <w:pPr>
              <w:pStyle w:val="SCCAppellantInfoAppellantInfo"/>
              <w:rPr>
                <w:sz w:val="20"/>
                <w:szCs w:val="20"/>
              </w:rPr>
            </w:pPr>
            <w:r w:rsidRPr="008E3884">
              <w:rPr>
                <w:sz w:val="20"/>
                <w:szCs w:val="20"/>
              </w:rPr>
              <w:t>(Ont.) (Civil) (By Leave)</w:t>
            </w:r>
          </w:p>
        </w:tc>
        <w:tc>
          <w:tcPr>
            <w:tcW w:w="360" w:type="dxa"/>
          </w:tcPr>
          <w:p w:rsidR="0060166B" w:rsidRPr="008E3884" w:rsidRDefault="0060166B" w:rsidP="00972BA9">
            <w:pPr>
              <w:rPr>
                <w:sz w:val="20"/>
                <w:szCs w:val="20"/>
              </w:rPr>
            </w:pPr>
            <w:r w:rsidRPr="008E3884">
              <w:rPr>
                <w:sz w:val="20"/>
                <w:szCs w:val="20"/>
              </w:rPr>
              <w:t>v.</w:t>
            </w:r>
          </w:p>
        </w:tc>
        <w:tc>
          <w:tcPr>
            <w:tcW w:w="3848" w:type="dxa"/>
          </w:tcPr>
          <w:p w:rsidR="0060166B" w:rsidRPr="008E3884" w:rsidRDefault="0060166B" w:rsidP="00972BA9">
            <w:pPr>
              <w:pStyle w:val="SCCAppellantInfoAppellantInfo"/>
              <w:rPr>
                <w:sz w:val="20"/>
                <w:szCs w:val="20"/>
              </w:rPr>
            </w:pPr>
            <w:r w:rsidRPr="008E3884">
              <w:rPr>
                <w:sz w:val="20"/>
                <w:szCs w:val="20"/>
              </w:rPr>
              <w:t>Intact Insurance</w:t>
            </w:r>
          </w:p>
        </w:tc>
      </w:tr>
      <w:tr w:rsidR="0060166B" w:rsidRPr="008E3884" w:rsidTr="00972BA9">
        <w:trPr>
          <w:cantSplit/>
        </w:trPr>
        <w:tc>
          <w:tcPr>
            <w:tcW w:w="508" w:type="dxa"/>
          </w:tcPr>
          <w:p w:rsidR="0060166B" w:rsidRPr="008E3884" w:rsidRDefault="0060166B" w:rsidP="00972BA9">
            <w:pPr>
              <w:rPr>
                <w:sz w:val="20"/>
                <w:szCs w:val="20"/>
              </w:rPr>
            </w:pPr>
            <w:r w:rsidRPr="008E3884">
              <w:rPr>
                <w:sz w:val="20"/>
                <w:szCs w:val="20"/>
              </w:rPr>
              <w:t>7.</w:t>
            </w:r>
          </w:p>
        </w:tc>
        <w:tc>
          <w:tcPr>
            <w:tcW w:w="810" w:type="dxa"/>
          </w:tcPr>
          <w:p w:rsidR="0060166B" w:rsidRPr="008E3884" w:rsidRDefault="0060166B" w:rsidP="00972BA9">
            <w:pPr>
              <w:rPr>
                <w:sz w:val="20"/>
                <w:szCs w:val="20"/>
              </w:rPr>
            </w:pPr>
            <w:r w:rsidRPr="008E3884">
              <w:rPr>
                <w:sz w:val="20"/>
                <w:szCs w:val="20"/>
              </w:rPr>
              <w:t>37592</w:t>
            </w:r>
          </w:p>
        </w:tc>
        <w:tc>
          <w:tcPr>
            <w:tcW w:w="4050" w:type="dxa"/>
          </w:tcPr>
          <w:p w:rsidR="0060166B" w:rsidRPr="008E3884" w:rsidRDefault="0060166B" w:rsidP="00972BA9">
            <w:pPr>
              <w:pStyle w:val="SCCAppellantInfoAppellantInfo"/>
              <w:rPr>
                <w:sz w:val="20"/>
                <w:szCs w:val="20"/>
              </w:rPr>
            </w:pPr>
            <w:r w:rsidRPr="008E3884">
              <w:rPr>
                <w:sz w:val="20"/>
                <w:szCs w:val="20"/>
              </w:rPr>
              <w:t>Brent Chapman</w:t>
            </w:r>
          </w:p>
          <w:p w:rsidR="0060166B" w:rsidRPr="008E3884" w:rsidRDefault="0060166B" w:rsidP="00972BA9">
            <w:pPr>
              <w:pStyle w:val="SCCAppellantInfoAppellantInfo"/>
              <w:rPr>
                <w:sz w:val="20"/>
                <w:szCs w:val="20"/>
              </w:rPr>
            </w:pPr>
            <w:r w:rsidRPr="008E3884">
              <w:rPr>
                <w:sz w:val="20"/>
                <w:szCs w:val="20"/>
              </w:rPr>
              <w:t>(Ont.) (Civil) (By Leave)</w:t>
            </w:r>
          </w:p>
        </w:tc>
        <w:tc>
          <w:tcPr>
            <w:tcW w:w="360" w:type="dxa"/>
          </w:tcPr>
          <w:p w:rsidR="0060166B" w:rsidRPr="008E3884" w:rsidRDefault="0060166B" w:rsidP="00972BA9">
            <w:pPr>
              <w:rPr>
                <w:sz w:val="20"/>
                <w:szCs w:val="20"/>
              </w:rPr>
            </w:pPr>
            <w:r w:rsidRPr="008E3884">
              <w:rPr>
                <w:sz w:val="20"/>
                <w:szCs w:val="20"/>
              </w:rPr>
              <w:t>v.</w:t>
            </w:r>
          </w:p>
        </w:tc>
        <w:tc>
          <w:tcPr>
            <w:tcW w:w="3848" w:type="dxa"/>
          </w:tcPr>
          <w:p w:rsidR="0060166B" w:rsidRPr="008E3884" w:rsidRDefault="0060166B" w:rsidP="00972BA9">
            <w:pPr>
              <w:pStyle w:val="SCCAppellantInfoAppellantInfo"/>
              <w:rPr>
                <w:sz w:val="20"/>
                <w:szCs w:val="20"/>
              </w:rPr>
            </w:pPr>
            <w:r w:rsidRPr="008E3884">
              <w:rPr>
                <w:sz w:val="20"/>
                <w:szCs w:val="20"/>
              </w:rPr>
              <w:t>GPM Investment Management and Integrated Asset Management Corporation</w:t>
            </w:r>
          </w:p>
        </w:tc>
      </w:tr>
    </w:tbl>
    <w:p w:rsidR="002E2327" w:rsidRDefault="006B07D6"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507366">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6B07D6"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F9185B" w:rsidP="000E2959">
      <w:pPr>
        <w:rPr>
          <w:b/>
          <w:sz w:val="20"/>
          <w:szCs w:val="20"/>
        </w:rPr>
      </w:pPr>
      <w:r>
        <w:rPr>
          <w:b/>
          <w:sz w:val="20"/>
          <w:szCs w:val="20"/>
        </w:rPr>
        <w:t>SEPTEMBER 21</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Pr>
          <w:b/>
          <w:sz w:val="20"/>
          <w:szCs w:val="20"/>
        </w:rPr>
        <w:t>21 SEPTEMBRE</w:t>
      </w:r>
      <w:r w:rsidR="000E2959" w:rsidRPr="00C50A5C">
        <w:rPr>
          <w:b/>
          <w:sz w:val="20"/>
          <w:szCs w:val="20"/>
        </w:rPr>
        <w:t xml:space="preserve"> </w:t>
      </w:r>
      <w:r w:rsidR="0030050B">
        <w:rPr>
          <w:b/>
          <w:sz w:val="20"/>
          <w:szCs w:val="20"/>
        </w:rPr>
        <w:t>201</w:t>
      </w:r>
      <w:r w:rsidR="00E8544A">
        <w:rPr>
          <w:b/>
          <w:sz w:val="20"/>
          <w:szCs w:val="20"/>
        </w:rPr>
        <w:t>7</w:t>
      </w:r>
    </w:p>
    <w:p w:rsidR="00B0072F" w:rsidRPr="000E560D" w:rsidRDefault="00B0072F" w:rsidP="00B0072F">
      <w:pPr>
        <w:tabs>
          <w:tab w:val="left" w:pos="900"/>
          <w:tab w:val="center" w:pos="5760"/>
        </w:tabs>
        <w:ind w:left="360" w:hanging="360"/>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0E560D" w:rsidTr="00B0072F">
        <w:tc>
          <w:tcPr>
            <w:tcW w:w="543" w:type="pct"/>
          </w:tcPr>
          <w:p w:rsidR="00B0072F" w:rsidRPr="000E560D" w:rsidRDefault="00B0072F" w:rsidP="00B0072F">
            <w:pPr>
              <w:jc w:val="both"/>
              <w:rPr>
                <w:sz w:val="20"/>
              </w:rPr>
            </w:pPr>
            <w:r w:rsidRPr="000E560D">
              <w:rPr>
                <w:rStyle w:val="SCCFileNumberChar"/>
                <w:sz w:val="20"/>
                <w:szCs w:val="20"/>
              </w:rPr>
              <w:t>37588</w:t>
            </w:r>
          </w:p>
        </w:tc>
        <w:tc>
          <w:tcPr>
            <w:tcW w:w="4457" w:type="pct"/>
            <w:gridSpan w:val="3"/>
          </w:tcPr>
          <w:p w:rsidR="00B0072F" w:rsidRDefault="004E04AC" w:rsidP="00B0072F">
            <w:pPr>
              <w:pStyle w:val="SCCLsocParty"/>
              <w:jc w:val="both"/>
              <w:rPr>
                <w:sz w:val="20"/>
              </w:rPr>
            </w:pPr>
            <w:r w:rsidRPr="004E04AC">
              <w:rPr>
                <w:b/>
                <w:sz w:val="20"/>
                <w:szCs w:val="20"/>
                <w:lang w:val="en-US"/>
              </w:rPr>
              <w:t xml:space="preserve">Attorney General of Canada on behalf of the United States of America v. Shane Donald Fraser, Todd Ian Ferguson and Daniel James Joinson </w:t>
            </w:r>
            <w:r w:rsidR="00B0072F" w:rsidRPr="00B0072F">
              <w:rPr>
                <w:sz w:val="20"/>
                <w:lang w:val="en-US"/>
              </w:rPr>
              <w:t xml:space="preserve">(B.C.) </w:t>
            </w:r>
            <w:r w:rsidR="00B0072F" w:rsidRPr="000E560D">
              <w:rPr>
                <w:sz w:val="20"/>
              </w:rPr>
              <w:t>(Criminal) (By Leave)</w:t>
            </w:r>
          </w:p>
          <w:p w:rsidR="00B0072F" w:rsidRPr="00B0072F" w:rsidRDefault="00B0072F" w:rsidP="00B0072F">
            <w:pPr>
              <w:rPr>
                <w:lang w:val="fr-CA"/>
              </w:rPr>
            </w:pPr>
          </w:p>
        </w:tc>
      </w:tr>
      <w:tr w:rsidR="00B0072F" w:rsidRPr="000E560D" w:rsidTr="00B0072F">
        <w:tc>
          <w:tcPr>
            <w:tcW w:w="543" w:type="pct"/>
          </w:tcPr>
          <w:p w:rsidR="00B0072F" w:rsidRPr="000E560D" w:rsidRDefault="00B0072F" w:rsidP="00B0072F">
            <w:pPr>
              <w:jc w:val="both"/>
              <w:rPr>
                <w:rStyle w:val="SCCFileNumberChar"/>
                <w:sz w:val="20"/>
                <w:szCs w:val="20"/>
              </w:rPr>
            </w:pPr>
            <w:r>
              <w:rPr>
                <w:rStyle w:val="SCCFileNumberChar"/>
                <w:sz w:val="20"/>
                <w:szCs w:val="20"/>
              </w:rPr>
              <w:t>Coram:</w:t>
            </w:r>
          </w:p>
        </w:tc>
        <w:tc>
          <w:tcPr>
            <w:tcW w:w="4457" w:type="pct"/>
            <w:gridSpan w:val="3"/>
          </w:tcPr>
          <w:p w:rsidR="00B0072F" w:rsidRDefault="004E04AC" w:rsidP="00B0072F">
            <w:pPr>
              <w:pStyle w:val="SCCLsocParty"/>
              <w:jc w:val="both"/>
              <w:rPr>
                <w:sz w:val="20"/>
                <w:szCs w:val="20"/>
                <w:lang w:val="en-US"/>
              </w:rPr>
            </w:pPr>
            <w:r w:rsidRPr="004E04AC">
              <w:rPr>
                <w:sz w:val="20"/>
                <w:szCs w:val="20"/>
                <w:lang w:val="en-US"/>
              </w:rPr>
              <w:t>McLachlin C.J. and Abella, Moldaver, Karakatsanis, Wagner, Gascon, Côté, Brown and Rowe JJ.</w:t>
            </w:r>
          </w:p>
          <w:p w:rsidR="004E04AC" w:rsidRPr="004E04AC" w:rsidRDefault="004E04AC" w:rsidP="004E04AC">
            <w:pPr>
              <w:rPr>
                <w:lang w:val="en-US"/>
              </w:rPr>
            </w:pPr>
          </w:p>
        </w:tc>
      </w:tr>
      <w:tr w:rsidR="00B0072F" w:rsidRPr="000E560D" w:rsidTr="00B0072F">
        <w:tc>
          <w:tcPr>
            <w:tcW w:w="5000" w:type="pct"/>
            <w:gridSpan w:val="4"/>
          </w:tcPr>
          <w:p w:rsidR="00B0072F" w:rsidRPr="004E04AC" w:rsidRDefault="004E04AC" w:rsidP="00B0072F">
            <w:pPr>
              <w:pStyle w:val="SCCLsocParty"/>
              <w:tabs>
                <w:tab w:val="left" w:pos="1284"/>
              </w:tabs>
              <w:jc w:val="both"/>
              <w:rPr>
                <w:sz w:val="20"/>
                <w:szCs w:val="20"/>
                <w:lang w:val="en-US"/>
              </w:rPr>
            </w:pPr>
            <w:r w:rsidRPr="004E04AC">
              <w:rPr>
                <w:sz w:val="20"/>
                <w:szCs w:val="20"/>
                <w:lang w:val="en-US"/>
              </w:rPr>
              <w:t>The motion to join three orders into one application for leave to appeal is granted. The application for leave to appeal from the judgment of the</w:t>
            </w:r>
            <w:bookmarkStart w:id="2" w:name="BM_1_"/>
            <w:bookmarkEnd w:id="2"/>
            <w:r w:rsidRPr="004E04AC">
              <w:rPr>
                <w:sz w:val="20"/>
                <w:szCs w:val="20"/>
                <w:lang w:val="en-US"/>
              </w:rPr>
              <w:t xml:space="preserve"> Court of Appeal for British Columbia (Vancouver), Numbers CA42711, CA42712 and CA42713, 2017 BCCA 136, dated March 31, 2017 is dismissed.</w:t>
            </w:r>
          </w:p>
          <w:p w:rsidR="004E04AC" w:rsidRPr="004E04AC" w:rsidRDefault="004E04AC" w:rsidP="004E04AC">
            <w:pPr>
              <w:rPr>
                <w:lang w:val="en-US"/>
              </w:rPr>
            </w:pPr>
          </w:p>
        </w:tc>
      </w:tr>
      <w:tr w:rsidR="00B0072F" w:rsidRPr="000E560D" w:rsidTr="00B0072F">
        <w:tc>
          <w:tcPr>
            <w:tcW w:w="5000" w:type="pct"/>
            <w:gridSpan w:val="4"/>
          </w:tcPr>
          <w:p w:rsidR="00B0072F" w:rsidRPr="000E560D" w:rsidRDefault="00B0072F" w:rsidP="00B0072F">
            <w:pPr>
              <w:jc w:val="both"/>
              <w:rPr>
                <w:sz w:val="20"/>
              </w:rPr>
            </w:pPr>
            <w:r w:rsidRPr="000E560D">
              <w:rPr>
                <w:i/>
                <w:sz w:val="20"/>
              </w:rPr>
              <w:t>Charter of Rights</w:t>
            </w:r>
            <w:r w:rsidRPr="000E560D">
              <w:rPr>
                <w:sz w:val="20"/>
              </w:rPr>
              <w:t xml:space="preserve"> – Criminal law – Section 8 of the </w:t>
            </w:r>
            <w:r w:rsidRPr="000E560D">
              <w:rPr>
                <w:i/>
                <w:sz w:val="20"/>
              </w:rPr>
              <w:t>Charter</w:t>
            </w:r>
            <w:r w:rsidRPr="000E560D">
              <w:rPr>
                <w:sz w:val="20"/>
              </w:rPr>
              <w:t xml:space="preserve"> – Search and seizure – Extradition – Committal hearings – Evidence – What is the scope of an extradition partner’s disclosure obligations when relying upon Canadian-gathered evidence obtained pursuant to a Canadian judicial authorization – What is the threshold test to meet when seeking disclosure concerning the manner in which Canadian-gathered evidence was collected – </w:t>
            </w:r>
            <w:r w:rsidRPr="000E560D">
              <w:rPr>
                <w:i/>
                <w:sz w:val="20"/>
              </w:rPr>
              <w:t>Charter of Rights</w:t>
            </w:r>
            <w:r w:rsidRPr="000E560D">
              <w:rPr>
                <w:sz w:val="20"/>
              </w:rPr>
              <w:t>, s. 8.</w:t>
            </w:r>
          </w:p>
        </w:tc>
      </w:tr>
      <w:tr w:rsidR="00B0072F" w:rsidRPr="000E560D" w:rsidTr="00B0072F">
        <w:tc>
          <w:tcPr>
            <w:tcW w:w="5000" w:type="pct"/>
            <w:gridSpan w:val="4"/>
          </w:tcPr>
          <w:p w:rsidR="00B0072F" w:rsidRPr="000E560D" w:rsidRDefault="00B0072F" w:rsidP="00B0072F">
            <w:pPr>
              <w:jc w:val="both"/>
              <w:rPr>
                <w:sz w:val="20"/>
              </w:rPr>
            </w:pPr>
          </w:p>
        </w:tc>
      </w:tr>
      <w:tr w:rsidR="00B0072F" w:rsidRPr="000E560D" w:rsidTr="00B0072F">
        <w:tc>
          <w:tcPr>
            <w:tcW w:w="5000" w:type="pct"/>
            <w:gridSpan w:val="4"/>
          </w:tcPr>
          <w:p w:rsidR="00B0072F" w:rsidRPr="000E560D" w:rsidRDefault="00B0072F" w:rsidP="00B0072F">
            <w:pPr>
              <w:jc w:val="both"/>
              <w:rPr>
                <w:sz w:val="20"/>
              </w:rPr>
            </w:pPr>
            <w:r w:rsidRPr="000E560D">
              <w:rPr>
                <w:sz w:val="20"/>
                <w:lang w:val="en"/>
              </w:rPr>
              <w:t xml:space="preserve">The United States of America sought extradition of the respondents – Fraser, Joinson and Ferguson – and other individuals for drug smuggling in a case that depended primarily on wiretap evidence gathered in Canada. The respondents are alleged to have organized and directed a scheme to conceal hundreds of pounds of marihuana in hollowed-out logs which were modified to appear suitable for log home construction and shipped to California. </w:t>
            </w:r>
            <w:r w:rsidRPr="000E560D">
              <w:rPr>
                <w:sz w:val="20"/>
              </w:rPr>
              <w:t xml:space="preserve">The </w:t>
            </w:r>
            <w:r w:rsidRPr="000E560D">
              <w:rPr>
                <w:sz w:val="20"/>
                <w:lang w:val="en"/>
              </w:rPr>
              <w:t xml:space="preserve">extradition judge dismissed the applications for disclosure. The extradition judge concluded that the Record of the Case provided sufficient information to determine whether the respondents’ s. 8 </w:t>
            </w:r>
            <w:r w:rsidRPr="000E560D">
              <w:rPr>
                <w:i/>
                <w:sz w:val="20"/>
                <w:lang w:val="en"/>
              </w:rPr>
              <w:t>Charter</w:t>
            </w:r>
            <w:r w:rsidRPr="000E560D">
              <w:rPr>
                <w:sz w:val="20"/>
                <w:lang w:val="en"/>
              </w:rPr>
              <w:t xml:space="preserve"> rights were breached. Relying on her view of the facts, the extradition judge found that the respondents had not established a s. 8 </w:t>
            </w:r>
            <w:r w:rsidRPr="000E560D">
              <w:rPr>
                <w:i/>
                <w:sz w:val="20"/>
                <w:lang w:val="en"/>
              </w:rPr>
              <w:t>Charter</w:t>
            </w:r>
            <w:r w:rsidRPr="000E560D">
              <w:rPr>
                <w:sz w:val="20"/>
                <w:lang w:val="en"/>
              </w:rPr>
              <w:t xml:space="preserve"> breach and dismissed the applications. </w:t>
            </w:r>
            <w:r w:rsidRPr="000E560D">
              <w:rPr>
                <w:iCs/>
                <w:sz w:val="20"/>
                <w:lang w:val="en"/>
              </w:rPr>
              <w:t xml:space="preserve">The extradition judge granted the </w:t>
            </w:r>
            <w:r w:rsidRPr="000E560D">
              <w:rPr>
                <w:sz w:val="20"/>
              </w:rPr>
              <w:t xml:space="preserve">applications for committal of the respondents. </w:t>
            </w:r>
            <w:r w:rsidRPr="000E560D">
              <w:rPr>
                <w:iCs/>
                <w:sz w:val="20"/>
                <w:lang w:val="en"/>
              </w:rPr>
              <w:t>The Court of Appeal allowed the appeals and ordered new hearings.</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April 10, 2015</w:t>
            </w:r>
          </w:p>
          <w:p w:rsidR="00B0072F" w:rsidRPr="000E560D" w:rsidRDefault="00B0072F" w:rsidP="00B0072F">
            <w:pPr>
              <w:jc w:val="both"/>
              <w:rPr>
                <w:sz w:val="20"/>
              </w:rPr>
            </w:pPr>
            <w:r w:rsidRPr="000E560D">
              <w:rPr>
                <w:sz w:val="20"/>
              </w:rPr>
              <w:t>Supreme Court of British Columbia</w:t>
            </w:r>
          </w:p>
          <w:p w:rsidR="00B0072F" w:rsidRPr="000E560D" w:rsidRDefault="00B0072F" w:rsidP="00B0072F">
            <w:pPr>
              <w:jc w:val="both"/>
              <w:rPr>
                <w:sz w:val="20"/>
              </w:rPr>
            </w:pPr>
            <w:r w:rsidRPr="000E560D">
              <w:rPr>
                <w:sz w:val="20"/>
              </w:rPr>
              <w:t>(Watchuk J.)</w:t>
            </w:r>
          </w:p>
          <w:p w:rsidR="00B0072F" w:rsidRPr="000E560D" w:rsidRDefault="00B0072F" w:rsidP="00B0072F">
            <w:pPr>
              <w:jc w:val="both"/>
              <w:rPr>
                <w:sz w:val="20"/>
              </w:rPr>
            </w:pPr>
            <w:r w:rsidRPr="000E560D">
              <w:rPr>
                <w:sz w:val="20"/>
              </w:rPr>
              <w:t>2015 BCSC 604</w:t>
            </w:r>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Applicant’s applications for committal of the respondents granted</w:t>
            </w:r>
          </w:p>
        </w:tc>
      </w:tr>
      <w:tr w:rsidR="00B0072F" w:rsidRPr="000E560D" w:rsidTr="00B0072F">
        <w:tc>
          <w:tcPr>
            <w:tcW w:w="2427" w:type="pct"/>
            <w:gridSpan w:val="2"/>
          </w:tcPr>
          <w:p w:rsidR="00B0072F" w:rsidRPr="000E560D" w:rsidRDefault="00B0072F" w:rsidP="00B0072F">
            <w:pPr>
              <w:jc w:val="both"/>
              <w:rPr>
                <w:sz w:val="20"/>
              </w:rPr>
            </w:pPr>
            <w:r w:rsidRPr="000E560D">
              <w:rPr>
                <w:sz w:val="20"/>
              </w:rPr>
              <w:t>March 31, 2017</w:t>
            </w:r>
          </w:p>
          <w:p w:rsidR="00B0072F" w:rsidRPr="000E560D" w:rsidRDefault="00B0072F" w:rsidP="00B0072F">
            <w:pPr>
              <w:jc w:val="both"/>
              <w:rPr>
                <w:sz w:val="20"/>
              </w:rPr>
            </w:pPr>
            <w:r w:rsidRPr="000E560D">
              <w:rPr>
                <w:sz w:val="20"/>
              </w:rPr>
              <w:t>Court of Appeal for British Columbia</w:t>
            </w:r>
          </w:p>
          <w:p w:rsidR="00B0072F" w:rsidRPr="000E560D" w:rsidRDefault="00B0072F" w:rsidP="00B0072F">
            <w:pPr>
              <w:jc w:val="both"/>
              <w:rPr>
                <w:sz w:val="20"/>
              </w:rPr>
            </w:pPr>
            <w:r w:rsidRPr="000E560D">
              <w:rPr>
                <w:sz w:val="20"/>
              </w:rPr>
              <w:t>(Vancouver)</w:t>
            </w:r>
          </w:p>
          <w:p w:rsidR="00B0072F" w:rsidRPr="000E560D" w:rsidRDefault="00B0072F" w:rsidP="00B0072F">
            <w:pPr>
              <w:jc w:val="both"/>
              <w:rPr>
                <w:sz w:val="20"/>
              </w:rPr>
            </w:pPr>
            <w:r w:rsidRPr="000E560D">
              <w:rPr>
                <w:sz w:val="20"/>
              </w:rPr>
              <w:t>(Donald, Saunders, Kirkpatrick JJ.A.)</w:t>
            </w:r>
          </w:p>
          <w:p w:rsidR="00B0072F" w:rsidRPr="000E560D" w:rsidRDefault="00B0072F" w:rsidP="00B0072F">
            <w:pPr>
              <w:jc w:val="both"/>
              <w:rPr>
                <w:sz w:val="20"/>
              </w:rPr>
            </w:pPr>
            <w:r w:rsidRPr="000E560D">
              <w:rPr>
                <w:sz w:val="20"/>
              </w:rPr>
              <w:t>2017 BCCA 136</w:t>
            </w:r>
          </w:p>
          <w:p w:rsidR="00B0072F" w:rsidRPr="000E560D" w:rsidRDefault="00B0072F" w:rsidP="00B0072F">
            <w:pPr>
              <w:jc w:val="both"/>
              <w:rPr>
                <w:sz w:val="20"/>
              </w:rPr>
            </w:pPr>
            <w:r w:rsidRPr="000E560D">
              <w:rPr>
                <w:sz w:val="20"/>
              </w:rPr>
              <w:t>CA42713;CA42712;CA42711</w:t>
            </w:r>
          </w:p>
          <w:p w:rsidR="00B0072F" w:rsidRPr="000E560D" w:rsidRDefault="006B07D6" w:rsidP="00B0072F">
            <w:pPr>
              <w:jc w:val="both"/>
              <w:rPr>
                <w:sz w:val="20"/>
              </w:rPr>
            </w:pPr>
            <w:hyperlink r:id="rId18" w:history="1">
              <w:r w:rsidR="00B0072F" w:rsidRPr="000E560D">
                <w:rPr>
                  <w:rStyle w:val="Hyperlink"/>
                  <w:rFonts w:eastAsiaTheme="majorEastAsia"/>
                  <w:sz w:val="20"/>
                </w:rPr>
                <w:t>http://canlii.ca/t/h2zb1</w:t>
              </w:r>
            </w:hyperlink>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iCs/>
                <w:sz w:val="20"/>
                <w:lang w:val="en"/>
              </w:rPr>
              <w:t>Appeals allowed and new hearings ordered</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May 30, 2017</w:t>
            </w:r>
          </w:p>
          <w:p w:rsidR="00B0072F" w:rsidRPr="000E560D" w:rsidRDefault="00B0072F" w:rsidP="00B0072F">
            <w:pPr>
              <w:jc w:val="both"/>
              <w:rPr>
                <w:sz w:val="20"/>
              </w:rPr>
            </w:pPr>
            <w:r w:rsidRPr="000E560D">
              <w:rPr>
                <w:sz w:val="20"/>
              </w:rPr>
              <w:t>Supreme Court of Canada</w:t>
            </w:r>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Application for leave to appeal filed</w:t>
            </w:r>
          </w:p>
          <w:p w:rsidR="00B0072F" w:rsidRPr="000E560D" w:rsidRDefault="00B0072F" w:rsidP="00B0072F">
            <w:pPr>
              <w:jc w:val="both"/>
              <w:rPr>
                <w:sz w:val="20"/>
              </w:rPr>
            </w:pP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June 2, 2017</w:t>
            </w:r>
          </w:p>
          <w:p w:rsidR="00B0072F" w:rsidRPr="000E560D" w:rsidRDefault="00B0072F" w:rsidP="00B0072F">
            <w:pPr>
              <w:jc w:val="both"/>
              <w:rPr>
                <w:sz w:val="20"/>
              </w:rPr>
            </w:pPr>
            <w:r w:rsidRPr="000E560D">
              <w:rPr>
                <w:sz w:val="20"/>
              </w:rPr>
              <w:t>Supreme Court of Canada</w:t>
            </w: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Miscellaneous motion to join three Court of Appeal judgments into a single application for leave to appeal filed</w:t>
            </w:r>
          </w:p>
        </w:tc>
      </w:tr>
    </w:tbl>
    <w:p w:rsidR="00B0072F" w:rsidRPr="000E560D" w:rsidRDefault="006B07D6" w:rsidP="00B0072F">
      <w:pPr>
        <w:jc w:val="both"/>
        <w:rPr>
          <w:sz w:val="20"/>
        </w:rPr>
      </w:pPr>
      <w:r>
        <w:rPr>
          <w:sz w:val="20"/>
          <w:szCs w:val="20"/>
        </w:rPr>
        <w:pict>
          <v:rect id="_x0000_i1038" style="width:2in;height:1pt" o:hrpct="0" o:hralign="center" o:hrstd="t" o:hrnoshade="t" o:hr="t" fillcolor="black [3213]" stroked="f"/>
        </w:pict>
      </w:r>
    </w:p>
    <w:p w:rsidR="00B0072F" w:rsidRPr="000E560D" w:rsidRDefault="00B0072F" w:rsidP="00B007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E20CA1" w:rsidTr="00B0072F">
        <w:tc>
          <w:tcPr>
            <w:tcW w:w="543" w:type="pct"/>
          </w:tcPr>
          <w:p w:rsidR="00B0072F" w:rsidRPr="000E560D" w:rsidRDefault="00B0072F" w:rsidP="00B0072F">
            <w:pPr>
              <w:jc w:val="both"/>
              <w:rPr>
                <w:sz w:val="20"/>
                <w:lang w:val="fr-CA"/>
              </w:rPr>
            </w:pPr>
            <w:r w:rsidRPr="000E560D">
              <w:rPr>
                <w:rStyle w:val="SCCFileNumberChar"/>
                <w:sz w:val="20"/>
                <w:szCs w:val="20"/>
                <w:lang w:val="fr-CA"/>
              </w:rPr>
              <w:lastRenderedPageBreak/>
              <w:t>37588</w:t>
            </w:r>
          </w:p>
        </w:tc>
        <w:tc>
          <w:tcPr>
            <w:tcW w:w="4457" w:type="pct"/>
            <w:gridSpan w:val="3"/>
          </w:tcPr>
          <w:p w:rsidR="00B0072F" w:rsidRPr="000E560D" w:rsidRDefault="004E04AC" w:rsidP="00B0072F">
            <w:pPr>
              <w:pStyle w:val="SCCLsocParty"/>
              <w:jc w:val="both"/>
              <w:rPr>
                <w:sz w:val="20"/>
              </w:rPr>
            </w:pPr>
            <w:r w:rsidRPr="004E04AC">
              <w:rPr>
                <w:b/>
                <w:sz w:val="20"/>
                <w:szCs w:val="20"/>
              </w:rPr>
              <w:t xml:space="preserve">Procureur général du Canada au nom des États-Unis d’Amérique c. Shane Donald Fraser, Todd Ian Ferguson et Daniel James Joinson </w:t>
            </w:r>
            <w:r w:rsidR="00B0072F" w:rsidRPr="000E560D">
              <w:rPr>
                <w:sz w:val="20"/>
              </w:rPr>
              <w:t>(C.-B.) (Criminelle) (Sur autorisation)</w:t>
            </w:r>
          </w:p>
        </w:tc>
      </w:tr>
      <w:tr w:rsidR="00B0072F" w:rsidRPr="006B07D6" w:rsidTr="00B0072F">
        <w:tc>
          <w:tcPr>
            <w:tcW w:w="543" w:type="pct"/>
          </w:tcPr>
          <w:p w:rsidR="00B0072F" w:rsidRPr="000E560D" w:rsidRDefault="00B0072F" w:rsidP="00B0072F">
            <w:pPr>
              <w:jc w:val="both"/>
              <w:rPr>
                <w:rStyle w:val="SCCFileNumberChar"/>
                <w:sz w:val="20"/>
                <w:szCs w:val="20"/>
                <w:lang w:val="fr-CA"/>
              </w:rPr>
            </w:pPr>
            <w:r>
              <w:rPr>
                <w:rStyle w:val="SCCFileNumberChar"/>
                <w:sz w:val="20"/>
                <w:szCs w:val="20"/>
                <w:lang w:val="fr-CA"/>
              </w:rPr>
              <w:t>Coram :</w:t>
            </w:r>
          </w:p>
        </w:tc>
        <w:tc>
          <w:tcPr>
            <w:tcW w:w="4457" w:type="pct"/>
            <w:gridSpan w:val="3"/>
          </w:tcPr>
          <w:p w:rsidR="00B0072F" w:rsidRDefault="004E04AC" w:rsidP="00B0072F">
            <w:pPr>
              <w:pStyle w:val="SCCLsocParty"/>
              <w:jc w:val="both"/>
              <w:rPr>
                <w:sz w:val="20"/>
                <w:szCs w:val="20"/>
                <w:lang w:val="fr-FR"/>
              </w:rPr>
            </w:pPr>
            <w:r w:rsidRPr="00237557">
              <w:rPr>
                <w:sz w:val="20"/>
                <w:szCs w:val="20"/>
                <w:lang w:val="fr-FR"/>
              </w:rPr>
              <w:t>La juge en chef McLachlin et les juges Abella, Moldaver, Karakatsanis, Wagner, Gascon, Côté, Brown et Rowe</w:t>
            </w:r>
          </w:p>
          <w:p w:rsidR="004E04AC" w:rsidRPr="004E04AC" w:rsidRDefault="004E04AC" w:rsidP="004E04AC">
            <w:pPr>
              <w:rPr>
                <w:lang w:val="fr-FR"/>
              </w:rPr>
            </w:pPr>
          </w:p>
        </w:tc>
      </w:tr>
      <w:tr w:rsidR="00B0072F" w:rsidRPr="006B07D6" w:rsidTr="00B0072F">
        <w:tc>
          <w:tcPr>
            <w:tcW w:w="5000" w:type="pct"/>
            <w:gridSpan w:val="4"/>
          </w:tcPr>
          <w:p w:rsidR="00B0072F" w:rsidRDefault="004E04AC" w:rsidP="00B0072F">
            <w:pPr>
              <w:pStyle w:val="SCCLsocParty"/>
              <w:jc w:val="both"/>
              <w:rPr>
                <w:sz w:val="20"/>
                <w:szCs w:val="20"/>
              </w:rPr>
            </w:pPr>
            <w:r w:rsidRPr="00237557">
              <w:rPr>
                <w:sz w:val="20"/>
                <w:szCs w:val="20"/>
              </w:rPr>
              <w:t xml:space="preserve">La requête pour joindre trois ordonnances dans une demande d’autorisation d’appel est accueillie. La demande d’autorisation d’appel de l’arrêt de la </w:t>
            </w:r>
            <w:r w:rsidRPr="00237557">
              <w:rPr>
                <w:sz w:val="20"/>
                <w:szCs w:val="20"/>
                <w:lang w:val="fr-FR"/>
              </w:rPr>
              <w:t>Cour d’appel de la Colombie-Britannique (Vancouver)</w:t>
            </w:r>
            <w:r w:rsidRPr="00237557">
              <w:rPr>
                <w:sz w:val="20"/>
                <w:szCs w:val="20"/>
              </w:rPr>
              <w:t xml:space="preserve">, numéros </w:t>
            </w:r>
            <w:r w:rsidRPr="00237557">
              <w:rPr>
                <w:sz w:val="20"/>
                <w:szCs w:val="20"/>
                <w:lang w:val="fr-FR"/>
              </w:rPr>
              <w:t>CA42711, CA42712 et CA42713, 2017 BCCA 136</w:t>
            </w:r>
            <w:r w:rsidRPr="00237557">
              <w:rPr>
                <w:sz w:val="20"/>
                <w:szCs w:val="20"/>
              </w:rPr>
              <w:t xml:space="preserve">, daté du </w:t>
            </w:r>
            <w:r w:rsidRPr="00237557">
              <w:rPr>
                <w:sz w:val="20"/>
                <w:szCs w:val="20"/>
                <w:lang w:val="fr-FR"/>
              </w:rPr>
              <w:t>31 mars 2017</w:t>
            </w:r>
            <w:r w:rsidRPr="00237557">
              <w:rPr>
                <w:sz w:val="20"/>
                <w:szCs w:val="20"/>
              </w:rPr>
              <w:t>, est rejetée.</w:t>
            </w:r>
          </w:p>
          <w:p w:rsidR="004E04AC" w:rsidRPr="004E04AC" w:rsidRDefault="004E04AC" w:rsidP="004E04AC">
            <w:pPr>
              <w:rPr>
                <w:lang w:val="fr-CA"/>
              </w:rPr>
            </w:pPr>
          </w:p>
        </w:tc>
      </w:tr>
      <w:tr w:rsidR="00B0072F" w:rsidRPr="006B07D6" w:rsidTr="00B0072F">
        <w:tc>
          <w:tcPr>
            <w:tcW w:w="5000" w:type="pct"/>
            <w:gridSpan w:val="4"/>
          </w:tcPr>
          <w:p w:rsidR="00B0072F" w:rsidRPr="000E560D" w:rsidRDefault="00B0072F" w:rsidP="00B0072F">
            <w:pPr>
              <w:jc w:val="both"/>
              <w:rPr>
                <w:sz w:val="20"/>
                <w:lang w:val="fr-CA"/>
              </w:rPr>
            </w:pPr>
            <w:r w:rsidRPr="000E560D">
              <w:rPr>
                <w:i/>
                <w:sz w:val="20"/>
                <w:lang w:val="fr-CA"/>
              </w:rPr>
              <w:t>Charte des droits</w:t>
            </w:r>
            <w:r w:rsidRPr="000E560D">
              <w:rPr>
                <w:sz w:val="20"/>
                <w:lang w:val="fr-CA"/>
              </w:rPr>
              <w:t xml:space="preserve"> – Droit criminel – Article 8 de la </w:t>
            </w:r>
            <w:r w:rsidRPr="000E560D">
              <w:rPr>
                <w:i/>
                <w:sz w:val="20"/>
                <w:lang w:val="fr-CA"/>
              </w:rPr>
              <w:t>Charte</w:t>
            </w:r>
            <w:r w:rsidRPr="000E560D">
              <w:rPr>
                <w:sz w:val="20"/>
                <w:lang w:val="fr-CA"/>
              </w:rPr>
              <w:t xml:space="preserve"> – Fouilles, perquisitions et saisies – Extradition – Audiences relatives à l’incarcération  – Preuve – Quelle est la portée des obligations de communication de la preuve qui incombent au partenaire d’extradition lorsqu’il s’appuie sur des éléments de preuve obtenus au Canada en vertu d’une autorisation judiciaire canadienne? – Quel est le critère préliminaire à satisfaire lorsque l’on cherche à obtenir la communication de la preuve portant sur la manière dont les éléments de preuve obtenus au Canada ont été recueillis? – </w:t>
            </w:r>
            <w:r w:rsidRPr="000E560D">
              <w:rPr>
                <w:i/>
                <w:sz w:val="20"/>
                <w:lang w:val="fr-CA"/>
              </w:rPr>
              <w:t>Charte des droits</w:t>
            </w:r>
            <w:r w:rsidRPr="000E560D">
              <w:rPr>
                <w:sz w:val="20"/>
                <w:lang w:val="fr-CA"/>
              </w:rPr>
              <w:t>, art. 8.</w:t>
            </w:r>
          </w:p>
        </w:tc>
      </w:tr>
      <w:tr w:rsidR="00B0072F" w:rsidRPr="006B07D6" w:rsidTr="00B0072F">
        <w:tc>
          <w:tcPr>
            <w:tcW w:w="5000" w:type="pct"/>
            <w:gridSpan w:val="4"/>
          </w:tcPr>
          <w:p w:rsidR="00B0072F" w:rsidRPr="000E560D" w:rsidRDefault="00B0072F" w:rsidP="00B0072F">
            <w:pPr>
              <w:jc w:val="both"/>
              <w:rPr>
                <w:sz w:val="20"/>
                <w:lang w:val="fr-CA"/>
              </w:rPr>
            </w:pPr>
          </w:p>
        </w:tc>
      </w:tr>
      <w:tr w:rsidR="00B0072F" w:rsidRPr="006B07D6" w:rsidTr="00B0072F">
        <w:tc>
          <w:tcPr>
            <w:tcW w:w="5000" w:type="pct"/>
            <w:gridSpan w:val="4"/>
          </w:tcPr>
          <w:p w:rsidR="00B0072F" w:rsidRPr="000E560D" w:rsidRDefault="00B0072F" w:rsidP="00B0072F">
            <w:pPr>
              <w:jc w:val="both"/>
              <w:rPr>
                <w:sz w:val="20"/>
                <w:lang w:val="fr-CA"/>
              </w:rPr>
            </w:pPr>
            <w:r w:rsidRPr="000E560D">
              <w:rPr>
                <w:sz w:val="20"/>
                <w:lang w:val="fr-CA"/>
              </w:rPr>
              <w:t xml:space="preserve">Les États-Unis d’Amérique ont demandé l’extradition des intimés – MM. Fraser, Joinson et Ferguson – et d’autres personnes pour trafic de drogue dans une affaire qui dépendait principalement d’une preuve obtenue par écoute électronique au Canada. Il est allégué que les intimés auraient organisé et dirigé un stratagème pour dissimuler des centaines de livres de marihuana dans des rondins évidés qui ont été modifiés pour paraître adaptés à la construction de maisons en bois rond et expédiés en Californie. La juge d’extradition a rejeté les demandes de communication de la preuve. La juge d’extradition a conclu que le dossier d’extradition renfermait suffisamment de renseignements pour trancher la question de savoir si les droits que l’art. 8 de la </w:t>
            </w:r>
            <w:r w:rsidRPr="000E560D">
              <w:rPr>
                <w:i/>
                <w:sz w:val="20"/>
                <w:lang w:val="fr-CA"/>
              </w:rPr>
              <w:t>Charte</w:t>
            </w:r>
            <w:r w:rsidRPr="000E560D">
              <w:rPr>
                <w:sz w:val="20"/>
                <w:lang w:val="fr-CA"/>
              </w:rPr>
              <w:t xml:space="preserve"> garantit aux intimés avaient été violés. S’appuyant sur son appréciation des faits, la juge d’extradition a conclu que les intimés n’avaient pas établi de violation de l’art. 8 de la </w:t>
            </w:r>
            <w:r w:rsidRPr="000E560D">
              <w:rPr>
                <w:i/>
                <w:sz w:val="20"/>
                <w:lang w:val="fr-CA"/>
              </w:rPr>
              <w:t>Charte</w:t>
            </w:r>
            <w:r w:rsidRPr="000E560D">
              <w:rPr>
                <w:sz w:val="20"/>
                <w:lang w:val="fr-CA"/>
              </w:rPr>
              <w:t xml:space="preserve"> et elle a rejeté les demandes. </w:t>
            </w:r>
            <w:r w:rsidRPr="000E560D">
              <w:rPr>
                <w:iCs/>
                <w:sz w:val="20"/>
                <w:lang w:val="fr-CA"/>
              </w:rPr>
              <w:t>La juge d’extradition a accueilli les demandes d’incarcération des intimés</w:t>
            </w:r>
            <w:r w:rsidRPr="000E560D">
              <w:rPr>
                <w:sz w:val="20"/>
                <w:lang w:val="fr-CA"/>
              </w:rPr>
              <w:t xml:space="preserve">. </w:t>
            </w:r>
            <w:r w:rsidRPr="000E560D">
              <w:rPr>
                <w:iCs/>
                <w:sz w:val="20"/>
                <w:lang w:val="fr-CA"/>
              </w:rPr>
              <w:t>La Cour d’appel a accueilli les appels et ordonné la tenue de nouvelles audiences.</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10 avril 2015</w:t>
            </w:r>
          </w:p>
          <w:p w:rsidR="00B0072F" w:rsidRPr="000E560D" w:rsidRDefault="00B0072F" w:rsidP="00B0072F">
            <w:pPr>
              <w:jc w:val="both"/>
              <w:rPr>
                <w:sz w:val="20"/>
                <w:lang w:val="fr-CA"/>
              </w:rPr>
            </w:pPr>
            <w:r w:rsidRPr="000E560D">
              <w:rPr>
                <w:sz w:val="20"/>
                <w:lang w:val="fr-CA"/>
              </w:rPr>
              <w:t>Cour suprême de la Colombie-Britannique</w:t>
            </w:r>
          </w:p>
          <w:p w:rsidR="00B0072F" w:rsidRPr="000E560D" w:rsidRDefault="00B0072F" w:rsidP="00B0072F">
            <w:pPr>
              <w:jc w:val="both"/>
              <w:rPr>
                <w:sz w:val="20"/>
                <w:lang w:val="fr-CA"/>
              </w:rPr>
            </w:pPr>
            <w:r w:rsidRPr="000E560D">
              <w:rPr>
                <w:sz w:val="20"/>
                <w:lang w:val="fr-CA"/>
              </w:rPr>
              <w:t>(Juge Watchuk)</w:t>
            </w:r>
          </w:p>
          <w:p w:rsidR="00B0072F" w:rsidRPr="000E560D" w:rsidRDefault="00B0072F" w:rsidP="00B0072F">
            <w:pPr>
              <w:jc w:val="both"/>
              <w:rPr>
                <w:sz w:val="20"/>
                <w:lang w:val="fr-CA"/>
              </w:rPr>
            </w:pPr>
            <w:r w:rsidRPr="000E560D">
              <w:rPr>
                <w:sz w:val="20"/>
                <w:lang w:val="fr-CA"/>
              </w:rPr>
              <w:t>2015 BCSC 604</w:t>
            </w:r>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Jugement accueillant les demandes d’incarcération des intimés</w:t>
            </w: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31 mars 2017</w:t>
            </w:r>
          </w:p>
          <w:p w:rsidR="00B0072F" w:rsidRPr="000E560D" w:rsidRDefault="00B0072F" w:rsidP="00B0072F">
            <w:pPr>
              <w:jc w:val="both"/>
              <w:rPr>
                <w:sz w:val="20"/>
                <w:lang w:val="fr-CA"/>
              </w:rPr>
            </w:pPr>
            <w:r w:rsidRPr="000E560D">
              <w:rPr>
                <w:sz w:val="20"/>
                <w:lang w:val="fr-CA"/>
              </w:rPr>
              <w:t>Cour d’appel de la Colombie-Britannique</w:t>
            </w:r>
          </w:p>
          <w:p w:rsidR="00B0072F" w:rsidRPr="000E560D" w:rsidRDefault="00B0072F" w:rsidP="00B0072F">
            <w:pPr>
              <w:jc w:val="both"/>
              <w:rPr>
                <w:sz w:val="20"/>
                <w:lang w:val="fr-CA"/>
              </w:rPr>
            </w:pPr>
            <w:r w:rsidRPr="000E560D">
              <w:rPr>
                <w:sz w:val="20"/>
                <w:lang w:val="fr-CA"/>
              </w:rPr>
              <w:t>(Vancouver)</w:t>
            </w:r>
          </w:p>
          <w:p w:rsidR="00B0072F" w:rsidRPr="000E560D" w:rsidRDefault="00B0072F" w:rsidP="00B0072F">
            <w:pPr>
              <w:jc w:val="both"/>
              <w:rPr>
                <w:sz w:val="20"/>
                <w:lang w:val="fr-CA"/>
              </w:rPr>
            </w:pPr>
            <w:r w:rsidRPr="000E560D">
              <w:rPr>
                <w:sz w:val="20"/>
                <w:lang w:val="fr-CA"/>
              </w:rPr>
              <w:t>(Juges Donald, Saunders et Kirkpatrick)</w:t>
            </w:r>
          </w:p>
          <w:p w:rsidR="00B0072F" w:rsidRPr="000E560D" w:rsidRDefault="00B0072F" w:rsidP="00B0072F">
            <w:pPr>
              <w:jc w:val="both"/>
              <w:rPr>
                <w:sz w:val="20"/>
              </w:rPr>
            </w:pPr>
            <w:r w:rsidRPr="000E560D">
              <w:rPr>
                <w:sz w:val="20"/>
              </w:rPr>
              <w:t>2017 BCCA 136</w:t>
            </w:r>
          </w:p>
          <w:p w:rsidR="00B0072F" w:rsidRPr="000E560D" w:rsidRDefault="00B0072F" w:rsidP="00B0072F">
            <w:pPr>
              <w:jc w:val="both"/>
              <w:rPr>
                <w:sz w:val="20"/>
              </w:rPr>
            </w:pPr>
            <w:r w:rsidRPr="000E560D">
              <w:rPr>
                <w:sz w:val="20"/>
              </w:rPr>
              <w:t>CA42713;CA42712;CA42711</w:t>
            </w:r>
          </w:p>
          <w:p w:rsidR="00B0072F" w:rsidRPr="000E560D" w:rsidRDefault="006B07D6" w:rsidP="00B0072F">
            <w:pPr>
              <w:jc w:val="both"/>
              <w:rPr>
                <w:sz w:val="20"/>
              </w:rPr>
            </w:pPr>
            <w:hyperlink r:id="rId19" w:history="1">
              <w:r w:rsidR="00B0072F" w:rsidRPr="000E560D">
                <w:rPr>
                  <w:rStyle w:val="Hyperlink"/>
                  <w:rFonts w:eastAsiaTheme="majorEastAsia"/>
                  <w:sz w:val="20"/>
                </w:rPr>
                <w:t>http://canlii.ca/t/h2zb1</w:t>
              </w:r>
            </w:hyperlink>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lang w:val="fr-CA"/>
              </w:rPr>
            </w:pPr>
            <w:r w:rsidRPr="000E560D">
              <w:rPr>
                <w:iCs/>
                <w:sz w:val="20"/>
                <w:lang w:val="fr-CA"/>
              </w:rPr>
              <w:t>Arrêt accueillant les appels et ordonnant la tenue de nouvelles audiences</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30 mai 2017</w:t>
            </w:r>
          </w:p>
          <w:p w:rsidR="00B0072F" w:rsidRPr="000E560D" w:rsidRDefault="00B0072F" w:rsidP="00B0072F">
            <w:pPr>
              <w:jc w:val="both"/>
              <w:rPr>
                <w:sz w:val="20"/>
                <w:lang w:val="fr-CA"/>
              </w:rPr>
            </w:pPr>
            <w:r w:rsidRPr="000E560D">
              <w:rPr>
                <w:sz w:val="20"/>
                <w:lang w:val="fr-CA"/>
              </w:rPr>
              <w:t>Cour suprême du Canada</w:t>
            </w:r>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Dépôt de la demande d’autorisation d’appel</w:t>
            </w:r>
          </w:p>
          <w:p w:rsidR="00B0072F" w:rsidRPr="000E560D" w:rsidRDefault="00B0072F" w:rsidP="00B0072F">
            <w:pPr>
              <w:jc w:val="both"/>
              <w:rPr>
                <w:sz w:val="20"/>
                <w:lang w:val="fr-CA"/>
              </w:rPr>
            </w:pP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2 juin 2017</w:t>
            </w:r>
          </w:p>
          <w:p w:rsidR="00B0072F" w:rsidRPr="000E560D" w:rsidRDefault="00B0072F" w:rsidP="00B0072F">
            <w:pPr>
              <w:jc w:val="both"/>
              <w:rPr>
                <w:sz w:val="20"/>
                <w:lang w:val="fr-CA"/>
              </w:rPr>
            </w:pPr>
            <w:r w:rsidRPr="000E560D">
              <w:rPr>
                <w:sz w:val="20"/>
                <w:lang w:val="fr-CA"/>
              </w:rPr>
              <w:t>Cour suprême du Canada</w:t>
            </w: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 xml:space="preserve">Dépôt d’une requête diverse pour joindre trois jugements de la Cour d’appel en une seule demande d’autorisation d’appel </w:t>
            </w:r>
          </w:p>
        </w:tc>
      </w:tr>
    </w:tbl>
    <w:p w:rsidR="00B0072F" w:rsidRPr="000E560D" w:rsidRDefault="006B07D6" w:rsidP="00B0072F">
      <w:pPr>
        <w:jc w:val="both"/>
        <w:rPr>
          <w:sz w:val="20"/>
          <w:lang w:val="fr-CA"/>
        </w:rPr>
      </w:pPr>
      <w:r>
        <w:rPr>
          <w:sz w:val="20"/>
          <w:szCs w:val="20"/>
        </w:rPr>
        <w:pict>
          <v:rect id="_x0000_i1039" style="width:2in;height:1pt" o:hrpct="0" o:hralign="center" o:hrstd="t" o:hrnoshade="t" o:hr="t" fillcolor="black [3213]" stroked="f"/>
        </w:pict>
      </w:r>
    </w:p>
    <w:p w:rsidR="00B0072F" w:rsidRPr="000E560D" w:rsidRDefault="00B0072F" w:rsidP="00B0072F">
      <w:pPr>
        <w:tabs>
          <w:tab w:val="left" w:pos="900"/>
          <w:tab w:val="center" w:pos="5760"/>
        </w:tabs>
        <w:ind w:left="360" w:hanging="360"/>
        <w:jc w:val="both"/>
        <w:rPr>
          <w:sz w:val="20"/>
          <w:lang w:val="fr-CA"/>
        </w:rPr>
      </w:pPr>
    </w:p>
    <w:p w:rsidR="004E04AC" w:rsidRDefault="004E04AC">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21"/>
        <w:gridCol w:w="3603"/>
        <w:gridCol w:w="463"/>
        <w:gridCol w:w="4440"/>
      </w:tblGrid>
      <w:tr w:rsidR="006B07D6" w:rsidRPr="00012EA5" w:rsidTr="006B07D6">
        <w:tc>
          <w:tcPr>
            <w:tcW w:w="536" w:type="pct"/>
          </w:tcPr>
          <w:p w:rsidR="006B07D6" w:rsidRPr="00012EA5" w:rsidRDefault="006B07D6" w:rsidP="006B07D6">
            <w:pPr>
              <w:rPr>
                <w:sz w:val="20"/>
                <w:szCs w:val="20"/>
              </w:rPr>
            </w:pPr>
            <w:r w:rsidRPr="00012EA5">
              <w:rPr>
                <w:rStyle w:val="SCCFileNumberChar"/>
                <w:sz w:val="20"/>
                <w:szCs w:val="20"/>
              </w:rPr>
              <w:lastRenderedPageBreak/>
              <w:t>37565</w:t>
            </w:r>
          </w:p>
        </w:tc>
        <w:tc>
          <w:tcPr>
            <w:tcW w:w="4464" w:type="pct"/>
            <w:gridSpan w:val="3"/>
          </w:tcPr>
          <w:p w:rsidR="006B07D6" w:rsidRPr="006B07D6" w:rsidRDefault="006B07D6" w:rsidP="006B07D6">
            <w:pPr>
              <w:pStyle w:val="SCCLsocOtherPartySeparator"/>
              <w:rPr>
                <w:sz w:val="20"/>
                <w:szCs w:val="20"/>
                <w:lang w:val="fr-CA"/>
              </w:rPr>
            </w:pPr>
            <w:r w:rsidRPr="00012EA5">
              <w:rPr>
                <w:sz w:val="20"/>
                <w:szCs w:val="20"/>
                <w:lang w:val="fr-CA"/>
              </w:rPr>
              <w:t xml:space="preserve">R.A. v. A.AB., H.AB., L.AB., S.AB., SA.AB., M.K. and Compagnie A - and - </w:t>
            </w:r>
            <w:r w:rsidRPr="006B07D6">
              <w:rPr>
                <w:sz w:val="20"/>
                <w:szCs w:val="20"/>
                <w:lang w:val="fr-CA"/>
              </w:rPr>
              <w:t>Agence du revenu du Québec and Officier de la publicité des droits de la circonscription foncière de Montréal</w:t>
            </w:r>
          </w:p>
          <w:p w:rsidR="006B07D6" w:rsidRPr="00012EA5" w:rsidRDefault="006B07D6" w:rsidP="006B07D6">
            <w:pPr>
              <w:rPr>
                <w:sz w:val="20"/>
                <w:szCs w:val="20"/>
              </w:rPr>
            </w:pPr>
            <w:r w:rsidRPr="00012EA5">
              <w:rPr>
                <w:sz w:val="20"/>
                <w:szCs w:val="20"/>
              </w:rPr>
              <w:t>(Qc) (Civil) (By Leave)</w:t>
            </w:r>
          </w:p>
          <w:p w:rsidR="006B07D6" w:rsidRPr="00012EA5" w:rsidRDefault="006B07D6" w:rsidP="006B07D6">
            <w:pPr>
              <w:rPr>
                <w:sz w:val="20"/>
                <w:szCs w:val="20"/>
              </w:rPr>
            </w:pPr>
          </w:p>
        </w:tc>
      </w:tr>
      <w:tr w:rsidR="006B07D6" w:rsidRPr="00012EA5" w:rsidTr="006B07D6">
        <w:tc>
          <w:tcPr>
            <w:tcW w:w="5000" w:type="pct"/>
            <w:gridSpan w:val="4"/>
          </w:tcPr>
          <w:p w:rsidR="006B07D6" w:rsidRPr="00012EA5" w:rsidRDefault="006B07D6" w:rsidP="006B07D6">
            <w:pPr>
              <w:rPr>
                <w:sz w:val="20"/>
                <w:szCs w:val="20"/>
              </w:rPr>
            </w:pPr>
            <w:r w:rsidRPr="00012EA5">
              <w:rPr>
                <w:i/>
                <w:sz w:val="20"/>
                <w:szCs w:val="20"/>
              </w:rPr>
              <w:t>Canadian Charter of Rights and Freedoms</w:t>
            </w:r>
            <w:r w:rsidRPr="00012EA5">
              <w:rPr>
                <w:sz w:val="20"/>
                <w:szCs w:val="20"/>
              </w:rPr>
              <w:t xml:space="preserve"> ‒ Family law ‒ Action for simulation ‒ Motion to amend accessory measures involving child support payments ‒ Whether the issues raised in this appeal are of public importance within the meaning of section 40(1) of the </w:t>
            </w:r>
            <w:r w:rsidRPr="00012EA5">
              <w:rPr>
                <w:i/>
                <w:sz w:val="20"/>
                <w:szCs w:val="20"/>
              </w:rPr>
              <w:t>Supreme Court Act</w:t>
            </w:r>
            <w:r w:rsidRPr="00012EA5">
              <w:rPr>
                <w:sz w:val="20"/>
                <w:szCs w:val="20"/>
              </w:rPr>
              <w:t xml:space="preserve">, R.S.C., c. S-26 ‒ Whether the Court of Appeal made a fundamental error by upholding the trial judgment, when it should have intervened and set aside the judgment in light of the </w:t>
            </w:r>
            <w:r w:rsidRPr="00012EA5">
              <w:rPr>
                <w:rFonts w:cs="Times New Roman"/>
                <w:color w:val="000000"/>
                <w:sz w:val="20"/>
                <w:szCs w:val="20"/>
              </w:rPr>
              <w:t xml:space="preserve">material errors of fact or law before it </w:t>
            </w:r>
            <w:r w:rsidRPr="00012EA5">
              <w:rPr>
                <w:sz w:val="20"/>
                <w:szCs w:val="20"/>
              </w:rPr>
              <w:t xml:space="preserve">‒ Whether the trial judge had, in 2015, the power to override the res judicata rule by contradicting and amending three final judgments rendered in 2007, 2008 and 2009 ‒ Whether the trial judge erred in his interpretation and  application of articles 1451, 1452 and 1633 of the </w:t>
            </w:r>
            <w:r w:rsidRPr="00012EA5">
              <w:rPr>
                <w:i/>
                <w:sz w:val="20"/>
                <w:szCs w:val="20"/>
              </w:rPr>
              <w:t>Civil Code of Québec</w:t>
            </w:r>
            <w:r w:rsidRPr="00012EA5">
              <w:rPr>
                <w:sz w:val="20"/>
                <w:szCs w:val="20"/>
              </w:rPr>
              <w:t xml:space="preserve"> ‒ Whether the trial judge made a fundamental error when he preferred the interests of the grandparents and non-custodial parent over those of the two minor children and their single mom ‒ </w:t>
            </w:r>
            <w:r w:rsidRPr="00012EA5">
              <w:rPr>
                <w:i/>
                <w:sz w:val="20"/>
                <w:szCs w:val="20"/>
              </w:rPr>
              <w:t>Civil Code of Québec</w:t>
            </w:r>
            <w:r w:rsidRPr="00012EA5">
              <w:rPr>
                <w:sz w:val="20"/>
                <w:szCs w:val="20"/>
              </w:rPr>
              <w:t>, articles 1451, 1452 and 1633.</w:t>
            </w:r>
          </w:p>
        </w:tc>
      </w:tr>
      <w:tr w:rsidR="006B07D6" w:rsidRPr="00012EA5" w:rsidTr="006B07D6">
        <w:tc>
          <w:tcPr>
            <w:tcW w:w="5000" w:type="pct"/>
            <w:gridSpan w:val="4"/>
          </w:tcPr>
          <w:p w:rsidR="006B07D6" w:rsidRPr="00012EA5" w:rsidRDefault="006B07D6" w:rsidP="006B07D6">
            <w:pPr>
              <w:rPr>
                <w:sz w:val="20"/>
                <w:szCs w:val="20"/>
              </w:rPr>
            </w:pPr>
          </w:p>
        </w:tc>
      </w:tr>
      <w:tr w:rsidR="006B07D6" w:rsidRPr="00012EA5" w:rsidTr="006B07D6">
        <w:tc>
          <w:tcPr>
            <w:tcW w:w="5000" w:type="pct"/>
            <w:gridSpan w:val="4"/>
          </w:tcPr>
          <w:p w:rsidR="006B07D6" w:rsidRPr="00012EA5" w:rsidRDefault="006B07D6" w:rsidP="006B07D6">
            <w:pPr>
              <w:rPr>
                <w:sz w:val="20"/>
                <w:szCs w:val="20"/>
              </w:rPr>
            </w:pPr>
            <w:r w:rsidRPr="00012EA5">
              <w:rPr>
                <w:sz w:val="20"/>
                <w:szCs w:val="20"/>
              </w:rPr>
              <w:t>The applicant, R.A., and the respondent, A.AB., were married in 1998. Two children were born out of this union. The parties separated in February 2005 and the divorce judgment was granted in October 2009. To enforce the divorce judgment, in August 2012, R.A. commenced an action for simulation against A.AB. and against his family members, namely H.AB. (sister), L.AB. (father), S.AB. (mother) and SA.AB. (brother) to determine who was the true owner of a residence in Montréal and in respect of which A.AB. allegedly contributed funds to purchase. In this action, R.A. is also seeking to have the corporate veil in respect of respondent Compagnie A lifted and to have the arrangements between A.AB., his brother SA.AB., respondent M.K. and Compagnie A declared as a simulation involving the operation of a business operating as Tapis Électro Maison Inc. A.AB. and R.A. also filed motions to amend accessory measures in August 2012 and in June 2014 regarding the calculation of child support and the  adjustment of special expenses. The two proceedings were joined before the Superior Court.</w:t>
            </w:r>
          </w:p>
          <w:p w:rsidR="006B07D6" w:rsidRPr="00012EA5" w:rsidRDefault="006B07D6" w:rsidP="006B07D6">
            <w:pPr>
              <w:rPr>
                <w:sz w:val="20"/>
                <w:szCs w:val="20"/>
              </w:rPr>
            </w:pPr>
          </w:p>
        </w:tc>
      </w:tr>
      <w:tr w:rsidR="006B07D6" w:rsidRPr="00012EA5" w:rsidTr="006B07D6">
        <w:tc>
          <w:tcPr>
            <w:tcW w:w="2427" w:type="pct"/>
            <w:gridSpan w:val="2"/>
          </w:tcPr>
          <w:p w:rsidR="006B07D6" w:rsidRPr="00012EA5" w:rsidRDefault="006B07D6" w:rsidP="006B07D6">
            <w:pPr>
              <w:rPr>
                <w:sz w:val="20"/>
                <w:szCs w:val="20"/>
              </w:rPr>
            </w:pPr>
            <w:r w:rsidRPr="00012EA5">
              <w:rPr>
                <w:sz w:val="20"/>
                <w:szCs w:val="20"/>
              </w:rPr>
              <w:t>November 5, 2015</w:t>
            </w:r>
          </w:p>
          <w:p w:rsidR="006B07D6" w:rsidRPr="00012EA5" w:rsidRDefault="006B07D6" w:rsidP="006B07D6">
            <w:pPr>
              <w:rPr>
                <w:sz w:val="20"/>
                <w:szCs w:val="20"/>
              </w:rPr>
            </w:pPr>
            <w:r w:rsidRPr="00012EA5">
              <w:rPr>
                <w:sz w:val="20"/>
                <w:szCs w:val="20"/>
              </w:rPr>
              <w:t xml:space="preserve">Quebec Superior Court </w:t>
            </w:r>
          </w:p>
          <w:p w:rsidR="006B07D6" w:rsidRPr="00012EA5" w:rsidRDefault="006B07D6" w:rsidP="006B07D6">
            <w:pPr>
              <w:rPr>
                <w:sz w:val="20"/>
                <w:szCs w:val="20"/>
              </w:rPr>
            </w:pPr>
            <w:r w:rsidRPr="00012EA5">
              <w:rPr>
                <w:sz w:val="20"/>
                <w:szCs w:val="20"/>
              </w:rPr>
              <w:t>(Chrétien J.)</w:t>
            </w:r>
          </w:p>
          <w:p w:rsidR="006B07D6" w:rsidRPr="00012EA5" w:rsidRDefault="006B07D6" w:rsidP="006B07D6">
            <w:pPr>
              <w:rPr>
                <w:sz w:val="20"/>
                <w:szCs w:val="20"/>
              </w:rPr>
            </w:pPr>
            <w:hyperlink r:id="rId20" w:history="1">
              <w:r w:rsidRPr="00012EA5">
                <w:rPr>
                  <w:rStyle w:val="Hyperlink"/>
                  <w:sz w:val="20"/>
                  <w:szCs w:val="20"/>
                </w:rPr>
                <w:t>2015 QCCS 5099</w:t>
              </w:r>
            </w:hyperlink>
          </w:p>
        </w:tc>
        <w:tc>
          <w:tcPr>
            <w:tcW w:w="243" w:type="pct"/>
          </w:tcPr>
          <w:p w:rsidR="006B07D6" w:rsidRPr="00012EA5" w:rsidRDefault="006B07D6" w:rsidP="006B07D6">
            <w:pPr>
              <w:rPr>
                <w:sz w:val="20"/>
                <w:szCs w:val="20"/>
              </w:rPr>
            </w:pPr>
          </w:p>
        </w:tc>
        <w:tc>
          <w:tcPr>
            <w:tcW w:w="2330" w:type="pct"/>
          </w:tcPr>
          <w:p w:rsidR="006B07D6" w:rsidRPr="00012EA5" w:rsidRDefault="006B07D6" w:rsidP="006B07D6">
            <w:pPr>
              <w:rPr>
                <w:sz w:val="20"/>
                <w:szCs w:val="20"/>
              </w:rPr>
            </w:pPr>
            <w:r w:rsidRPr="00012EA5">
              <w:rPr>
                <w:rFonts w:cs="Times New Roman"/>
                <w:color w:val="000000"/>
                <w:sz w:val="20"/>
                <w:szCs w:val="20"/>
              </w:rPr>
              <w:t>Motion to institute proceedings dismissed</w:t>
            </w:r>
            <w:r w:rsidRPr="00012EA5">
              <w:rPr>
                <w:sz w:val="20"/>
                <w:szCs w:val="20"/>
              </w:rPr>
              <w:t>.</w:t>
            </w:r>
          </w:p>
          <w:p w:rsidR="006B07D6" w:rsidRPr="00012EA5" w:rsidRDefault="006B07D6" w:rsidP="006B07D6">
            <w:pPr>
              <w:rPr>
                <w:sz w:val="20"/>
                <w:szCs w:val="20"/>
              </w:rPr>
            </w:pPr>
            <w:r w:rsidRPr="00012EA5">
              <w:rPr>
                <w:sz w:val="20"/>
                <w:szCs w:val="20"/>
              </w:rPr>
              <w:t>Seizure of the immovable located in Montreal, quashed and release of the immovable in question.</w:t>
            </w:r>
          </w:p>
          <w:p w:rsidR="006B07D6" w:rsidRPr="00012EA5" w:rsidRDefault="006B07D6" w:rsidP="006B07D6">
            <w:pPr>
              <w:rPr>
                <w:sz w:val="20"/>
                <w:szCs w:val="20"/>
              </w:rPr>
            </w:pPr>
            <w:r w:rsidRPr="00012EA5">
              <w:rPr>
                <w:sz w:val="20"/>
                <w:szCs w:val="20"/>
              </w:rPr>
              <w:t xml:space="preserve">Cross demands dismissed. </w:t>
            </w:r>
          </w:p>
          <w:p w:rsidR="006B07D6" w:rsidRPr="00012EA5" w:rsidRDefault="006B07D6" w:rsidP="006B07D6">
            <w:pPr>
              <w:rPr>
                <w:sz w:val="20"/>
                <w:szCs w:val="20"/>
              </w:rPr>
            </w:pPr>
          </w:p>
        </w:tc>
      </w:tr>
      <w:tr w:rsidR="006B07D6" w:rsidRPr="00012EA5" w:rsidTr="006B07D6">
        <w:tc>
          <w:tcPr>
            <w:tcW w:w="2427" w:type="pct"/>
            <w:gridSpan w:val="2"/>
          </w:tcPr>
          <w:p w:rsidR="006B07D6" w:rsidRPr="00012EA5" w:rsidRDefault="006B07D6" w:rsidP="006B07D6">
            <w:pPr>
              <w:rPr>
                <w:sz w:val="20"/>
                <w:szCs w:val="20"/>
                <w:lang w:val="en-US"/>
              </w:rPr>
            </w:pPr>
            <w:r w:rsidRPr="00012EA5">
              <w:rPr>
                <w:sz w:val="20"/>
                <w:szCs w:val="20"/>
                <w:lang w:val="en-US"/>
              </w:rPr>
              <w:t>March 24, 2017</w:t>
            </w:r>
          </w:p>
          <w:p w:rsidR="006B07D6" w:rsidRPr="00012EA5" w:rsidRDefault="006B07D6" w:rsidP="006B07D6">
            <w:pPr>
              <w:rPr>
                <w:sz w:val="20"/>
                <w:szCs w:val="20"/>
              </w:rPr>
            </w:pPr>
            <w:r w:rsidRPr="00012EA5">
              <w:rPr>
                <w:sz w:val="20"/>
                <w:szCs w:val="20"/>
              </w:rPr>
              <w:t>Quebec Appeal Court (Montréal)</w:t>
            </w:r>
          </w:p>
          <w:p w:rsidR="006B07D6" w:rsidRPr="00012EA5" w:rsidRDefault="006B07D6" w:rsidP="006B07D6">
            <w:pPr>
              <w:rPr>
                <w:sz w:val="20"/>
                <w:szCs w:val="20"/>
              </w:rPr>
            </w:pPr>
            <w:r w:rsidRPr="00012EA5">
              <w:rPr>
                <w:sz w:val="20"/>
                <w:szCs w:val="20"/>
              </w:rPr>
              <w:t>(St-Pierre, Hogue and Healy JJ.A.)</w:t>
            </w:r>
          </w:p>
          <w:p w:rsidR="006B07D6" w:rsidRPr="00012EA5" w:rsidRDefault="006B07D6" w:rsidP="006B07D6">
            <w:pPr>
              <w:rPr>
                <w:rStyle w:val="Hyperlink"/>
                <w:sz w:val="20"/>
                <w:szCs w:val="20"/>
              </w:rPr>
            </w:pPr>
            <w:hyperlink r:id="rId21" w:history="1">
              <w:r w:rsidRPr="00012EA5">
                <w:rPr>
                  <w:rStyle w:val="Hyperlink"/>
                  <w:sz w:val="20"/>
                  <w:szCs w:val="20"/>
                </w:rPr>
                <w:t>2017 QCCA 465</w:t>
              </w:r>
            </w:hyperlink>
          </w:p>
          <w:p w:rsidR="006B07D6" w:rsidRPr="00012EA5" w:rsidRDefault="006B07D6" w:rsidP="006B07D6">
            <w:pPr>
              <w:rPr>
                <w:sz w:val="20"/>
                <w:szCs w:val="20"/>
                <w:lang w:val="en-US"/>
              </w:rPr>
            </w:pPr>
          </w:p>
        </w:tc>
        <w:tc>
          <w:tcPr>
            <w:tcW w:w="243" w:type="pct"/>
          </w:tcPr>
          <w:p w:rsidR="006B07D6" w:rsidRPr="00012EA5" w:rsidRDefault="006B07D6" w:rsidP="006B07D6">
            <w:pPr>
              <w:rPr>
                <w:sz w:val="20"/>
                <w:szCs w:val="20"/>
                <w:lang w:val="en-US"/>
              </w:rPr>
            </w:pPr>
          </w:p>
        </w:tc>
        <w:tc>
          <w:tcPr>
            <w:tcW w:w="2330" w:type="pct"/>
          </w:tcPr>
          <w:p w:rsidR="006B07D6" w:rsidRPr="00012EA5" w:rsidRDefault="006B07D6" w:rsidP="006B07D6">
            <w:pPr>
              <w:rPr>
                <w:sz w:val="20"/>
                <w:szCs w:val="20"/>
              </w:rPr>
            </w:pPr>
            <w:r w:rsidRPr="00012EA5">
              <w:rPr>
                <w:sz w:val="20"/>
                <w:szCs w:val="20"/>
              </w:rPr>
              <w:t>Appeal dismissed.</w:t>
            </w:r>
          </w:p>
          <w:p w:rsidR="006B07D6" w:rsidRPr="00012EA5" w:rsidRDefault="006B07D6" w:rsidP="006B07D6">
            <w:pPr>
              <w:rPr>
                <w:sz w:val="20"/>
                <w:szCs w:val="20"/>
              </w:rPr>
            </w:pPr>
          </w:p>
        </w:tc>
      </w:tr>
      <w:tr w:rsidR="006B07D6" w:rsidRPr="00012EA5" w:rsidTr="006B07D6">
        <w:tc>
          <w:tcPr>
            <w:tcW w:w="2427" w:type="pct"/>
            <w:gridSpan w:val="2"/>
          </w:tcPr>
          <w:p w:rsidR="006B07D6" w:rsidRPr="00012EA5" w:rsidRDefault="006B07D6" w:rsidP="006B07D6">
            <w:pPr>
              <w:rPr>
                <w:sz w:val="20"/>
                <w:szCs w:val="20"/>
              </w:rPr>
            </w:pPr>
            <w:r w:rsidRPr="00012EA5">
              <w:rPr>
                <w:sz w:val="20"/>
                <w:szCs w:val="20"/>
              </w:rPr>
              <w:t>May 19, 2017</w:t>
            </w:r>
          </w:p>
          <w:p w:rsidR="006B07D6" w:rsidRPr="00012EA5" w:rsidRDefault="006B07D6" w:rsidP="006B07D6">
            <w:pPr>
              <w:rPr>
                <w:sz w:val="20"/>
                <w:szCs w:val="20"/>
              </w:rPr>
            </w:pPr>
            <w:r w:rsidRPr="00012EA5">
              <w:rPr>
                <w:sz w:val="20"/>
                <w:szCs w:val="20"/>
              </w:rPr>
              <w:t>Supreme Court of Canada</w:t>
            </w:r>
          </w:p>
        </w:tc>
        <w:tc>
          <w:tcPr>
            <w:tcW w:w="243" w:type="pct"/>
          </w:tcPr>
          <w:p w:rsidR="006B07D6" w:rsidRPr="00012EA5" w:rsidRDefault="006B07D6" w:rsidP="006B07D6">
            <w:pPr>
              <w:rPr>
                <w:sz w:val="20"/>
                <w:szCs w:val="20"/>
              </w:rPr>
            </w:pPr>
          </w:p>
        </w:tc>
        <w:tc>
          <w:tcPr>
            <w:tcW w:w="2330" w:type="pct"/>
          </w:tcPr>
          <w:p w:rsidR="006B07D6" w:rsidRPr="00012EA5" w:rsidRDefault="006B07D6" w:rsidP="006B07D6">
            <w:pPr>
              <w:rPr>
                <w:sz w:val="20"/>
                <w:szCs w:val="20"/>
              </w:rPr>
            </w:pPr>
            <w:r w:rsidRPr="00012EA5">
              <w:rPr>
                <w:rFonts w:cs="Times New Roman"/>
                <w:color w:val="000000"/>
                <w:sz w:val="20"/>
                <w:szCs w:val="20"/>
              </w:rPr>
              <w:t>Application for leave to appeal filed</w:t>
            </w:r>
            <w:r w:rsidRPr="00012EA5">
              <w:rPr>
                <w:sz w:val="20"/>
                <w:szCs w:val="20"/>
              </w:rPr>
              <w:t>.</w:t>
            </w:r>
          </w:p>
        </w:tc>
      </w:tr>
    </w:tbl>
    <w:p w:rsidR="00B0072F" w:rsidRPr="000E560D" w:rsidRDefault="006B07D6" w:rsidP="00B0072F">
      <w:pPr>
        <w:jc w:val="both"/>
        <w:rPr>
          <w:sz w:val="20"/>
        </w:rPr>
      </w:pPr>
      <w:r>
        <w:rPr>
          <w:sz w:val="20"/>
          <w:szCs w:val="20"/>
        </w:rPr>
        <w:pict>
          <v:rect id="_x0000_i1040" style="width:2in;height:1pt" o:hrpct="0" o:hralign="center" o:hrstd="t" o:hrnoshade="t" o:hr="t" fillcolor="black [3213]" stroked="f"/>
        </w:pict>
      </w:r>
    </w:p>
    <w:p w:rsidR="00B0072F" w:rsidRPr="000E560D" w:rsidRDefault="00B0072F" w:rsidP="00B0072F">
      <w:pPr>
        <w:jc w:val="both"/>
        <w:rPr>
          <w:sz w:val="20"/>
        </w:rPr>
      </w:pPr>
    </w:p>
    <w:p w:rsidR="00E111AB" w:rsidRDefault="00E111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B07D6" w:rsidRPr="004C3D63" w:rsidTr="006B07D6">
        <w:tc>
          <w:tcPr>
            <w:tcW w:w="543" w:type="pct"/>
          </w:tcPr>
          <w:p w:rsidR="006B07D6" w:rsidRPr="004C3D63" w:rsidRDefault="006B07D6" w:rsidP="006B07D6">
            <w:pPr>
              <w:rPr>
                <w:sz w:val="20"/>
                <w:szCs w:val="20"/>
              </w:rPr>
            </w:pPr>
            <w:r w:rsidRPr="004C3D63">
              <w:rPr>
                <w:rStyle w:val="SCCFileNumberChar"/>
                <w:sz w:val="20"/>
                <w:szCs w:val="20"/>
              </w:rPr>
              <w:lastRenderedPageBreak/>
              <w:t>37565</w:t>
            </w:r>
          </w:p>
        </w:tc>
        <w:tc>
          <w:tcPr>
            <w:tcW w:w="4457" w:type="pct"/>
            <w:gridSpan w:val="3"/>
          </w:tcPr>
          <w:p w:rsidR="006B07D6" w:rsidRPr="006B07D6" w:rsidRDefault="006B07D6" w:rsidP="006B07D6">
            <w:pPr>
              <w:pStyle w:val="SCCLsocParty"/>
              <w:jc w:val="left"/>
              <w:rPr>
                <w:b/>
                <w:sz w:val="20"/>
                <w:szCs w:val="20"/>
              </w:rPr>
            </w:pPr>
            <w:r w:rsidRPr="006B07D6">
              <w:rPr>
                <w:b/>
                <w:sz w:val="20"/>
                <w:szCs w:val="20"/>
              </w:rPr>
              <w:t>R.A. c. A.AB., H.AB., L.AB., S.AB., SA.AB., M.K. et Compagnie A - et - Agence du revenu du Québec et Officier de la publicité des droits de la circonscription foncière de Montréal</w:t>
            </w:r>
          </w:p>
          <w:p w:rsidR="006B07D6" w:rsidRPr="004C3D63" w:rsidRDefault="006B07D6" w:rsidP="006B07D6">
            <w:pPr>
              <w:rPr>
                <w:sz w:val="20"/>
                <w:szCs w:val="20"/>
              </w:rPr>
            </w:pPr>
            <w:r w:rsidRPr="004C3D63">
              <w:rPr>
                <w:sz w:val="20"/>
                <w:szCs w:val="20"/>
              </w:rPr>
              <w:t>(Qc) (Civile) (Autorisation)</w:t>
            </w:r>
          </w:p>
        </w:tc>
      </w:tr>
      <w:tr w:rsidR="006B07D6" w:rsidRPr="004C3D63" w:rsidTr="006B07D6">
        <w:tc>
          <w:tcPr>
            <w:tcW w:w="5000" w:type="pct"/>
            <w:gridSpan w:val="4"/>
          </w:tcPr>
          <w:p w:rsidR="006B07D6" w:rsidRPr="004C3D63" w:rsidRDefault="006B07D6" w:rsidP="006B07D6">
            <w:pPr>
              <w:rPr>
                <w:sz w:val="20"/>
                <w:szCs w:val="20"/>
              </w:rPr>
            </w:pPr>
            <w:r w:rsidRPr="006B07D6">
              <w:rPr>
                <w:i/>
                <w:sz w:val="20"/>
                <w:szCs w:val="20"/>
                <w:lang w:val="fr-CA"/>
              </w:rPr>
              <w:t>Charte canadienne des droits et libertés</w:t>
            </w:r>
            <w:r w:rsidRPr="006B07D6">
              <w:rPr>
                <w:sz w:val="20"/>
                <w:szCs w:val="20"/>
                <w:lang w:val="fr-CA"/>
              </w:rPr>
              <w:t xml:space="preserve"> ‒ Droit de la famille ‒ Action en simulation ‒ Requête en modifications des mesures accessoires portant sur la pension alimentaire pour enfants ‒ Les questions que soulève le présent pourvoi sont-elles d’importance pour le public au sens de l’article 40(1) de la </w:t>
            </w:r>
            <w:r w:rsidRPr="006B07D6">
              <w:rPr>
                <w:i/>
                <w:sz w:val="20"/>
                <w:szCs w:val="20"/>
                <w:lang w:val="fr-CA"/>
              </w:rPr>
              <w:t>Loi sur la Cour suprême</w:t>
            </w:r>
            <w:r w:rsidRPr="006B07D6">
              <w:rPr>
                <w:sz w:val="20"/>
                <w:szCs w:val="20"/>
                <w:lang w:val="fr-CA"/>
              </w:rPr>
              <w:t xml:space="preserve">, L.R.C. ch. S-26? ‒ La Cour d’appel a-t-elle commis une erreur fondamentale en confirmant le jugement de première instance, alors qu’elle devait intervenir et l’infirmer compte tenu des erreurs importantes de droit et de fait qui lui ont été soumises? ‒ Est-ce que le Juge de première instance avait, en 2015, le pouvoir d’outre passer la règle relative à l’autorité de la chose jugée en procédant à la contradiction et à la modification de trois jugements définitifs rendus en 2007, 2008 et 2009? ‒ Est-ce que le Juge de première instance a erré dans l’interprétation et l’application des articles 1451, 1452 et 1633 du </w:t>
            </w:r>
            <w:r w:rsidRPr="006B07D6">
              <w:rPr>
                <w:i/>
                <w:sz w:val="20"/>
                <w:szCs w:val="20"/>
                <w:lang w:val="fr-CA"/>
              </w:rPr>
              <w:t>Code civil du Québec</w:t>
            </w:r>
            <w:r w:rsidRPr="006B07D6">
              <w:rPr>
                <w:sz w:val="20"/>
                <w:szCs w:val="20"/>
                <w:lang w:val="fr-CA"/>
              </w:rPr>
              <w:t xml:space="preserve">? ‒ Est-ce que le Juge de première instance a commis une erreur fondamentale lorsqu’il préfère les intérêts des grands-parents et parent non-gardien au détriment de ceux de deux enfants mineurs et de leur mère monoparentale? </w:t>
            </w:r>
            <w:r w:rsidRPr="004C3D63">
              <w:rPr>
                <w:sz w:val="20"/>
                <w:szCs w:val="20"/>
              </w:rPr>
              <w:t xml:space="preserve">‒ </w:t>
            </w:r>
            <w:r w:rsidRPr="004C3D63">
              <w:rPr>
                <w:i/>
                <w:sz w:val="20"/>
                <w:szCs w:val="20"/>
              </w:rPr>
              <w:t>Code civil du Québec</w:t>
            </w:r>
            <w:r w:rsidRPr="004C3D63">
              <w:rPr>
                <w:sz w:val="20"/>
                <w:szCs w:val="20"/>
              </w:rPr>
              <w:t>, art. 1451, 1452 et 1633.</w:t>
            </w:r>
          </w:p>
        </w:tc>
      </w:tr>
      <w:tr w:rsidR="006B07D6" w:rsidRPr="004C3D63" w:rsidTr="006B07D6">
        <w:tc>
          <w:tcPr>
            <w:tcW w:w="5000" w:type="pct"/>
            <w:gridSpan w:val="4"/>
          </w:tcPr>
          <w:p w:rsidR="006B07D6" w:rsidRPr="004C3D63" w:rsidRDefault="006B07D6" w:rsidP="006B07D6">
            <w:pPr>
              <w:rPr>
                <w:sz w:val="20"/>
                <w:szCs w:val="20"/>
              </w:rPr>
            </w:pPr>
          </w:p>
        </w:tc>
      </w:tr>
      <w:tr w:rsidR="006B07D6" w:rsidRPr="006B07D6" w:rsidTr="006B07D6">
        <w:tc>
          <w:tcPr>
            <w:tcW w:w="5000" w:type="pct"/>
            <w:gridSpan w:val="4"/>
          </w:tcPr>
          <w:p w:rsidR="006B07D6" w:rsidRPr="006B07D6" w:rsidRDefault="006B07D6" w:rsidP="006B07D6">
            <w:pPr>
              <w:rPr>
                <w:sz w:val="20"/>
                <w:szCs w:val="20"/>
                <w:lang w:val="fr-CA"/>
              </w:rPr>
            </w:pPr>
            <w:r w:rsidRPr="006B07D6">
              <w:rPr>
                <w:sz w:val="20"/>
                <w:szCs w:val="20"/>
                <w:lang w:val="fr-CA"/>
              </w:rPr>
              <w:t>La demanderesse, R.A. et l’intimé, A.AB. se sont mariés en 1998. Deux enfants sont nés de cette union. Les parties se sont séparées en février 2005 et le jugement de divorce a été prononcé en octobre 2009. En vue de faire exécuter le jugement de divorce, R.A. a entrepris en août 2012 une action en simulation contre A.AB. ainsi que contre les membres suivants de la famille de ce dernier soit les intimés H.AB. (sœur),  L.AB. (père), S.AB. (mère) et SA.AB. (frère) afin de faire déterminer qui est le véritable propriétaire d’une résidence située à Montréal et pour laquelle A.AB. aurait contribué financièrement à son achat. Dans cette action, R.A. demande également que soit soulevé le voile corporatif relatif à l’intimé Compagnie A et que soit déclaré comme constituant une simulation, des arrangements intervenus entre A.AB., son frère SA.AB., l’intimé M.K. et Compagnie A relatif à l’exploitation d’un commerce faisant affaire sous le nom de Tapis Électro Maison inc. A.AB. et R.A. ont également déposé des requêtes en modification des mesures accessoires en août 2012 et en juin 2014 quant au calcul de la pension alimentaire pour les enfants et au réajustement des frais particuliers. Les deux recours ont été réunis devant la Cour supérieure.</w:t>
            </w:r>
          </w:p>
        </w:tc>
      </w:tr>
      <w:tr w:rsidR="006B07D6" w:rsidRPr="004C3D63" w:rsidTr="006B07D6">
        <w:tc>
          <w:tcPr>
            <w:tcW w:w="2427" w:type="pct"/>
            <w:gridSpan w:val="2"/>
          </w:tcPr>
          <w:p w:rsidR="006B07D6" w:rsidRPr="006B07D6" w:rsidRDefault="006B07D6" w:rsidP="006B07D6">
            <w:pPr>
              <w:rPr>
                <w:sz w:val="20"/>
                <w:szCs w:val="20"/>
                <w:lang w:val="fr-CA"/>
              </w:rPr>
            </w:pPr>
            <w:r w:rsidRPr="006B07D6">
              <w:rPr>
                <w:sz w:val="20"/>
                <w:szCs w:val="20"/>
                <w:lang w:val="fr-CA"/>
              </w:rPr>
              <w:t>Le 5 novembre 2015</w:t>
            </w:r>
          </w:p>
          <w:p w:rsidR="006B07D6" w:rsidRPr="006B07D6" w:rsidRDefault="006B07D6" w:rsidP="006B07D6">
            <w:pPr>
              <w:rPr>
                <w:sz w:val="20"/>
                <w:szCs w:val="20"/>
                <w:lang w:val="fr-CA"/>
              </w:rPr>
            </w:pPr>
            <w:r w:rsidRPr="006B07D6">
              <w:rPr>
                <w:sz w:val="20"/>
                <w:szCs w:val="20"/>
                <w:lang w:val="fr-CA"/>
              </w:rPr>
              <w:t>Cour supérieure du Québec</w:t>
            </w:r>
          </w:p>
          <w:p w:rsidR="006B07D6" w:rsidRPr="004C3D63" w:rsidRDefault="006B07D6" w:rsidP="006B07D6">
            <w:pPr>
              <w:rPr>
                <w:sz w:val="20"/>
                <w:szCs w:val="20"/>
              </w:rPr>
            </w:pPr>
            <w:r w:rsidRPr="004C3D63">
              <w:rPr>
                <w:sz w:val="20"/>
                <w:szCs w:val="20"/>
              </w:rPr>
              <w:t>(Le juge Chrétien)</w:t>
            </w:r>
          </w:p>
          <w:p w:rsidR="006B07D6" w:rsidRPr="004C3D63" w:rsidRDefault="006B07D6" w:rsidP="006B07D6">
            <w:pPr>
              <w:rPr>
                <w:sz w:val="20"/>
                <w:szCs w:val="20"/>
                <w:lang w:val="en-US"/>
              </w:rPr>
            </w:pPr>
            <w:hyperlink r:id="rId22" w:history="1">
              <w:r w:rsidRPr="004C3D63">
                <w:rPr>
                  <w:rStyle w:val="Hyperlink"/>
                  <w:sz w:val="20"/>
                  <w:szCs w:val="20"/>
                </w:rPr>
                <w:t>2015 QCCS 5099</w:t>
              </w:r>
            </w:hyperlink>
          </w:p>
        </w:tc>
        <w:tc>
          <w:tcPr>
            <w:tcW w:w="243" w:type="pct"/>
          </w:tcPr>
          <w:p w:rsidR="006B07D6" w:rsidRPr="004C3D63" w:rsidRDefault="006B07D6" w:rsidP="006B07D6">
            <w:pPr>
              <w:rPr>
                <w:sz w:val="20"/>
                <w:szCs w:val="20"/>
                <w:lang w:val="en-US"/>
              </w:rPr>
            </w:pPr>
          </w:p>
        </w:tc>
        <w:tc>
          <w:tcPr>
            <w:tcW w:w="2330" w:type="pct"/>
          </w:tcPr>
          <w:p w:rsidR="006B07D6" w:rsidRPr="006B07D6" w:rsidRDefault="006B07D6" w:rsidP="006B07D6">
            <w:pPr>
              <w:rPr>
                <w:sz w:val="20"/>
                <w:szCs w:val="20"/>
                <w:lang w:val="fr-CA"/>
              </w:rPr>
            </w:pPr>
            <w:r w:rsidRPr="006B07D6">
              <w:rPr>
                <w:sz w:val="20"/>
                <w:szCs w:val="20"/>
                <w:lang w:val="fr-CA"/>
              </w:rPr>
              <w:t>Requête introductive d’instance rejetée.</w:t>
            </w:r>
          </w:p>
          <w:p w:rsidR="006B07D6" w:rsidRPr="006B07D6" w:rsidRDefault="006B07D6" w:rsidP="006B07D6">
            <w:pPr>
              <w:rPr>
                <w:sz w:val="20"/>
                <w:szCs w:val="20"/>
                <w:lang w:val="fr-CA"/>
              </w:rPr>
            </w:pPr>
            <w:r w:rsidRPr="006B07D6">
              <w:rPr>
                <w:sz w:val="20"/>
                <w:szCs w:val="20"/>
                <w:lang w:val="fr-CA"/>
              </w:rPr>
              <w:t>Saisie de l’immeuble situé à Montréal cassée et mainlevée dudit immeuble donnée.</w:t>
            </w:r>
          </w:p>
          <w:p w:rsidR="006B07D6" w:rsidRPr="004C3D63" w:rsidRDefault="006B07D6" w:rsidP="006B07D6">
            <w:pPr>
              <w:rPr>
                <w:sz w:val="20"/>
                <w:szCs w:val="20"/>
              </w:rPr>
            </w:pPr>
            <w:r w:rsidRPr="004C3D63">
              <w:rPr>
                <w:sz w:val="20"/>
                <w:szCs w:val="20"/>
              </w:rPr>
              <w:t xml:space="preserve">Demandes reconventionnelles rejetées. </w:t>
            </w:r>
          </w:p>
        </w:tc>
      </w:tr>
      <w:tr w:rsidR="006B07D6" w:rsidRPr="004C3D63" w:rsidTr="006B07D6">
        <w:tc>
          <w:tcPr>
            <w:tcW w:w="2427" w:type="pct"/>
            <w:gridSpan w:val="2"/>
          </w:tcPr>
          <w:p w:rsidR="006B07D6" w:rsidRPr="006B07D6" w:rsidRDefault="006B07D6" w:rsidP="006B07D6">
            <w:pPr>
              <w:rPr>
                <w:sz w:val="20"/>
                <w:szCs w:val="20"/>
                <w:lang w:val="fr-CA"/>
              </w:rPr>
            </w:pPr>
            <w:r w:rsidRPr="006B07D6">
              <w:rPr>
                <w:sz w:val="20"/>
                <w:szCs w:val="20"/>
                <w:lang w:val="fr-CA"/>
              </w:rPr>
              <w:t>Le 24 mars 2017</w:t>
            </w:r>
          </w:p>
          <w:p w:rsidR="006B07D6" w:rsidRPr="006B07D6" w:rsidRDefault="006B07D6" w:rsidP="006B07D6">
            <w:pPr>
              <w:rPr>
                <w:sz w:val="20"/>
                <w:szCs w:val="20"/>
                <w:lang w:val="fr-CA"/>
              </w:rPr>
            </w:pPr>
            <w:r w:rsidRPr="006B07D6">
              <w:rPr>
                <w:sz w:val="20"/>
                <w:szCs w:val="20"/>
                <w:lang w:val="fr-CA"/>
              </w:rPr>
              <w:t>Cour d’appel du Québec (Montréal)</w:t>
            </w:r>
          </w:p>
          <w:p w:rsidR="006B07D6" w:rsidRPr="006B07D6" w:rsidRDefault="006B07D6" w:rsidP="006B07D6">
            <w:pPr>
              <w:rPr>
                <w:sz w:val="20"/>
                <w:szCs w:val="20"/>
                <w:lang w:val="fr-CA"/>
              </w:rPr>
            </w:pPr>
            <w:r w:rsidRPr="006B07D6">
              <w:rPr>
                <w:sz w:val="20"/>
                <w:szCs w:val="20"/>
                <w:lang w:val="fr-CA"/>
              </w:rPr>
              <w:t>(Les juges St-Pierre, Hogue et Healy)</w:t>
            </w:r>
          </w:p>
          <w:p w:rsidR="006B07D6" w:rsidRPr="004C3D63" w:rsidRDefault="006B07D6" w:rsidP="006B07D6">
            <w:pPr>
              <w:rPr>
                <w:rStyle w:val="Hyperlink"/>
                <w:sz w:val="20"/>
                <w:szCs w:val="20"/>
              </w:rPr>
            </w:pPr>
            <w:hyperlink r:id="rId23" w:history="1">
              <w:r w:rsidRPr="004C3D63">
                <w:rPr>
                  <w:rStyle w:val="Hyperlink"/>
                  <w:sz w:val="20"/>
                  <w:szCs w:val="20"/>
                </w:rPr>
                <w:t>2017 QCCA 465</w:t>
              </w:r>
            </w:hyperlink>
          </w:p>
          <w:p w:rsidR="006B07D6" w:rsidRPr="004C3D63" w:rsidRDefault="006B07D6" w:rsidP="006B07D6">
            <w:pPr>
              <w:rPr>
                <w:sz w:val="20"/>
                <w:szCs w:val="20"/>
                <w:lang w:val="en-US"/>
              </w:rPr>
            </w:pPr>
          </w:p>
        </w:tc>
        <w:tc>
          <w:tcPr>
            <w:tcW w:w="243" w:type="pct"/>
          </w:tcPr>
          <w:p w:rsidR="006B07D6" w:rsidRPr="004C3D63" w:rsidRDefault="006B07D6" w:rsidP="006B07D6">
            <w:pPr>
              <w:rPr>
                <w:sz w:val="20"/>
                <w:szCs w:val="20"/>
                <w:lang w:val="en-US"/>
              </w:rPr>
            </w:pPr>
          </w:p>
        </w:tc>
        <w:tc>
          <w:tcPr>
            <w:tcW w:w="2330" w:type="pct"/>
          </w:tcPr>
          <w:p w:rsidR="006B07D6" w:rsidRPr="004C3D63" w:rsidRDefault="006B07D6" w:rsidP="006B07D6">
            <w:pPr>
              <w:rPr>
                <w:sz w:val="20"/>
                <w:szCs w:val="20"/>
              </w:rPr>
            </w:pPr>
            <w:r w:rsidRPr="004C3D63">
              <w:rPr>
                <w:sz w:val="20"/>
                <w:szCs w:val="20"/>
              </w:rPr>
              <w:t>Appel rejeté.</w:t>
            </w:r>
          </w:p>
          <w:p w:rsidR="006B07D6" w:rsidRPr="004C3D63" w:rsidRDefault="006B07D6" w:rsidP="006B07D6">
            <w:pPr>
              <w:rPr>
                <w:sz w:val="20"/>
                <w:szCs w:val="20"/>
              </w:rPr>
            </w:pPr>
          </w:p>
        </w:tc>
      </w:tr>
      <w:tr w:rsidR="006B07D6" w:rsidRPr="004C3D63" w:rsidTr="006B07D6">
        <w:tc>
          <w:tcPr>
            <w:tcW w:w="2427" w:type="pct"/>
            <w:gridSpan w:val="2"/>
          </w:tcPr>
          <w:p w:rsidR="006B07D6" w:rsidRPr="006B07D6" w:rsidRDefault="006B07D6" w:rsidP="006B07D6">
            <w:pPr>
              <w:rPr>
                <w:sz w:val="20"/>
                <w:szCs w:val="20"/>
                <w:lang w:val="fr-CA"/>
              </w:rPr>
            </w:pPr>
            <w:r w:rsidRPr="006B07D6">
              <w:rPr>
                <w:sz w:val="20"/>
                <w:szCs w:val="20"/>
                <w:lang w:val="fr-CA"/>
              </w:rPr>
              <w:t>Le 19 mai 2017</w:t>
            </w:r>
          </w:p>
          <w:p w:rsidR="006B07D6" w:rsidRPr="004C3D63" w:rsidRDefault="006B07D6" w:rsidP="006B07D6">
            <w:pPr>
              <w:rPr>
                <w:sz w:val="20"/>
                <w:szCs w:val="20"/>
                <w:lang w:val="fr-CA"/>
              </w:rPr>
            </w:pPr>
            <w:r w:rsidRPr="006B07D6">
              <w:rPr>
                <w:sz w:val="20"/>
                <w:szCs w:val="20"/>
                <w:lang w:val="fr-CA"/>
              </w:rPr>
              <w:t>Cour suprême du Canada</w:t>
            </w:r>
          </w:p>
        </w:tc>
        <w:tc>
          <w:tcPr>
            <w:tcW w:w="243" w:type="pct"/>
          </w:tcPr>
          <w:p w:rsidR="006B07D6" w:rsidRPr="004C3D63" w:rsidRDefault="006B07D6" w:rsidP="006B07D6">
            <w:pPr>
              <w:rPr>
                <w:sz w:val="20"/>
                <w:szCs w:val="20"/>
                <w:lang w:val="fr-CA"/>
              </w:rPr>
            </w:pPr>
          </w:p>
        </w:tc>
        <w:tc>
          <w:tcPr>
            <w:tcW w:w="2330" w:type="pct"/>
          </w:tcPr>
          <w:p w:rsidR="006B07D6" w:rsidRPr="004C3D63" w:rsidRDefault="006B07D6" w:rsidP="006B07D6">
            <w:pPr>
              <w:rPr>
                <w:sz w:val="20"/>
                <w:szCs w:val="20"/>
              </w:rPr>
            </w:pPr>
            <w:r w:rsidRPr="004C3D63">
              <w:rPr>
                <w:sz w:val="20"/>
                <w:szCs w:val="20"/>
              </w:rPr>
              <w:t>Demande d'autorisation d'appel déposée.</w:t>
            </w:r>
          </w:p>
          <w:p w:rsidR="006B07D6" w:rsidRPr="004C3D63" w:rsidRDefault="006B07D6" w:rsidP="006B07D6">
            <w:pPr>
              <w:rPr>
                <w:sz w:val="20"/>
                <w:szCs w:val="20"/>
              </w:rPr>
            </w:pPr>
          </w:p>
        </w:tc>
      </w:tr>
    </w:tbl>
    <w:p w:rsidR="006B07D6" w:rsidRDefault="006B07D6" w:rsidP="00B0072F">
      <w:pPr>
        <w:jc w:val="both"/>
        <w:rPr>
          <w:sz w:val="20"/>
          <w:szCs w:val="20"/>
        </w:rPr>
      </w:pPr>
    </w:p>
    <w:p w:rsidR="00B0072F" w:rsidRPr="000E560D" w:rsidRDefault="006B07D6" w:rsidP="00B0072F">
      <w:pPr>
        <w:jc w:val="both"/>
        <w:rPr>
          <w:sz w:val="20"/>
        </w:rPr>
      </w:pPr>
      <w:r>
        <w:rPr>
          <w:sz w:val="20"/>
          <w:szCs w:val="20"/>
        </w:rPr>
        <w:pict>
          <v:rect id="_x0000_i1041" style="width:2in;height:1pt" o:hrpct="0" o:hralign="center" o:hrstd="t" o:hrnoshade="t" o:hr="t" fillcolor="black [3213]" stroked="f"/>
        </w:pict>
      </w:r>
    </w:p>
    <w:p w:rsidR="00B0072F" w:rsidRPr="000E560D" w:rsidRDefault="00B0072F" w:rsidP="00B0072F">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0E560D" w:rsidTr="00B0072F">
        <w:tc>
          <w:tcPr>
            <w:tcW w:w="543" w:type="pct"/>
          </w:tcPr>
          <w:p w:rsidR="00B0072F" w:rsidRPr="000E560D" w:rsidRDefault="00B0072F" w:rsidP="00B0072F">
            <w:pPr>
              <w:jc w:val="both"/>
              <w:rPr>
                <w:sz w:val="20"/>
              </w:rPr>
            </w:pPr>
            <w:r w:rsidRPr="000E560D">
              <w:rPr>
                <w:rStyle w:val="SCCFileNumberChar"/>
                <w:sz w:val="20"/>
                <w:szCs w:val="20"/>
              </w:rPr>
              <w:t>37582</w:t>
            </w:r>
          </w:p>
        </w:tc>
        <w:tc>
          <w:tcPr>
            <w:tcW w:w="4457" w:type="pct"/>
            <w:gridSpan w:val="3"/>
          </w:tcPr>
          <w:p w:rsidR="00B0072F" w:rsidRPr="00B0072F" w:rsidRDefault="004E04AC" w:rsidP="00B0072F">
            <w:pPr>
              <w:pStyle w:val="SCCLsocParty"/>
              <w:jc w:val="both"/>
              <w:rPr>
                <w:sz w:val="20"/>
                <w:lang w:val="en-US"/>
              </w:rPr>
            </w:pPr>
            <w:r w:rsidRPr="004E04AC">
              <w:rPr>
                <w:b/>
                <w:sz w:val="20"/>
                <w:szCs w:val="20"/>
                <w:lang w:val="en-US"/>
              </w:rPr>
              <w:t xml:space="preserve">John F. Schneider Professional Corporation, operating as Canmore Legal Services and John F. Schneider v. Horst Tyson Dahlem Professional Corporation </w:t>
            </w:r>
            <w:r w:rsidR="00B0072F" w:rsidRPr="00B0072F">
              <w:rPr>
                <w:sz w:val="20"/>
                <w:lang w:val="en-US"/>
              </w:rPr>
              <w:t>(Alta.) (Civil) (By Leave)</w:t>
            </w:r>
          </w:p>
        </w:tc>
      </w:tr>
      <w:tr w:rsidR="00B0072F" w:rsidRPr="000E560D" w:rsidTr="00B0072F">
        <w:tc>
          <w:tcPr>
            <w:tcW w:w="543" w:type="pct"/>
          </w:tcPr>
          <w:p w:rsidR="00B0072F" w:rsidRPr="000E560D" w:rsidRDefault="00B0072F" w:rsidP="00B0072F">
            <w:pPr>
              <w:jc w:val="both"/>
              <w:rPr>
                <w:rStyle w:val="SCCFileNumberChar"/>
                <w:sz w:val="20"/>
                <w:szCs w:val="20"/>
              </w:rPr>
            </w:pPr>
            <w:r>
              <w:rPr>
                <w:rStyle w:val="SCCFileNumberChar"/>
                <w:sz w:val="20"/>
                <w:szCs w:val="20"/>
              </w:rPr>
              <w:t>Coram:</w:t>
            </w:r>
          </w:p>
        </w:tc>
        <w:tc>
          <w:tcPr>
            <w:tcW w:w="4457" w:type="pct"/>
            <w:gridSpan w:val="3"/>
          </w:tcPr>
          <w:p w:rsidR="00B0072F" w:rsidRDefault="004E04AC" w:rsidP="00B0072F">
            <w:pPr>
              <w:pStyle w:val="SCCLsocParty"/>
              <w:jc w:val="both"/>
              <w:rPr>
                <w:sz w:val="20"/>
                <w:szCs w:val="20"/>
                <w:lang w:val="en-US"/>
              </w:rPr>
            </w:pPr>
            <w:r w:rsidRPr="004E04AC">
              <w:rPr>
                <w:sz w:val="20"/>
                <w:szCs w:val="20"/>
                <w:lang w:val="en-US"/>
              </w:rPr>
              <w:t>McLachlin C.J. and Abella, Moldaver, Karakatsanis, Wagner, Gascon, Côté, Brown and Rowe JJ.</w:t>
            </w:r>
          </w:p>
          <w:p w:rsidR="004E04AC" w:rsidRPr="004E04AC" w:rsidRDefault="004E04AC" w:rsidP="004E04AC">
            <w:pPr>
              <w:rPr>
                <w:lang w:val="en-US"/>
              </w:rPr>
            </w:pPr>
          </w:p>
        </w:tc>
      </w:tr>
      <w:tr w:rsidR="00B0072F" w:rsidRPr="000E560D" w:rsidTr="00B0072F">
        <w:tc>
          <w:tcPr>
            <w:tcW w:w="5000" w:type="pct"/>
            <w:gridSpan w:val="4"/>
          </w:tcPr>
          <w:p w:rsidR="00B0072F" w:rsidRPr="004E04AC" w:rsidRDefault="004E04AC" w:rsidP="00B0072F">
            <w:pPr>
              <w:pStyle w:val="SCCLsocParty"/>
              <w:jc w:val="both"/>
              <w:rPr>
                <w:sz w:val="20"/>
                <w:szCs w:val="20"/>
                <w:lang w:val="en-US"/>
              </w:rPr>
            </w:pPr>
            <w:r w:rsidRPr="004E04AC">
              <w:rPr>
                <w:sz w:val="20"/>
                <w:szCs w:val="20"/>
                <w:lang w:val="en-US"/>
              </w:rPr>
              <w:t>The application for leave to appeal from the judgment of the Court of Appeal of Alberta (Calgary), Number 1601-0054-AC, 2017 ABCA 97, dated March 27, 2017, is dismissed with costs.</w:t>
            </w:r>
          </w:p>
          <w:p w:rsidR="004E04AC" w:rsidRPr="004E04AC" w:rsidRDefault="004E04AC" w:rsidP="004E04AC">
            <w:pPr>
              <w:rPr>
                <w:lang w:val="en-US"/>
              </w:rPr>
            </w:pPr>
          </w:p>
        </w:tc>
      </w:tr>
      <w:tr w:rsidR="00B0072F" w:rsidRPr="000E560D" w:rsidTr="00B0072F">
        <w:tc>
          <w:tcPr>
            <w:tcW w:w="5000" w:type="pct"/>
            <w:gridSpan w:val="4"/>
          </w:tcPr>
          <w:p w:rsidR="00B0072F" w:rsidRPr="000E560D" w:rsidRDefault="00B0072F" w:rsidP="00B0072F">
            <w:pPr>
              <w:jc w:val="both"/>
              <w:rPr>
                <w:sz w:val="20"/>
              </w:rPr>
            </w:pPr>
            <w:r w:rsidRPr="000E560D">
              <w:rPr>
                <w:sz w:val="20"/>
              </w:rPr>
              <w:t xml:space="preserve">Law of professions – Barristers and solicitors – Contracts – Two professional corporations, each with one lawyer shareholder, entering into “employment contract” for fee splitting and cost sharing – Corporate applicant failing to pay </w:t>
            </w:r>
            <w:r w:rsidRPr="000E560D">
              <w:rPr>
                <w:sz w:val="20"/>
              </w:rPr>
              <w:lastRenderedPageBreak/>
              <w:t>fees billed to it by corporate respondent – Respondent bringing action against corporate applicant and shareholder personally – In what circumstances are shareholders of professional corporations personally liable for obligations of professional corporations?</w:t>
            </w:r>
          </w:p>
          <w:p w:rsidR="00B0072F" w:rsidRPr="000E560D" w:rsidRDefault="00B0072F" w:rsidP="00B0072F">
            <w:pPr>
              <w:jc w:val="both"/>
              <w:rPr>
                <w:sz w:val="20"/>
              </w:rPr>
            </w:pPr>
          </w:p>
        </w:tc>
      </w:tr>
      <w:tr w:rsidR="00B0072F" w:rsidRPr="000E560D" w:rsidTr="001B7340">
        <w:trPr>
          <w:trHeight w:val="432"/>
        </w:trPr>
        <w:tc>
          <w:tcPr>
            <w:tcW w:w="5000" w:type="pct"/>
            <w:gridSpan w:val="4"/>
          </w:tcPr>
          <w:p w:rsidR="00B0072F" w:rsidRPr="000E560D" w:rsidRDefault="00B0072F" w:rsidP="00B0072F">
            <w:pPr>
              <w:pStyle w:val="felskynumbering121"/>
              <w:spacing w:before="0" w:after="0"/>
              <w:jc w:val="both"/>
              <w:rPr>
                <w:sz w:val="20"/>
                <w:szCs w:val="20"/>
              </w:rPr>
            </w:pPr>
            <w:r w:rsidRPr="000E560D">
              <w:rPr>
                <w:sz w:val="20"/>
                <w:szCs w:val="20"/>
              </w:rPr>
              <w:lastRenderedPageBreak/>
              <w:t>Mr. Dahlem began to work as a lawyer at Canmore Legal Services (“CLS”) in Canmore, Alberta in October of 2003. CLS was owned and operated by Mr. Schneider. They entered into what they termed an “employment agreement” on February 23, 2006. The parties to the agreement were Canmore Legal Service (“CLS”)/John Schneider as operated by John F. Schneider Professional Corporation and Horst Tyson Dahlem Professional Corporation. The agreement provided for Mr. Dahlem to be paid “commissions” based on the amount of fees he earned and collected.</w:t>
            </w:r>
            <w:r w:rsidRPr="000E560D">
              <w:rPr>
                <w:sz w:val="20"/>
                <w:szCs w:val="20"/>
                <w:lang w:val="en"/>
              </w:rPr>
              <w:t xml:space="preserve">  On March 31, 2006 Mr. Dahlem presented Mr. Schneider, through CLS, an invoice for the amount of $71,166.98. He was to receive $35,583.49 on April 1, 2006 and the remaining $35,583.49 on April 15</w:t>
            </w:r>
            <w:r w:rsidRPr="000E560D">
              <w:rPr>
                <w:sz w:val="20"/>
                <w:szCs w:val="20"/>
                <w:vertAlign w:val="superscript"/>
                <w:lang w:val="en"/>
              </w:rPr>
              <w:t>th</w:t>
            </w:r>
            <w:r w:rsidRPr="000E560D">
              <w:rPr>
                <w:sz w:val="20"/>
                <w:szCs w:val="20"/>
                <w:lang w:val="en"/>
              </w:rPr>
              <w:t>. In total, he only received $17,791.75. As of May 2</w:t>
            </w:r>
            <w:r w:rsidRPr="000E560D">
              <w:rPr>
                <w:sz w:val="20"/>
                <w:szCs w:val="20"/>
                <w:vertAlign w:val="superscript"/>
                <w:lang w:val="en"/>
              </w:rPr>
              <w:t>nd</w:t>
            </w:r>
            <w:r w:rsidRPr="000E560D">
              <w:rPr>
                <w:sz w:val="20"/>
                <w:szCs w:val="20"/>
                <w:lang w:val="en"/>
              </w:rPr>
              <w:t>, 2006, Mr. Dahlem was owed $53,375.33. He sent a letter regarding the outstanding account to Mr. Schneider, who in response promised to pay the invoice and also acknowledged the outstanding amounts in writing. On May 23</w:t>
            </w:r>
            <w:r w:rsidRPr="000E560D">
              <w:rPr>
                <w:sz w:val="20"/>
                <w:szCs w:val="20"/>
                <w:vertAlign w:val="superscript"/>
                <w:lang w:val="en"/>
              </w:rPr>
              <w:t>rd</w:t>
            </w:r>
            <w:r w:rsidRPr="000E560D">
              <w:rPr>
                <w:sz w:val="20"/>
                <w:szCs w:val="20"/>
                <w:lang w:val="en"/>
              </w:rPr>
              <w:t xml:space="preserve">, 2006 Mr. Dahlem again wrote to Mr. Schneider regarding the amount still owing. On that same day, Mr. Schneider terminated Mr. Dahlem’s employment and locked him out of the building. Mr. Dahlem launched an action against Mr. Schneider, his professional corporation and CLS the following month. Mr. Schneider counterclaimed, alleging that Mr. Dalhem had not adjusted his accounts for work done by others in the firm, had failed to complete files, had caused him to lose clients and had not paid for advertising and for a typewriter. He sought $30,000 plus $55,000 in general damages. </w:t>
            </w:r>
          </w:p>
        </w:tc>
      </w:tr>
      <w:tr w:rsidR="00B0072F" w:rsidRPr="000E560D" w:rsidTr="00B0072F">
        <w:tc>
          <w:tcPr>
            <w:tcW w:w="5000" w:type="pct"/>
            <w:gridSpan w:val="4"/>
          </w:tcPr>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February 12, 2016</w:t>
            </w:r>
          </w:p>
          <w:p w:rsidR="00B0072F" w:rsidRPr="000E560D" w:rsidRDefault="00B0072F" w:rsidP="00B0072F">
            <w:pPr>
              <w:jc w:val="both"/>
              <w:rPr>
                <w:sz w:val="20"/>
              </w:rPr>
            </w:pPr>
            <w:r w:rsidRPr="000E560D">
              <w:rPr>
                <w:sz w:val="20"/>
              </w:rPr>
              <w:t>Court of Queen’s Bench of Alberta</w:t>
            </w:r>
          </w:p>
          <w:p w:rsidR="00B0072F" w:rsidRPr="000E560D" w:rsidRDefault="00B0072F" w:rsidP="00B0072F">
            <w:pPr>
              <w:jc w:val="both"/>
              <w:rPr>
                <w:sz w:val="20"/>
              </w:rPr>
            </w:pPr>
            <w:r w:rsidRPr="000E560D">
              <w:rPr>
                <w:sz w:val="20"/>
              </w:rPr>
              <w:t>(Hawco J.)</w:t>
            </w:r>
          </w:p>
          <w:p w:rsidR="00B0072F" w:rsidRPr="000E560D" w:rsidRDefault="006B07D6" w:rsidP="00B0072F">
            <w:pPr>
              <w:jc w:val="both"/>
              <w:rPr>
                <w:sz w:val="20"/>
              </w:rPr>
            </w:pPr>
            <w:hyperlink r:id="rId24" w:history="1">
              <w:r w:rsidR="00B0072F" w:rsidRPr="000E560D">
                <w:rPr>
                  <w:rStyle w:val="Hyperlink"/>
                  <w:sz w:val="20"/>
                </w:rPr>
                <w:t>2016 ABQB 92</w:t>
              </w:r>
            </w:hyperlink>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Judgment for respondent</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March 27, 2017</w:t>
            </w:r>
          </w:p>
          <w:p w:rsidR="00B0072F" w:rsidRPr="000E560D" w:rsidRDefault="00B0072F" w:rsidP="00B0072F">
            <w:pPr>
              <w:jc w:val="both"/>
              <w:rPr>
                <w:sz w:val="20"/>
              </w:rPr>
            </w:pPr>
            <w:r w:rsidRPr="000E560D">
              <w:rPr>
                <w:sz w:val="20"/>
              </w:rPr>
              <w:t>Court of Appeal of Alberta (Calgary)</w:t>
            </w:r>
          </w:p>
          <w:p w:rsidR="00B0072F" w:rsidRPr="000E560D" w:rsidRDefault="00B0072F" w:rsidP="00B0072F">
            <w:pPr>
              <w:jc w:val="both"/>
              <w:rPr>
                <w:sz w:val="20"/>
              </w:rPr>
            </w:pPr>
            <w:r w:rsidRPr="000E560D">
              <w:rPr>
                <w:sz w:val="20"/>
              </w:rPr>
              <w:t>(Slatter, Veldhuis and Greckol JJ.A.)</w:t>
            </w:r>
          </w:p>
          <w:p w:rsidR="00B0072F" w:rsidRPr="000E560D" w:rsidRDefault="006B07D6" w:rsidP="00B0072F">
            <w:pPr>
              <w:jc w:val="both"/>
              <w:rPr>
                <w:sz w:val="20"/>
              </w:rPr>
            </w:pPr>
            <w:hyperlink r:id="rId25" w:history="1">
              <w:r w:rsidR="00B0072F" w:rsidRPr="000E560D">
                <w:rPr>
                  <w:rStyle w:val="Hyperlink"/>
                  <w:sz w:val="20"/>
                </w:rPr>
                <w:t>2017 ABCA 97</w:t>
              </w:r>
            </w:hyperlink>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Applicants’ appeal allowed in part</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May 26, 2017</w:t>
            </w:r>
          </w:p>
          <w:p w:rsidR="00B0072F" w:rsidRPr="000E560D" w:rsidRDefault="00B0072F" w:rsidP="00B0072F">
            <w:pPr>
              <w:jc w:val="both"/>
              <w:rPr>
                <w:sz w:val="20"/>
              </w:rPr>
            </w:pPr>
            <w:r w:rsidRPr="000E560D">
              <w:rPr>
                <w:sz w:val="20"/>
              </w:rPr>
              <w:t>Supreme Court of Canada</w:t>
            </w: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Application for leave to appeal filed</w:t>
            </w:r>
          </w:p>
          <w:p w:rsidR="00B0072F" w:rsidRPr="000E560D" w:rsidRDefault="00B0072F" w:rsidP="00B0072F">
            <w:pPr>
              <w:jc w:val="both"/>
              <w:rPr>
                <w:sz w:val="20"/>
              </w:rPr>
            </w:pPr>
          </w:p>
        </w:tc>
      </w:tr>
    </w:tbl>
    <w:p w:rsidR="00B0072F" w:rsidRPr="000E560D" w:rsidRDefault="006B07D6" w:rsidP="00B0072F">
      <w:pPr>
        <w:jc w:val="both"/>
        <w:rPr>
          <w:sz w:val="20"/>
        </w:rPr>
      </w:pPr>
      <w:r>
        <w:rPr>
          <w:sz w:val="20"/>
          <w:szCs w:val="20"/>
        </w:rPr>
        <w:pict>
          <v:rect id="_x0000_i1042" style="width:2in;height:1pt" o:hrpct="0" o:hralign="center" o:hrstd="t" o:hrnoshade="t" o:hr="t" fillcolor="black [3213]" stroked="f"/>
        </w:pict>
      </w:r>
    </w:p>
    <w:p w:rsidR="00B0072F" w:rsidRPr="000E560D" w:rsidRDefault="00B0072F" w:rsidP="00B0072F">
      <w:pPr>
        <w:jc w:val="both"/>
        <w:rPr>
          <w:sz w:val="20"/>
        </w:rPr>
      </w:pPr>
    </w:p>
    <w:p w:rsidR="00E111AB" w:rsidRDefault="00E111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0E560D" w:rsidTr="00B0072F">
        <w:tc>
          <w:tcPr>
            <w:tcW w:w="543" w:type="pct"/>
          </w:tcPr>
          <w:p w:rsidR="00B0072F" w:rsidRPr="000E560D" w:rsidRDefault="00B0072F" w:rsidP="00B0072F">
            <w:pPr>
              <w:jc w:val="both"/>
              <w:rPr>
                <w:sz w:val="20"/>
                <w:lang w:val="fr-CA"/>
              </w:rPr>
            </w:pPr>
            <w:r w:rsidRPr="000E560D">
              <w:rPr>
                <w:rStyle w:val="SCCFileNumberChar"/>
                <w:sz w:val="20"/>
                <w:szCs w:val="20"/>
                <w:lang w:val="fr-CA"/>
              </w:rPr>
              <w:lastRenderedPageBreak/>
              <w:t>37582</w:t>
            </w:r>
          </w:p>
        </w:tc>
        <w:tc>
          <w:tcPr>
            <w:tcW w:w="4457" w:type="pct"/>
            <w:gridSpan w:val="3"/>
          </w:tcPr>
          <w:p w:rsidR="00B0072F" w:rsidRPr="000E560D" w:rsidRDefault="00B0072F" w:rsidP="00B0072F">
            <w:pPr>
              <w:pStyle w:val="SCCLsocParty"/>
              <w:jc w:val="both"/>
              <w:rPr>
                <w:b/>
                <w:sz w:val="20"/>
                <w:szCs w:val="20"/>
              </w:rPr>
            </w:pPr>
            <w:r w:rsidRPr="000E560D">
              <w:rPr>
                <w:b/>
                <w:sz w:val="20"/>
                <w:szCs w:val="20"/>
              </w:rPr>
              <w:t>John F. Schneider Professional Corporation, faisant affaire sous la raison sociale Canmore Legal Services, John F. Schneider c. Horst Tyson Dahlem Professional Corporation</w:t>
            </w:r>
          </w:p>
          <w:p w:rsidR="00B0072F" w:rsidRPr="000E560D" w:rsidRDefault="00B0072F" w:rsidP="00B0072F">
            <w:pPr>
              <w:jc w:val="both"/>
              <w:rPr>
                <w:sz w:val="20"/>
                <w:lang w:val="fr-CA"/>
              </w:rPr>
            </w:pPr>
            <w:r w:rsidRPr="000E560D">
              <w:rPr>
                <w:sz w:val="20"/>
                <w:lang w:val="fr-CA"/>
              </w:rPr>
              <w:t>(Alb.) (Civile) (Sur autorisation)</w:t>
            </w:r>
          </w:p>
        </w:tc>
      </w:tr>
      <w:tr w:rsidR="00B0072F" w:rsidRPr="006B07D6" w:rsidTr="00B0072F">
        <w:tc>
          <w:tcPr>
            <w:tcW w:w="543" w:type="pct"/>
          </w:tcPr>
          <w:p w:rsidR="00B0072F" w:rsidRPr="000E560D" w:rsidRDefault="00B0072F" w:rsidP="00B0072F">
            <w:pPr>
              <w:jc w:val="both"/>
              <w:rPr>
                <w:rStyle w:val="SCCFileNumberChar"/>
                <w:sz w:val="20"/>
                <w:szCs w:val="20"/>
                <w:lang w:val="fr-CA"/>
              </w:rPr>
            </w:pPr>
            <w:r>
              <w:rPr>
                <w:rStyle w:val="SCCFileNumberChar"/>
                <w:sz w:val="20"/>
                <w:szCs w:val="20"/>
                <w:lang w:val="fr-CA"/>
              </w:rPr>
              <w:t>Coram :</w:t>
            </w:r>
          </w:p>
        </w:tc>
        <w:tc>
          <w:tcPr>
            <w:tcW w:w="4457" w:type="pct"/>
            <w:gridSpan w:val="3"/>
          </w:tcPr>
          <w:p w:rsidR="00B0072F" w:rsidRDefault="004E04AC" w:rsidP="00B0072F">
            <w:pPr>
              <w:pStyle w:val="SCCLsocParty"/>
              <w:jc w:val="both"/>
              <w:rPr>
                <w:sz w:val="20"/>
                <w:szCs w:val="20"/>
                <w:lang w:val="fr-FR"/>
              </w:rPr>
            </w:pPr>
            <w:r w:rsidRPr="0022296C">
              <w:rPr>
                <w:sz w:val="20"/>
                <w:szCs w:val="20"/>
                <w:lang w:val="fr-FR"/>
              </w:rPr>
              <w:t>La juge en chef McLachlin et les juges Abella, Moldaver, Karakatsanis, Wagner, Gascon, Côté, Brown et Rowe</w:t>
            </w:r>
          </w:p>
          <w:p w:rsidR="004E04AC" w:rsidRPr="004E04AC" w:rsidRDefault="004E04AC" w:rsidP="004E04AC">
            <w:pPr>
              <w:rPr>
                <w:lang w:val="fr-FR"/>
              </w:rPr>
            </w:pPr>
          </w:p>
        </w:tc>
      </w:tr>
      <w:tr w:rsidR="00B0072F" w:rsidRPr="006B07D6" w:rsidTr="00B0072F">
        <w:tc>
          <w:tcPr>
            <w:tcW w:w="5000" w:type="pct"/>
            <w:gridSpan w:val="4"/>
          </w:tcPr>
          <w:p w:rsidR="00B0072F" w:rsidRDefault="004E04AC" w:rsidP="00B0072F">
            <w:pPr>
              <w:pStyle w:val="SCCLsocParty"/>
              <w:jc w:val="both"/>
              <w:rPr>
                <w:sz w:val="20"/>
                <w:szCs w:val="20"/>
              </w:rPr>
            </w:pPr>
            <w:r w:rsidRPr="0022296C">
              <w:rPr>
                <w:sz w:val="20"/>
                <w:szCs w:val="20"/>
              </w:rPr>
              <w:t xml:space="preserve">La demande d’autorisation d’appel de l’arrêt de la </w:t>
            </w:r>
            <w:r w:rsidRPr="0022296C">
              <w:rPr>
                <w:sz w:val="20"/>
                <w:szCs w:val="20"/>
                <w:lang w:val="fr-FR"/>
              </w:rPr>
              <w:t>Cour d</w:t>
            </w:r>
            <w:r w:rsidRPr="0022296C">
              <w:rPr>
                <w:sz w:val="20"/>
                <w:szCs w:val="20"/>
              </w:rPr>
              <w:t>’</w:t>
            </w:r>
            <w:r w:rsidRPr="0022296C">
              <w:rPr>
                <w:sz w:val="20"/>
                <w:szCs w:val="20"/>
                <w:lang w:val="fr-FR"/>
              </w:rPr>
              <w:t>appel de l’Alberta (Calgary)</w:t>
            </w:r>
            <w:r w:rsidRPr="0022296C">
              <w:rPr>
                <w:sz w:val="20"/>
                <w:szCs w:val="20"/>
              </w:rPr>
              <w:t xml:space="preserve">, numéro </w:t>
            </w:r>
            <w:r w:rsidRPr="0022296C">
              <w:rPr>
                <w:sz w:val="20"/>
                <w:szCs w:val="20"/>
                <w:lang w:val="fr-FR"/>
              </w:rPr>
              <w:t>1601-0054-AC, 2017 ABCA 97</w:t>
            </w:r>
            <w:r w:rsidRPr="0022296C">
              <w:rPr>
                <w:sz w:val="20"/>
                <w:szCs w:val="20"/>
              </w:rPr>
              <w:t xml:space="preserve">, daté du </w:t>
            </w:r>
            <w:r w:rsidRPr="0022296C">
              <w:rPr>
                <w:sz w:val="20"/>
                <w:szCs w:val="20"/>
                <w:lang w:val="fr-FR"/>
              </w:rPr>
              <w:t>27 mars 2017</w:t>
            </w:r>
            <w:r w:rsidRPr="0022296C">
              <w:rPr>
                <w:sz w:val="20"/>
                <w:szCs w:val="20"/>
              </w:rPr>
              <w:t>, est rejetée avec dépens.</w:t>
            </w:r>
          </w:p>
          <w:p w:rsidR="004E04AC" w:rsidRPr="004E04AC" w:rsidRDefault="004E04AC" w:rsidP="004E04AC">
            <w:pPr>
              <w:rPr>
                <w:lang w:val="fr-CA"/>
              </w:rPr>
            </w:pPr>
          </w:p>
        </w:tc>
      </w:tr>
      <w:tr w:rsidR="00B0072F" w:rsidRPr="006B07D6" w:rsidTr="00B0072F">
        <w:tc>
          <w:tcPr>
            <w:tcW w:w="5000" w:type="pct"/>
            <w:gridSpan w:val="4"/>
          </w:tcPr>
          <w:p w:rsidR="00B0072F" w:rsidRPr="000E560D" w:rsidRDefault="00B0072F" w:rsidP="00B0072F">
            <w:pPr>
              <w:jc w:val="both"/>
              <w:rPr>
                <w:sz w:val="20"/>
                <w:lang w:val="fr-CA"/>
              </w:rPr>
            </w:pPr>
            <w:r w:rsidRPr="000E560D">
              <w:rPr>
                <w:sz w:val="20"/>
                <w:lang w:val="fr-CA"/>
              </w:rPr>
              <w:t>Droit des professions – Avocats et procureurs – Contrats – Deux sociétés professionnelles, chacune ayant un actionnaire avocat, ont conclu un « contrat d’emploi » pour le fractionnement des honoraires et le partage des coûts – La société demanderesse a omis de payer des honoraires qui lui avaient été facturés par la société intimée – L’intimée a intenté une action contre la société demanderesse et l’actionnaire personnellement – Dans quelles circonstances les actionnaires de sociétés professionnelles sont-ils personnellement responsables des obligations de sociétés professionnelles?</w:t>
            </w:r>
          </w:p>
          <w:p w:rsidR="00B0072F" w:rsidRPr="000E560D" w:rsidRDefault="00B0072F" w:rsidP="00B0072F">
            <w:pPr>
              <w:jc w:val="both"/>
              <w:rPr>
                <w:sz w:val="20"/>
                <w:lang w:val="fr-CA"/>
              </w:rPr>
            </w:pPr>
          </w:p>
        </w:tc>
      </w:tr>
      <w:tr w:rsidR="00B0072F" w:rsidRPr="000E560D" w:rsidTr="00B0072F">
        <w:tc>
          <w:tcPr>
            <w:tcW w:w="5000" w:type="pct"/>
            <w:gridSpan w:val="4"/>
          </w:tcPr>
          <w:p w:rsidR="00B0072F" w:rsidRPr="000E560D" w:rsidRDefault="00B0072F" w:rsidP="00B0072F">
            <w:pPr>
              <w:pStyle w:val="felskynumbering121"/>
              <w:spacing w:before="0" w:after="0"/>
              <w:jc w:val="both"/>
              <w:rPr>
                <w:sz w:val="20"/>
                <w:szCs w:val="20"/>
                <w:lang w:val="fr-CA"/>
              </w:rPr>
            </w:pPr>
            <w:r w:rsidRPr="000E560D">
              <w:rPr>
                <w:sz w:val="20"/>
                <w:szCs w:val="20"/>
                <w:lang w:val="fr-CA"/>
              </w:rPr>
              <w:t>Maître Dahlem a commencé à travailler comme avocat chez Canmore Legal Services (« CLS ») à Canmore (Alberta) en octobre 2003. Maître Schneider était le propriétaire et l’exploitant de CLS. Le 23 février 2006, ils ont conclu ce qu’ils ont appelé un [</w:t>
            </w:r>
            <w:r w:rsidRPr="000E560D">
              <w:rPr>
                <w:smallCaps/>
                <w:sz w:val="20"/>
                <w:szCs w:val="20"/>
                <w:lang w:val="fr-CA"/>
              </w:rPr>
              <w:t>traduction</w:t>
            </w:r>
            <w:r w:rsidRPr="000E560D">
              <w:rPr>
                <w:sz w:val="20"/>
                <w:szCs w:val="20"/>
                <w:lang w:val="fr-CA"/>
              </w:rPr>
              <w:t>] « contrat d’emploi ». Les parties au contrat étaient Canmore Legal Service (« CLS »)/John Schneider exploitée par John F. Schneider Professional Corporation et Horst Tyson Dahlem Professional Corporation. En vertu du contrat, M</w:t>
            </w:r>
            <w:r w:rsidRPr="000E560D">
              <w:rPr>
                <w:sz w:val="20"/>
                <w:szCs w:val="20"/>
                <w:vertAlign w:val="superscript"/>
                <w:lang w:val="fr-CA"/>
              </w:rPr>
              <w:t>e</w:t>
            </w:r>
            <w:r w:rsidRPr="000E560D">
              <w:rPr>
                <w:sz w:val="20"/>
                <w:szCs w:val="20"/>
                <w:lang w:val="fr-CA"/>
              </w:rPr>
              <w:t> Dahlem toucherait des « commissions » calculées en fonction du montant des honoraires qu’il gagnait et percevait. Le 31 mars 2006, M</w:t>
            </w:r>
            <w:r w:rsidRPr="000E560D">
              <w:rPr>
                <w:sz w:val="20"/>
                <w:szCs w:val="20"/>
                <w:vertAlign w:val="superscript"/>
                <w:lang w:val="fr-CA"/>
              </w:rPr>
              <w:t>e</w:t>
            </w:r>
            <w:r w:rsidRPr="000E560D">
              <w:rPr>
                <w:sz w:val="20"/>
                <w:szCs w:val="20"/>
                <w:lang w:val="fr-CA"/>
              </w:rPr>
              <w:t> Dahlem a présenté à M</w:t>
            </w:r>
            <w:r w:rsidRPr="000E560D">
              <w:rPr>
                <w:sz w:val="20"/>
                <w:szCs w:val="20"/>
                <w:vertAlign w:val="superscript"/>
                <w:lang w:val="fr-CA"/>
              </w:rPr>
              <w:t>e</w:t>
            </w:r>
            <w:r w:rsidRPr="000E560D">
              <w:rPr>
                <w:sz w:val="20"/>
                <w:szCs w:val="20"/>
                <w:lang w:val="fr-CA"/>
              </w:rPr>
              <w:t> Schneider, par CLS, une facture de 71 166,98 $. Il devait recevoir 35 583,49 $ le 1</w:t>
            </w:r>
            <w:r w:rsidRPr="000E560D">
              <w:rPr>
                <w:sz w:val="20"/>
                <w:szCs w:val="20"/>
                <w:vertAlign w:val="superscript"/>
                <w:lang w:val="fr-CA"/>
              </w:rPr>
              <w:t>er</w:t>
            </w:r>
            <w:r w:rsidRPr="000E560D">
              <w:rPr>
                <w:sz w:val="20"/>
                <w:szCs w:val="20"/>
                <w:lang w:val="fr-CA"/>
              </w:rPr>
              <w:t> avril 2006 et le solde de 35 583,49 $ le 15 avril. Au total, il n’a reçu que 17 791,75 $. Au 2 mai 2006, la créance de M</w:t>
            </w:r>
            <w:r w:rsidRPr="000E560D">
              <w:rPr>
                <w:sz w:val="20"/>
                <w:szCs w:val="20"/>
                <w:vertAlign w:val="superscript"/>
                <w:lang w:val="fr-CA"/>
              </w:rPr>
              <w:t>e</w:t>
            </w:r>
            <w:r w:rsidRPr="000E560D">
              <w:rPr>
                <w:sz w:val="20"/>
                <w:szCs w:val="20"/>
                <w:lang w:val="fr-CA"/>
              </w:rPr>
              <w:t> Dahlem s’élevait à 53 375,33 $. Il a envoyé à M</w:t>
            </w:r>
            <w:r w:rsidRPr="000E560D">
              <w:rPr>
                <w:sz w:val="20"/>
                <w:szCs w:val="20"/>
                <w:vertAlign w:val="superscript"/>
                <w:lang w:val="fr-CA"/>
              </w:rPr>
              <w:t>e</w:t>
            </w:r>
            <w:r w:rsidRPr="000E560D">
              <w:rPr>
                <w:sz w:val="20"/>
                <w:szCs w:val="20"/>
                <w:lang w:val="fr-CA"/>
              </w:rPr>
              <w:t> Schneider une lettre portant sur le compte en souffrance; en réponse, M</w:t>
            </w:r>
            <w:r w:rsidRPr="000E560D">
              <w:rPr>
                <w:sz w:val="20"/>
                <w:szCs w:val="20"/>
                <w:vertAlign w:val="superscript"/>
                <w:lang w:val="fr-CA"/>
              </w:rPr>
              <w:t>e</w:t>
            </w:r>
            <w:r w:rsidRPr="000E560D">
              <w:rPr>
                <w:sz w:val="20"/>
                <w:szCs w:val="20"/>
                <w:lang w:val="fr-CA"/>
              </w:rPr>
              <w:t> Schneider a promis d’acquitter la facture et a reconnu en outre par écrit les montants en souffrance. Le 23 mai 2006, M</w:t>
            </w:r>
            <w:r w:rsidRPr="000E560D">
              <w:rPr>
                <w:sz w:val="20"/>
                <w:szCs w:val="20"/>
                <w:vertAlign w:val="superscript"/>
                <w:lang w:val="fr-CA"/>
              </w:rPr>
              <w:t>e</w:t>
            </w:r>
            <w:r w:rsidRPr="000E560D">
              <w:rPr>
                <w:sz w:val="20"/>
                <w:szCs w:val="20"/>
                <w:lang w:val="fr-CA"/>
              </w:rPr>
              <w:t> Dahlem a écrit de nouveau à M</w:t>
            </w:r>
            <w:r w:rsidRPr="000E560D">
              <w:rPr>
                <w:sz w:val="20"/>
                <w:szCs w:val="20"/>
                <w:vertAlign w:val="superscript"/>
                <w:lang w:val="fr-CA"/>
              </w:rPr>
              <w:t>e</w:t>
            </w:r>
            <w:r w:rsidRPr="000E560D">
              <w:rPr>
                <w:sz w:val="20"/>
                <w:szCs w:val="20"/>
                <w:lang w:val="fr-CA"/>
              </w:rPr>
              <w:t> Schneider au sujet du montant toujours en souffrance. Le même jour, M</w:t>
            </w:r>
            <w:r w:rsidRPr="000E560D">
              <w:rPr>
                <w:sz w:val="20"/>
                <w:szCs w:val="20"/>
                <w:vertAlign w:val="superscript"/>
                <w:lang w:val="fr-CA"/>
              </w:rPr>
              <w:t>e</w:t>
            </w:r>
            <w:r w:rsidRPr="000E560D">
              <w:rPr>
                <w:sz w:val="20"/>
                <w:szCs w:val="20"/>
                <w:lang w:val="fr-CA"/>
              </w:rPr>
              <w:t> Schneider a congédié M</w:t>
            </w:r>
            <w:r w:rsidRPr="000E560D">
              <w:rPr>
                <w:sz w:val="20"/>
                <w:szCs w:val="20"/>
                <w:vertAlign w:val="superscript"/>
                <w:lang w:val="fr-CA"/>
              </w:rPr>
              <w:t>e</w:t>
            </w:r>
            <w:r w:rsidRPr="000E560D">
              <w:rPr>
                <w:sz w:val="20"/>
                <w:szCs w:val="20"/>
                <w:lang w:val="fr-CA"/>
              </w:rPr>
              <w:t> Dahlem et l’a expulsé de l’édifice. Le mois suivant, M</w:t>
            </w:r>
            <w:r w:rsidRPr="000E560D">
              <w:rPr>
                <w:sz w:val="20"/>
                <w:szCs w:val="20"/>
                <w:vertAlign w:val="superscript"/>
                <w:lang w:val="fr-CA"/>
              </w:rPr>
              <w:t>e</w:t>
            </w:r>
            <w:r w:rsidRPr="000E560D">
              <w:rPr>
                <w:sz w:val="20"/>
                <w:szCs w:val="20"/>
                <w:lang w:val="fr-CA"/>
              </w:rPr>
              <w:t> Dahlem a intenté une action contre M</w:t>
            </w:r>
            <w:r w:rsidRPr="000E560D">
              <w:rPr>
                <w:sz w:val="20"/>
                <w:szCs w:val="20"/>
                <w:vertAlign w:val="superscript"/>
                <w:lang w:val="fr-CA"/>
              </w:rPr>
              <w:t>e</w:t>
            </w:r>
            <w:r w:rsidRPr="000E560D">
              <w:rPr>
                <w:sz w:val="20"/>
                <w:szCs w:val="20"/>
                <w:lang w:val="fr-CA"/>
              </w:rPr>
              <w:t> Schneider, sa société professionnelle et CLS. Maître Schneider a intenté un recours reconventionnel, alléguant que M</w:t>
            </w:r>
            <w:r w:rsidRPr="000E560D">
              <w:rPr>
                <w:sz w:val="20"/>
                <w:szCs w:val="20"/>
                <w:vertAlign w:val="superscript"/>
                <w:lang w:val="fr-CA"/>
              </w:rPr>
              <w:t>e</w:t>
            </w:r>
            <w:r w:rsidRPr="000E560D">
              <w:rPr>
                <w:sz w:val="20"/>
                <w:szCs w:val="20"/>
                <w:lang w:val="fr-CA"/>
              </w:rPr>
              <w:t xml:space="preserve"> Dalhem n’avait pas ajusté ses comptes pour du travail effectué par d’autres membres du cabinet, qu’il avait omis de compléter des dossiers, qu’il lui avait fait perdre des clients et qu’il n’avait pas payé de la publicité et une machine à écrire. Il a réclamé 30 000 $ plus 55 000 $ en dommages intérêts généraux. </w:t>
            </w:r>
          </w:p>
        </w:tc>
      </w:tr>
      <w:tr w:rsidR="00B0072F" w:rsidRPr="000E560D" w:rsidTr="00B0072F">
        <w:tc>
          <w:tcPr>
            <w:tcW w:w="5000" w:type="pct"/>
            <w:gridSpan w:val="4"/>
          </w:tcPr>
          <w:p w:rsidR="00B0072F" w:rsidRPr="000E560D" w:rsidRDefault="00B0072F" w:rsidP="00B0072F">
            <w:pPr>
              <w:jc w:val="both"/>
              <w:rPr>
                <w:sz w:val="20"/>
                <w:lang w:val="fr-CA"/>
              </w:rPr>
            </w:pPr>
          </w:p>
        </w:tc>
      </w:tr>
      <w:tr w:rsidR="00B0072F" w:rsidRPr="000E560D" w:rsidTr="00B0072F">
        <w:tc>
          <w:tcPr>
            <w:tcW w:w="2427" w:type="pct"/>
            <w:gridSpan w:val="2"/>
          </w:tcPr>
          <w:p w:rsidR="00B0072F" w:rsidRPr="000E560D" w:rsidRDefault="00B0072F" w:rsidP="00B0072F">
            <w:pPr>
              <w:jc w:val="both"/>
              <w:rPr>
                <w:sz w:val="20"/>
                <w:lang w:val="fr-CA"/>
              </w:rPr>
            </w:pPr>
            <w:r w:rsidRPr="000E560D">
              <w:rPr>
                <w:sz w:val="20"/>
                <w:lang w:val="fr-CA"/>
              </w:rPr>
              <w:t>12 février 2016</w:t>
            </w:r>
          </w:p>
          <w:p w:rsidR="00B0072F" w:rsidRPr="000E560D" w:rsidRDefault="00B0072F" w:rsidP="00B0072F">
            <w:pPr>
              <w:jc w:val="both"/>
              <w:rPr>
                <w:sz w:val="20"/>
                <w:lang w:val="fr-CA"/>
              </w:rPr>
            </w:pPr>
            <w:r w:rsidRPr="000E560D">
              <w:rPr>
                <w:sz w:val="20"/>
                <w:lang w:val="fr-CA"/>
              </w:rPr>
              <w:t>Cour du Banc de la Reine de l’Alberta</w:t>
            </w:r>
          </w:p>
          <w:p w:rsidR="00B0072F" w:rsidRPr="000E560D" w:rsidRDefault="00B0072F" w:rsidP="00B0072F">
            <w:pPr>
              <w:jc w:val="both"/>
              <w:rPr>
                <w:sz w:val="20"/>
                <w:lang w:val="fr-CA"/>
              </w:rPr>
            </w:pPr>
            <w:r w:rsidRPr="000E560D">
              <w:rPr>
                <w:sz w:val="20"/>
                <w:lang w:val="fr-CA"/>
              </w:rPr>
              <w:t>(Juge Hawco)</w:t>
            </w:r>
          </w:p>
          <w:p w:rsidR="00B0072F" w:rsidRPr="000E560D" w:rsidRDefault="006B07D6" w:rsidP="00B0072F">
            <w:pPr>
              <w:jc w:val="both"/>
              <w:rPr>
                <w:sz w:val="20"/>
                <w:lang w:val="fr-CA"/>
              </w:rPr>
            </w:pPr>
            <w:hyperlink r:id="rId26" w:history="1">
              <w:r w:rsidR="00B0072F" w:rsidRPr="000E560D">
                <w:rPr>
                  <w:rStyle w:val="Hyperlink"/>
                  <w:sz w:val="20"/>
                  <w:lang w:val="fr-CA"/>
                </w:rPr>
                <w:t>2016 ABQB 92</w:t>
              </w:r>
            </w:hyperlink>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Jugement en faveur de l’intimée</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27 mars 2017</w:t>
            </w:r>
          </w:p>
          <w:p w:rsidR="00B0072F" w:rsidRPr="000E560D" w:rsidRDefault="00B0072F" w:rsidP="00B0072F">
            <w:pPr>
              <w:jc w:val="both"/>
              <w:rPr>
                <w:sz w:val="20"/>
                <w:lang w:val="fr-CA"/>
              </w:rPr>
            </w:pPr>
            <w:r w:rsidRPr="000E560D">
              <w:rPr>
                <w:sz w:val="20"/>
                <w:lang w:val="fr-CA"/>
              </w:rPr>
              <w:t>Cour d’appel de l’Alberta (Calgary)</w:t>
            </w:r>
          </w:p>
          <w:p w:rsidR="00B0072F" w:rsidRPr="000E560D" w:rsidRDefault="00B0072F" w:rsidP="00B0072F">
            <w:pPr>
              <w:jc w:val="both"/>
              <w:rPr>
                <w:sz w:val="20"/>
                <w:lang w:val="fr-CA"/>
              </w:rPr>
            </w:pPr>
            <w:r w:rsidRPr="000E560D">
              <w:rPr>
                <w:sz w:val="20"/>
                <w:lang w:val="fr-CA"/>
              </w:rPr>
              <w:t>(Juges Slatter, Veldhuis et Greckol)</w:t>
            </w:r>
          </w:p>
          <w:p w:rsidR="00B0072F" w:rsidRPr="000E560D" w:rsidRDefault="006B07D6" w:rsidP="00B0072F">
            <w:pPr>
              <w:jc w:val="both"/>
              <w:rPr>
                <w:sz w:val="20"/>
                <w:lang w:val="fr-CA"/>
              </w:rPr>
            </w:pPr>
            <w:hyperlink r:id="rId27" w:history="1">
              <w:r w:rsidR="00B0072F" w:rsidRPr="000E560D">
                <w:rPr>
                  <w:rStyle w:val="Hyperlink"/>
                  <w:sz w:val="20"/>
                  <w:lang w:val="fr-CA"/>
                </w:rPr>
                <w:t>2017 ABCA 97</w:t>
              </w:r>
            </w:hyperlink>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Arrêt accueillant en partie l’appel des demandeurs</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26 mai 2017</w:t>
            </w:r>
          </w:p>
          <w:p w:rsidR="00B0072F" w:rsidRPr="000E560D" w:rsidRDefault="00B0072F" w:rsidP="00B0072F">
            <w:pPr>
              <w:jc w:val="both"/>
              <w:rPr>
                <w:sz w:val="20"/>
                <w:lang w:val="fr-CA"/>
              </w:rPr>
            </w:pPr>
            <w:r w:rsidRPr="000E560D">
              <w:rPr>
                <w:sz w:val="20"/>
                <w:lang w:val="fr-CA"/>
              </w:rPr>
              <w:t>Cour suprême du Canada</w:t>
            </w: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Dépôt de la demande d’autorisation d’appel</w:t>
            </w:r>
          </w:p>
          <w:p w:rsidR="00B0072F" w:rsidRPr="000E560D" w:rsidRDefault="00B0072F" w:rsidP="00B0072F">
            <w:pPr>
              <w:jc w:val="both"/>
              <w:rPr>
                <w:sz w:val="20"/>
                <w:lang w:val="fr-CA"/>
              </w:rPr>
            </w:pPr>
          </w:p>
        </w:tc>
      </w:tr>
    </w:tbl>
    <w:p w:rsidR="00B0072F" w:rsidRPr="000E560D" w:rsidRDefault="006B07D6" w:rsidP="00B0072F">
      <w:pPr>
        <w:jc w:val="both"/>
        <w:rPr>
          <w:sz w:val="20"/>
          <w:lang w:val="fr-CA"/>
        </w:rPr>
      </w:pPr>
      <w:r>
        <w:rPr>
          <w:sz w:val="20"/>
          <w:szCs w:val="20"/>
        </w:rPr>
        <w:pict>
          <v:rect id="_x0000_i1043" style="width:2in;height:1pt" o:hrpct="0" o:hralign="center" o:hrstd="t" o:hrnoshade="t" o:hr="t" fillcolor="black [3213]" stroked="f"/>
        </w:pict>
      </w:r>
    </w:p>
    <w:p w:rsidR="00B0072F" w:rsidRPr="000E560D" w:rsidRDefault="00B0072F" w:rsidP="00B0072F">
      <w:pPr>
        <w:tabs>
          <w:tab w:val="left" w:pos="900"/>
          <w:tab w:val="center" w:pos="5760"/>
        </w:tabs>
        <w:ind w:left="360" w:hanging="360"/>
        <w:jc w:val="both"/>
        <w:rPr>
          <w:sz w:val="20"/>
          <w:lang w:val="fr-CA"/>
        </w:rPr>
      </w:pPr>
    </w:p>
    <w:p w:rsidR="00E111AB" w:rsidRDefault="00E111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0E560D" w:rsidTr="00B0072F">
        <w:tc>
          <w:tcPr>
            <w:tcW w:w="543" w:type="pct"/>
          </w:tcPr>
          <w:p w:rsidR="00B0072F" w:rsidRPr="00E111AB" w:rsidRDefault="00B0072F" w:rsidP="00B0072F">
            <w:pPr>
              <w:jc w:val="both"/>
              <w:rPr>
                <w:sz w:val="20"/>
              </w:rPr>
            </w:pPr>
            <w:r w:rsidRPr="00E111AB">
              <w:rPr>
                <w:rStyle w:val="SCCFileNumberChar"/>
                <w:sz w:val="20"/>
                <w:szCs w:val="20"/>
              </w:rPr>
              <w:lastRenderedPageBreak/>
              <w:t>37576</w:t>
            </w:r>
          </w:p>
        </w:tc>
        <w:tc>
          <w:tcPr>
            <w:tcW w:w="4457" w:type="pct"/>
            <w:gridSpan w:val="3"/>
          </w:tcPr>
          <w:p w:rsidR="00B0072F" w:rsidRPr="00E111AB" w:rsidRDefault="00B0072F" w:rsidP="00B0072F">
            <w:pPr>
              <w:pStyle w:val="SCCLsocParty"/>
              <w:jc w:val="both"/>
              <w:rPr>
                <w:b/>
                <w:sz w:val="20"/>
                <w:szCs w:val="20"/>
                <w:lang w:val="en-CA"/>
              </w:rPr>
            </w:pPr>
            <w:r w:rsidRPr="00E111AB">
              <w:rPr>
                <w:b/>
                <w:sz w:val="20"/>
                <w:szCs w:val="20"/>
                <w:lang w:val="en-CA"/>
              </w:rPr>
              <w:t>Marcel Nadeau v. Mercedes Benz Canada Inc. and Daimler AG</w:t>
            </w:r>
          </w:p>
          <w:p w:rsidR="00B0072F" w:rsidRPr="00E111AB" w:rsidRDefault="00B0072F" w:rsidP="00B0072F">
            <w:pPr>
              <w:jc w:val="both"/>
              <w:rPr>
                <w:sz w:val="20"/>
              </w:rPr>
            </w:pPr>
            <w:r w:rsidRPr="00E111AB">
              <w:rPr>
                <w:sz w:val="20"/>
              </w:rPr>
              <w:t>(Qc) (Civil) (By leave)</w:t>
            </w:r>
          </w:p>
        </w:tc>
      </w:tr>
      <w:tr w:rsidR="00B0072F" w:rsidRPr="000E560D" w:rsidTr="00B0072F">
        <w:tc>
          <w:tcPr>
            <w:tcW w:w="543" w:type="pct"/>
          </w:tcPr>
          <w:p w:rsidR="00B0072F" w:rsidRPr="00E111AB" w:rsidRDefault="00B0072F" w:rsidP="00B0072F">
            <w:pPr>
              <w:jc w:val="both"/>
              <w:rPr>
                <w:rStyle w:val="SCCFileNumberChar"/>
                <w:sz w:val="20"/>
                <w:szCs w:val="20"/>
              </w:rPr>
            </w:pPr>
            <w:r w:rsidRPr="00E111AB">
              <w:rPr>
                <w:rStyle w:val="SCCFileNumberChar"/>
                <w:sz w:val="20"/>
                <w:szCs w:val="20"/>
              </w:rPr>
              <w:t>Coram:</w:t>
            </w:r>
          </w:p>
        </w:tc>
        <w:tc>
          <w:tcPr>
            <w:tcW w:w="4457" w:type="pct"/>
            <w:gridSpan w:val="3"/>
          </w:tcPr>
          <w:p w:rsidR="00B0072F" w:rsidRPr="00E111AB" w:rsidRDefault="00E111AB" w:rsidP="00B0072F">
            <w:pPr>
              <w:pStyle w:val="SCCLsocParty"/>
              <w:jc w:val="both"/>
              <w:rPr>
                <w:sz w:val="20"/>
                <w:szCs w:val="20"/>
                <w:lang w:val="en-CA"/>
              </w:rPr>
            </w:pPr>
            <w:r w:rsidRPr="00E111AB">
              <w:rPr>
                <w:sz w:val="20"/>
                <w:szCs w:val="20"/>
                <w:lang w:val="en-CA"/>
              </w:rPr>
              <w:t>McLachlin C.J. and Abella, Moldaver, Karakatsanis, Wagner, Gascon, Côté, Brown and Rowe JJ.</w:t>
            </w:r>
          </w:p>
          <w:p w:rsidR="00E111AB" w:rsidRPr="00E111AB" w:rsidRDefault="00E111AB" w:rsidP="00E111AB"/>
        </w:tc>
      </w:tr>
      <w:tr w:rsidR="00B0072F" w:rsidRPr="000E560D" w:rsidTr="00B0072F">
        <w:tc>
          <w:tcPr>
            <w:tcW w:w="5000" w:type="pct"/>
            <w:gridSpan w:val="4"/>
          </w:tcPr>
          <w:p w:rsidR="00B0072F" w:rsidRPr="00B0072F" w:rsidRDefault="00E111AB" w:rsidP="00B0072F">
            <w:pPr>
              <w:pStyle w:val="SCCLsocParty"/>
              <w:jc w:val="both"/>
              <w:rPr>
                <w:sz w:val="20"/>
                <w:szCs w:val="20"/>
                <w:lang w:val="en-CA"/>
              </w:rPr>
            </w:pPr>
            <w:r w:rsidRPr="000C38E8">
              <w:rPr>
                <w:sz w:val="20"/>
                <w:szCs w:val="20"/>
                <w:lang w:val="en-CA"/>
              </w:rPr>
              <w:t>The application for leave to appeal from the judgment of the Court of Appeal of Quebec (Montréal), Number 500-09-025867-169, 2017 QCCA 470, dated March 24, 2017 is dismissed without costs.</w:t>
            </w:r>
          </w:p>
        </w:tc>
      </w:tr>
      <w:tr w:rsidR="00B0072F" w:rsidRPr="000E560D" w:rsidTr="00B0072F">
        <w:tc>
          <w:tcPr>
            <w:tcW w:w="5000" w:type="pct"/>
            <w:gridSpan w:val="4"/>
          </w:tcPr>
          <w:p w:rsidR="00B0072F" w:rsidRPr="000E560D" w:rsidRDefault="00B0072F" w:rsidP="00B0072F">
            <w:pPr>
              <w:pStyle w:val="SCCBanSummary"/>
              <w:rPr>
                <w:smallCaps w:val="0"/>
                <w:sz w:val="20"/>
                <w:szCs w:val="20"/>
              </w:rPr>
            </w:pPr>
            <w:r w:rsidRPr="000E560D">
              <w:rPr>
                <w:smallCaps w:val="0"/>
                <w:sz w:val="20"/>
                <w:szCs w:val="20"/>
              </w:rPr>
              <w:t xml:space="preserve">Civil procedure ‒ Class actions ‒ Action for latent defects ‒ Whether the Court of Appeal committed a reviewable error by deciding on the need for a notice of disclosure and notice of default at the preliminary  stage of the leave ‒ Whether the Court of Appel committed a reviewable error by considering that a notice of disclosure of a latent defect is a substantial legal requirement to implement the legal warranty against a manufacturer when it repeatedly noted that a series of its products contained the same defect ‒ Whether the Court of Appeal committed a reviewable error by considering that a notice of disclosure of a latent defect is a substantial legal requirement to implement the legal warranty against a manufacturer when it repeatedly denied responsibility for the alleged defect ‒ Whether the Court of Appeal committed a reviewable error by not considering the motion for leave to bring a class action as valid notices of disclosure and default from all group members concerned by the motion for leave ‒ Whether the Court of Appeal committed a reviewable error by considering that a notice of disclosure of a latent defect is a substantial legal requirement to implement the legal warranty of the </w:t>
            </w:r>
            <w:r w:rsidRPr="000E560D">
              <w:rPr>
                <w:i/>
                <w:smallCaps w:val="0"/>
                <w:sz w:val="20"/>
                <w:szCs w:val="20"/>
              </w:rPr>
              <w:t>Consumer Protection Act</w:t>
            </w:r>
            <w:r w:rsidRPr="000E560D">
              <w:rPr>
                <w:smallCaps w:val="0"/>
                <w:sz w:val="20"/>
                <w:szCs w:val="20"/>
              </w:rPr>
              <w:t xml:space="preserve"> against a manufacturer ‒ Whether the Superior Court committed a reviewable error by concluding that the applicant was not </w:t>
            </w:r>
            <w:r w:rsidRPr="000E560D">
              <w:rPr>
                <w:smallCaps w:val="0"/>
                <w:color w:val="000000"/>
                <w:sz w:val="20"/>
                <w:szCs w:val="20"/>
                <w:lang w:val="en"/>
              </w:rPr>
              <w:t>in a position to represent the members adequately</w:t>
            </w:r>
            <w:r w:rsidRPr="000E560D">
              <w:rPr>
                <w:smallCaps w:val="0"/>
                <w:sz w:val="20"/>
                <w:szCs w:val="20"/>
              </w:rPr>
              <w:t xml:space="preserve"> for the reasons given – </w:t>
            </w:r>
            <w:r w:rsidRPr="000E560D">
              <w:rPr>
                <w:i/>
                <w:smallCaps w:val="0"/>
                <w:sz w:val="20"/>
                <w:szCs w:val="20"/>
              </w:rPr>
              <w:t>Civil Code of Québec</w:t>
            </w:r>
            <w:r w:rsidRPr="000E560D">
              <w:rPr>
                <w:smallCaps w:val="0"/>
                <w:sz w:val="20"/>
                <w:szCs w:val="20"/>
              </w:rPr>
              <w:t xml:space="preserve">, art. 1739 – </w:t>
            </w:r>
            <w:r w:rsidRPr="000E560D">
              <w:rPr>
                <w:i/>
                <w:smallCaps w:val="0"/>
                <w:sz w:val="20"/>
                <w:szCs w:val="20"/>
              </w:rPr>
              <w:t>Code of Civil Procedure</w:t>
            </w:r>
            <w:r w:rsidRPr="000E560D">
              <w:rPr>
                <w:smallCaps w:val="0"/>
                <w:sz w:val="20"/>
                <w:szCs w:val="20"/>
              </w:rPr>
              <w:t xml:space="preserve">, CQLR c. C-25 (repealed), s. 1003 – </w:t>
            </w:r>
            <w:r w:rsidRPr="000E560D">
              <w:rPr>
                <w:i/>
                <w:smallCaps w:val="0"/>
                <w:sz w:val="20"/>
                <w:szCs w:val="20"/>
              </w:rPr>
              <w:t>Consumer Protection Act</w:t>
            </w:r>
            <w:r w:rsidRPr="000E560D">
              <w:rPr>
                <w:smallCaps w:val="0"/>
                <w:sz w:val="20"/>
                <w:szCs w:val="20"/>
              </w:rPr>
              <w:t>, CQLR c. P-40.1, s. 53.</w:t>
            </w:r>
          </w:p>
        </w:tc>
      </w:tr>
      <w:tr w:rsidR="00B0072F" w:rsidRPr="000E560D" w:rsidTr="00B0072F">
        <w:tc>
          <w:tcPr>
            <w:tcW w:w="5000" w:type="pct"/>
            <w:gridSpan w:val="4"/>
          </w:tcPr>
          <w:p w:rsidR="00B0072F" w:rsidRPr="000E560D" w:rsidRDefault="00B0072F" w:rsidP="00B0072F">
            <w:pPr>
              <w:jc w:val="both"/>
              <w:rPr>
                <w:sz w:val="20"/>
              </w:rPr>
            </w:pPr>
          </w:p>
        </w:tc>
      </w:tr>
      <w:tr w:rsidR="00B0072F" w:rsidRPr="000E560D" w:rsidTr="00B0072F">
        <w:tc>
          <w:tcPr>
            <w:tcW w:w="5000" w:type="pct"/>
            <w:gridSpan w:val="4"/>
          </w:tcPr>
          <w:p w:rsidR="00B0072F" w:rsidRPr="000E560D" w:rsidRDefault="00B0072F" w:rsidP="00B0072F">
            <w:pPr>
              <w:jc w:val="both"/>
              <w:rPr>
                <w:sz w:val="20"/>
              </w:rPr>
            </w:pPr>
            <w:r w:rsidRPr="000E560D">
              <w:rPr>
                <w:sz w:val="20"/>
              </w:rPr>
              <w:t xml:space="preserve">In April 2010, the applicant, Marcel Nadeau, purchased a used vehicle, a 2006 Mercedes-Benz SLK 280, from a third party. In August 2013, Mr. Nadeau observed a warning light on the dashboard indicating, through a fault code, that the engine oil level was inadequate. The garage technician who inspected the vehicle informed him that he discovered pieces of metal in the small oil drip pan. He also told him that his vehicle was covered under a technical bulletin from Mercedes-Benz USA, LLC, regarding the procedures to be followed when a dashboard warning light </w:t>
            </w:r>
            <w:r w:rsidRPr="000E560D">
              <w:rPr>
                <w:color w:val="000000"/>
                <w:sz w:val="20"/>
              </w:rPr>
              <w:t>erroneously indicates</w:t>
            </w:r>
            <w:r w:rsidRPr="000E560D">
              <w:rPr>
                <w:rFonts w:ascii="Verdana" w:hAnsi="Verdana"/>
                <w:color w:val="000000"/>
                <w:sz w:val="20"/>
              </w:rPr>
              <w:t xml:space="preserve"> </w:t>
            </w:r>
            <w:r w:rsidRPr="000E560D">
              <w:rPr>
                <w:sz w:val="20"/>
              </w:rPr>
              <w:t xml:space="preserve">that the engine oil level is inadequate. This situation was allegedly caused by the presence of a pinion gear containing a design defect causing it to wear prematurely. In November 2013 the applicant filed a motion for leave to bring a class action against the respondents, Mercedes-Benz Canada Inc. and Daimler AG for latent defect.  </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January 7, 2016</w:t>
            </w:r>
          </w:p>
          <w:p w:rsidR="00B0072F" w:rsidRPr="000E560D" w:rsidRDefault="00B0072F" w:rsidP="00B0072F">
            <w:pPr>
              <w:jc w:val="both"/>
              <w:rPr>
                <w:sz w:val="20"/>
              </w:rPr>
            </w:pPr>
            <w:r w:rsidRPr="000E560D">
              <w:rPr>
                <w:sz w:val="20"/>
              </w:rPr>
              <w:t>Quebec Superior Court</w:t>
            </w:r>
          </w:p>
          <w:p w:rsidR="00B0072F" w:rsidRPr="000E560D" w:rsidRDefault="00B0072F" w:rsidP="00B0072F">
            <w:pPr>
              <w:jc w:val="both"/>
              <w:rPr>
                <w:sz w:val="20"/>
              </w:rPr>
            </w:pPr>
            <w:r w:rsidRPr="000E560D">
              <w:rPr>
                <w:sz w:val="20"/>
              </w:rPr>
              <w:t>(Morrison J.)</w:t>
            </w:r>
          </w:p>
          <w:p w:rsidR="00B0072F" w:rsidRPr="000E560D" w:rsidRDefault="006B07D6" w:rsidP="00B0072F">
            <w:pPr>
              <w:jc w:val="both"/>
              <w:rPr>
                <w:sz w:val="20"/>
              </w:rPr>
            </w:pPr>
            <w:hyperlink r:id="rId28" w:history="1">
              <w:r w:rsidR="00B0072F" w:rsidRPr="000E560D">
                <w:rPr>
                  <w:rStyle w:val="Hyperlink"/>
                  <w:sz w:val="20"/>
                  <w:lang w:val="fr-FR"/>
                </w:rPr>
                <w:t>2016 QCCS 7</w:t>
              </w:r>
            </w:hyperlink>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color w:val="000000"/>
                <w:sz w:val="20"/>
              </w:rPr>
              <w:t>Motion for leave to bring class action dismissed</w:t>
            </w:r>
            <w:r w:rsidRPr="000E560D">
              <w:rPr>
                <w:sz w:val="20"/>
              </w:rPr>
              <w:t>.</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March 24, 2017</w:t>
            </w:r>
          </w:p>
          <w:p w:rsidR="00B0072F" w:rsidRPr="000E560D" w:rsidRDefault="00B0072F" w:rsidP="00B0072F">
            <w:pPr>
              <w:jc w:val="both"/>
              <w:rPr>
                <w:sz w:val="20"/>
              </w:rPr>
            </w:pPr>
            <w:r w:rsidRPr="000E560D">
              <w:rPr>
                <w:sz w:val="20"/>
              </w:rPr>
              <w:t>Quebec Appeal Court (Montréal)</w:t>
            </w:r>
          </w:p>
          <w:p w:rsidR="00B0072F" w:rsidRPr="000E560D" w:rsidRDefault="00B0072F" w:rsidP="00B0072F">
            <w:pPr>
              <w:jc w:val="both"/>
              <w:rPr>
                <w:sz w:val="20"/>
              </w:rPr>
            </w:pPr>
            <w:r w:rsidRPr="000E560D">
              <w:rPr>
                <w:sz w:val="20"/>
              </w:rPr>
              <w:t>(Hilton, Gagnon and Marcotte JJ.A.)</w:t>
            </w:r>
          </w:p>
          <w:p w:rsidR="00B0072F" w:rsidRPr="000E560D" w:rsidRDefault="006B07D6" w:rsidP="00B0072F">
            <w:pPr>
              <w:jc w:val="both"/>
              <w:rPr>
                <w:sz w:val="20"/>
              </w:rPr>
            </w:pPr>
            <w:hyperlink r:id="rId29" w:history="1">
              <w:r w:rsidR="00B0072F" w:rsidRPr="000E560D">
                <w:rPr>
                  <w:rStyle w:val="Hyperlink"/>
                  <w:sz w:val="20"/>
                </w:rPr>
                <w:t>2017 QCCA 470</w:t>
              </w:r>
            </w:hyperlink>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Appeal dismissed.</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May 23, 2017</w:t>
            </w:r>
          </w:p>
          <w:p w:rsidR="00B0072F" w:rsidRPr="000E560D" w:rsidRDefault="00B0072F" w:rsidP="00B0072F">
            <w:pPr>
              <w:jc w:val="both"/>
              <w:rPr>
                <w:sz w:val="20"/>
              </w:rPr>
            </w:pPr>
            <w:r w:rsidRPr="000E560D">
              <w:rPr>
                <w:sz w:val="20"/>
              </w:rPr>
              <w:t>Supreme Court of Canada</w:t>
            </w: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color w:val="000000"/>
                <w:sz w:val="20"/>
              </w:rPr>
              <w:t>Application for leave to appeal filed</w:t>
            </w:r>
            <w:r w:rsidRPr="000E560D">
              <w:rPr>
                <w:sz w:val="20"/>
              </w:rPr>
              <w:t>.</w:t>
            </w:r>
          </w:p>
          <w:p w:rsidR="00B0072F" w:rsidRPr="000E560D" w:rsidRDefault="00B0072F" w:rsidP="00B0072F">
            <w:pPr>
              <w:jc w:val="both"/>
              <w:rPr>
                <w:sz w:val="20"/>
              </w:rPr>
            </w:pPr>
          </w:p>
        </w:tc>
      </w:tr>
    </w:tbl>
    <w:p w:rsidR="00B0072F" w:rsidRPr="000E560D" w:rsidRDefault="006B07D6" w:rsidP="00B0072F">
      <w:pPr>
        <w:jc w:val="both"/>
        <w:rPr>
          <w:sz w:val="20"/>
        </w:rPr>
      </w:pPr>
      <w:r>
        <w:rPr>
          <w:sz w:val="20"/>
          <w:szCs w:val="20"/>
        </w:rPr>
        <w:pict>
          <v:rect id="_x0000_i1044" style="width:2in;height:1pt" o:hrpct="0" o:hralign="center" o:hrstd="t" o:hrnoshade="t" o:hr="t" fillcolor="black [3213]" stroked="f"/>
        </w:pict>
      </w:r>
    </w:p>
    <w:p w:rsidR="00B0072F" w:rsidRPr="000E560D" w:rsidRDefault="00B0072F" w:rsidP="00B0072F">
      <w:pPr>
        <w:jc w:val="both"/>
        <w:rPr>
          <w:sz w:val="20"/>
        </w:rPr>
      </w:pPr>
    </w:p>
    <w:p w:rsidR="00E111AB" w:rsidRDefault="00E111AB">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0E560D" w:rsidTr="00B0072F">
        <w:tc>
          <w:tcPr>
            <w:tcW w:w="543" w:type="pct"/>
          </w:tcPr>
          <w:p w:rsidR="00B0072F" w:rsidRPr="00E111AB" w:rsidRDefault="00B0072F" w:rsidP="00B0072F">
            <w:pPr>
              <w:jc w:val="both"/>
              <w:rPr>
                <w:sz w:val="20"/>
              </w:rPr>
            </w:pPr>
            <w:r w:rsidRPr="00E111AB">
              <w:rPr>
                <w:rStyle w:val="SCCFileNumberChar"/>
                <w:sz w:val="20"/>
                <w:szCs w:val="20"/>
              </w:rPr>
              <w:lastRenderedPageBreak/>
              <w:t>37576</w:t>
            </w:r>
          </w:p>
        </w:tc>
        <w:tc>
          <w:tcPr>
            <w:tcW w:w="4457" w:type="pct"/>
            <w:gridSpan w:val="3"/>
          </w:tcPr>
          <w:p w:rsidR="00B0072F" w:rsidRPr="00E111AB" w:rsidRDefault="00B0072F" w:rsidP="00B0072F">
            <w:pPr>
              <w:pStyle w:val="SCCLsocParty"/>
              <w:jc w:val="both"/>
              <w:rPr>
                <w:b/>
                <w:sz w:val="20"/>
                <w:szCs w:val="20"/>
              </w:rPr>
            </w:pPr>
            <w:r w:rsidRPr="00E111AB">
              <w:rPr>
                <w:b/>
                <w:sz w:val="20"/>
                <w:szCs w:val="20"/>
              </w:rPr>
              <w:t>Marcel Nadeau c. Mercedes Benz Canada Inc. et Daimler AG</w:t>
            </w:r>
          </w:p>
          <w:p w:rsidR="00B0072F" w:rsidRPr="00E111AB" w:rsidRDefault="00B0072F" w:rsidP="00B0072F">
            <w:pPr>
              <w:jc w:val="both"/>
              <w:rPr>
                <w:sz w:val="20"/>
              </w:rPr>
            </w:pPr>
            <w:r w:rsidRPr="00E111AB">
              <w:rPr>
                <w:sz w:val="20"/>
              </w:rPr>
              <w:t>(Qc) (Civile) (Autorisation)</w:t>
            </w:r>
          </w:p>
        </w:tc>
      </w:tr>
      <w:tr w:rsidR="00B0072F" w:rsidRPr="006B07D6" w:rsidTr="00B0072F">
        <w:tc>
          <w:tcPr>
            <w:tcW w:w="543" w:type="pct"/>
          </w:tcPr>
          <w:p w:rsidR="00B0072F" w:rsidRPr="00E111AB" w:rsidRDefault="00B0072F" w:rsidP="00B0072F">
            <w:pPr>
              <w:jc w:val="both"/>
              <w:rPr>
                <w:rStyle w:val="SCCFileNumberChar"/>
                <w:sz w:val="20"/>
                <w:szCs w:val="20"/>
              </w:rPr>
            </w:pPr>
            <w:r w:rsidRPr="00E111AB">
              <w:rPr>
                <w:rStyle w:val="SCCFileNumberChar"/>
                <w:sz w:val="20"/>
                <w:szCs w:val="20"/>
              </w:rPr>
              <w:t>Coram:</w:t>
            </w:r>
          </w:p>
        </w:tc>
        <w:tc>
          <w:tcPr>
            <w:tcW w:w="4457" w:type="pct"/>
            <w:gridSpan w:val="3"/>
          </w:tcPr>
          <w:p w:rsidR="00B0072F" w:rsidRPr="00E111AB" w:rsidRDefault="00E111AB" w:rsidP="00B0072F">
            <w:pPr>
              <w:pStyle w:val="SCCLsocParty"/>
              <w:jc w:val="both"/>
              <w:rPr>
                <w:sz w:val="20"/>
                <w:szCs w:val="20"/>
              </w:rPr>
            </w:pPr>
            <w:r w:rsidRPr="00E111AB">
              <w:rPr>
                <w:sz w:val="20"/>
                <w:szCs w:val="20"/>
              </w:rPr>
              <w:t>La juge en chef McLachlin et les juges Abella, Moldaver, Karakatsanis, Wagner, Gascon, Côté, Brown et Rowe</w:t>
            </w:r>
          </w:p>
          <w:p w:rsidR="00E111AB" w:rsidRPr="00E111AB" w:rsidRDefault="00E111AB" w:rsidP="00E111AB">
            <w:pPr>
              <w:rPr>
                <w:lang w:val="fr-CA"/>
              </w:rPr>
            </w:pPr>
          </w:p>
        </w:tc>
      </w:tr>
      <w:tr w:rsidR="00B0072F" w:rsidRPr="006B07D6" w:rsidTr="00B0072F">
        <w:tc>
          <w:tcPr>
            <w:tcW w:w="5000" w:type="pct"/>
            <w:gridSpan w:val="4"/>
          </w:tcPr>
          <w:p w:rsidR="00B0072F" w:rsidRDefault="00E111AB" w:rsidP="00B0072F">
            <w:pPr>
              <w:pStyle w:val="SCCLsocParty"/>
              <w:tabs>
                <w:tab w:val="left" w:pos="1800"/>
              </w:tabs>
              <w:jc w:val="both"/>
              <w:rPr>
                <w:sz w:val="20"/>
                <w:szCs w:val="20"/>
              </w:rPr>
            </w:pPr>
            <w:r w:rsidRPr="000C38E8">
              <w:rPr>
                <w:sz w:val="20"/>
                <w:szCs w:val="20"/>
              </w:rPr>
              <w:t>La demande d’autorisation d’appel de l’arrêt de la Cour d’appel du Québec (Montréal), numéro 500-09-025867-169, 2017 QCCA 470, daté du 24 mars 2017, est rejetée sans dépens.</w:t>
            </w:r>
          </w:p>
          <w:p w:rsidR="00E111AB" w:rsidRPr="00E111AB" w:rsidRDefault="00E111AB" w:rsidP="00E111AB">
            <w:pPr>
              <w:rPr>
                <w:lang w:val="fr-CA"/>
              </w:rPr>
            </w:pPr>
          </w:p>
        </w:tc>
      </w:tr>
      <w:tr w:rsidR="00B0072F" w:rsidRPr="006B07D6" w:rsidTr="00B0072F">
        <w:tc>
          <w:tcPr>
            <w:tcW w:w="5000" w:type="pct"/>
            <w:gridSpan w:val="4"/>
          </w:tcPr>
          <w:p w:rsidR="00B0072F" w:rsidRPr="000E560D" w:rsidRDefault="00B0072F" w:rsidP="00B0072F">
            <w:pPr>
              <w:pStyle w:val="SCCBanSummary"/>
              <w:rPr>
                <w:smallCaps w:val="0"/>
                <w:sz w:val="20"/>
                <w:szCs w:val="20"/>
                <w:lang w:val="fr-CA"/>
              </w:rPr>
            </w:pPr>
            <w:r w:rsidRPr="000E560D">
              <w:rPr>
                <w:smallCaps w:val="0"/>
                <w:sz w:val="20"/>
                <w:szCs w:val="20"/>
                <w:lang w:val="fr-CA"/>
              </w:rPr>
              <w:t xml:space="preserve">Procédure civile ‒ Recours collectifs ‒ Action en vice caché ‒ La Cour d’appel a-t-elle commis une erreur révisable en décidant de la nécessité ou non d’un avis de dénonciation et d’une mise en demeure au stade préliminaire de l’autorisation? ‒ La Cour d’appel a-t-elle commis une erreur révisable en considérant qu’un avis de dénonciation d’un vice caché est une condition de fond pour mettre en œuvre la garantie légale contre un fabricant lorsque ce dernier a constaté à répétition qu’une série de ses produits est entachée du même vice? ‒ La Cour d’appel a-t-elle commis une erreur révisable en considérant qu’un avis de dénonciation d’un vice caché est une condition de fond pour mettre en œuvre la garantie légale contre un fabricant lorsque ce dernier a nié à répétition sa responsabilité à l’égard du vice allégué? ‒ La Cour d’appel a-t-elle commis une erreur révisable en ne considérant pas la requête en autorisation d’une action collective comme constituant un avis de dénonciation et une mise en demeure valables de la part de l’ensemble des membres du groupe visé par la requête en autorisation? ‒ La Cour d’appel a-t-elle commis une erreur révisable en considérant qu’un avis de dénonciation d’un vice caché est une condition de fond pour mettre en œuvre la garantie légale de la </w:t>
            </w:r>
            <w:r w:rsidRPr="000E560D">
              <w:rPr>
                <w:i/>
                <w:smallCaps w:val="0"/>
                <w:sz w:val="20"/>
                <w:szCs w:val="20"/>
                <w:lang w:val="fr-CA"/>
              </w:rPr>
              <w:t>Loi sur la protection du consommateur</w:t>
            </w:r>
            <w:r w:rsidRPr="000E560D">
              <w:rPr>
                <w:smallCaps w:val="0"/>
                <w:sz w:val="20"/>
                <w:szCs w:val="20"/>
                <w:lang w:val="fr-CA"/>
              </w:rPr>
              <w:t xml:space="preserve"> contre un fabricant? ‒ La Cour supérieure a-t-elle commis une erreur révisable en concluant que le demandeur n’était pas en mesure de représenter adéquatement les membres pour les motifs énoncés? – </w:t>
            </w:r>
            <w:r w:rsidRPr="000E560D">
              <w:rPr>
                <w:i/>
                <w:smallCaps w:val="0"/>
                <w:sz w:val="20"/>
                <w:szCs w:val="20"/>
                <w:lang w:val="fr-CA"/>
              </w:rPr>
              <w:t>Code civil du Québec</w:t>
            </w:r>
            <w:r w:rsidRPr="000E560D">
              <w:rPr>
                <w:smallCaps w:val="0"/>
                <w:sz w:val="20"/>
                <w:szCs w:val="20"/>
                <w:lang w:val="fr-CA"/>
              </w:rPr>
              <w:t xml:space="preserve">, art. 1739 – </w:t>
            </w:r>
            <w:r w:rsidRPr="000E560D">
              <w:rPr>
                <w:i/>
                <w:smallCaps w:val="0"/>
                <w:sz w:val="20"/>
                <w:szCs w:val="20"/>
                <w:lang w:val="fr-FR"/>
              </w:rPr>
              <w:t>Code de procédure civile</w:t>
            </w:r>
            <w:r w:rsidRPr="000E560D">
              <w:rPr>
                <w:smallCaps w:val="0"/>
                <w:sz w:val="20"/>
                <w:szCs w:val="20"/>
                <w:lang w:val="fr-FR"/>
              </w:rPr>
              <w:t>, RLRQ c. C-25 (abrogé), art. 1003</w:t>
            </w:r>
            <w:r w:rsidRPr="000E560D">
              <w:rPr>
                <w:smallCaps w:val="0"/>
                <w:sz w:val="20"/>
                <w:szCs w:val="20"/>
                <w:lang w:val="fr-CA"/>
              </w:rPr>
              <w:t xml:space="preserve"> – </w:t>
            </w:r>
            <w:r w:rsidRPr="000E560D">
              <w:rPr>
                <w:i/>
                <w:smallCaps w:val="0"/>
                <w:sz w:val="20"/>
                <w:szCs w:val="20"/>
                <w:lang w:val="fr-CA"/>
              </w:rPr>
              <w:t>Loi sur la protection du consommateur</w:t>
            </w:r>
            <w:r w:rsidRPr="000E560D">
              <w:rPr>
                <w:smallCaps w:val="0"/>
                <w:sz w:val="20"/>
                <w:szCs w:val="20"/>
                <w:lang w:val="fr-CA"/>
              </w:rPr>
              <w:t xml:space="preserve">, </w:t>
            </w:r>
            <w:r w:rsidRPr="000E560D">
              <w:rPr>
                <w:smallCaps w:val="0"/>
                <w:sz w:val="20"/>
                <w:szCs w:val="20"/>
                <w:lang w:val="fr-FR"/>
              </w:rPr>
              <w:t>RLRQ c. P-40.1, art. 53.</w:t>
            </w:r>
          </w:p>
        </w:tc>
      </w:tr>
      <w:tr w:rsidR="00B0072F" w:rsidRPr="006B07D6" w:rsidTr="00B0072F">
        <w:tc>
          <w:tcPr>
            <w:tcW w:w="5000" w:type="pct"/>
            <w:gridSpan w:val="4"/>
          </w:tcPr>
          <w:p w:rsidR="00B0072F" w:rsidRPr="000E560D" w:rsidRDefault="00B0072F" w:rsidP="00B0072F">
            <w:pPr>
              <w:jc w:val="both"/>
              <w:rPr>
                <w:sz w:val="20"/>
                <w:lang w:val="fr-CA"/>
              </w:rPr>
            </w:pPr>
          </w:p>
        </w:tc>
      </w:tr>
      <w:tr w:rsidR="00B0072F" w:rsidRPr="006B07D6" w:rsidTr="00B0072F">
        <w:tc>
          <w:tcPr>
            <w:tcW w:w="5000" w:type="pct"/>
            <w:gridSpan w:val="4"/>
          </w:tcPr>
          <w:p w:rsidR="00B0072F" w:rsidRPr="000E560D" w:rsidRDefault="00B0072F" w:rsidP="00B0072F">
            <w:pPr>
              <w:jc w:val="both"/>
              <w:rPr>
                <w:sz w:val="20"/>
                <w:lang w:val="fr-CA"/>
              </w:rPr>
            </w:pPr>
            <w:r w:rsidRPr="000E560D">
              <w:rPr>
                <w:sz w:val="20"/>
                <w:lang w:val="fr-CA"/>
              </w:rPr>
              <w:t xml:space="preserve">En avril 2010, le demandeur, M. Marcel Nadeau, fait l’acquisition d’un véhicule d’occasion, une voiture Mercedes-Benz, modèle SLK 280, année 2006, d’un tiers. En août 2013, M. Nadeau constate un voyant au tableau de bord indiquant, par l’entremise d’un code de défaillance, que le niveau d’huile à moteur est inadéquat. Le technicien du garage ayant inspecté le véhicule l’informe qu’il a découvert des morceaux de métal dans le petit carter d’huile à moteur. Il lui indique également que son véhicule est visé par un bulletin technique de Mercedes-Benz USA, LLC, au sujet des procédures à suivre lorsqu’un voyant du tableau de bord indique erronément que le niveau d’huile à moteur est inadéquat. Cette situation serait causée par la présence d’un pignon d’engrenage entaché d’un vice de conception provoquant sa désagrégation prématurée. En novembre 2013 le demandeur dépose une requête en autorisation d’un recours collectif contre les intimées, Mercedes-Benz Canada inc. et Daimler AG pour vice caché.  </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Le 7 janvier 2016</w:t>
            </w:r>
          </w:p>
          <w:p w:rsidR="00B0072F" w:rsidRPr="000E560D" w:rsidRDefault="00B0072F" w:rsidP="00B0072F">
            <w:pPr>
              <w:jc w:val="both"/>
              <w:rPr>
                <w:sz w:val="20"/>
                <w:lang w:val="fr-CA"/>
              </w:rPr>
            </w:pPr>
            <w:r w:rsidRPr="000E560D">
              <w:rPr>
                <w:sz w:val="20"/>
                <w:lang w:val="fr-CA"/>
              </w:rPr>
              <w:t>Cour supérieure du Québec</w:t>
            </w:r>
          </w:p>
          <w:p w:rsidR="00B0072F" w:rsidRPr="000E560D" w:rsidRDefault="00B0072F" w:rsidP="00B0072F">
            <w:pPr>
              <w:jc w:val="both"/>
              <w:rPr>
                <w:sz w:val="20"/>
              </w:rPr>
            </w:pPr>
            <w:r w:rsidRPr="000E560D">
              <w:rPr>
                <w:sz w:val="20"/>
              </w:rPr>
              <w:t>(Le juge Morrison)</w:t>
            </w:r>
          </w:p>
          <w:p w:rsidR="00B0072F" w:rsidRPr="000E560D" w:rsidRDefault="006B07D6" w:rsidP="00B0072F">
            <w:pPr>
              <w:jc w:val="both"/>
              <w:rPr>
                <w:sz w:val="20"/>
              </w:rPr>
            </w:pPr>
            <w:hyperlink r:id="rId30" w:history="1">
              <w:r w:rsidR="00B0072F" w:rsidRPr="000E560D">
                <w:rPr>
                  <w:rStyle w:val="Hyperlink"/>
                  <w:sz w:val="20"/>
                  <w:lang w:val="fr-FR"/>
                </w:rPr>
                <w:t>2016 QCCS 7</w:t>
              </w:r>
            </w:hyperlink>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lang w:val="fr-CA"/>
              </w:rPr>
            </w:pPr>
            <w:r w:rsidRPr="000E560D">
              <w:rPr>
                <w:sz w:val="20"/>
                <w:lang w:val="fr-CA"/>
              </w:rPr>
              <w:t>Requête en autorisation d’exercer un recours collectif rejetée.</w:t>
            </w:r>
          </w:p>
          <w:p w:rsidR="00B0072F" w:rsidRPr="000E560D" w:rsidRDefault="00B0072F" w:rsidP="00B0072F">
            <w:pPr>
              <w:jc w:val="both"/>
              <w:rPr>
                <w:sz w:val="20"/>
                <w:lang w:val="fr-CA"/>
              </w:rPr>
            </w:pPr>
          </w:p>
        </w:tc>
      </w:tr>
      <w:tr w:rsidR="00B0072F" w:rsidRPr="000E560D" w:rsidTr="00B0072F">
        <w:tc>
          <w:tcPr>
            <w:tcW w:w="2427" w:type="pct"/>
            <w:gridSpan w:val="2"/>
          </w:tcPr>
          <w:p w:rsidR="00B0072F" w:rsidRPr="000E560D" w:rsidRDefault="00B0072F" w:rsidP="00B0072F">
            <w:pPr>
              <w:jc w:val="both"/>
              <w:rPr>
                <w:sz w:val="20"/>
                <w:lang w:val="fr-CA"/>
              </w:rPr>
            </w:pPr>
            <w:r w:rsidRPr="000E560D">
              <w:rPr>
                <w:sz w:val="20"/>
                <w:lang w:val="fr-CA"/>
              </w:rPr>
              <w:t>Le 24 mars 2017</w:t>
            </w:r>
          </w:p>
          <w:p w:rsidR="00B0072F" w:rsidRPr="000E560D" w:rsidRDefault="00B0072F" w:rsidP="00B0072F">
            <w:pPr>
              <w:jc w:val="both"/>
              <w:rPr>
                <w:sz w:val="20"/>
                <w:lang w:val="fr-CA"/>
              </w:rPr>
            </w:pPr>
            <w:r w:rsidRPr="000E560D">
              <w:rPr>
                <w:sz w:val="20"/>
                <w:lang w:val="fr-CA"/>
              </w:rPr>
              <w:t>Cour d’appel du Québec (Montréal)</w:t>
            </w:r>
          </w:p>
          <w:p w:rsidR="00B0072F" w:rsidRPr="000E560D" w:rsidRDefault="00B0072F" w:rsidP="00B0072F">
            <w:pPr>
              <w:jc w:val="both"/>
              <w:rPr>
                <w:sz w:val="20"/>
                <w:lang w:val="fr-CA"/>
              </w:rPr>
            </w:pPr>
            <w:r w:rsidRPr="000E560D">
              <w:rPr>
                <w:sz w:val="20"/>
                <w:lang w:val="fr-CA"/>
              </w:rPr>
              <w:t>(Les juges Hilton, Gagnon et Marcotte)</w:t>
            </w:r>
          </w:p>
          <w:p w:rsidR="00B0072F" w:rsidRPr="000E560D" w:rsidRDefault="006B07D6" w:rsidP="00B0072F">
            <w:pPr>
              <w:jc w:val="both"/>
              <w:rPr>
                <w:sz w:val="20"/>
              </w:rPr>
            </w:pPr>
            <w:hyperlink r:id="rId31" w:history="1">
              <w:r w:rsidR="00B0072F" w:rsidRPr="000E560D">
                <w:rPr>
                  <w:rStyle w:val="Hyperlink"/>
                  <w:sz w:val="20"/>
                </w:rPr>
                <w:t>2017 QCCA 470</w:t>
              </w:r>
            </w:hyperlink>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Appel rejeté.</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lang w:val="fr-CA"/>
              </w:rPr>
            </w:pPr>
            <w:r w:rsidRPr="000E560D">
              <w:rPr>
                <w:sz w:val="20"/>
                <w:lang w:val="fr-CA"/>
              </w:rPr>
              <w:t>Le 23 mai 2017</w:t>
            </w:r>
          </w:p>
          <w:p w:rsidR="00B0072F" w:rsidRPr="000E560D" w:rsidRDefault="00B0072F" w:rsidP="00B0072F">
            <w:pPr>
              <w:jc w:val="both"/>
              <w:rPr>
                <w:sz w:val="20"/>
                <w:lang w:val="fr-CA"/>
              </w:rPr>
            </w:pPr>
            <w:r w:rsidRPr="000E560D">
              <w:rPr>
                <w:sz w:val="20"/>
                <w:lang w:val="fr-CA"/>
              </w:rPr>
              <w:t>Cour suprême du Canada</w:t>
            </w: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rPr>
            </w:pPr>
            <w:r w:rsidRPr="000E560D">
              <w:rPr>
                <w:sz w:val="20"/>
              </w:rPr>
              <w:t>Demande d’autorisation d’appel déposée.</w:t>
            </w:r>
          </w:p>
          <w:p w:rsidR="00B0072F" w:rsidRPr="000E560D" w:rsidRDefault="00B0072F" w:rsidP="00B0072F">
            <w:pPr>
              <w:jc w:val="both"/>
              <w:rPr>
                <w:sz w:val="20"/>
              </w:rPr>
            </w:pPr>
          </w:p>
        </w:tc>
      </w:tr>
    </w:tbl>
    <w:p w:rsidR="00B0072F" w:rsidRPr="000E560D" w:rsidRDefault="006B07D6" w:rsidP="00B0072F">
      <w:pPr>
        <w:jc w:val="both"/>
        <w:rPr>
          <w:sz w:val="20"/>
        </w:rPr>
      </w:pPr>
      <w:r>
        <w:rPr>
          <w:sz w:val="20"/>
          <w:szCs w:val="20"/>
        </w:rPr>
        <w:pict>
          <v:rect id="_x0000_i1045" style="width:2in;height:1pt" o:hrpct="0" o:hralign="center" o:hrstd="t" o:hrnoshade="t" o:hr="t" fillcolor="black [3213]" stroked="f"/>
        </w:pict>
      </w:r>
    </w:p>
    <w:p w:rsidR="00B0072F" w:rsidRPr="000E560D" w:rsidRDefault="00B0072F" w:rsidP="00B0072F">
      <w:pPr>
        <w:tabs>
          <w:tab w:val="left" w:pos="900"/>
          <w:tab w:val="center" w:pos="5760"/>
        </w:tabs>
        <w:ind w:left="360" w:hanging="360"/>
        <w:jc w:val="both"/>
        <w:rPr>
          <w:sz w:val="20"/>
          <w:lang w:val="fr-CA"/>
        </w:rPr>
      </w:pPr>
    </w:p>
    <w:p w:rsidR="00E111AB" w:rsidRDefault="00E111AB">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B0072F" w:rsidRPr="000E560D" w:rsidTr="00B0072F">
        <w:trPr>
          <w:gridAfter w:val="1"/>
          <w:wAfter w:w="48" w:type="pct"/>
        </w:trPr>
        <w:tc>
          <w:tcPr>
            <w:tcW w:w="538" w:type="pct"/>
          </w:tcPr>
          <w:p w:rsidR="00B0072F" w:rsidRPr="00E111AB" w:rsidRDefault="00B0072F" w:rsidP="00B0072F">
            <w:pPr>
              <w:jc w:val="both"/>
              <w:rPr>
                <w:sz w:val="20"/>
              </w:rPr>
            </w:pPr>
            <w:r w:rsidRPr="00E111AB">
              <w:rPr>
                <w:rStyle w:val="SCCFileNumberChar"/>
                <w:sz w:val="20"/>
                <w:szCs w:val="20"/>
              </w:rPr>
              <w:lastRenderedPageBreak/>
              <w:t>27620</w:t>
            </w:r>
          </w:p>
        </w:tc>
        <w:tc>
          <w:tcPr>
            <w:tcW w:w="4414" w:type="pct"/>
            <w:gridSpan w:val="3"/>
          </w:tcPr>
          <w:p w:rsidR="00B0072F" w:rsidRPr="00E111AB" w:rsidRDefault="00B0072F" w:rsidP="00B0072F">
            <w:pPr>
              <w:pStyle w:val="SCCLsocParty"/>
              <w:jc w:val="both"/>
              <w:rPr>
                <w:b/>
                <w:sz w:val="20"/>
                <w:szCs w:val="20"/>
                <w:lang w:val="en-US"/>
              </w:rPr>
            </w:pPr>
            <w:r w:rsidRPr="00E111AB">
              <w:rPr>
                <w:b/>
                <w:sz w:val="20"/>
                <w:szCs w:val="20"/>
                <w:lang w:val="en-US"/>
              </w:rPr>
              <w:t>Earl Daniel Stevenson v. Her Majesty the Queen</w:t>
            </w:r>
          </w:p>
          <w:p w:rsidR="00B0072F" w:rsidRPr="00E111AB" w:rsidRDefault="00B0072F" w:rsidP="00B0072F">
            <w:pPr>
              <w:jc w:val="both"/>
              <w:rPr>
                <w:sz w:val="20"/>
              </w:rPr>
            </w:pPr>
            <w:r w:rsidRPr="00E111AB">
              <w:rPr>
                <w:sz w:val="20"/>
              </w:rPr>
              <w:t>(Sask.) (Criminal) (By Leave)</w:t>
            </w:r>
          </w:p>
        </w:tc>
      </w:tr>
      <w:tr w:rsidR="00B0072F" w:rsidRPr="000E560D" w:rsidTr="00B0072F">
        <w:trPr>
          <w:gridAfter w:val="1"/>
          <w:wAfter w:w="48" w:type="pct"/>
        </w:trPr>
        <w:tc>
          <w:tcPr>
            <w:tcW w:w="538" w:type="pct"/>
          </w:tcPr>
          <w:p w:rsidR="00B0072F" w:rsidRPr="00E111AB" w:rsidRDefault="00B0072F" w:rsidP="00B0072F">
            <w:pPr>
              <w:jc w:val="both"/>
              <w:rPr>
                <w:rStyle w:val="SCCFileNumberChar"/>
                <w:sz w:val="20"/>
                <w:szCs w:val="20"/>
              </w:rPr>
            </w:pPr>
            <w:r w:rsidRPr="00E111AB">
              <w:rPr>
                <w:rStyle w:val="SCCFileNumberChar"/>
                <w:sz w:val="20"/>
                <w:szCs w:val="20"/>
              </w:rPr>
              <w:t>Coram:</w:t>
            </w:r>
          </w:p>
        </w:tc>
        <w:tc>
          <w:tcPr>
            <w:tcW w:w="4414" w:type="pct"/>
            <w:gridSpan w:val="3"/>
          </w:tcPr>
          <w:p w:rsidR="00B0072F" w:rsidRPr="00E111AB" w:rsidRDefault="00E111AB" w:rsidP="00B0072F">
            <w:pPr>
              <w:pStyle w:val="SCCLsocParty"/>
              <w:jc w:val="both"/>
              <w:rPr>
                <w:sz w:val="20"/>
                <w:szCs w:val="20"/>
                <w:lang w:val="en-US"/>
              </w:rPr>
            </w:pPr>
            <w:r w:rsidRPr="00E111AB">
              <w:rPr>
                <w:sz w:val="20"/>
                <w:szCs w:val="20"/>
                <w:lang w:val="en-US"/>
              </w:rPr>
              <w:t>McLachlin C.J. and Abella, Moldaver, Karakatsanis, Wagner, Gascon, Côté, Brown and Rowe JJ.</w:t>
            </w:r>
          </w:p>
          <w:p w:rsidR="00E111AB" w:rsidRPr="00E111AB" w:rsidRDefault="00E111AB" w:rsidP="00E111AB">
            <w:pPr>
              <w:rPr>
                <w:lang w:val="en-US"/>
              </w:rPr>
            </w:pPr>
          </w:p>
        </w:tc>
      </w:tr>
      <w:tr w:rsidR="00B0072F" w:rsidRPr="000E560D" w:rsidTr="00B0072F">
        <w:trPr>
          <w:gridAfter w:val="1"/>
          <w:wAfter w:w="48" w:type="pct"/>
        </w:trPr>
        <w:tc>
          <w:tcPr>
            <w:tcW w:w="4952" w:type="pct"/>
            <w:gridSpan w:val="4"/>
          </w:tcPr>
          <w:p w:rsidR="00B0072F" w:rsidRDefault="00E111AB" w:rsidP="00B0072F">
            <w:pPr>
              <w:pStyle w:val="SCCLsocParty"/>
              <w:jc w:val="both"/>
              <w:rPr>
                <w:sz w:val="20"/>
                <w:szCs w:val="20"/>
                <w:lang w:val="en-US"/>
              </w:rPr>
            </w:pPr>
            <w:r w:rsidRPr="00E111AB">
              <w:rPr>
                <w:sz w:val="20"/>
                <w:szCs w:val="20"/>
                <w:lang w:val="en-US"/>
              </w:rPr>
              <w:t>The motion for an extension of time to serve and file the application for leave to appeal from the judgment of the Court of Appeal for Saskatchewan, Number 7542, 2005 SKCA 44, dated March 23, 2005, is dismissed.</w:t>
            </w:r>
          </w:p>
          <w:p w:rsidR="00E111AB" w:rsidRPr="00E111AB" w:rsidRDefault="00E111AB" w:rsidP="00E111AB">
            <w:pPr>
              <w:rPr>
                <w:lang w:val="en-US"/>
              </w:rPr>
            </w:pPr>
          </w:p>
        </w:tc>
      </w:tr>
      <w:tr w:rsidR="00B0072F" w:rsidRPr="000E560D" w:rsidTr="00B0072F">
        <w:trPr>
          <w:gridAfter w:val="1"/>
          <w:wAfter w:w="48" w:type="pct"/>
        </w:trPr>
        <w:tc>
          <w:tcPr>
            <w:tcW w:w="4952" w:type="pct"/>
            <w:gridSpan w:val="4"/>
          </w:tcPr>
          <w:p w:rsidR="00B0072F" w:rsidRPr="000E560D" w:rsidRDefault="00B0072F" w:rsidP="00B0072F">
            <w:pPr>
              <w:pStyle w:val="SCCBanSummary"/>
              <w:rPr>
                <w:sz w:val="20"/>
                <w:szCs w:val="20"/>
              </w:rPr>
            </w:pPr>
            <w:r w:rsidRPr="000E560D">
              <w:rPr>
                <w:sz w:val="20"/>
                <w:szCs w:val="20"/>
              </w:rPr>
              <w:t>(Publication ban in case)</w:t>
            </w:r>
          </w:p>
          <w:p w:rsidR="00B0072F" w:rsidRPr="000E560D" w:rsidRDefault="00B0072F" w:rsidP="00B0072F">
            <w:pPr>
              <w:jc w:val="both"/>
              <w:rPr>
                <w:sz w:val="20"/>
              </w:rPr>
            </w:pPr>
          </w:p>
          <w:p w:rsidR="00B0072F" w:rsidRPr="000E560D" w:rsidRDefault="00B0072F" w:rsidP="00B0072F">
            <w:pPr>
              <w:jc w:val="both"/>
              <w:rPr>
                <w:sz w:val="20"/>
              </w:rPr>
            </w:pPr>
            <w:r w:rsidRPr="000E560D">
              <w:rPr>
                <w:sz w:val="20"/>
              </w:rPr>
              <w:t xml:space="preserve">Criminal law — Sentencing — Dangerous Offenders — Long term Offenders — Sentencing judge finds applicant to be a dangerous offender — Whether sentencing judge erred by not first considering whether to order a long-term offender designation — Whether accused had a right to appeal — Whether Court of Appeal erred by dismissing the application without hearing the merits of the appeal — Whether indeterminate sentence violates s. 7 of the </w:t>
            </w:r>
            <w:r w:rsidRPr="000E560D">
              <w:rPr>
                <w:i/>
                <w:sz w:val="20"/>
              </w:rPr>
              <w:t>Charter</w:t>
            </w:r>
            <w:r w:rsidRPr="000E560D">
              <w:rPr>
                <w:sz w:val="20"/>
              </w:rPr>
              <w:t xml:space="preserve"> — If yes, whether appeal should be heard on its merits— Whether expert evidence at dangerous offender hearing was unreliable and a new assessment should be ordered?</w:t>
            </w:r>
          </w:p>
        </w:tc>
      </w:tr>
      <w:tr w:rsidR="00B0072F" w:rsidRPr="000E560D" w:rsidTr="00B0072F">
        <w:trPr>
          <w:gridAfter w:val="1"/>
          <w:wAfter w:w="48" w:type="pct"/>
        </w:trPr>
        <w:tc>
          <w:tcPr>
            <w:tcW w:w="4952" w:type="pct"/>
            <w:gridSpan w:val="4"/>
          </w:tcPr>
          <w:p w:rsidR="00B0072F" w:rsidRPr="000E560D" w:rsidRDefault="00B0072F" w:rsidP="00B0072F">
            <w:pPr>
              <w:jc w:val="both"/>
              <w:rPr>
                <w:sz w:val="20"/>
              </w:rPr>
            </w:pPr>
          </w:p>
        </w:tc>
      </w:tr>
      <w:tr w:rsidR="00B0072F" w:rsidRPr="000E560D" w:rsidTr="00B0072F">
        <w:trPr>
          <w:gridAfter w:val="1"/>
          <w:wAfter w:w="48" w:type="pct"/>
        </w:trPr>
        <w:tc>
          <w:tcPr>
            <w:tcW w:w="4952" w:type="pct"/>
            <w:gridSpan w:val="4"/>
          </w:tcPr>
          <w:p w:rsidR="00B0072F" w:rsidRPr="000E560D" w:rsidRDefault="00B0072F" w:rsidP="00B0072F">
            <w:pPr>
              <w:jc w:val="both"/>
              <w:rPr>
                <w:sz w:val="20"/>
              </w:rPr>
            </w:pPr>
            <w:r w:rsidRPr="000E560D">
              <w:rPr>
                <w:sz w:val="20"/>
              </w:rPr>
              <w:t xml:space="preserve">Mr. Stevenson was convicted for sexual assault, assault and forcible confinement. In 1998, he was declared a dangerous offender and given an indeterminate sentence. The sentencing judge did not consider whether to declare Mr. Stevenson a long-term offender. </w:t>
            </w:r>
          </w:p>
          <w:p w:rsidR="00B0072F" w:rsidRPr="000E560D" w:rsidRDefault="00B0072F" w:rsidP="00B0072F">
            <w:pPr>
              <w:jc w:val="both"/>
              <w:rPr>
                <w:sz w:val="20"/>
              </w:rPr>
            </w:pPr>
          </w:p>
        </w:tc>
      </w:tr>
      <w:tr w:rsidR="00B0072F" w:rsidRPr="000E560D" w:rsidTr="00B0072F">
        <w:tblPrEx>
          <w:tblCellMar>
            <w:bottom w:w="0" w:type="dxa"/>
          </w:tblCellMar>
        </w:tblPrEx>
        <w:tc>
          <w:tcPr>
            <w:tcW w:w="2367" w:type="pct"/>
            <w:gridSpan w:val="2"/>
          </w:tcPr>
          <w:p w:rsidR="00B0072F" w:rsidRPr="000E560D" w:rsidRDefault="00B0072F" w:rsidP="00B0072F">
            <w:pPr>
              <w:jc w:val="both"/>
              <w:rPr>
                <w:sz w:val="20"/>
              </w:rPr>
            </w:pPr>
            <w:r w:rsidRPr="000E560D">
              <w:rPr>
                <w:sz w:val="20"/>
              </w:rPr>
              <w:t>May 28, 1998</w:t>
            </w:r>
          </w:p>
          <w:p w:rsidR="00B0072F" w:rsidRPr="000E560D" w:rsidRDefault="00B0072F" w:rsidP="00B0072F">
            <w:pPr>
              <w:jc w:val="both"/>
              <w:rPr>
                <w:sz w:val="20"/>
              </w:rPr>
            </w:pPr>
            <w:r w:rsidRPr="000E560D">
              <w:rPr>
                <w:sz w:val="20"/>
              </w:rPr>
              <w:t>Court of Queen’s Bench of Saskatchewan</w:t>
            </w:r>
          </w:p>
          <w:p w:rsidR="00B0072F" w:rsidRPr="000E560D" w:rsidRDefault="00B0072F" w:rsidP="00B0072F">
            <w:pPr>
              <w:jc w:val="both"/>
              <w:rPr>
                <w:sz w:val="20"/>
              </w:rPr>
            </w:pPr>
            <w:r w:rsidRPr="000E560D">
              <w:rPr>
                <w:sz w:val="20"/>
              </w:rPr>
              <w:t>(Archambault J.)</w:t>
            </w:r>
          </w:p>
          <w:p w:rsidR="00B0072F" w:rsidRPr="000E560D" w:rsidRDefault="00B0072F" w:rsidP="00B0072F">
            <w:pPr>
              <w:jc w:val="both"/>
              <w:rPr>
                <w:sz w:val="20"/>
              </w:rPr>
            </w:pPr>
          </w:p>
        </w:tc>
        <w:tc>
          <w:tcPr>
            <w:tcW w:w="267" w:type="pct"/>
          </w:tcPr>
          <w:p w:rsidR="00B0072F" w:rsidRPr="000E560D" w:rsidRDefault="00B0072F" w:rsidP="00B0072F">
            <w:pPr>
              <w:jc w:val="both"/>
              <w:rPr>
                <w:sz w:val="20"/>
              </w:rPr>
            </w:pPr>
          </w:p>
        </w:tc>
        <w:tc>
          <w:tcPr>
            <w:tcW w:w="2366" w:type="pct"/>
            <w:gridSpan w:val="2"/>
          </w:tcPr>
          <w:p w:rsidR="00B0072F" w:rsidRPr="000E560D" w:rsidRDefault="00B0072F" w:rsidP="00B0072F">
            <w:pPr>
              <w:jc w:val="both"/>
              <w:rPr>
                <w:sz w:val="20"/>
              </w:rPr>
            </w:pPr>
            <w:r w:rsidRPr="000E560D">
              <w:rPr>
                <w:sz w:val="20"/>
              </w:rPr>
              <w:t>Applicant designated a dangerous offender</w:t>
            </w:r>
          </w:p>
          <w:p w:rsidR="00B0072F" w:rsidRPr="000E560D" w:rsidRDefault="00B0072F" w:rsidP="00B0072F">
            <w:pPr>
              <w:jc w:val="both"/>
              <w:rPr>
                <w:sz w:val="20"/>
              </w:rPr>
            </w:pPr>
          </w:p>
        </w:tc>
      </w:tr>
      <w:tr w:rsidR="00B0072F" w:rsidRPr="000E560D" w:rsidTr="00B0072F">
        <w:tblPrEx>
          <w:tblCellMar>
            <w:bottom w:w="0" w:type="dxa"/>
          </w:tblCellMar>
        </w:tblPrEx>
        <w:tc>
          <w:tcPr>
            <w:tcW w:w="2367" w:type="pct"/>
            <w:gridSpan w:val="2"/>
          </w:tcPr>
          <w:p w:rsidR="00B0072F" w:rsidRPr="000E560D" w:rsidRDefault="00B0072F" w:rsidP="00B0072F">
            <w:pPr>
              <w:jc w:val="both"/>
              <w:rPr>
                <w:sz w:val="20"/>
              </w:rPr>
            </w:pPr>
            <w:r w:rsidRPr="000E560D">
              <w:rPr>
                <w:sz w:val="20"/>
              </w:rPr>
              <w:t>January 19, 1999</w:t>
            </w:r>
          </w:p>
          <w:p w:rsidR="00B0072F" w:rsidRPr="000E560D" w:rsidRDefault="00B0072F" w:rsidP="00B0072F">
            <w:pPr>
              <w:jc w:val="both"/>
              <w:rPr>
                <w:sz w:val="20"/>
              </w:rPr>
            </w:pPr>
            <w:r w:rsidRPr="000E560D">
              <w:rPr>
                <w:sz w:val="20"/>
              </w:rPr>
              <w:t>Court of Appeal for Saskatchewan</w:t>
            </w:r>
          </w:p>
          <w:p w:rsidR="00B0072F" w:rsidRPr="000E560D" w:rsidRDefault="00B0072F" w:rsidP="00B0072F">
            <w:pPr>
              <w:jc w:val="both"/>
              <w:rPr>
                <w:sz w:val="20"/>
              </w:rPr>
            </w:pPr>
            <w:r w:rsidRPr="000E560D">
              <w:rPr>
                <w:sz w:val="20"/>
              </w:rPr>
              <w:t>(Tallis, Gerwing, Lane JJ.A.)</w:t>
            </w:r>
          </w:p>
          <w:p w:rsidR="00B0072F" w:rsidRPr="000E560D" w:rsidRDefault="00B0072F" w:rsidP="00B0072F">
            <w:pPr>
              <w:jc w:val="both"/>
              <w:rPr>
                <w:sz w:val="20"/>
              </w:rPr>
            </w:pPr>
          </w:p>
        </w:tc>
        <w:tc>
          <w:tcPr>
            <w:tcW w:w="267" w:type="pct"/>
          </w:tcPr>
          <w:p w:rsidR="00B0072F" w:rsidRPr="000E560D" w:rsidRDefault="00B0072F" w:rsidP="00B0072F">
            <w:pPr>
              <w:jc w:val="both"/>
              <w:rPr>
                <w:sz w:val="20"/>
              </w:rPr>
            </w:pPr>
          </w:p>
        </w:tc>
        <w:tc>
          <w:tcPr>
            <w:tcW w:w="2366" w:type="pct"/>
            <w:gridSpan w:val="2"/>
          </w:tcPr>
          <w:p w:rsidR="00B0072F" w:rsidRPr="000E560D" w:rsidRDefault="00B0072F" w:rsidP="00B0072F">
            <w:pPr>
              <w:jc w:val="both"/>
              <w:rPr>
                <w:sz w:val="20"/>
              </w:rPr>
            </w:pPr>
            <w:r w:rsidRPr="000E560D">
              <w:rPr>
                <w:sz w:val="20"/>
              </w:rPr>
              <w:t>Appeal from sentence dismissed</w:t>
            </w:r>
          </w:p>
          <w:p w:rsidR="00B0072F" w:rsidRPr="000E560D" w:rsidRDefault="00B0072F" w:rsidP="00B0072F">
            <w:pPr>
              <w:jc w:val="both"/>
              <w:rPr>
                <w:sz w:val="20"/>
              </w:rPr>
            </w:pPr>
          </w:p>
        </w:tc>
      </w:tr>
      <w:tr w:rsidR="00B0072F" w:rsidRPr="000E560D" w:rsidTr="00B0072F">
        <w:tblPrEx>
          <w:tblCellMar>
            <w:bottom w:w="0" w:type="dxa"/>
          </w:tblCellMar>
        </w:tblPrEx>
        <w:tc>
          <w:tcPr>
            <w:tcW w:w="2367" w:type="pct"/>
            <w:gridSpan w:val="2"/>
          </w:tcPr>
          <w:p w:rsidR="00B0072F" w:rsidRPr="000E560D" w:rsidRDefault="00B0072F" w:rsidP="00B0072F">
            <w:pPr>
              <w:jc w:val="both"/>
              <w:rPr>
                <w:sz w:val="20"/>
              </w:rPr>
            </w:pPr>
            <w:r w:rsidRPr="000E560D">
              <w:rPr>
                <w:sz w:val="20"/>
              </w:rPr>
              <w:t>September 21, 2000</w:t>
            </w:r>
          </w:p>
          <w:p w:rsidR="00B0072F" w:rsidRPr="000E560D" w:rsidRDefault="00B0072F" w:rsidP="00B0072F">
            <w:pPr>
              <w:jc w:val="both"/>
              <w:rPr>
                <w:sz w:val="20"/>
              </w:rPr>
            </w:pPr>
            <w:r w:rsidRPr="000E560D">
              <w:rPr>
                <w:sz w:val="20"/>
              </w:rPr>
              <w:t>Supreme Court of Canada</w:t>
            </w:r>
          </w:p>
          <w:p w:rsidR="00B0072F" w:rsidRPr="000E560D" w:rsidRDefault="00B0072F" w:rsidP="00B0072F">
            <w:pPr>
              <w:jc w:val="both"/>
              <w:rPr>
                <w:sz w:val="20"/>
              </w:rPr>
            </w:pPr>
            <w:r w:rsidRPr="000E560D">
              <w:rPr>
                <w:sz w:val="20"/>
              </w:rPr>
              <w:t>(McLachlin C.J., Iacobucci and Major JJ.)</w:t>
            </w:r>
          </w:p>
          <w:p w:rsidR="00B0072F" w:rsidRPr="000E560D" w:rsidRDefault="00B0072F" w:rsidP="00B0072F">
            <w:pPr>
              <w:jc w:val="both"/>
              <w:rPr>
                <w:sz w:val="20"/>
              </w:rPr>
            </w:pPr>
          </w:p>
        </w:tc>
        <w:tc>
          <w:tcPr>
            <w:tcW w:w="267" w:type="pct"/>
          </w:tcPr>
          <w:p w:rsidR="00B0072F" w:rsidRPr="000E560D" w:rsidRDefault="00B0072F" w:rsidP="00B0072F">
            <w:pPr>
              <w:jc w:val="both"/>
              <w:rPr>
                <w:sz w:val="20"/>
              </w:rPr>
            </w:pPr>
          </w:p>
        </w:tc>
        <w:tc>
          <w:tcPr>
            <w:tcW w:w="2366" w:type="pct"/>
            <w:gridSpan w:val="2"/>
            <w:hideMark/>
          </w:tcPr>
          <w:p w:rsidR="00B0072F" w:rsidRPr="000E560D" w:rsidRDefault="00B0072F" w:rsidP="00B0072F">
            <w:pPr>
              <w:jc w:val="both"/>
              <w:rPr>
                <w:sz w:val="20"/>
              </w:rPr>
            </w:pPr>
            <w:r w:rsidRPr="000E560D">
              <w:rPr>
                <w:sz w:val="20"/>
              </w:rPr>
              <w:t>Application for leave to appeal dismissed</w:t>
            </w:r>
          </w:p>
        </w:tc>
      </w:tr>
      <w:tr w:rsidR="00B0072F" w:rsidRPr="000E560D" w:rsidTr="00B0072F">
        <w:tblPrEx>
          <w:tblCellMar>
            <w:bottom w:w="0" w:type="dxa"/>
          </w:tblCellMar>
        </w:tblPrEx>
        <w:tc>
          <w:tcPr>
            <w:tcW w:w="2367" w:type="pct"/>
            <w:gridSpan w:val="2"/>
          </w:tcPr>
          <w:p w:rsidR="00B0072F" w:rsidRPr="000E560D" w:rsidRDefault="00B0072F" w:rsidP="00B0072F">
            <w:pPr>
              <w:jc w:val="both"/>
              <w:rPr>
                <w:sz w:val="20"/>
              </w:rPr>
            </w:pPr>
            <w:r w:rsidRPr="000E560D">
              <w:rPr>
                <w:sz w:val="20"/>
              </w:rPr>
              <w:t>March 23, 2005</w:t>
            </w:r>
          </w:p>
          <w:p w:rsidR="00B0072F" w:rsidRPr="000E560D" w:rsidRDefault="00B0072F" w:rsidP="00B0072F">
            <w:pPr>
              <w:jc w:val="both"/>
              <w:rPr>
                <w:sz w:val="20"/>
              </w:rPr>
            </w:pPr>
            <w:r w:rsidRPr="000E560D">
              <w:rPr>
                <w:sz w:val="20"/>
              </w:rPr>
              <w:t>Court of Appeal for Saskatchewan</w:t>
            </w:r>
          </w:p>
          <w:p w:rsidR="00B0072F" w:rsidRPr="000E560D" w:rsidRDefault="00B0072F" w:rsidP="00B0072F">
            <w:pPr>
              <w:jc w:val="both"/>
              <w:rPr>
                <w:sz w:val="20"/>
              </w:rPr>
            </w:pPr>
            <w:r w:rsidRPr="000E560D">
              <w:rPr>
                <w:sz w:val="20"/>
              </w:rPr>
              <w:t>(Vancise J.)</w:t>
            </w:r>
          </w:p>
          <w:p w:rsidR="00B0072F" w:rsidRPr="000E560D" w:rsidRDefault="00B0072F" w:rsidP="00B0072F">
            <w:pPr>
              <w:jc w:val="both"/>
              <w:rPr>
                <w:sz w:val="20"/>
              </w:rPr>
            </w:pPr>
            <w:r w:rsidRPr="000E560D">
              <w:rPr>
                <w:sz w:val="20"/>
              </w:rPr>
              <w:t xml:space="preserve">7542; </w:t>
            </w:r>
            <w:hyperlink r:id="rId32" w:history="1">
              <w:r w:rsidRPr="000E560D">
                <w:rPr>
                  <w:rStyle w:val="Hyperlink"/>
                  <w:sz w:val="20"/>
                </w:rPr>
                <w:t>2005 SKCA 44</w:t>
              </w:r>
            </w:hyperlink>
          </w:p>
          <w:p w:rsidR="00B0072F" w:rsidRPr="000E560D" w:rsidRDefault="00B0072F" w:rsidP="00B0072F">
            <w:pPr>
              <w:jc w:val="both"/>
              <w:rPr>
                <w:sz w:val="20"/>
              </w:rPr>
            </w:pPr>
          </w:p>
        </w:tc>
        <w:tc>
          <w:tcPr>
            <w:tcW w:w="267" w:type="pct"/>
          </w:tcPr>
          <w:p w:rsidR="00B0072F" w:rsidRPr="000E560D" w:rsidRDefault="00B0072F" w:rsidP="00B0072F">
            <w:pPr>
              <w:jc w:val="both"/>
              <w:rPr>
                <w:sz w:val="20"/>
              </w:rPr>
            </w:pPr>
          </w:p>
        </w:tc>
        <w:tc>
          <w:tcPr>
            <w:tcW w:w="2366" w:type="pct"/>
            <w:gridSpan w:val="2"/>
          </w:tcPr>
          <w:p w:rsidR="00B0072F" w:rsidRPr="000E560D" w:rsidRDefault="00B0072F" w:rsidP="00B0072F">
            <w:pPr>
              <w:jc w:val="both"/>
              <w:rPr>
                <w:sz w:val="20"/>
              </w:rPr>
            </w:pPr>
            <w:r w:rsidRPr="000E560D">
              <w:rPr>
                <w:sz w:val="20"/>
              </w:rPr>
              <w:t>Application for extension</w:t>
            </w:r>
            <w:r w:rsidRPr="000E560D">
              <w:rPr>
                <w:spacing w:val="12"/>
                <w:sz w:val="20"/>
              </w:rPr>
              <w:t xml:space="preserve"> </w:t>
            </w:r>
            <w:r w:rsidRPr="000E560D">
              <w:rPr>
                <w:sz w:val="20"/>
              </w:rPr>
              <w:t>of time</w:t>
            </w:r>
            <w:r w:rsidRPr="000E560D">
              <w:rPr>
                <w:spacing w:val="1"/>
                <w:sz w:val="20"/>
              </w:rPr>
              <w:t xml:space="preserve"> to appeal from sentence </w:t>
            </w:r>
            <w:r w:rsidRPr="000E560D">
              <w:rPr>
                <w:sz w:val="20"/>
              </w:rPr>
              <w:t>dismissed</w:t>
            </w:r>
          </w:p>
          <w:p w:rsidR="00B0072F" w:rsidRPr="000E560D" w:rsidRDefault="00B0072F" w:rsidP="00B0072F">
            <w:pPr>
              <w:jc w:val="both"/>
              <w:rPr>
                <w:sz w:val="20"/>
              </w:rPr>
            </w:pPr>
          </w:p>
        </w:tc>
      </w:tr>
      <w:tr w:rsidR="00B0072F" w:rsidRPr="000E560D" w:rsidTr="00B0072F">
        <w:tblPrEx>
          <w:tblCellMar>
            <w:bottom w:w="0" w:type="dxa"/>
          </w:tblCellMar>
        </w:tblPrEx>
        <w:tc>
          <w:tcPr>
            <w:tcW w:w="2367" w:type="pct"/>
            <w:gridSpan w:val="2"/>
            <w:hideMark/>
          </w:tcPr>
          <w:p w:rsidR="00B0072F" w:rsidRPr="000E560D" w:rsidRDefault="00B0072F" w:rsidP="00B0072F">
            <w:pPr>
              <w:jc w:val="both"/>
              <w:rPr>
                <w:sz w:val="20"/>
              </w:rPr>
            </w:pPr>
            <w:r w:rsidRPr="000E560D">
              <w:rPr>
                <w:sz w:val="20"/>
              </w:rPr>
              <w:t>February 13, 2017</w:t>
            </w:r>
          </w:p>
          <w:p w:rsidR="00B0072F" w:rsidRPr="000E560D" w:rsidRDefault="00B0072F" w:rsidP="00B0072F">
            <w:pPr>
              <w:jc w:val="both"/>
              <w:rPr>
                <w:sz w:val="20"/>
              </w:rPr>
            </w:pPr>
            <w:r w:rsidRPr="000E560D">
              <w:rPr>
                <w:sz w:val="20"/>
              </w:rPr>
              <w:t>Supreme Court of Canada</w:t>
            </w:r>
          </w:p>
        </w:tc>
        <w:tc>
          <w:tcPr>
            <w:tcW w:w="267" w:type="pct"/>
          </w:tcPr>
          <w:p w:rsidR="00B0072F" w:rsidRPr="000E560D" w:rsidRDefault="00B0072F" w:rsidP="00B0072F">
            <w:pPr>
              <w:jc w:val="both"/>
              <w:rPr>
                <w:sz w:val="20"/>
              </w:rPr>
            </w:pPr>
          </w:p>
        </w:tc>
        <w:tc>
          <w:tcPr>
            <w:tcW w:w="2366" w:type="pct"/>
            <w:gridSpan w:val="2"/>
            <w:hideMark/>
          </w:tcPr>
          <w:p w:rsidR="00B0072F" w:rsidRPr="000E560D" w:rsidRDefault="00B0072F" w:rsidP="00B0072F">
            <w:pPr>
              <w:jc w:val="both"/>
              <w:rPr>
                <w:sz w:val="20"/>
              </w:rPr>
            </w:pPr>
            <w:r w:rsidRPr="000E560D">
              <w:rPr>
                <w:sz w:val="20"/>
              </w:rPr>
              <w:t>Application for extension</w:t>
            </w:r>
            <w:r w:rsidRPr="000E560D">
              <w:rPr>
                <w:spacing w:val="12"/>
                <w:sz w:val="20"/>
              </w:rPr>
              <w:t xml:space="preserve"> </w:t>
            </w:r>
            <w:r w:rsidRPr="000E560D">
              <w:rPr>
                <w:sz w:val="20"/>
              </w:rPr>
              <w:t>of time</w:t>
            </w:r>
            <w:r w:rsidRPr="000E560D">
              <w:rPr>
                <w:spacing w:val="1"/>
                <w:sz w:val="20"/>
              </w:rPr>
              <w:t xml:space="preserve"> to serve and file application for </w:t>
            </w:r>
            <w:r w:rsidRPr="000E560D">
              <w:rPr>
                <w:sz w:val="20"/>
              </w:rPr>
              <w:t xml:space="preserve">leave to appeal and </w:t>
            </w:r>
            <w:r w:rsidRPr="000E560D">
              <w:rPr>
                <w:spacing w:val="1"/>
                <w:sz w:val="20"/>
              </w:rPr>
              <w:t xml:space="preserve">Application for </w:t>
            </w:r>
            <w:r w:rsidRPr="000E560D">
              <w:rPr>
                <w:sz w:val="20"/>
              </w:rPr>
              <w:t>leave to appeal filed</w:t>
            </w:r>
          </w:p>
        </w:tc>
      </w:tr>
    </w:tbl>
    <w:p w:rsidR="00B0072F" w:rsidRPr="000E560D" w:rsidRDefault="006B07D6" w:rsidP="00B0072F">
      <w:pPr>
        <w:jc w:val="both"/>
        <w:rPr>
          <w:sz w:val="20"/>
        </w:rPr>
      </w:pPr>
      <w:r>
        <w:rPr>
          <w:sz w:val="20"/>
          <w:szCs w:val="20"/>
        </w:rPr>
        <w:pict>
          <v:rect id="_x0000_i1046" style="width:2in;height:1pt" o:hrpct="0" o:hralign="center" o:hrstd="t" o:hrnoshade="t" o:hr="t" fillcolor="black [3213]" stroked="f"/>
        </w:pict>
      </w:r>
    </w:p>
    <w:p w:rsidR="00B0072F" w:rsidRPr="000E560D" w:rsidRDefault="00B0072F" w:rsidP="00B0072F">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35"/>
        <w:gridCol w:w="3519"/>
        <w:gridCol w:w="514"/>
        <w:gridCol w:w="4459"/>
        <w:gridCol w:w="92"/>
      </w:tblGrid>
      <w:tr w:rsidR="00B0072F" w:rsidRPr="000E560D" w:rsidTr="00B0072F">
        <w:trPr>
          <w:gridAfter w:val="1"/>
          <w:wAfter w:w="48" w:type="pct"/>
        </w:trPr>
        <w:tc>
          <w:tcPr>
            <w:tcW w:w="538" w:type="pct"/>
          </w:tcPr>
          <w:p w:rsidR="00B0072F" w:rsidRPr="00E111AB" w:rsidRDefault="00B0072F" w:rsidP="00B0072F">
            <w:pPr>
              <w:jc w:val="both"/>
              <w:rPr>
                <w:sz w:val="20"/>
                <w:lang w:val="fr-CA"/>
              </w:rPr>
            </w:pPr>
            <w:r w:rsidRPr="00E111AB">
              <w:rPr>
                <w:rStyle w:val="SCCFileNumberChar"/>
                <w:sz w:val="20"/>
                <w:szCs w:val="20"/>
                <w:lang w:val="fr-CA"/>
              </w:rPr>
              <w:t>27620</w:t>
            </w:r>
          </w:p>
        </w:tc>
        <w:tc>
          <w:tcPr>
            <w:tcW w:w="4414" w:type="pct"/>
            <w:gridSpan w:val="3"/>
          </w:tcPr>
          <w:p w:rsidR="00B0072F" w:rsidRPr="00E111AB" w:rsidRDefault="00B0072F" w:rsidP="00B0072F">
            <w:pPr>
              <w:pStyle w:val="SCCLsocParty"/>
              <w:jc w:val="both"/>
              <w:rPr>
                <w:b/>
                <w:sz w:val="20"/>
                <w:szCs w:val="20"/>
              </w:rPr>
            </w:pPr>
            <w:r w:rsidRPr="00E111AB">
              <w:rPr>
                <w:b/>
                <w:sz w:val="20"/>
                <w:szCs w:val="20"/>
              </w:rPr>
              <w:t>Earl Daniel Stevenson c. Sa Majesté la Reine</w:t>
            </w:r>
          </w:p>
          <w:p w:rsidR="00B0072F" w:rsidRPr="00E111AB" w:rsidRDefault="00B0072F" w:rsidP="00B0072F">
            <w:pPr>
              <w:jc w:val="both"/>
              <w:rPr>
                <w:sz w:val="20"/>
                <w:lang w:val="fr-CA"/>
              </w:rPr>
            </w:pPr>
            <w:r w:rsidRPr="00E111AB">
              <w:rPr>
                <w:sz w:val="20"/>
                <w:lang w:val="fr-CA"/>
              </w:rPr>
              <w:t>(Sask.) (Criminelle) (Sur autorisation)</w:t>
            </w:r>
          </w:p>
        </w:tc>
      </w:tr>
      <w:tr w:rsidR="00B0072F" w:rsidRPr="006B07D6" w:rsidTr="00B0072F">
        <w:trPr>
          <w:gridAfter w:val="1"/>
          <w:wAfter w:w="48" w:type="pct"/>
        </w:trPr>
        <w:tc>
          <w:tcPr>
            <w:tcW w:w="538" w:type="pct"/>
          </w:tcPr>
          <w:p w:rsidR="00B0072F" w:rsidRPr="00E111AB" w:rsidRDefault="00B0072F" w:rsidP="00B0072F">
            <w:pPr>
              <w:jc w:val="both"/>
              <w:rPr>
                <w:rStyle w:val="SCCFileNumberChar"/>
                <w:sz w:val="20"/>
                <w:szCs w:val="20"/>
                <w:lang w:val="fr-CA"/>
              </w:rPr>
            </w:pPr>
            <w:r w:rsidRPr="00E111AB">
              <w:rPr>
                <w:rStyle w:val="SCCFileNumberChar"/>
                <w:sz w:val="20"/>
                <w:szCs w:val="20"/>
                <w:lang w:val="fr-CA"/>
              </w:rPr>
              <w:t>Coram :</w:t>
            </w:r>
          </w:p>
        </w:tc>
        <w:tc>
          <w:tcPr>
            <w:tcW w:w="4414" w:type="pct"/>
            <w:gridSpan w:val="3"/>
          </w:tcPr>
          <w:p w:rsidR="00B0072F" w:rsidRPr="00E111AB" w:rsidRDefault="00E111AB" w:rsidP="00B0072F">
            <w:pPr>
              <w:pStyle w:val="SCCLsocParty"/>
              <w:jc w:val="both"/>
              <w:rPr>
                <w:sz w:val="20"/>
                <w:szCs w:val="20"/>
              </w:rPr>
            </w:pPr>
            <w:r w:rsidRPr="00E111AB">
              <w:rPr>
                <w:sz w:val="20"/>
                <w:szCs w:val="20"/>
                <w:lang w:val="fr-FR"/>
              </w:rPr>
              <w:t>La juge en chef McLachlin et les juges Abella, Moldaver, Karakatsanis, Wagner, Gascon, Côté, Brown et Rowe</w:t>
            </w:r>
          </w:p>
        </w:tc>
      </w:tr>
      <w:tr w:rsidR="00B0072F" w:rsidRPr="006B07D6" w:rsidTr="00B0072F">
        <w:trPr>
          <w:gridAfter w:val="1"/>
          <w:wAfter w:w="48" w:type="pct"/>
        </w:trPr>
        <w:tc>
          <w:tcPr>
            <w:tcW w:w="4952" w:type="pct"/>
            <w:gridSpan w:val="4"/>
          </w:tcPr>
          <w:p w:rsidR="00B0072F" w:rsidRPr="00B0072F" w:rsidRDefault="00E111AB" w:rsidP="00B0072F">
            <w:pPr>
              <w:pStyle w:val="SCCLsocParty"/>
              <w:jc w:val="both"/>
              <w:rPr>
                <w:sz w:val="20"/>
                <w:szCs w:val="20"/>
              </w:rPr>
            </w:pPr>
            <w:r w:rsidRPr="000C38E8">
              <w:rPr>
                <w:sz w:val="20"/>
                <w:szCs w:val="20"/>
              </w:rPr>
              <w:t xml:space="preserve">La requête en prorogation du délai de signification et de dépôt de la demande d’autorisation d’appel de l’arrêt de la </w:t>
            </w:r>
            <w:r w:rsidRPr="000C38E8">
              <w:rPr>
                <w:sz w:val="20"/>
                <w:szCs w:val="20"/>
                <w:lang w:val="fr-FR"/>
              </w:rPr>
              <w:t>Cour d’appel de la Saskatchewan</w:t>
            </w:r>
            <w:r w:rsidRPr="000C38E8">
              <w:rPr>
                <w:sz w:val="20"/>
                <w:szCs w:val="20"/>
              </w:rPr>
              <w:t xml:space="preserve">, numéro </w:t>
            </w:r>
            <w:r w:rsidRPr="000C38E8">
              <w:rPr>
                <w:sz w:val="20"/>
                <w:szCs w:val="20"/>
                <w:lang w:val="fr-FR"/>
              </w:rPr>
              <w:t>7542, 2005 SKCA 44</w:t>
            </w:r>
            <w:r w:rsidRPr="000C38E8">
              <w:rPr>
                <w:sz w:val="20"/>
                <w:szCs w:val="20"/>
              </w:rPr>
              <w:t xml:space="preserve">, daté du </w:t>
            </w:r>
            <w:r w:rsidRPr="000C38E8">
              <w:rPr>
                <w:sz w:val="20"/>
                <w:szCs w:val="20"/>
                <w:lang w:val="fr-FR"/>
              </w:rPr>
              <w:t>23 mars 2005</w:t>
            </w:r>
            <w:r w:rsidRPr="000C38E8">
              <w:rPr>
                <w:sz w:val="20"/>
                <w:szCs w:val="20"/>
              </w:rPr>
              <w:t>, est rejetée.</w:t>
            </w:r>
          </w:p>
        </w:tc>
      </w:tr>
      <w:tr w:rsidR="00B0072F" w:rsidRPr="006B07D6" w:rsidTr="00B0072F">
        <w:trPr>
          <w:gridAfter w:val="1"/>
          <w:wAfter w:w="48" w:type="pct"/>
        </w:trPr>
        <w:tc>
          <w:tcPr>
            <w:tcW w:w="4952" w:type="pct"/>
            <w:gridSpan w:val="4"/>
          </w:tcPr>
          <w:p w:rsidR="00B0072F" w:rsidRPr="000E560D" w:rsidRDefault="00B0072F" w:rsidP="00B0072F">
            <w:pPr>
              <w:pStyle w:val="SCCBanSummary"/>
              <w:rPr>
                <w:sz w:val="20"/>
                <w:szCs w:val="20"/>
                <w:lang w:val="fr-CA"/>
              </w:rPr>
            </w:pPr>
            <w:r w:rsidRPr="000E560D">
              <w:rPr>
                <w:sz w:val="20"/>
                <w:szCs w:val="20"/>
                <w:lang w:val="fr-CA"/>
              </w:rPr>
              <w:t>(Ordonnance de non-publication dans le dossier)</w:t>
            </w:r>
          </w:p>
          <w:p w:rsidR="00B0072F" w:rsidRPr="000E560D" w:rsidRDefault="00B0072F" w:rsidP="00B0072F">
            <w:pPr>
              <w:jc w:val="both"/>
              <w:rPr>
                <w:sz w:val="20"/>
                <w:lang w:val="fr-CA"/>
              </w:rPr>
            </w:pPr>
          </w:p>
          <w:p w:rsidR="00B0072F" w:rsidRPr="000E560D" w:rsidRDefault="00B0072F" w:rsidP="00B0072F">
            <w:pPr>
              <w:jc w:val="both"/>
              <w:rPr>
                <w:sz w:val="20"/>
                <w:lang w:val="fr-CA"/>
              </w:rPr>
            </w:pPr>
            <w:r w:rsidRPr="000E560D">
              <w:rPr>
                <w:sz w:val="20"/>
                <w:lang w:val="fr-CA"/>
              </w:rPr>
              <w:lastRenderedPageBreak/>
              <w:t>Droit criminel — Détermination de la peine — Délinquants dangereux — Délinquants à contrôler — Accusé déclaré délinquant dangereux par le juge chargé de déterminer la peine — Le juge chargé de déterminer la peine a-t-il commis une erreur en n’envisageant pas en premier lieu de déclarer l’accusé délinquant à contrôler? — L’accusé avait-il le droit d’interjeter appel? — La Cour d’appel a-t-elle commis une erreur en rejetant la demande sans qu’il y ait eu audition sur le fond? — Une peine d’emprisonnement d’une durée indéterminée contrevient-elle à l’art. 7 de la Charte? — Dans l’affirmative, devrait-il y avoir audition sur le fond du pourvoi? — Le témoignage de l’expert lors de l’audience sur le statut de délinquant dangereux était-il peu digne de foi et une nouvelle évaluation devrait-elle être ordonnée?</w:t>
            </w:r>
          </w:p>
        </w:tc>
      </w:tr>
      <w:tr w:rsidR="00B0072F" w:rsidRPr="006B07D6" w:rsidTr="00B0072F">
        <w:trPr>
          <w:gridAfter w:val="1"/>
          <w:wAfter w:w="48" w:type="pct"/>
        </w:trPr>
        <w:tc>
          <w:tcPr>
            <w:tcW w:w="4952" w:type="pct"/>
            <w:gridSpan w:val="4"/>
          </w:tcPr>
          <w:p w:rsidR="00B0072F" w:rsidRPr="000E560D" w:rsidRDefault="00B0072F" w:rsidP="00B0072F">
            <w:pPr>
              <w:jc w:val="both"/>
              <w:rPr>
                <w:sz w:val="20"/>
                <w:lang w:val="fr-CA"/>
              </w:rPr>
            </w:pPr>
          </w:p>
        </w:tc>
      </w:tr>
      <w:tr w:rsidR="00B0072F" w:rsidRPr="006B07D6" w:rsidTr="00B0072F">
        <w:trPr>
          <w:gridAfter w:val="1"/>
          <w:wAfter w:w="48" w:type="pct"/>
        </w:trPr>
        <w:tc>
          <w:tcPr>
            <w:tcW w:w="4952" w:type="pct"/>
            <w:gridSpan w:val="4"/>
          </w:tcPr>
          <w:p w:rsidR="00B0072F" w:rsidRPr="000E560D" w:rsidRDefault="00B0072F" w:rsidP="00B0072F">
            <w:pPr>
              <w:jc w:val="both"/>
              <w:rPr>
                <w:sz w:val="20"/>
                <w:lang w:val="fr-CA"/>
              </w:rPr>
            </w:pPr>
            <w:r w:rsidRPr="000E560D">
              <w:rPr>
                <w:sz w:val="20"/>
                <w:lang w:val="fr-CA"/>
              </w:rPr>
              <w:t xml:space="preserve">M. Stevenson a été déclaré coupable d’agression sexuelle, de voies de fait et de séquestration. En 1998, il a été déclaré délinquant dangereux et il s’est vu infliger une peine d’emprisonnement d’une durée indéterminée. Le juge chargé de déterminer la peine n’a pas envisagé de déclarer M. Stevenson  délinquant à contrôler. </w:t>
            </w:r>
          </w:p>
          <w:p w:rsidR="00B0072F" w:rsidRPr="000E560D" w:rsidRDefault="00B0072F" w:rsidP="00B0072F">
            <w:pPr>
              <w:jc w:val="both"/>
              <w:rPr>
                <w:sz w:val="20"/>
                <w:lang w:val="fr-CA"/>
              </w:rPr>
            </w:pPr>
          </w:p>
        </w:tc>
      </w:tr>
      <w:tr w:rsidR="00B0072F" w:rsidRPr="000E560D" w:rsidTr="00B0072F">
        <w:tblPrEx>
          <w:tblCellMar>
            <w:bottom w:w="0" w:type="dxa"/>
          </w:tblCellMar>
        </w:tblPrEx>
        <w:tc>
          <w:tcPr>
            <w:tcW w:w="2367" w:type="pct"/>
            <w:gridSpan w:val="2"/>
          </w:tcPr>
          <w:p w:rsidR="00B0072F" w:rsidRPr="000E560D" w:rsidRDefault="00B0072F" w:rsidP="00B0072F">
            <w:pPr>
              <w:jc w:val="both"/>
              <w:rPr>
                <w:sz w:val="20"/>
                <w:lang w:val="fr-CA"/>
              </w:rPr>
            </w:pPr>
            <w:r w:rsidRPr="000E560D">
              <w:rPr>
                <w:sz w:val="20"/>
                <w:lang w:val="fr-CA"/>
              </w:rPr>
              <w:t>28 mai 1998</w:t>
            </w:r>
          </w:p>
          <w:p w:rsidR="00B0072F" w:rsidRPr="000E560D" w:rsidRDefault="00B0072F" w:rsidP="00B0072F">
            <w:pPr>
              <w:jc w:val="both"/>
              <w:rPr>
                <w:sz w:val="20"/>
                <w:lang w:val="fr-CA"/>
              </w:rPr>
            </w:pPr>
            <w:r w:rsidRPr="000E560D">
              <w:rPr>
                <w:sz w:val="20"/>
                <w:lang w:val="fr-CA"/>
              </w:rPr>
              <w:t>Cour du Banc de la Reine de la Saskatchewan</w:t>
            </w:r>
          </w:p>
          <w:p w:rsidR="00B0072F" w:rsidRPr="000E560D" w:rsidRDefault="00B0072F" w:rsidP="00B0072F">
            <w:pPr>
              <w:jc w:val="both"/>
              <w:rPr>
                <w:sz w:val="20"/>
                <w:lang w:val="fr-CA"/>
              </w:rPr>
            </w:pPr>
            <w:r w:rsidRPr="000E560D">
              <w:rPr>
                <w:sz w:val="20"/>
                <w:lang w:val="fr-CA"/>
              </w:rPr>
              <w:t>(Juge Archambault)</w:t>
            </w:r>
          </w:p>
          <w:p w:rsidR="00B0072F" w:rsidRPr="000E560D" w:rsidRDefault="00B0072F" w:rsidP="00B0072F">
            <w:pPr>
              <w:jc w:val="both"/>
              <w:rPr>
                <w:sz w:val="20"/>
                <w:lang w:val="fr-CA"/>
              </w:rPr>
            </w:pPr>
          </w:p>
        </w:tc>
        <w:tc>
          <w:tcPr>
            <w:tcW w:w="267" w:type="pct"/>
          </w:tcPr>
          <w:p w:rsidR="00B0072F" w:rsidRPr="000E560D" w:rsidRDefault="00B0072F" w:rsidP="00B0072F">
            <w:pPr>
              <w:jc w:val="both"/>
              <w:rPr>
                <w:sz w:val="20"/>
                <w:lang w:val="fr-CA"/>
              </w:rPr>
            </w:pPr>
          </w:p>
        </w:tc>
        <w:tc>
          <w:tcPr>
            <w:tcW w:w="2366" w:type="pct"/>
            <w:gridSpan w:val="2"/>
          </w:tcPr>
          <w:p w:rsidR="00B0072F" w:rsidRPr="000E560D" w:rsidRDefault="00B0072F" w:rsidP="00B0072F">
            <w:pPr>
              <w:jc w:val="both"/>
              <w:rPr>
                <w:sz w:val="20"/>
                <w:lang w:val="fr-CA"/>
              </w:rPr>
            </w:pPr>
            <w:r w:rsidRPr="000E560D">
              <w:rPr>
                <w:sz w:val="20"/>
                <w:lang w:val="fr-CA"/>
              </w:rPr>
              <w:t>Demandeur déclaré délinquant dangereux</w:t>
            </w:r>
          </w:p>
          <w:p w:rsidR="00B0072F" w:rsidRPr="000E560D" w:rsidRDefault="00B0072F" w:rsidP="00B0072F">
            <w:pPr>
              <w:jc w:val="both"/>
              <w:rPr>
                <w:sz w:val="20"/>
                <w:lang w:val="fr-CA"/>
              </w:rPr>
            </w:pPr>
          </w:p>
        </w:tc>
      </w:tr>
      <w:tr w:rsidR="00B0072F" w:rsidRPr="006B07D6" w:rsidTr="00B0072F">
        <w:tblPrEx>
          <w:tblCellMar>
            <w:bottom w:w="0" w:type="dxa"/>
          </w:tblCellMar>
        </w:tblPrEx>
        <w:tc>
          <w:tcPr>
            <w:tcW w:w="2367" w:type="pct"/>
            <w:gridSpan w:val="2"/>
          </w:tcPr>
          <w:p w:rsidR="00B0072F" w:rsidRPr="000E560D" w:rsidRDefault="00B0072F" w:rsidP="00B0072F">
            <w:pPr>
              <w:jc w:val="both"/>
              <w:rPr>
                <w:sz w:val="20"/>
                <w:lang w:val="fr-CA"/>
              </w:rPr>
            </w:pPr>
            <w:r w:rsidRPr="000E560D">
              <w:rPr>
                <w:sz w:val="20"/>
                <w:lang w:val="fr-CA"/>
              </w:rPr>
              <w:t>19 janvier 1999</w:t>
            </w:r>
          </w:p>
          <w:p w:rsidR="00B0072F" w:rsidRPr="000E560D" w:rsidRDefault="00B0072F" w:rsidP="00B0072F">
            <w:pPr>
              <w:jc w:val="both"/>
              <w:rPr>
                <w:sz w:val="20"/>
                <w:lang w:val="fr-CA"/>
              </w:rPr>
            </w:pPr>
            <w:r w:rsidRPr="000E560D">
              <w:rPr>
                <w:sz w:val="20"/>
                <w:lang w:val="fr-CA"/>
              </w:rPr>
              <w:t>Cour d’appel de la Saskatchewan</w:t>
            </w:r>
          </w:p>
          <w:p w:rsidR="00B0072F" w:rsidRPr="000E560D" w:rsidRDefault="00B0072F" w:rsidP="00B0072F">
            <w:pPr>
              <w:jc w:val="both"/>
              <w:rPr>
                <w:sz w:val="20"/>
                <w:lang w:val="fr-CA"/>
              </w:rPr>
            </w:pPr>
            <w:r w:rsidRPr="000E560D">
              <w:rPr>
                <w:sz w:val="20"/>
                <w:lang w:val="fr-CA"/>
              </w:rPr>
              <w:t>(Juges Tallis, Gerwing et Lane)</w:t>
            </w:r>
          </w:p>
          <w:p w:rsidR="00B0072F" w:rsidRPr="000E560D" w:rsidRDefault="00B0072F" w:rsidP="00B0072F">
            <w:pPr>
              <w:jc w:val="both"/>
              <w:rPr>
                <w:sz w:val="20"/>
                <w:lang w:val="fr-CA"/>
              </w:rPr>
            </w:pPr>
          </w:p>
        </w:tc>
        <w:tc>
          <w:tcPr>
            <w:tcW w:w="267" w:type="pct"/>
          </w:tcPr>
          <w:p w:rsidR="00B0072F" w:rsidRPr="000E560D" w:rsidRDefault="00B0072F" w:rsidP="00B0072F">
            <w:pPr>
              <w:jc w:val="both"/>
              <w:rPr>
                <w:sz w:val="20"/>
                <w:lang w:val="fr-CA"/>
              </w:rPr>
            </w:pPr>
          </w:p>
        </w:tc>
        <w:tc>
          <w:tcPr>
            <w:tcW w:w="2366" w:type="pct"/>
            <w:gridSpan w:val="2"/>
          </w:tcPr>
          <w:p w:rsidR="00B0072F" w:rsidRPr="000E560D" w:rsidRDefault="00B0072F" w:rsidP="00B0072F">
            <w:pPr>
              <w:jc w:val="both"/>
              <w:rPr>
                <w:sz w:val="20"/>
                <w:lang w:val="fr-CA"/>
              </w:rPr>
            </w:pPr>
            <w:r w:rsidRPr="000E560D">
              <w:rPr>
                <w:sz w:val="20"/>
                <w:lang w:val="fr-CA"/>
              </w:rPr>
              <w:t xml:space="preserve">Rejet de l’appel interjeté contre la peine </w:t>
            </w:r>
          </w:p>
          <w:p w:rsidR="00B0072F" w:rsidRPr="000E560D" w:rsidRDefault="00B0072F" w:rsidP="00B0072F">
            <w:pPr>
              <w:jc w:val="both"/>
              <w:rPr>
                <w:sz w:val="20"/>
                <w:lang w:val="fr-CA"/>
              </w:rPr>
            </w:pPr>
          </w:p>
        </w:tc>
      </w:tr>
      <w:tr w:rsidR="00B0072F" w:rsidRPr="006B07D6" w:rsidTr="00B0072F">
        <w:tblPrEx>
          <w:tblCellMar>
            <w:bottom w:w="0" w:type="dxa"/>
          </w:tblCellMar>
        </w:tblPrEx>
        <w:tc>
          <w:tcPr>
            <w:tcW w:w="2367" w:type="pct"/>
            <w:gridSpan w:val="2"/>
          </w:tcPr>
          <w:p w:rsidR="00B0072F" w:rsidRPr="000E560D" w:rsidRDefault="00B0072F" w:rsidP="00B0072F">
            <w:pPr>
              <w:jc w:val="both"/>
              <w:rPr>
                <w:sz w:val="20"/>
                <w:lang w:val="fr-CA"/>
              </w:rPr>
            </w:pPr>
            <w:r w:rsidRPr="000E560D">
              <w:rPr>
                <w:sz w:val="20"/>
                <w:lang w:val="fr-CA"/>
              </w:rPr>
              <w:t>21 septembre 2000</w:t>
            </w:r>
          </w:p>
          <w:p w:rsidR="00B0072F" w:rsidRPr="000E560D" w:rsidRDefault="00B0072F" w:rsidP="00B0072F">
            <w:pPr>
              <w:jc w:val="both"/>
              <w:rPr>
                <w:sz w:val="20"/>
                <w:lang w:val="fr-CA"/>
              </w:rPr>
            </w:pPr>
            <w:r w:rsidRPr="000E560D">
              <w:rPr>
                <w:sz w:val="20"/>
                <w:lang w:val="fr-CA"/>
              </w:rPr>
              <w:t>Cour suprême du Canada</w:t>
            </w:r>
          </w:p>
          <w:p w:rsidR="00B0072F" w:rsidRPr="000E560D" w:rsidRDefault="00B0072F" w:rsidP="00B0072F">
            <w:pPr>
              <w:jc w:val="both"/>
              <w:rPr>
                <w:sz w:val="20"/>
                <w:lang w:val="fr-CA"/>
              </w:rPr>
            </w:pPr>
            <w:r w:rsidRPr="000E560D">
              <w:rPr>
                <w:sz w:val="20"/>
                <w:lang w:val="fr-CA"/>
              </w:rPr>
              <w:t>(Juge en chef McLachlin, juges Iacobucci et Major)</w:t>
            </w:r>
          </w:p>
          <w:p w:rsidR="00B0072F" w:rsidRPr="000E560D" w:rsidRDefault="00B0072F" w:rsidP="00B0072F">
            <w:pPr>
              <w:jc w:val="both"/>
              <w:rPr>
                <w:sz w:val="20"/>
                <w:lang w:val="fr-CA"/>
              </w:rPr>
            </w:pPr>
          </w:p>
        </w:tc>
        <w:tc>
          <w:tcPr>
            <w:tcW w:w="267" w:type="pct"/>
          </w:tcPr>
          <w:p w:rsidR="00B0072F" w:rsidRPr="000E560D" w:rsidRDefault="00B0072F" w:rsidP="00B0072F">
            <w:pPr>
              <w:jc w:val="both"/>
              <w:rPr>
                <w:sz w:val="20"/>
                <w:lang w:val="fr-CA"/>
              </w:rPr>
            </w:pPr>
          </w:p>
        </w:tc>
        <w:tc>
          <w:tcPr>
            <w:tcW w:w="2366" w:type="pct"/>
            <w:gridSpan w:val="2"/>
            <w:hideMark/>
          </w:tcPr>
          <w:p w:rsidR="00B0072F" w:rsidRPr="000E560D" w:rsidRDefault="00B0072F" w:rsidP="00B0072F">
            <w:pPr>
              <w:jc w:val="both"/>
              <w:rPr>
                <w:sz w:val="20"/>
                <w:lang w:val="fr-CA"/>
              </w:rPr>
            </w:pPr>
            <w:r w:rsidRPr="000E560D">
              <w:rPr>
                <w:sz w:val="20"/>
                <w:lang w:val="fr-CA"/>
              </w:rPr>
              <w:t>Rejet de la demande d’autorisation d’appel</w:t>
            </w:r>
          </w:p>
        </w:tc>
      </w:tr>
      <w:tr w:rsidR="00B0072F" w:rsidRPr="006B07D6" w:rsidTr="00B0072F">
        <w:tblPrEx>
          <w:tblCellMar>
            <w:bottom w:w="0" w:type="dxa"/>
          </w:tblCellMar>
        </w:tblPrEx>
        <w:tc>
          <w:tcPr>
            <w:tcW w:w="2367" w:type="pct"/>
            <w:gridSpan w:val="2"/>
          </w:tcPr>
          <w:p w:rsidR="00B0072F" w:rsidRPr="000E560D" w:rsidRDefault="00B0072F" w:rsidP="00B0072F">
            <w:pPr>
              <w:jc w:val="both"/>
              <w:rPr>
                <w:sz w:val="20"/>
                <w:lang w:val="fr-CA"/>
              </w:rPr>
            </w:pPr>
            <w:r w:rsidRPr="000E560D">
              <w:rPr>
                <w:sz w:val="20"/>
                <w:lang w:val="fr-CA"/>
              </w:rPr>
              <w:t>23 mars 2005</w:t>
            </w:r>
          </w:p>
          <w:p w:rsidR="00B0072F" w:rsidRPr="000E560D" w:rsidRDefault="00B0072F" w:rsidP="00B0072F">
            <w:pPr>
              <w:jc w:val="both"/>
              <w:rPr>
                <w:sz w:val="20"/>
                <w:lang w:val="fr-CA"/>
              </w:rPr>
            </w:pPr>
            <w:r w:rsidRPr="000E560D">
              <w:rPr>
                <w:sz w:val="20"/>
                <w:lang w:val="fr-CA"/>
              </w:rPr>
              <w:t>Cour d’appel de la Saskatchewan</w:t>
            </w:r>
          </w:p>
          <w:p w:rsidR="00B0072F" w:rsidRPr="000E560D" w:rsidRDefault="00B0072F" w:rsidP="00B0072F">
            <w:pPr>
              <w:jc w:val="both"/>
              <w:rPr>
                <w:sz w:val="20"/>
                <w:lang w:val="fr-CA"/>
              </w:rPr>
            </w:pPr>
            <w:r w:rsidRPr="000E560D">
              <w:rPr>
                <w:sz w:val="20"/>
                <w:lang w:val="fr-CA"/>
              </w:rPr>
              <w:t>(Juge Vancise)</w:t>
            </w:r>
          </w:p>
          <w:p w:rsidR="00B0072F" w:rsidRPr="000E560D" w:rsidRDefault="00B0072F" w:rsidP="00B0072F">
            <w:pPr>
              <w:jc w:val="both"/>
              <w:rPr>
                <w:sz w:val="20"/>
                <w:lang w:val="fr-CA"/>
              </w:rPr>
            </w:pPr>
            <w:r w:rsidRPr="000E560D">
              <w:rPr>
                <w:sz w:val="20"/>
                <w:lang w:val="fr-CA"/>
              </w:rPr>
              <w:t xml:space="preserve">7542; </w:t>
            </w:r>
            <w:hyperlink r:id="rId33" w:history="1">
              <w:r w:rsidRPr="000E560D">
                <w:rPr>
                  <w:rStyle w:val="Hyperlink"/>
                  <w:sz w:val="20"/>
                  <w:lang w:val="fr-CA"/>
                </w:rPr>
                <w:t>2005 SKCA 44</w:t>
              </w:r>
            </w:hyperlink>
          </w:p>
          <w:p w:rsidR="00B0072F" w:rsidRPr="000E560D" w:rsidRDefault="00B0072F" w:rsidP="00B0072F">
            <w:pPr>
              <w:jc w:val="both"/>
              <w:rPr>
                <w:sz w:val="20"/>
                <w:lang w:val="fr-CA"/>
              </w:rPr>
            </w:pPr>
          </w:p>
        </w:tc>
        <w:tc>
          <w:tcPr>
            <w:tcW w:w="267" w:type="pct"/>
          </w:tcPr>
          <w:p w:rsidR="00B0072F" w:rsidRPr="000E560D" w:rsidRDefault="00B0072F" w:rsidP="00B0072F">
            <w:pPr>
              <w:jc w:val="both"/>
              <w:rPr>
                <w:sz w:val="20"/>
                <w:lang w:val="fr-CA"/>
              </w:rPr>
            </w:pPr>
          </w:p>
        </w:tc>
        <w:tc>
          <w:tcPr>
            <w:tcW w:w="2366" w:type="pct"/>
            <w:gridSpan w:val="2"/>
          </w:tcPr>
          <w:p w:rsidR="00B0072F" w:rsidRPr="000E560D" w:rsidRDefault="00B0072F" w:rsidP="00B0072F">
            <w:pPr>
              <w:jc w:val="both"/>
              <w:rPr>
                <w:sz w:val="20"/>
                <w:lang w:val="fr-CA"/>
              </w:rPr>
            </w:pPr>
            <w:r w:rsidRPr="000E560D">
              <w:rPr>
                <w:sz w:val="20"/>
                <w:lang w:val="fr-CA"/>
              </w:rPr>
              <w:t>Rejet de la requête en prorogation du délai pour interjeter appel de la peine</w:t>
            </w:r>
          </w:p>
          <w:p w:rsidR="00B0072F" w:rsidRPr="000E560D" w:rsidRDefault="00B0072F" w:rsidP="00B0072F">
            <w:pPr>
              <w:jc w:val="both"/>
              <w:rPr>
                <w:sz w:val="20"/>
                <w:lang w:val="fr-CA"/>
              </w:rPr>
            </w:pPr>
          </w:p>
        </w:tc>
      </w:tr>
      <w:tr w:rsidR="00B0072F" w:rsidRPr="006B07D6" w:rsidTr="00B0072F">
        <w:tblPrEx>
          <w:tblCellMar>
            <w:bottom w:w="0" w:type="dxa"/>
          </w:tblCellMar>
        </w:tblPrEx>
        <w:tc>
          <w:tcPr>
            <w:tcW w:w="2367" w:type="pct"/>
            <w:gridSpan w:val="2"/>
            <w:hideMark/>
          </w:tcPr>
          <w:p w:rsidR="00B0072F" w:rsidRPr="000E560D" w:rsidRDefault="00B0072F" w:rsidP="00B0072F">
            <w:pPr>
              <w:jc w:val="both"/>
              <w:rPr>
                <w:sz w:val="20"/>
                <w:lang w:val="fr-CA"/>
              </w:rPr>
            </w:pPr>
            <w:r w:rsidRPr="000E560D">
              <w:rPr>
                <w:sz w:val="20"/>
                <w:lang w:val="fr-CA"/>
              </w:rPr>
              <w:t>13 février 2017</w:t>
            </w:r>
          </w:p>
          <w:p w:rsidR="00B0072F" w:rsidRPr="000E560D" w:rsidRDefault="00B0072F" w:rsidP="00B0072F">
            <w:pPr>
              <w:jc w:val="both"/>
              <w:rPr>
                <w:sz w:val="20"/>
                <w:lang w:val="fr-CA"/>
              </w:rPr>
            </w:pPr>
            <w:r w:rsidRPr="000E560D">
              <w:rPr>
                <w:sz w:val="20"/>
                <w:lang w:val="fr-CA"/>
              </w:rPr>
              <w:t>Cour suprême du Canada</w:t>
            </w:r>
          </w:p>
        </w:tc>
        <w:tc>
          <w:tcPr>
            <w:tcW w:w="267" w:type="pct"/>
          </w:tcPr>
          <w:p w:rsidR="00B0072F" w:rsidRPr="000E560D" w:rsidRDefault="00B0072F" w:rsidP="00B0072F">
            <w:pPr>
              <w:jc w:val="both"/>
              <w:rPr>
                <w:sz w:val="20"/>
                <w:lang w:val="fr-CA"/>
              </w:rPr>
            </w:pPr>
          </w:p>
        </w:tc>
        <w:tc>
          <w:tcPr>
            <w:tcW w:w="2366" w:type="pct"/>
            <w:gridSpan w:val="2"/>
            <w:hideMark/>
          </w:tcPr>
          <w:p w:rsidR="00B0072F" w:rsidRPr="000E560D" w:rsidRDefault="00B0072F" w:rsidP="00B0072F">
            <w:pPr>
              <w:jc w:val="both"/>
              <w:rPr>
                <w:sz w:val="20"/>
                <w:lang w:val="fr-CA"/>
              </w:rPr>
            </w:pPr>
            <w:r w:rsidRPr="000E560D">
              <w:rPr>
                <w:sz w:val="20"/>
                <w:lang w:val="fr-CA"/>
              </w:rPr>
              <w:t>Dépôt de la requête en prorogation du délai pour la signification et le dépôt d’une demande d’autorisation d’appel et de la demande d’autorisation d’appel</w:t>
            </w:r>
          </w:p>
        </w:tc>
      </w:tr>
    </w:tbl>
    <w:p w:rsidR="00B0072F" w:rsidRPr="000E560D" w:rsidRDefault="006B07D6" w:rsidP="00B0072F">
      <w:pPr>
        <w:jc w:val="both"/>
        <w:rPr>
          <w:sz w:val="20"/>
          <w:lang w:val="fr-CA"/>
        </w:rPr>
      </w:pPr>
      <w:r>
        <w:rPr>
          <w:sz w:val="20"/>
          <w:szCs w:val="20"/>
        </w:rPr>
        <w:pict>
          <v:rect id="_x0000_i1047" style="width:2in;height:1pt" o:hrpct="0" o:hralign="center" o:hrstd="t" o:hrnoshade="t" o:hr="t" fillcolor="black [3213]" stroked="f"/>
        </w:pict>
      </w:r>
    </w:p>
    <w:p w:rsidR="00B0072F" w:rsidRPr="000E560D" w:rsidRDefault="00B0072F" w:rsidP="00B0072F">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278"/>
        <w:gridCol w:w="4624"/>
      </w:tblGrid>
      <w:tr w:rsidR="00B0072F" w:rsidRPr="000E560D" w:rsidTr="00B0072F">
        <w:tc>
          <w:tcPr>
            <w:tcW w:w="543" w:type="pct"/>
          </w:tcPr>
          <w:p w:rsidR="00B0072F" w:rsidRPr="000E560D" w:rsidRDefault="00B0072F" w:rsidP="00B0072F">
            <w:pPr>
              <w:jc w:val="both"/>
              <w:rPr>
                <w:sz w:val="20"/>
              </w:rPr>
            </w:pPr>
            <w:r w:rsidRPr="000E560D">
              <w:rPr>
                <w:rStyle w:val="SCCFileNumberChar"/>
                <w:sz w:val="20"/>
                <w:szCs w:val="20"/>
              </w:rPr>
              <w:t>37553</w:t>
            </w:r>
          </w:p>
        </w:tc>
        <w:tc>
          <w:tcPr>
            <w:tcW w:w="4457" w:type="pct"/>
            <w:gridSpan w:val="3"/>
          </w:tcPr>
          <w:p w:rsidR="00B0072F" w:rsidRDefault="004E04AC" w:rsidP="00B0072F">
            <w:pPr>
              <w:pStyle w:val="SCCLsocParty"/>
              <w:jc w:val="both"/>
              <w:rPr>
                <w:sz w:val="20"/>
                <w:lang w:val="en-US"/>
              </w:rPr>
            </w:pPr>
            <w:r w:rsidRPr="004E04AC">
              <w:rPr>
                <w:b/>
                <w:sz w:val="20"/>
                <w:szCs w:val="20"/>
                <w:lang w:val="en-US"/>
              </w:rPr>
              <w:t xml:space="preserve">Canpotex Shipping Services Limited, Norr System Pte. Ltd., Oldendorff Carriers GmbH &amp; Co. K.G. and Star Navigation Corporation S.A v. ING Bank N.V., Ian David Green, Anthony Victor Lomas and Paul David Copley in their capacities as Receivers of certain assets of the defendants O.W. Supply &amp; Trading A/S and O.W. Bunkers (U.K.) Limited and others, O.W. Supply &amp; Trading A/S, O.W. Bunkers (UK) Limited and Marine Petrobulk Ltd. </w:t>
            </w:r>
            <w:r w:rsidR="00B0072F" w:rsidRPr="00B0072F">
              <w:rPr>
                <w:sz w:val="20"/>
                <w:lang w:val="en-US"/>
              </w:rPr>
              <w:t>(F.C.) (Civil) (By Leave)</w:t>
            </w:r>
          </w:p>
          <w:p w:rsidR="00B0072F" w:rsidRPr="00B0072F" w:rsidRDefault="00B0072F" w:rsidP="00B0072F">
            <w:pPr>
              <w:rPr>
                <w:lang w:val="en-US"/>
              </w:rPr>
            </w:pPr>
          </w:p>
        </w:tc>
      </w:tr>
      <w:tr w:rsidR="00B0072F" w:rsidRPr="000E560D" w:rsidTr="00B0072F">
        <w:tc>
          <w:tcPr>
            <w:tcW w:w="543" w:type="pct"/>
          </w:tcPr>
          <w:p w:rsidR="00B0072F" w:rsidRPr="000E560D" w:rsidRDefault="00B0072F" w:rsidP="00B0072F">
            <w:pPr>
              <w:jc w:val="both"/>
              <w:rPr>
                <w:rStyle w:val="SCCFileNumberChar"/>
                <w:sz w:val="20"/>
                <w:szCs w:val="20"/>
              </w:rPr>
            </w:pPr>
            <w:r>
              <w:rPr>
                <w:rStyle w:val="SCCFileNumberChar"/>
                <w:sz w:val="20"/>
                <w:szCs w:val="20"/>
              </w:rPr>
              <w:t>Coram:</w:t>
            </w:r>
          </w:p>
        </w:tc>
        <w:tc>
          <w:tcPr>
            <w:tcW w:w="4457" w:type="pct"/>
            <w:gridSpan w:val="3"/>
          </w:tcPr>
          <w:p w:rsidR="00B0072F" w:rsidRDefault="004E04AC" w:rsidP="00B0072F">
            <w:pPr>
              <w:pStyle w:val="SCCLsocParty"/>
              <w:jc w:val="both"/>
              <w:rPr>
                <w:sz w:val="20"/>
                <w:szCs w:val="20"/>
                <w:lang w:val="en-US"/>
              </w:rPr>
            </w:pPr>
            <w:r w:rsidRPr="004E04AC">
              <w:rPr>
                <w:sz w:val="20"/>
                <w:szCs w:val="20"/>
                <w:lang w:val="en-US"/>
              </w:rPr>
              <w:t>McLachlin C.J. and Abella, Moldaver, Karakatsanis, Wagner, Gascon, Côté, Brown and Rowe JJ.</w:t>
            </w:r>
          </w:p>
          <w:p w:rsidR="004E04AC" w:rsidRPr="004E04AC" w:rsidRDefault="004E04AC" w:rsidP="004E04AC">
            <w:pPr>
              <w:rPr>
                <w:lang w:val="en-US"/>
              </w:rPr>
            </w:pPr>
          </w:p>
        </w:tc>
      </w:tr>
      <w:tr w:rsidR="00B0072F" w:rsidRPr="000E560D" w:rsidTr="00B0072F">
        <w:tc>
          <w:tcPr>
            <w:tcW w:w="5000" w:type="pct"/>
            <w:gridSpan w:val="4"/>
          </w:tcPr>
          <w:p w:rsidR="00B0072F" w:rsidRPr="004E04AC" w:rsidRDefault="004E04AC" w:rsidP="00B0072F">
            <w:pPr>
              <w:pStyle w:val="SCCLsocParty"/>
              <w:jc w:val="both"/>
              <w:rPr>
                <w:sz w:val="20"/>
                <w:szCs w:val="20"/>
                <w:lang w:val="en-US"/>
              </w:rPr>
            </w:pPr>
            <w:r w:rsidRPr="004E04AC">
              <w:rPr>
                <w:sz w:val="20"/>
                <w:szCs w:val="20"/>
                <w:lang w:val="en-US"/>
              </w:rPr>
              <w:t>The application for leave to appeal from the judgment of the Federal Court of Appeal, Number A-462-15, 2017 FCA 47, dated March 10, 2017, is dismissed with costs.</w:t>
            </w:r>
          </w:p>
        </w:tc>
      </w:tr>
      <w:tr w:rsidR="00B0072F" w:rsidRPr="000E560D" w:rsidTr="00B0072F">
        <w:tc>
          <w:tcPr>
            <w:tcW w:w="5000" w:type="pct"/>
            <w:gridSpan w:val="4"/>
          </w:tcPr>
          <w:p w:rsidR="00B0072F" w:rsidRPr="000E560D" w:rsidRDefault="00B0072F" w:rsidP="00B0072F">
            <w:pPr>
              <w:jc w:val="both"/>
              <w:rPr>
                <w:sz w:val="20"/>
              </w:rPr>
            </w:pPr>
            <w:r w:rsidRPr="000E560D">
              <w:rPr>
                <w:sz w:val="20"/>
              </w:rPr>
              <w:t xml:space="preserve">Commercial law – Contracts – Interpretation – Parol evidence rule – Civil Procedure – Interpleader – Whether evidence identifying the agreed contractual terms is inadmissible pursuant to the parol evidence rule – Whether interpleader proceedings are appropriate to address two conflicting claims, if they are capable of being brought </w:t>
            </w:r>
            <w:r w:rsidRPr="000E560D">
              <w:rPr>
                <w:i/>
                <w:sz w:val="20"/>
              </w:rPr>
              <w:t>in rem</w:t>
            </w:r>
            <w:r w:rsidRPr="000E560D">
              <w:rPr>
                <w:sz w:val="20"/>
              </w:rPr>
              <w:t xml:space="preserve"> as well as </w:t>
            </w:r>
            <w:r w:rsidRPr="000E560D">
              <w:rPr>
                <w:i/>
                <w:sz w:val="20"/>
              </w:rPr>
              <w:t xml:space="preserve">in personam </w:t>
            </w:r>
            <w:r w:rsidRPr="000E560D">
              <w:rPr>
                <w:sz w:val="20"/>
              </w:rPr>
              <w:t xml:space="preserve">– </w:t>
            </w:r>
            <w:r w:rsidRPr="000E560D">
              <w:rPr>
                <w:i/>
                <w:sz w:val="20"/>
              </w:rPr>
              <w:t>Federal Court Rules</w:t>
            </w:r>
            <w:r w:rsidRPr="000E560D">
              <w:rPr>
                <w:sz w:val="20"/>
              </w:rPr>
              <w:t>, SOR/98-106, Rule 108.</w:t>
            </w:r>
          </w:p>
        </w:tc>
      </w:tr>
      <w:tr w:rsidR="00B0072F" w:rsidRPr="000E560D" w:rsidTr="00B0072F">
        <w:tc>
          <w:tcPr>
            <w:tcW w:w="5000" w:type="pct"/>
            <w:gridSpan w:val="4"/>
          </w:tcPr>
          <w:p w:rsidR="00B0072F" w:rsidRPr="000E560D" w:rsidRDefault="00B0072F" w:rsidP="00B0072F">
            <w:pPr>
              <w:jc w:val="both"/>
              <w:rPr>
                <w:sz w:val="20"/>
              </w:rPr>
            </w:pPr>
          </w:p>
        </w:tc>
      </w:tr>
      <w:tr w:rsidR="00B0072F" w:rsidRPr="000E560D" w:rsidTr="00B0072F">
        <w:tc>
          <w:tcPr>
            <w:tcW w:w="5000" w:type="pct"/>
            <w:gridSpan w:val="4"/>
          </w:tcPr>
          <w:p w:rsidR="00B0072F" w:rsidRPr="000E560D" w:rsidRDefault="00B0072F" w:rsidP="00B0072F">
            <w:pPr>
              <w:jc w:val="both"/>
              <w:rPr>
                <w:sz w:val="20"/>
              </w:rPr>
            </w:pPr>
            <w:r w:rsidRPr="000E560D">
              <w:rPr>
                <w:sz w:val="20"/>
              </w:rPr>
              <w:lastRenderedPageBreak/>
              <w:t>The applicant time charterer sought the direction of the courts on who is legally entitled to be paid for marine fuel delivered to two vessels.  There are competing claims between a third party supplier of the “bunkers” and the receivers and creditor of the entity with whom the timer charter contracted for delivery of fuel to the vessels. The Federal Court determined that the bulk of the monies was to be paid to the fuel supplier, upon which the liability of applicant time charterer and shipowners would be extinguished. The Federal Court of Appeal held that the lower court erred in determining that a claim for a maritime lien could be extinguished as part of the interpleader relief and in relying on parol evidence to determine which contractual terms applied. It allowed the appeal, set aside the decision and returned it to the Federal Court for determination in accordance with the appellate reasons.</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September 23, 2015</w:t>
            </w:r>
          </w:p>
          <w:p w:rsidR="00B0072F" w:rsidRPr="000E560D" w:rsidRDefault="00B0072F" w:rsidP="00B0072F">
            <w:pPr>
              <w:jc w:val="both"/>
              <w:rPr>
                <w:sz w:val="20"/>
              </w:rPr>
            </w:pPr>
            <w:r w:rsidRPr="000E560D">
              <w:rPr>
                <w:sz w:val="20"/>
              </w:rPr>
              <w:t>Federal Court</w:t>
            </w:r>
          </w:p>
          <w:p w:rsidR="00B0072F" w:rsidRPr="000E560D" w:rsidRDefault="00B0072F" w:rsidP="00B0072F">
            <w:pPr>
              <w:jc w:val="both"/>
              <w:rPr>
                <w:sz w:val="20"/>
              </w:rPr>
            </w:pPr>
            <w:r w:rsidRPr="000E560D">
              <w:rPr>
                <w:sz w:val="20"/>
              </w:rPr>
              <w:t>(Russell J.)</w:t>
            </w:r>
          </w:p>
          <w:p w:rsidR="00B0072F" w:rsidRPr="000E560D" w:rsidRDefault="006B07D6" w:rsidP="00B0072F">
            <w:pPr>
              <w:jc w:val="both"/>
              <w:rPr>
                <w:sz w:val="20"/>
              </w:rPr>
            </w:pPr>
            <w:hyperlink r:id="rId34" w:history="1">
              <w:r w:rsidR="00B0072F" w:rsidRPr="000E560D">
                <w:rPr>
                  <w:rStyle w:val="Hyperlink"/>
                  <w:sz w:val="20"/>
                </w:rPr>
                <w:t>2015 FC 1108</w:t>
              </w:r>
            </w:hyperlink>
          </w:p>
          <w:p w:rsidR="00B0072F" w:rsidRPr="000E560D" w:rsidRDefault="00B0072F" w:rsidP="00B0072F">
            <w:pPr>
              <w:jc w:val="both"/>
              <w:rPr>
                <w:sz w:val="20"/>
              </w:rPr>
            </w:pPr>
          </w:p>
        </w:tc>
        <w:tc>
          <w:tcPr>
            <w:tcW w:w="146" w:type="pct"/>
          </w:tcPr>
          <w:p w:rsidR="00B0072F" w:rsidRPr="000E560D" w:rsidRDefault="00B0072F" w:rsidP="00B0072F">
            <w:pPr>
              <w:jc w:val="both"/>
              <w:rPr>
                <w:sz w:val="20"/>
              </w:rPr>
            </w:pPr>
          </w:p>
        </w:tc>
        <w:tc>
          <w:tcPr>
            <w:tcW w:w="2427" w:type="pct"/>
          </w:tcPr>
          <w:p w:rsidR="00B0072F" w:rsidRPr="000E560D" w:rsidRDefault="00B0072F" w:rsidP="00B0072F">
            <w:pPr>
              <w:jc w:val="both"/>
              <w:rPr>
                <w:sz w:val="20"/>
              </w:rPr>
            </w:pPr>
            <w:r w:rsidRPr="000E560D">
              <w:rPr>
                <w:sz w:val="20"/>
              </w:rPr>
              <w:t>Order that Petrobulk is to be fully paid out of funds and all liability of applicants is extinguished</w:t>
            </w:r>
          </w:p>
        </w:tc>
      </w:tr>
      <w:tr w:rsidR="00B0072F" w:rsidRPr="000E560D" w:rsidTr="00B0072F">
        <w:tc>
          <w:tcPr>
            <w:tcW w:w="2427" w:type="pct"/>
            <w:gridSpan w:val="2"/>
          </w:tcPr>
          <w:p w:rsidR="00B0072F" w:rsidRPr="000E560D" w:rsidRDefault="00B0072F" w:rsidP="00B0072F">
            <w:pPr>
              <w:jc w:val="both"/>
              <w:rPr>
                <w:sz w:val="20"/>
              </w:rPr>
            </w:pPr>
            <w:r w:rsidRPr="000E560D">
              <w:rPr>
                <w:sz w:val="20"/>
              </w:rPr>
              <w:t>March 10, 2017</w:t>
            </w:r>
          </w:p>
          <w:p w:rsidR="00B0072F" w:rsidRPr="000E560D" w:rsidRDefault="00B0072F" w:rsidP="00B0072F">
            <w:pPr>
              <w:jc w:val="both"/>
              <w:rPr>
                <w:sz w:val="20"/>
              </w:rPr>
            </w:pPr>
            <w:r w:rsidRPr="000E560D">
              <w:rPr>
                <w:sz w:val="20"/>
              </w:rPr>
              <w:t>Federal Court of Appeal</w:t>
            </w:r>
          </w:p>
          <w:p w:rsidR="00B0072F" w:rsidRPr="000E560D" w:rsidRDefault="00B0072F" w:rsidP="00B0072F">
            <w:pPr>
              <w:jc w:val="both"/>
              <w:rPr>
                <w:sz w:val="20"/>
              </w:rPr>
            </w:pPr>
            <w:r w:rsidRPr="000E560D">
              <w:rPr>
                <w:sz w:val="20"/>
              </w:rPr>
              <w:t>(Nadon, Dawson and Webb JJ.A.)</w:t>
            </w:r>
          </w:p>
          <w:p w:rsidR="00B0072F" w:rsidRPr="000E560D" w:rsidRDefault="006B07D6" w:rsidP="00B0072F">
            <w:pPr>
              <w:jc w:val="both"/>
              <w:rPr>
                <w:sz w:val="20"/>
              </w:rPr>
            </w:pPr>
            <w:hyperlink r:id="rId35" w:history="1">
              <w:r w:rsidR="00B0072F" w:rsidRPr="000E560D">
                <w:rPr>
                  <w:rStyle w:val="Hyperlink"/>
                  <w:sz w:val="20"/>
                </w:rPr>
                <w:t>2017 FCA 47</w:t>
              </w:r>
            </w:hyperlink>
          </w:p>
          <w:p w:rsidR="00B0072F" w:rsidRPr="000E560D" w:rsidRDefault="00B0072F" w:rsidP="00B0072F">
            <w:pPr>
              <w:jc w:val="both"/>
              <w:rPr>
                <w:sz w:val="20"/>
              </w:rPr>
            </w:pPr>
          </w:p>
        </w:tc>
        <w:tc>
          <w:tcPr>
            <w:tcW w:w="146" w:type="pct"/>
          </w:tcPr>
          <w:p w:rsidR="00B0072F" w:rsidRPr="000E560D" w:rsidRDefault="00B0072F" w:rsidP="00B0072F">
            <w:pPr>
              <w:jc w:val="both"/>
              <w:rPr>
                <w:sz w:val="20"/>
              </w:rPr>
            </w:pPr>
          </w:p>
        </w:tc>
        <w:tc>
          <w:tcPr>
            <w:tcW w:w="2427" w:type="pct"/>
          </w:tcPr>
          <w:p w:rsidR="00B0072F" w:rsidRPr="000E560D" w:rsidRDefault="00B0072F" w:rsidP="00B0072F">
            <w:pPr>
              <w:jc w:val="both"/>
              <w:rPr>
                <w:sz w:val="20"/>
              </w:rPr>
            </w:pPr>
            <w:r w:rsidRPr="000E560D">
              <w:rPr>
                <w:sz w:val="20"/>
              </w:rPr>
              <w:t>Appeal allowed; FC decision set aside and returned to FC for reconsideration in accordance with FCA reasons for judgment</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May 4, 2017</w:t>
            </w:r>
          </w:p>
          <w:p w:rsidR="00B0072F" w:rsidRPr="000E560D" w:rsidRDefault="00B0072F" w:rsidP="00B0072F">
            <w:pPr>
              <w:jc w:val="both"/>
              <w:rPr>
                <w:sz w:val="20"/>
              </w:rPr>
            </w:pPr>
            <w:r w:rsidRPr="000E560D">
              <w:rPr>
                <w:sz w:val="20"/>
              </w:rPr>
              <w:t>Supreme Court of Canada</w:t>
            </w:r>
          </w:p>
        </w:tc>
        <w:tc>
          <w:tcPr>
            <w:tcW w:w="146" w:type="pct"/>
          </w:tcPr>
          <w:p w:rsidR="00B0072F" w:rsidRPr="000E560D" w:rsidRDefault="00B0072F" w:rsidP="00B0072F">
            <w:pPr>
              <w:jc w:val="both"/>
              <w:rPr>
                <w:sz w:val="20"/>
              </w:rPr>
            </w:pPr>
          </w:p>
        </w:tc>
        <w:tc>
          <w:tcPr>
            <w:tcW w:w="2427" w:type="pct"/>
          </w:tcPr>
          <w:p w:rsidR="00B0072F" w:rsidRPr="000E560D" w:rsidRDefault="00B0072F" w:rsidP="00B0072F">
            <w:pPr>
              <w:jc w:val="both"/>
              <w:rPr>
                <w:sz w:val="20"/>
              </w:rPr>
            </w:pPr>
            <w:r w:rsidRPr="000E560D">
              <w:rPr>
                <w:sz w:val="20"/>
              </w:rPr>
              <w:t>Application for leave to appeal filed</w:t>
            </w:r>
          </w:p>
          <w:p w:rsidR="00B0072F" w:rsidRPr="000E560D" w:rsidRDefault="00B0072F" w:rsidP="00B0072F">
            <w:pPr>
              <w:jc w:val="both"/>
              <w:rPr>
                <w:sz w:val="20"/>
              </w:rPr>
            </w:pPr>
          </w:p>
        </w:tc>
      </w:tr>
    </w:tbl>
    <w:p w:rsidR="00B0072F" w:rsidRPr="000E560D" w:rsidRDefault="006B07D6" w:rsidP="00B0072F">
      <w:pPr>
        <w:jc w:val="both"/>
        <w:rPr>
          <w:sz w:val="20"/>
        </w:rPr>
      </w:pPr>
      <w:r>
        <w:rPr>
          <w:sz w:val="20"/>
          <w:szCs w:val="20"/>
        </w:rPr>
        <w:pict>
          <v:rect id="_x0000_i1048" style="width:2in;height:1pt" o:hrpct="0" o:hralign="center" o:hrstd="t" o:hrnoshade="t" o:hr="t" fillcolor="black [3213]" stroked="f"/>
        </w:pict>
      </w:r>
    </w:p>
    <w:p w:rsidR="00B0072F" w:rsidRPr="000E560D" w:rsidRDefault="00B0072F" w:rsidP="00B007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3590"/>
        <w:gridCol w:w="278"/>
        <w:gridCol w:w="4624"/>
      </w:tblGrid>
      <w:tr w:rsidR="00B0072F" w:rsidRPr="00E20CA1" w:rsidTr="00B0072F">
        <w:tc>
          <w:tcPr>
            <w:tcW w:w="543" w:type="pct"/>
          </w:tcPr>
          <w:p w:rsidR="00B0072F" w:rsidRPr="000E560D" w:rsidRDefault="00B0072F" w:rsidP="00B0072F">
            <w:pPr>
              <w:jc w:val="both"/>
              <w:rPr>
                <w:sz w:val="20"/>
                <w:lang w:val="fr-CA"/>
              </w:rPr>
            </w:pPr>
            <w:r w:rsidRPr="000E560D">
              <w:rPr>
                <w:rStyle w:val="SCCFileNumberChar"/>
                <w:sz w:val="20"/>
                <w:szCs w:val="20"/>
                <w:lang w:val="fr-CA"/>
              </w:rPr>
              <w:t>37553</w:t>
            </w:r>
          </w:p>
        </w:tc>
        <w:tc>
          <w:tcPr>
            <w:tcW w:w="4457" w:type="pct"/>
            <w:gridSpan w:val="3"/>
          </w:tcPr>
          <w:p w:rsidR="00B0072F" w:rsidRPr="000E560D" w:rsidRDefault="004E04AC" w:rsidP="00B0072F">
            <w:pPr>
              <w:pStyle w:val="SCCLsocParty"/>
              <w:jc w:val="both"/>
              <w:rPr>
                <w:sz w:val="20"/>
              </w:rPr>
            </w:pPr>
            <w:r w:rsidRPr="004E04AC">
              <w:rPr>
                <w:b/>
                <w:sz w:val="20"/>
                <w:szCs w:val="20"/>
              </w:rPr>
              <w:t xml:space="preserve">Canpotex Shipping Services Limited, Norr System Pte. Ltd., Oldendorff Carriers GmbH &amp; Co. K.G. et Star Navigation Corporation S.A. c. ING Bank N.V., Ian David Green, Anthony Victor Lomas et Paul David Copley en leur qualité de séquestres de certains biens des défenderesses O.W. Supply &amp; Trading A/S et O.W. Bunkers (U.K.) </w:t>
            </w:r>
            <w:r w:rsidRPr="004E04AC">
              <w:rPr>
                <w:b/>
                <w:sz w:val="20"/>
                <w:szCs w:val="20"/>
                <w:lang w:val="en-US"/>
              </w:rPr>
              <w:t xml:space="preserve">Limited et autres, O.W. Supply &amp; Trading A/S, O.W. Bunkers (UK) Limited et Marine Petrobulk Ltd. </w:t>
            </w:r>
            <w:r w:rsidR="00B0072F" w:rsidRPr="000E560D">
              <w:rPr>
                <w:sz w:val="20"/>
              </w:rPr>
              <w:t>(C.F.) (Civile) (Sur autorisation)</w:t>
            </w:r>
          </w:p>
        </w:tc>
      </w:tr>
      <w:tr w:rsidR="00B0072F" w:rsidRPr="006B07D6" w:rsidTr="00B0072F">
        <w:tc>
          <w:tcPr>
            <w:tcW w:w="543" w:type="pct"/>
          </w:tcPr>
          <w:p w:rsidR="00B0072F" w:rsidRPr="000E560D" w:rsidRDefault="00B0072F" w:rsidP="00B0072F">
            <w:pPr>
              <w:jc w:val="both"/>
              <w:rPr>
                <w:rStyle w:val="SCCFileNumberChar"/>
                <w:sz w:val="20"/>
                <w:szCs w:val="20"/>
                <w:lang w:val="fr-CA"/>
              </w:rPr>
            </w:pPr>
            <w:r>
              <w:rPr>
                <w:rStyle w:val="SCCFileNumberChar"/>
                <w:sz w:val="20"/>
                <w:szCs w:val="20"/>
                <w:lang w:val="fr-CA"/>
              </w:rPr>
              <w:t>Coram :</w:t>
            </w:r>
          </w:p>
        </w:tc>
        <w:tc>
          <w:tcPr>
            <w:tcW w:w="4457" w:type="pct"/>
            <w:gridSpan w:val="3"/>
          </w:tcPr>
          <w:p w:rsidR="00B0072F" w:rsidRDefault="004E04AC" w:rsidP="00B0072F">
            <w:pPr>
              <w:pStyle w:val="SCCLsocParty"/>
              <w:jc w:val="both"/>
              <w:rPr>
                <w:sz w:val="20"/>
                <w:szCs w:val="20"/>
                <w:lang w:val="fr-FR"/>
              </w:rPr>
            </w:pPr>
            <w:r w:rsidRPr="00BE1758">
              <w:rPr>
                <w:sz w:val="20"/>
                <w:szCs w:val="20"/>
                <w:lang w:val="fr-FR"/>
              </w:rPr>
              <w:t>La juge en chef McLachlin et les juges Abella, Moldaver, Karakatsanis, Wagner, Gascon, Côté, Brown et Rowe</w:t>
            </w:r>
          </w:p>
          <w:p w:rsidR="004E04AC" w:rsidRPr="004E04AC" w:rsidRDefault="004E04AC" w:rsidP="004E04AC">
            <w:pPr>
              <w:rPr>
                <w:lang w:val="fr-FR"/>
              </w:rPr>
            </w:pPr>
          </w:p>
        </w:tc>
      </w:tr>
      <w:tr w:rsidR="00B0072F" w:rsidRPr="006B07D6" w:rsidTr="00B0072F">
        <w:tc>
          <w:tcPr>
            <w:tcW w:w="5000" w:type="pct"/>
            <w:gridSpan w:val="4"/>
          </w:tcPr>
          <w:p w:rsidR="00B0072F" w:rsidRDefault="004E04AC" w:rsidP="00B0072F">
            <w:pPr>
              <w:pStyle w:val="SCCLsocParty"/>
              <w:jc w:val="both"/>
              <w:rPr>
                <w:sz w:val="20"/>
                <w:szCs w:val="20"/>
              </w:rPr>
            </w:pPr>
            <w:r w:rsidRPr="00BE1758">
              <w:rPr>
                <w:sz w:val="20"/>
                <w:szCs w:val="20"/>
              </w:rPr>
              <w:t xml:space="preserve">La demande d’autorisation d’appel de l’arrêt de la </w:t>
            </w:r>
            <w:r w:rsidRPr="00BE1758">
              <w:rPr>
                <w:sz w:val="20"/>
                <w:szCs w:val="20"/>
                <w:lang w:val="fr-FR"/>
              </w:rPr>
              <w:t>Cour d’appel fédérale</w:t>
            </w:r>
            <w:r w:rsidRPr="00BE1758">
              <w:rPr>
                <w:sz w:val="20"/>
                <w:szCs w:val="20"/>
              </w:rPr>
              <w:t xml:space="preserve">, numéro </w:t>
            </w:r>
            <w:r w:rsidRPr="00BE1758">
              <w:rPr>
                <w:sz w:val="20"/>
                <w:szCs w:val="20"/>
                <w:lang w:val="fr-FR"/>
              </w:rPr>
              <w:t>A-462-15, 2017 FCA 47</w:t>
            </w:r>
            <w:r w:rsidRPr="00BE1758">
              <w:rPr>
                <w:sz w:val="20"/>
                <w:szCs w:val="20"/>
              </w:rPr>
              <w:t xml:space="preserve">, daté du </w:t>
            </w:r>
            <w:r w:rsidRPr="00BE1758">
              <w:rPr>
                <w:sz w:val="20"/>
                <w:szCs w:val="20"/>
                <w:lang w:val="fr-FR"/>
              </w:rPr>
              <w:t>10 mars 2017</w:t>
            </w:r>
            <w:r w:rsidRPr="00BE1758">
              <w:rPr>
                <w:sz w:val="20"/>
                <w:szCs w:val="20"/>
              </w:rPr>
              <w:t>, est rejetée avec dépens.</w:t>
            </w:r>
          </w:p>
          <w:p w:rsidR="004E04AC" w:rsidRPr="004E04AC" w:rsidRDefault="004E04AC" w:rsidP="004E04AC">
            <w:pPr>
              <w:rPr>
                <w:lang w:val="fr-CA"/>
              </w:rPr>
            </w:pPr>
          </w:p>
        </w:tc>
      </w:tr>
      <w:tr w:rsidR="00B0072F" w:rsidRPr="006B07D6" w:rsidTr="00B0072F">
        <w:tc>
          <w:tcPr>
            <w:tcW w:w="5000" w:type="pct"/>
            <w:gridSpan w:val="4"/>
          </w:tcPr>
          <w:p w:rsidR="00B0072F" w:rsidRPr="000E560D" w:rsidRDefault="00B0072F" w:rsidP="00B0072F">
            <w:pPr>
              <w:jc w:val="both"/>
              <w:rPr>
                <w:sz w:val="20"/>
                <w:lang w:val="fr-CA"/>
              </w:rPr>
            </w:pPr>
            <w:r w:rsidRPr="000E560D">
              <w:rPr>
                <w:sz w:val="20"/>
                <w:lang w:val="fr-CA"/>
              </w:rPr>
              <w:t xml:space="preserve">Droit commercial – Contrats – Interprétation – Règle d’exclusion de la preuve extrinsèque – Procédure civile – Interplaidoirie – La preuve identifiant les modalités contractuelles convenues est-elle inadmissible selon la règle d’exclusion de la preuve extrinsèque? – L’instance en interplaidoirie est-elle appropriée pour régler des réclamations contradictoires, si elles peuvent être présentées en tant que réclamations </w:t>
            </w:r>
            <w:r w:rsidRPr="000E560D">
              <w:rPr>
                <w:i/>
                <w:sz w:val="20"/>
                <w:lang w:val="fr-CA"/>
              </w:rPr>
              <w:t>in rem</w:t>
            </w:r>
            <w:r w:rsidRPr="000E560D">
              <w:rPr>
                <w:sz w:val="20"/>
                <w:lang w:val="fr-CA"/>
              </w:rPr>
              <w:t xml:space="preserve"> et </w:t>
            </w:r>
            <w:r w:rsidRPr="000E560D">
              <w:rPr>
                <w:i/>
                <w:sz w:val="20"/>
                <w:lang w:val="fr-CA"/>
              </w:rPr>
              <w:t>in personam</w:t>
            </w:r>
            <w:r w:rsidRPr="000E560D">
              <w:rPr>
                <w:sz w:val="20"/>
                <w:lang w:val="fr-CA"/>
              </w:rPr>
              <w:t xml:space="preserve">? – </w:t>
            </w:r>
            <w:r w:rsidRPr="000E560D">
              <w:rPr>
                <w:i/>
                <w:sz w:val="20"/>
                <w:lang w:val="fr-CA"/>
              </w:rPr>
              <w:t>Règles des Cours fédérales</w:t>
            </w:r>
            <w:r w:rsidRPr="000E560D">
              <w:rPr>
                <w:sz w:val="20"/>
                <w:lang w:val="fr-CA"/>
              </w:rPr>
              <w:t>, DORS/98-106, règle 108.</w:t>
            </w:r>
          </w:p>
        </w:tc>
      </w:tr>
      <w:tr w:rsidR="00B0072F" w:rsidRPr="006B07D6" w:rsidTr="00B0072F">
        <w:tc>
          <w:tcPr>
            <w:tcW w:w="5000" w:type="pct"/>
            <w:gridSpan w:val="4"/>
          </w:tcPr>
          <w:p w:rsidR="00B0072F" w:rsidRPr="000E560D" w:rsidRDefault="00B0072F" w:rsidP="00B0072F">
            <w:pPr>
              <w:jc w:val="both"/>
              <w:rPr>
                <w:sz w:val="20"/>
                <w:lang w:val="fr-CA"/>
              </w:rPr>
            </w:pPr>
          </w:p>
        </w:tc>
      </w:tr>
      <w:tr w:rsidR="00B0072F" w:rsidRPr="006B07D6" w:rsidTr="00B0072F">
        <w:tc>
          <w:tcPr>
            <w:tcW w:w="5000" w:type="pct"/>
            <w:gridSpan w:val="4"/>
          </w:tcPr>
          <w:p w:rsidR="00B0072F" w:rsidRPr="000E560D" w:rsidRDefault="00B0072F" w:rsidP="00B0072F">
            <w:pPr>
              <w:jc w:val="both"/>
              <w:rPr>
                <w:sz w:val="20"/>
                <w:lang w:val="fr-CA"/>
              </w:rPr>
            </w:pPr>
            <w:r w:rsidRPr="000E560D">
              <w:rPr>
                <w:sz w:val="20"/>
                <w:lang w:val="fr-CA"/>
              </w:rPr>
              <w:t>Le demandeur affréteur à temps a demandé aux tribunaux de trancher la question de savoir qui a légalement droit d’être payé pour le combustible marin livré à deux navires. Un tiers fournisseur du combustible de soute et les séquestres et le créancier de l’entité avec laquelle l’affréteur à temps a conclu un contrat pour la livraison de combustible aux navires ont présenté des réclamations concurrentes. La Cour fédérale a établi qu’une grande partie de l’argent devait être payée au fournisseur de combustible, et que ce paiement mettait fin à la responsabilité de l’affréteur à temps et des propriétaires de navires. La Cour d’appel fédérale a conclu que le tribunal inférieur avait commis une erreur en jugeant qu’une réclamation pour un privilège maritime pouvait être éteinte dans le cadre de la mesure de réparation que constitue l’interplaidoirie et en invoquant la preuve extrinsèque pour établir les modalités contractuelles qui s’appliquaient. Elle a accueilli l’appel, annulé la décision et renvoyé l’affaire à la Cour fédérale pour jugement conformément à ses motifs.</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lastRenderedPageBreak/>
              <w:t>23 septembre 2015</w:t>
            </w:r>
          </w:p>
          <w:p w:rsidR="00B0072F" w:rsidRPr="000E560D" w:rsidRDefault="00B0072F" w:rsidP="00B0072F">
            <w:pPr>
              <w:jc w:val="both"/>
              <w:rPr>
                <w:sz w:val="20"/>
                <w:lang w:val="fr-CA"/>
              </w:rPr>
            </w:pPr>
            <w:r w:rsidRPr="000E560D">
              <w:rPr>
                <w:sz w:val="20"/>
                <w:lang w:val="fr-CA"/>
              </w:rPr>
              <w:t>Cour fédérale</w:t>
            </w:r>
          </w:p>
          <w:p w:rsidR="00B0072F" w:rsidRPr="000E560D" w:rsidRDefault="00B0072F" w:rsidP="00B0072F">
            <w:pPr>
              <w:jc w:val="both"/>
              <w:rPr>
                <w:sz w:val="20"/>
                <w:lang w:val="fr-CA"/>
              </w:rPr>
            </w:pPr>
            <w:r w:rsidRPr="000E560D">
              <w:rPr>
                <w:sz w:val="20"/>
                <w:lang w:val="fr-CA"/>
              </w:rPr>
              <w:t>(Juge Russell)</w:t>
            </w:r>
          </w:p>
          <w:p w:rsidR="00B0072F" w:rsidRPr="000E560D" w:rsidRDefault="006B07D6" w:rsidP="00B0072F">
            <w:pPr>
              <w:jc w:val="both"/>
              <w:rPr>
                <w:sz w:val="20"/>
                <w:lang w:val="fr-CA"/>
              </w:rPr>
            </w:pPr>
            <w:hyperlink r:id="rId36" w:history="1">
              <w:r w:rsidR="00B0072F" w:rsidRPr="000E560D">
                <w:rPr>
                  <w:rStyle w:val="Hyperlink"/>
                  <w:sz w:val="20"/>
                  <w:lang w:val="fr-CA"/>
                </w:rPr>
                <w:t>2015 CF 1108</w:t>
              </w:r>
            </w:hyperlink>
          </w:p>
          <w:p w:rsidR="00B0072F" w:rsidRPr="000E560D" w:rsidRDefault="00B0072F" w:rsidP="00B0072F">
            <w:pPr>
              <w:jc w:val="both"/>
              <w:rPr>
                <w:sz w:val="20"/>
                <w:lang w:val="fr-CA"/>
              </w:rPr>
            </w:pPr>
          </w:p>
        </w:tc>
        <w:tc>
          <w:tcPr>
            <w:tcW w:w="146" w:type="pct"/>
          </w:tcPr>
          <w:p w:rsidR="00B0072F" w:rsidRPr="000E560D" w:rsidRDefault="00B0072F" w:rsidP="00B0072F">
            <w:pPr>
              <w:jc w:val="both"/>
              <w:rPr>
                <w:sz w:val="20"/>
                <w:lang w:val="fr-CA"/>
              </w:rPr>
            </w:pPr>
          </w:p>
        </w:tc>
        <w:tc>
          <w:tcPr>
            <w:tcW w:w="2427" w:type="pct"/>
          </w:tcPr>
          <w:p w:rsidR="00B0072F" w:rsidRPr="000E560D" w:rsidRDefault="00B0072F" w:rsidP="00B0072F">
            <w:pPr>
              <w:jc w:val="both"/>
              <w:rPr>
                <w:sz w:val="20"/>
                <w:lang w:val="fr-CA"/>
              </w:rPr>
            </w:pPr>
            <w:r w:rsidRPr="000E560D">
              <w:rPr>
                <w:sz w:val="20"/>
                <w:lang w:val="fr-CA"/>
              </w:rPr>
              <w:t>Ordonnance portant que Petrobulk doit recevoir la totalité des fonds et que toute responsabilité des demandeurs est éteinte</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10 mars 2017</w:t>
            </w:r>
          </w:p>
          <w:p w:rsidR="00B0072F" w:rsidRPr="000E560D" w:rsidRDefault="00B0072F" w:rsidP="00B0072F">
            <w:pPr>
              <w:jc w:val="both"/>
              <w:rPr>
                <w:sz w:val="20"/>
                <w:lang w:val="fr-CA"/>
              </w:rPr>
            </w:pPr>
            <w:r w:rsidRPr="000E560D">
              <w:rPr>
                <w:sz w:val="20"/>
                <w:lang w:val="fr-CA"/>
              </w:rPr>
              <w:t>Cour d’appel fédérale</w:t>
            </w:r>
          </w:p>
          <w:p w:rsidR="00B0072F" w:rsidRPr="000E560D" w:rsidRDefault="00B0072F" w:rsidP="00B0072F">
            <w:pPr>
              <w:jc w:val="both"/>
              <w:rPr>
                <w:sz w:val="20"/>
                <w:lang w:val="fr-CA"/>
              </w:rPr>
            </w:pPr>
            <w:r w:rsidRPr="000E560D">
              <w:rPr>
                <w:sz w:val="20"/>
                <w:lang w:val="fr-CA"/>
              </w:rPr>
              <w:t>(Juges Nadon, Dawson et Webb)</w:t>
            </w:r>
          </w:p>
          <w:p w:rsidR="00B0072F" w:rsidRPr="000E560D" w:rsidRDefault="006B07D6" w:rsidP="00B0072F">
            <w:pPr>
              <w:jc w:val="both"/>
              <w:rPr>
                <w:sz w:val="20"/>
                <w:lang w:val="fr-CA"/>
              </w:rPr>
            </w:pPr>
            <w:hyperlink r:id="rId37" w:history="1">
              <w:r w:rsidR="00B0072F" w:rsidRPr="000E560D">
                <w:rPr>
                  <w:rStyle w:val="Hyperlink"/>
                  <w:sz w:val="20"/>
                  <w:lang w:val="fr-CA"/>
                </w:rPr>
                <w:t>2017 CAF 47</w:t>
              </w:r>
            </w:hyperlink>
          </w:p>
          <w:p w:rsidR="00B0072F" w:rsidRPr="000E560D" w:rsidRDefault="00B0072F" w:rsidP="00B0072F">
            <w:pPr>
              <w:jc w:val="both"/>
              <w:rPr>
                <w:sz w:val="20"/>
                <w:lang w:val="fr-CA"/>
              </w:rPr>
            </w:pPr>
          </w:p>
        </w:tc>
        <w:tc>
          <w:tcPr>
            <w:tcW w:w="146" w:type="pct"/>
          </w:tcPr>
          <w:p w:rsidR="00B0072F" w:rsidRPr="000E560D" w:rsidRDefault="00B0072F" w:rsidP="00B0072F">
            <w:pPr>
              <w:jc w:val="both"/>
              <w:rPr>
                <w:sz w:val="20"/>
                <w:lang w:val="fr-CA"/>
              </w:rPr>
            </w:pPr>
          </w:p>
        </w:tc>
        <w:tc>
          <w:tcPr>
            <w:tcW w:w="2427" w:type="pct"/>
          </w:tcPr>
          <w:p w:rsidR="00B0072F" w:rsidRPr="000E560D" w:rsidRDefault="00B0072F" w:rsidP="00B0072F">
            <w:pPr>
              <w:jc w:val="both"/>
              <w:rPr>
                <w:sz w:val="20"/>
                <w:lang w:val="fr-CA"/>
              </w:rPr>
            </w:pPr>
            <w:r w:rsidRPr="000E560D">
              <w:rPr>
                <w:sz w:val="20"/>
                <w:lang w:val="fr-CA"/>
              </w:rPr>
              <w:t xml:space="preserve">Appel accueilli; décision de la CF annulée et renvoyée à la CF pour réexamen conformément aux motifs de la CAF </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4 mai 2017</w:t>
            </w:r>
          </w:p>
          <w:p w:rsidR="00B0072F" w:rsidRPr="000E560D" w:rsidRDefault="00B0072F" w:rsidP="00B0072F">
            <w:pPr>
              <w:jc w:val="both"/>
              <w:rPr>
                <w:sz w:val="20"/>
                <w:lang w:val="fr-CA"/>
              </w:rPr>
            </w:pPr>
            <w:r w:rsidRPr="000E560D">
              <w:rPr>
                <w:sz w:val="20"/>
                <w:lang w:val="fr-CA"/>
              </w:rPr>
              <w:t>Cour suprême du Canada</w:t>
            </w:r>
          </w:p>
        </w:tc>
        <w:tc>
          <w:tcPr>
            <w:tcW w:w="146" w:type="pct"/>
          </w:tcPr>
          <w:p w:rsidR="00B0072F" w:rsidRPr="000E560D" w:rsidRDefault="00B0072F" w:rsidP="00B0072F">
            <w:pPr>
              <w:jc w:val="both"/>
              <w:rPr>
                <w:sz w:val="20"/>
                <w:lang w:val="fr-CA"/>
              </w:rPr>
            </w:pPr>
          </w:p>
        </w:tc>
        <w:tc>
          <w:tcPr>
            <w:tcW w:w="2427" w:type="pct"/>
          </w:tcPr>
          <w:p w:rsidR="00B0072F" w:rsidRPr="000E560D" w:rsidRDefault="00B0072F" w:rsidP="00B0072F">
            <w:pPr>
              <w:jc w:val="both"/>
              <w:rPr>
                <w:sz w:val="20"/>
                <w:lang w:val="fr-CA"/>
              </w:rPr>
            </w:pPr>
            <w:r w:rsidRPr="000E560D">
              <w:rPr>
                <w:sz w:val="20"/>
                <w:lang w:val="fr-CA"/>
              </w:rPr>
              <w:t>Dépôt de la demande d’autorisation d’appel</w:t>
            </w:r>
          </w:p>
          <w:p w:rsidR="00B0072F" w:rsidRPr="000E560D" w:rsidRDefault="00B0072F" w:rsidP="00B0072F">
            <w:pPr>
              <w:jc w:val="both"/>
              <w:rPr>
                <w:sz w:val="20"/>
                <w:lang w:val="fr-CA"/>
              </w:rPr>
            </w:pPr>
          </w:p>
        </w:tc>
      </w:tr>
    </w:tbl>
    <w:p w:rsidR="00B0072F" w:rsidRPr="000E560D" w:rsidRDefault="006B07D6" w:rsidP="00B0072F">
      <w:pPr>
        <w:jc w:val="both"/>
        <w:rPr>
          <w:sz w:val="20"/>
          <w:lang w:val="fr-CA"/>
        </w:rPr>
      </w:pPr>
      <w:r>
        <w:rPr>
          <w:sz w:val="20"/>
          <w:szCs w:val="20"/>
        </w:rPr>
        <w:pict>
          <v:rect id="_x0000_i1049" style="width:2in;height:1pt" o:hrpct="0" o:hralign="center" o:hrstd="t" o:hrnoshade="t" o:hr="t" fillcolor="black [3213]" stroked="f"/>
        </w:pict>
      </w:r>
    </w:p>
    <w:p w:rsidR="00B0072F" w:rsidRPr="000E560D" w:rsidRDefault="00B0072F" w:rsidP="00B0072F">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0E560D" w:rsidTr="00B0072F">
        <w:tc>
          <w:tcPr>
            <w:tcW w:w="543" w:type="pct"/>
          </w:tcPr>
          <w:p w:rsidR="00B0072F" w:rsidRPr="00E90421" w:rsidRDefault="00B0072F" w:rsidP="00B0072F">
            <w:pPr>
              <w:jc w:val="both"/>
              <w:rPr>
                <w:sz w:val="20"/>
              </w:rPr>
            </w:pPr>
            <w:r w:rsidRPr="00E90421">
              <w:rPr>
                <w:rStyle w:val="SCCFileNumberChar"/>
                <w:sz w:val="20"/>
                <w:szCs w:val="20"/>
              </w:rPr>
              <w:t>37476</w:t>
            </w:r>
          </w:p>
        </w:tc>
        <w:tc>
          <w:tcPr>
            <w:tcW w:w="4457" w:type="pct"/>
            <w:gridSpan w:val="3"/>
          </w:tcPr>
          <w:p w:rsidR="00B0072F" w:rsidRPr="00E90421" w:rsidRDefault="00E111AB" w:rsidP="00E90421">
            <w:pPr>
              <w:pStyle w:val="SCCLsocParty"/>
              <w:jc w:val="both"/>
              <w:rPr>
                <w:sz w:val="20"/>
                <w:lang w:val="en-US"/>
              </w:rPr>
            </w:pPr>
            <w:r w:rsidRPr="00E90421">
              <w:rPr>
                <w:b/>
                <w:sz w:val="20"/>
                <w:szCs w:val="20"/>
                <w:lang w:val="en-US"/>
              </w:rPr>
              <w:t>Her Majesty the Queen v. Derek Brassington, David Attew, Paul Johnston and Danny Michaud –and between - Person A v. Derek Brassington, David Attew, Paul Johnston and Danny Michaud – and between - Attorney General of Canada v. Derek Brassington, David Attew, Paul Johnston and Danny Michaud – and between - Her Majesty the Queen v. Derek Brassington, David Attew,  Paul Johnston and Danny Michaud – and between - Person A v. Derek Brassington, David Attew, Paul Johnston and Danny Michaud – and between - Superintendant Gary Shinkaruk v. Derek Brassington, David Attew, Paul Johnston and Danny Michaud</w:t>
            </w:r>
            <w:r w:rsidRPr="00E90421">
              <w:rPr>
                <w:sz w:val="20"/>
                <w:lang w:val="en-US"/>
              </w:rPr>
              <w:t xml:space="preserve"> </w:t>
            </w:r>
            <w:r w:rsidR="00B0072F" w:rsidRPr="00E90421">
              <w:rPr>
                <w:sz w:val="20"/>
                <w:lang w:val="en-US"/>
              </w:rPr>
              <w:t>(B.C.) (Criminal) (By Leave)</w:t>
            </w:r>
          </w:p>
        </w:tc>
      </w:tr>
      <w:tr w:rsidR="00F9185B" w:rsidRPr="000E560D" w:rsidTr="00B0072F">
        <w:tc>
          <w:tcPr>
            <w:tcW w:w="543" w:type="pct"/>
          </w:tcPr>
          <w:p w:rsidR="00F9185B" w:rsidRPr="000E560D" w:rsidRDefault="00F9185B" w:rsidP="00B0072F">
            <w:pPr>
              <w:jc w:val="both"/>
              <w:rPr>
                <w:rStyle w:val="SCCFileNumberChar"/>
                <w:sz w:val="20"/>
                <w:szCs w:val="20"/>
              </w:rPr>
            </w:pPr>
            <w:r>
              <w:rPr>
                <w:rStyle w:val="SCCFileNumberChar"/>
                <w:sz w:val="20"/>
                <w:szCs w:val="20"/>
              </w:rPr>
              <w:t>Coram:</w:t>
            </w:r>
          </w:p>
        </w:tc>
        <w:tc>
          <w:tcPr>
            <w:tcW w:w="4457" w:type="pct"/>
            <w:gridSpan w:val="3"/>
          </w:tcPr>
          <w:p w:rsidR="00F9185B" w:rsidRDefault="00E111AB" w:rsidP="00B0072F">
            <w:pPr>
              <w:pStyle w:val="SCCLsocParty"/>
              <w:jc w:val="both"/>
              <w:rPr>
                <w:sz w:val="20"/>
                <w:szCs w:val="20"/>
                <w:lang w:val="en-US"/>
              </w:rPr>
            </w:pPr>
            <w:r w:rsidRPr="00E111AB">
              <w:rPr>
                <w:sz w:val="20"/>
                <w:szCs w:val="20"/>
                <w:lang w:val="en-US"/>
              </w:rPr>
              <w:t>McLachlin C.J. and Abella, Moldaver, Karakatsanis, Wagner, Gascon, Côté, Brown and Rowe JJ.</w:t>
            </w:r>
          </w:p>
          <w:p w:rsidR="00E111AB" w:rsidRPr="00E111AB" w:rsidRDefault="00E111AB" w:rsidP="00E111AB">
            <w:pPr>
              <w:rPr>
                <w:lang w:val="en-US"/>
              </w:rPr>
            </w:pPr>
          </w:p>
        </w:tc>
      </w:tr>
      <w:tr w:rsidR="00F9185B" w:rsidRPr="000E560D" w:rsidTr="00F9185B">
        <w:tc>
          <w:tcPr>
            <w:tcW w:w="5000" w:type="pct"/>
            <w:gridSpan w:val="4"/>
          </w:tcPr>
          <w:p w:rsidR="00E111AB" w:rsidRPr="00312DEC" w:rsidRDefault="00E111AB" w:rsidP="00E111AB">
            <w:pPr>
              <w:jc w:val="both"/>
              <w:rPr>
                <w:sz w:val="20"/>
                <w:szCs w:val="20"/>
              </w:rPr>
            </w:pPr>
            <w:r w:rsidRPr="00312DEC">
              <w:rPr>
                <w:sz w:val="20"/>
                <w:szCs w:val="20"/>
              </w:rPr>
              <w:t>The motions for an extension of time to serve and file the applications for leave to appeal are granted.</w:t>
            </w:r>
          </w:p>
          <w:p w:rsidR="00E111AB" w:rsidRPr="00312DEC" w:rsidRDefault="00E111AB" w:rsidP="00E111AB">
            <w:pPr>
              <w:jc w:val="both"/>
              <w:rPr>
                <w:sz w:val="20"/>
                <w:szCs w:val="20"/>
              </w:rPr>
            </w:pPr>
          </w:p>
          <w:p w:rsidR="00E111AB" w:rsidRPr="00312DEC" w:rsidRDefault="00E111AB" w:rsidP="00E111AB">
            <w:pPr>
              <w:jc w:val="both"/>
              <w:rPr>
                <w:sz w:val="20"/>
                <w:szCs w:val="20"/>
              </w:rPr>
            </w:pPr>
            <w:r w:rsidRPr="00312DEC">
              <w:rPr>
                <w:sz w:val="20"/>
                <w:szCs w:val="20"/>
              </w:rPr>
              <w:t>The applications for leave to appeal from the judgment of the Supreme Court of British Columbia, Number 25813, 2015 BCSC 2001, dated November 2, 2015, are granted.</w:t>
            </w:r>
          </w:p>
          <w:p w:rsidR="00E111AB" w:rsidRPr="00312DEC" w:rsidRDefault="00E111AB" w:rsidP="00E111AB">
            <w:pPr>
              <w:jc w:val="both"/>
              <w:rPr>
                <w:sz w:val="20"/>
                <w:szCs w:val="20"/>
              </w:rPr>
            </w:pPr>
          </w:p>
          <w:p w:rsidR="00F9185B" w:rsidRDefault="00E111AB" w:rsidP="00E111AB">
            <w:pPr>
              <w:pStyle w:val="SCCLsocParty"/>
              <w:jc w:val="both"/>
              <w:rPr>
                <w:sz w:val="20"/>
                <w:szCs w:val="20"/>
                <w:lang w:val="en-US"/>
              </w:rPr>
            </w:pPr>
            <w:r w:rsidRPr="00E111AB">
              <w:rPr>
                <w:sz w:val="20"/>
                <w:szCs w:val="20"/>
                <w:lang w:val="en-US"/>
              </w:rPr>
              <w:t>The applications for leave to appeal from the judgment of the Court of Appeal for British Columbia (Vancouver), Numbers  CA43391, CA43402 and CA43396, 2017 BCCA 84, dated February 23, 2017, are also granted.</w:t>
            </w:r>
          </w:p>
          <w:p w:rsidR="00E111AB" w:rsidRPr="00E111AB" w:rsidRDefault="00E111AB" w:rsidP="00E111AB">
            <w:pPr>
              <w:rPr>
                <w:lang w:val="en-US"/>
              </w:rPr>
            </w:pPr>
          </w:p>
        </w:tc>
      </w:tr>
      <w:tr w:rsidR="00B0072F" w:rsidRPr="000E560D" w:rsidTr="00B0072F">
        <w:tc>
          <w:tcPr>
            <w:tcW w:w="5000" w:type="pct"/>
            <w:gridSpan w:val="4"/>
          </w:tcPr>
          <w:p w:rsidR="00B0072F" w:rsidRPr="000E560D" w:rsidRDefault="00B0072F" w:rsidP="00B0072F">
            <w:pPr>
              <w:pStyle w:val="SCCBanSummary"/>
              <w:rPr>
                <w:sz w:val="20"/>
                <w:szCs w:val="20"/>
              </w:rPr>
            </w:pPr>
            <w:r w:rsidRPr="000E560D">
              <w:rPr>
                <w:sz w:val="20"/>
                <w:szCs w:val="20"/>
              </w:rPr>
              <w:t>(Publication ban in case) (Sealing order)</w:t>
            </w:r>
          </w:p>
          <w:p w:rsidR="00B0072F" w:rsidRPr="000E560D" w:rsidRDefault="00B0072F" w:rsidP="00B0072F">
            <w:pPr>
              <w:jc w:val="both"/>
              <w:rPr>
                <w:sz w:val="20"/>
              </w:rPr>
            </w:pPr>
          </w:p>
          <w:p w:rsidR="00B0072F" w:rsidRPr="000E560D" w:rsidRDefault="00B0072F" w:rsidP="00B0072F">
            <w:pPr>
              <w:jc w:val="both"/>
              <w:rPr>
                <w:sz w:val="20"/>
              </w:rPr>
            </w:pPr>
            <w:r w:rsidRPr="000E560D">
              <w:rPr>
                <w:sz w:val="20"/>
              </w:rPr>
              <w:t>Criminal law.</w:t>
            </w:r>
          </w:p>
        </w:tc>
      </w:tr>
      <w:tr w:rsidR="00B0072F" w:rsidRPr="000E560D" w:rsidTr="00B0072F">
        <w:tc>
          <w:tcPr>
            <w:tcW w:w="5000" w:type="pct"/>
            <w:gridSpan w:val="4"/>
          </w:tcPr>
          <w:p w:rsidR="00B0072F" w:rsidRPr="000E560D" w:rsidRDefault="00B0072F" w:rsidP="00B0072F">
            <w:pPr>
              <w:jc w:val="both"/>
              <w:rPr>
                <w:sz w:val="20"/>
              </w:rPr>
            </w:pPr>
          </w:p>
        </w:tc>
      </w:tr>
      <w:tr w:rsidR="00B0072F" w:rsidRPr="000E560D" w:rsidTr="00B0072F">
        <w:tc>
          <w:tcPr>
            <w:tcW w:w="5000" w:type="pct"/>
            <w:gridSpan w:val="4"/>
          </w:tcPr>
          <w:p w:rsidR="00B0072F" w:rsidRPr="000E560D" w:rsidRDefault="00B0072F" w:rsidP="00B0072F">
            <w:pPr>
              <w:jc w:val="both"/>
              <w:rPr>
                <w:sz w:val="20"/>
              </w:rPr>
            </w:pPr>
            <w:r w:rsidRPr="000E560D">
              <w:rPr>
                <w:sz w:val="20"/>
              </w:rPr>
              <w:t>In the context of the investigation of the gang-related homicides of six individuals, known as the “Surrey Six”, four RCMP officers were charged with breach of trust, obstruction of justice and fraud allegedly committed in the course of their duties during the investigation, relating to allegations that they engaged in inappropriate conduct while managing a protected witness.</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November 2, 2015</w:t>
            </w:r>
          </w:p>
          <w:p w:rsidR="00B0072F" w:rsidRPr="000E560D" w:rsidRDefault="00B0072F" w:rsidP="00B0072F">
            <w:pPr>
              <w:jc w:val="both"/>
              <w:rPr>
                <w:sz w:val="20"/>
              </w:rPr>
            </w:pPr>
            <w:r w:rsidRPr="000E560D">
              <w:rPr>
                <w:sz w:val="20"/>
              </w:rPr>
              <w:t>Supreme Court of British Columbia</w:t>
            </w:r>
          </w:p>
          <w:p w:rsidR="00B0072F" w:rsidRPr="000E560D" w:rsidRDefault="00B0072F" w:rsidP="00B0072F">
            <w:pPr>
              <w:jc w:val="both"/>
              <w:rPr>
                <w:sz w:val="20"/>
              </w:rPr>
            </w:pPr>
            <w:r w:rsidRPr="000E560D">
              <w:rPr>
                <w:sz w:val="20"/>
              </w:rPr>
              <w:t>(Wedge J.)</w:t>
            </w:r>
          </w:p>
          <w:p w:rsidR="00B0072F" w:rsidRPr="000E560D" w:rsidRDefault="00B0072F" w:rsidP="00B0072F">
            <w:pPr>
              <w:jc w:val="both"/>
              <w:rPr>
                <w:sz w:val="20"/>
              </w:rPr>
            </w:pPr>
            <w:r w:rsidRPr="000E560D">
              <w:rPr>
                <w:sz w:val="20"/>
              </w:rPr>
              <w:t xml:space="preserve">2015 BCSC 2001 </w:t>
            </w:r>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Application allowed</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January 8, 2016</w:t>
            </w:r>
          </w:p>
          <w:p w:rsidR="00B0072F" w:rsidRPr="000E560D" w:rsidRDefault="00B0072F" w:rsidP="00B0072F">
            <w:pPr>
              <w:jc w:val="both"/>
              <w:rPr>
                <w:sz w:val="20"/>
              </w:rPr>
            </w:pPr>
            <w:r w:rsidRPr="000E560D">
              <w:rPr>
                <w:sz w:val="20"/>
              </w:rPr>
              <w:t>Supreme Court of British Columbia</w:t>
            </w:r>
          </w:p>
          <w:p w:rsidR="00B0072F" w:rsidRPr="000E560D" w:rsidRDefault="00B0072F" w:rsidP="00B0072F">
            <w:pPr>
              <w:jc w:val="both"/>
              <w:rPr>
                <w:sz w:val="20"/>
              </w:rPr>
            </w:pPr>
            <w:r w:rsidRPr="000E560D">
              <w:rPr>
                <w:sz w:val="20"/>
              </w:rPr>
              <w:t>(Wedge J.)</w:t>
            </w:r>
          </w:p>
          <w:p w:rsidR="00B0072F" w:rsidRPr="000E560D" w:rsidRDefault="00B0072F" w:rsidP="00B0072F">
            <w:pPr>
              <w:jc w:val="both"/>
              <w:rPr>
                <w:sz w:val="20"/>
              </w:rPr>
            </w:pPr>
            <w:r w:rsidRPr="000E560D">
              <w:rPr>
                <w:sz w:val="20"/>
              </w:rPr>
              <w:t xml:space="preserve">2016 BCSC 163 </w:t>
            </w:r>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Objection considered</w:t>
            </w:r>
          </w:p>
        </w:tc>
      </w:tr>
      <w:tr w:rsidR="00B0072F" w:rsidRPr="000E560D" w:rsidTr="00B0072F">
        <w:tc>
          <w:tcPr>
            <w:tcW w:w="2427" w:type="pct"/>
            <w:gridSpan w:val="2"/>
          </w:tcPr>
          <w:p w:rsidR="00B0072F" w:rsidRPr="000E560D" w:rsidRDefault="00B0072F" w:rsidP="00B0072F">
            <w:pPr>
              <w:jc w:val="both"/>
              <w:rPr>
                <w:sz w:val="20"/>
              </w:rPr>
            </w:pPr>
            <w:r w:rsidRPr="000E560D">
              <w:rPr>
                <w:sz w:val="20"/>
              </w:rPr>
              <w:t>February 23, 2017</w:t>
            </w:r>
          </w:p>
          <w:p w:rsidR="00B0072F" w:rsidRPr="000E560D" w:rsidRDefault="00B0072F" w:rsidP="00B0072F">
            <w:pPr>
              <w:jc w:val="both"/>
              <w:rPr>
                <w:sz w:val="20"/>
              </w:rPr>
            </w:pPr>
            <w:r w:rsidRPr="000E560D">
              <w:rPr>
                <w:sz w:val="20"/>
              </w:rPr>
              <w:t>Court of Appeal for British Columbia (Vancouver)</w:t>
            </w:r>
          </w:p>
          <w:p w:rsidR="00B0072F" w:rsidRPr="000E560D" w:rsidRDefault="00B0072F" w:rsidP="00B0072F">
            <w:pPr>
              <w:jc w:val="both"/>
              <w:rPr>
                <w:sz w:val="20"/>
              </w:rPr>
            </w:pPr>
            <w:r w:rsidRPr="000E560D">
              <w:rPr>
                <w:sz w:val="20"/>
              </w:rPr>
              <w:t>(Newbury, Frankel and Savage JJ.A.)</w:t>
            </w:r>
          </w:p>
          <w:p w:rsidR="00B0072F" w:rsidRPr="000E560D" w:rsidRDefault="00B0072F" w:rsidP="00B0072F">
            <w:pPr>
              <w:jc w:val="both"/>
              <w:rPr>
                <w:sz w:val="20"/>
              </w:rPr>
            </w:pPr>
            <w:r w:rsidRPr="000E560D">
              <w:rPr>
                <w:sz w:val="20"/>
              </w:rPr>
              <w:t xml:space="preserve">2017 BCCA 84 </w:t>
            </w:r>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Appeal allowed</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April 12, 2017</w:t>
            </w:r>
          </w:p>
          <w:p w:rsidR="00B0072F" w:rsidRPr="000E560D" w:rsidRDefault="00B0072F" w:rsidP="00B0072F">
            <w:pPr>
              <w:jc w:val="both"/>
              <w:rPr>
                <w:sz w:val="20"/>
              </w:rPr>
            </w:pPr>
            <w:r w:rsidRPr="000E560D">
              <w:rPr>
                <w:sz w:val="20"/>
              </w:rPr>
              <w:t>Supreme Court of Canada</w:t>
            </w:r>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Motion for extension of time and application for leave to appeal the decision of the British Columbia Supreme Court, 2015 BCSC 2001, filed by Her Majesty the Queen</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April 21, 2017</w:t>
            </w:r>
          </w:p>
          <w:p w:rsidR="00B0072F" w:rsidRPr="000E560D" w:rsidRDefault="00B0072F" w:rsidP="00B0072F">
            <w:pPr>
              <w:jc w:val="both"/>
              <w:rPr>
                <w:sz w:val="20"/>
              </w:rPr>
            </w:pPr>
            <w:r w:rsidRPr="000E560D">
              <w:rPr>
                <w:sz w:val="20"/>
              </w:rPr>
              <w:t>Supreme Court of Canada</w:t>
            </w: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Motion for extension of time and application for leave to appeal the decision of the British Columbia Supreme Court, 2015 BCSC 2001, filed by Person A</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April 24, 2017</w:t>
            </w:r>
          </w:p>
          <w:p w:rsidR="00B0072F" w:rsidRPr="000E560D" w:rsidRDefault="00B0072F" w:rsidP="00B0072F">
            <w:pPr>
              <w:jc w:val="both"/>
              <w:rPr>
                <w:sz w:val="20"/>
              </w:rPr>
            </w:pPr>
            <w:r w:rsidRPr="000E560D">
              <w:rPr>
                <w:sz w:val="20"/>
              </w:rPr>
              <w:t>Supreme Court of Canada</w:t>
            </w:r>
          </w:p>
          <w:p w:rsidR="00B0072F" w:rsidRPr="000E560D" w:rsidRDefault="00B0072F" w:rsidP="00B0072F">
            <w:pPr>
              <w:jc w:val="both"/>
              <w:rPr>
                <w:sz w:val="20"/>
              </w:rPr>
            </w:pPr>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Motions for extension of time and applications for leave to appeal the decision of the British Columbia Court of Appeal, 2017 BCCA 84, filed by Her Majesty the Queen and Person A</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June 9, 2017</w:t>
            </w:r>
          </w:p>
          <w:p w:rsidR="00B0072F" w:rsidRPr="000E560D" w:rsidRDefault="00B0072F" w:rsidP="00B0072F">
            <w:pPr>
              <w:jc w:val="both"/>
              <w:rPr>
                <w:sz w:val="20"/>
              </w:rPr>
            </w:pPr>
            <w:r w:rsidRPr="000E560D">
              <w:rPr>
                <w:sz w:val="20"/>
              </w:rPr>
              <w:t>Supreme Court of Canada</w:t>
            </w: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Motion for extension of time and application for leave to appeal the decision of the British Columbia Court of Appeal, 2017 BCCA 84,  filed by Superintendent Gary Shinkaruk</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June 15, 2017</w:t>
            </w:r>
          </w:p>
          <w:p w:rsidR="00B0072F" w:rsidRPr="000E560D" w:rsidRDefault="00B0072F" w:rsidP="00B0072F">
            <w:pPr>
              <w:jc w:val="both"/>
              <w:rPr>
                <w:sz w:val="20"/>
              </w:rPr>
            </w:pPr>
            <w:r w:rsidRPr="000E560D">
              <w:rPr>
                <w:sz w:val="20"/>
              </w:rPr>
              <w:t>Supreme Court of Canada</w:t>
            </w: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Motion for extension of time and application for leave to appeal the decision of the British Columbia Supreme Court, 2015 BCSC 2001, filed by Attorney General of Canada</w:t>
            </w:r>
          </w:p>
        </w:tc>
      </w:tr>
    </w:tbl>
    <w:p w:rsidR="00B0072F" w:rsidRPr="000E560D" w:rsidRDefault="006B07D6" w:rsidP="00B0072F">
      <w:pPr>
        <w:jc w:val="both"/>
        <w:rPr>
          <w:sz w:val="20"/>
        </w:rPr>
      </w:pPr>
      <w:r>
        <w:rPr>
          <w:sz w:val="20"/>
          <w:szCs w:val="20"/>
        </w:rPr>
        <w:pict>
          <v:rect id="_x0000_i1050" style="width:2in;height:1pt" o:hrpct="0" o:hralign="center" o:hrstd="t" o:hrnoshade="t" o:hr="t" fillcolor="black [3213]" stroked="f"/>
        </w:pict>
      </w:r>
    </w:p>
    <w:p w:rsidR="00B0072F" w:rsidRPr="000E560D" w:rsidRDefault="00B0072F" w:rsidP="00B007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34787A" w:rsidTr="00B0072F">
        <w:tc>
          <w:tcPr>
            <w:tcW w:w="543" w:type="pct"/>
          </w:tcPr>
          <w:p w:rsidR="00B0072F" w:rsidRPr="000E560D" w:rsidRDefault="00B0072F" w:rsidP="00B0072F">
            <w:pPr>
              <w:jc w:val="both"/>
              <w:rPr>
                <w:sz w:val="20"/>
                <w:lang w:val="fr-CA"/>
              </w:rPr>
            </w:pPr>
            <w:r w:rsidRPr="00EE5A48">
              <w:rPr>
                <w:rStyle w:val="SCCFileNumberChar"/>
                <w:sz w:val="20"/>
                <w:szCs w:val="20"/>
                <w:lang w:val="fr-CA"/>
              </w:rPr>
              <w:t>37476</w:t>
            </w:r>
          </w:p>
        </w:tc>
        <w:tc>
          <w:tcPr>
            <w:tcW w:w="4457" w:type="pct"/>
            <w:gridSpan w:val="3"/>
          </w:tcPr>
          <w:p w:rsidR="00B0072F" w:rsidRPr="000E560D" w:rsidRDefault="00E90421" w:rsidP="00EE5A48">
            <w:pPr>
              <w:pStyle w:val="SCCLsocParty"/>
              <w:jc w:val="both"/>
              <w:rPr>
                <w:sz w:val="20"/>
              </w:rPr>
            </w:pPr>
            <w:r w:rsidRPr="00312DEC">
              <w:rPr>
                <w:b/>
                <w:sz w:val="20"/>
                <w:szCs w:val="20"/>
                <w:lang w:val="fr-FR"/>
              </w:rPr>
              <w:t>Sa Majesté la Reine c. Derek Brassington, David Attew, Paul Johnston et Danny Michaud - et entre - Personne A c. Derek Brassington, David Attew, Paul Johnston et Danny Michaud - et entre - Procureur général du Canada c. Derek Brassington, David Attew, Paul Johnston et Danny Michaud - et entre - Sa Majesté la Reine c. Derek Brassington, David Attew,  Paul Johnston et Danny Michaud - et entre - Personne A c. Derek Brassington, David Attew, Paul Johnston et Danny Michaud - et entre - Surintendant Gary Shinkaruk c. Derek Brassington, David Attew, Paul Johnston et Danny Michaud</w:t>
            </w:r>
            <w:r w:rsidRPr="000E560D">
              <w:rPr>
                <w:sz w:val="20"/>
              </w:rPr>
              <w:t xml:space="preserve"> </w:t>
            </w:r>
            <w:r w:rsidR="00B0072F" w:rsidRPr="000E560D">
              <w:rPr>
                <w:sz w:val="20"/>
              </w:rPr>
              <w:t>(C.-B.) (Criminel) (Sur autorisation)</w:t>
            </w:r>
          </w:p>
        </w:tc>
      </w:tr>
      <w:tr w:rsidR="00F9185B" w:rsidRPr="006B07D6" w:rsidTr="00B0072F">
        <w:tc>
          <w:tcPr>
            <w:tcW w:w="543" w:type="pct"/>
          </w:tcPr>
          <w:p w:rsidR="00F9185B" w:rsidRPr="000E560D" w:rsidRDefault="00F9185B" w:rsidP="00B0072F">
            <w:pPr>
              <w:jc w:val="both"/>
              <w:rPr>
                <w:rStyle w:val="SCCFileNumberChar"/>
                <w:sz w:val="20"/>
                <w:szCs w:val="20"/>
                <w:lang w:val="fr-CA"/>
              </w:rPr>
            </w:pPr>
            <w:r>
              <w:rPr>
                <w:rStyle w:val="SCCFileNumberChar"/>
                <w:sz w:val="20"/>
                <w:szCs w:val="20"/>
                <w:lang w:val="fr-CA"/>
              </w:rPr>
              <w:t>Coram :</w:t>
            </w:r>
          </w:p>
        </w:tc>
        <w:tc>
          <w:tcPr>
            <w:tcW w:w="4457" w:type="pct"/>
            <w:gridSpan w:val="3"/>
          </w:tcPr>
          <w:p w:rsidR="00F9185B" w:rsidRDefault="00EE5A48" w:rsidP="00B0072F">
            <w:pPr>
              <w:pStyle w:val="SCCLsocParty"/>
              <w:jc w:val="both"/>
              <w:rPr>
                <w:sz w:val="20"/>
                <w:szCs w:val="20"/>
                <w:lang w:val="fr-FR"/>
              </w:rPr>
            </w:pPr>
            <w:r w:rsidRPr="00312DEC">
              <w:rPr>
                <w:sz w:val="20"/>
                <w:szCs w:val="20"/>
                <w:lang w:val="fr-FR"/>
              </w:rPr>
              <w:t>La juge en chef McLachlin et les juges Abella, Moldaver, Karakatsanis, Wagner, Gascon, Côté, Brown et Rowe</w:t>
            </w:r>
          </w:p>
          <w:p w:rsidR="00EE5A48" w:rsidRPr="00EE5A48" w:rsidRDefault="00EE5A48" w:rsidP="00EE5A48">
            <w:pPr>
              <w:rPr>
                <w:lang w:val="fr-FR"/>
              </w:rPr>
            </w:pPr>
          </w:p>
        </w:tc>
      </w:tr>
      <w:tr w:rsidR="00F9185B" w:rsidRPr="006B07D6" w:rsidTr="00F9185B">
        <w:tc>
          <w:tcPr>
            <w:tcW w:w="5000" w:type="pct"/>
            <w:gridSpan w:val="4"/>
          </w:tcPr>
          <w:p w:rsidR="00EE5A48" w:rsidRPr="00312DEC" w:rsidRDefault="00EE5A48" w:rsidP="00EE5A48">
            <w:pPr>
              <w:jc w:val="both"/>
              <w:rPr>
                <w:rFonts w:cs="Times New Roman"/>
                <w:sz w:val="20"/>
                <w:szCs w:val="20"/>
                <w:lang w:val="fr-CA"/>
              </w:rPr>
            </w:pPr>
            <w:r w:rsidRPr="00312DEC">
              <w:rPr>
                <w:rFonts w:cs="Times New Roman"/>
                <w:sz w:val="20"/>
                <w:szCs w:val="20"/>
                <w:lang w:val="fr-CA"/>
              </w:rPr>
              <w:t>Les requêtes en prorogation du délai de signification et de dépôt des demandes d’autorisation d’appel sont accueillies.</w:t>
            </w:r>
          </w:p>
          <w:p w:rsidR="00EE5A48" w:rsidRPr="00312DEC" w:rsidRDefault="00EE5A48" w:rsidP="00EE5A48">
            <w:pPr>
              <w:jc w:val="both"/>
              <w:rPr>
                <w:rFonts w:cs="Times New Roman"/>
                <w:sz w:val="20"/>
                <w:szCs w:val="20"/>
                <w:lang w:val="fr-CA"/>
              </w:rPr>
            </w:pPr>
          </w:p>
          <w:p w:rsidR="00EE5A48" w:rsidRPr="00312DEC" w:rsidRDefault="00EE5A48" w:rsidP="00EE5A48">
            <w:pPr>
              <w:jc w:val="both"/>
              <w:rPr>
                <w:sz w:val="20"/>
                <w:szCs w:val="20"/>
                <w:lang w:val="fr-CA"/>
              </w:rPr>
            </w:pPr>
            <w:r w:rsidRPr="00312DEC">
              <w:rPr>
                <w:sz w:val="20"/>
                <w:szCs w:val="20"/>
                <w:lang w:val="fr-CA"/>
              </w:rPr>
              <w:t>Les demandes d’autorisation d’appel de l’arrêt de la Cour suprême de la Colombie-Britannique, numéro 25813, 2015 BCSC 2001, daté du 2 novembre 2015, sont accueillies.</w:t>
            </w:r>
          </w:p>
          <w:p w:rsidR="00EE5A48" w:rsidRPr="00312DEC" w:rsidRDefault="00EE5A48" w:rsidP="00EE5A48">
            <w:pPr>
              <w:jc w:val="both"/>
              <w:rPr>
                <w:sz w:val="20"/>
                <w:szCs w:val="20"/>
                <w:lang w:val="fr-CA"/>
              </w:rPr>
            </w:pPr>
          </w:p>
          <w:p w:rsidR="00F9185B" w:rsidRDefault="00EE5A48" w:rsidP="00EE5A48">
            <w:pPr>
              <w:pStyle w:val="SCCLsocParty"/>
              <w:jc w:val="both"/>
              <w:rPr>
                <w:sz w:val="20"/>
                <w:szCs w:val="20"/>
              </w:rPr>
            </w:pPr>
            <w:r w:rsidRPr="00312DEC">
              <w:rPr>
                <w:sz w:val="20"/>
                <w:szCs w:val="20"/>
              </w:rPr>
              <w:t xml:space="preserve">Les demandes d’autorisation d’appel de l’arrêt de la </w:t>
            </w:r>
            <w:r w:rsidRPr="00312DEC">
              <w:rPr>
                <w:sz w:val="20"/>
                <w:szCs w:val="20"/>
                <w:lang w:val="fr-FR"/>
              </w:rPr>
              <w:t>Cour d’appel de la Colombie-Britannique (Vancouver)</w:t>
            </w:r>
            <w:r w:rsidRPr="00312DEC">
              <w:rPr>
                <w:sz w:val="20"/>
                <w:szCs w:val="20"/>
              </w:rPr>
              <w:t>, numéros</w:t>
            </w:r>
            <w:r w:rsidRPr="00312DEC">
              <w:rPr>
                <w:sz w:val="20"/>
                <w:szCs w:val="20"/>
                <w:lang w:val="fr-FR"/>
              </w:rPr>
              <w:t xml:space="preserve"> CA43391, CA43402 et CA43396</w:t>
            </w:r>
            <w:r w:rsidRPr="00312DEC">
              <w:rPr>
                <w:sz w:val="20"/>
                <w:szCs w:val="20"/>
              </w:rPr>
              <w:t xml:space="preserve">, </w:t>
            </w:r>
            <w:r w:rsidRPr="00312DEC">
              <w:rPr>
                <w:sz w:val="20"/>
                <w:szCs w:val="20"/>
                <w:lang w:val="fr-FR"/>
              </w:rPr>
              <w:t xml:space="preserve">2017 BCCA 84, </w:t>
            </w:r>
            <w:r w:rsidRPr="00312DEC">
              <w:rPr>
                <w:sz w:val="20"/>
                <w:szCs w:val="20"/>
              </w:rPr>
              <w:t xml:space="preserve">daté du </w:t>
            </w:r>
            <w:r w:rsidRPr="00312DEC">
              <w:rPr>
                <w:sz w:val="20"/>
                <w:szCs w:val="20"/>
                <w:lang w:val="fr-FR"/>
              </w:rPr>
              <w:t xml:space="preserve">23 février 2017, </w:t>
            </w:r>
            <w:r w:rsidRPr="00312DEC">
              <w:rPr>
                <w:sz w:val="20"/>
                <w:szCs w:val="20"/>
              </w:rPr>
              <w:t>sont également accueillies.</w:t>
            </w:r>
          </w:p>
          <w:p w:rsidR="00EE5A48" w:rsidRPr="00EE5A48" w:rsidRDefault="00EE5A48" w:rsidP="00EE5A48">
            <w:pPr>
              <w:rPr>
                <w:lang w:val="fr-CA"/>
              </w:rPr>
            </w:pPr>
          </w:p>
        </w:tc>
      </w:tr>
      <w:tr w:rsidR="00B0072F" w:rsidRPr="000E560D" w:rsidTr="00B0072F">
        <w:tc>
          <w:tcPr>
            <w:tcW w:w="5000" w:type="pct"/>
            <w:gridSpan w:val="4"/>
          </w:tcPr>
          <w:p w:rsidR="00B0072F" w:rsidRPr="000E560D" w:rsidRDefault="00B0072F" w:rsidP="00B0072F">
            <w:pPr>
              <w:pStyle w:val="SCCBanSummary"/>
              <w:rPr>
                <w:sz w:val="20"/>
                <w:szCs w:val="20"/>
                <w:lang w:val="fr-CA"/>
              </w:rPr>
            </w:pPr>
            <w:r w:rsidRPr="000E560D">
              <w:rPr>
                <w:sz w:val="20"/>
                <w:szCs w:val="20"/>
                <w:lang w:val="fr-CA"/>
              </w:rPr>
              <w:lastRenderedPageBreak/>
              <w:t>(Ordonnance de non-publication dans le dossier) (Ordonnance de mise sous scellés)</w:t>
            </w:r>
          </w:p>
          <w:p w:rsidR="00B0072F" w:rsidRPr="000E560D" w:rsidRDefault="00B0072F" w:rsidP="00B0072F">
            <w:pPr>
              <w:jc w:val="both"/>
              <w:rPr>
                <w:sz w:val="20"/>
                <w:lang w:val="fr-CA"/>
              </w:rPr>
            </w:pPr>
          </w:p>
          <w:p w:rsidR="00B0072F" w:rsidRPr="000E560D" w:rsidRDefault="00B0072F" w:rsidP="00B0072F">
            <w:pPr>
              <w:jc w:val="both"/>
              <w:rPr>
                <w:sz w:val="20"/>
                <w:lang w:val="fr-CA"/>
              </w:rPr>
            </w:pPr>
            <w:r w:rsidRPr="000E560D">
              <w:rPr>
                <w:sz w:val="20"/>
                <w:lang w:val="fr-CA"/>
              </w:rPr>
              <w:t>Droit criminel.</w:t>
            </w:r>
          </w:p>
        </w:tc>
      </w:tr>
      <w:tr w:rsidR="00B0072F" w:rsidRPr="000E560D" w:rsidTr="00B0072F">
        <w:tc>
          <w:tcPr>
            <w:tcW w:w="5000" w:type="pct"/>
            <w:gridSpan w:val="4"/>
          </w:tcPr>
          <w:p w:rsidR="00B0072F" w:rsidRPr="000E560D" w:rsidRDefault="00B0072F" w:rsidP="00B0072F">
            <w:pPr>
              <w:jc w:val="both"/>
              <w:rPr>
                <w:sz w:val="20"/>
                <w:lang w:val="fr-CA"/>
              </w:rPr>
            </w:pPr>
          </w:p>
        </w:tc>
      </w:tr>
      <w:tr w:rsidR="00B0072F" w:rsidRPr="006B07D6" w:rsidTr="00B0072F">
        <w:tc>
          <w:tcPr>
            <w:tcW w:w="5000" w:type="pct"/>
            <w:gridSpan w:val="4"/>
          </w:tcPr>
          <w:p w:rsidR="00B0072F" w:rsidRPr="000E560D" w:rsidRDefault="00B0072F" w:rsidP="00B0072F">
            <w:pPr>
              <w:jc w:val="both"/>
              <w:rPr>
                <w:sz w:val="20"/>
                <w:lang w:val="fr-CA"/>
              </w:rPr>
            </w:pPr>
            <w:r w:rsidRPr="000E560D">
              <w:rPr>
                <w:sz w:val="20"/>
                <w:lang w:val="fr-CA"/>
              </w:rPr>
              <w:t>Dans le contexte de l’enquête sur les homicides, attribuables à des gangs, de six personnes communément appelées les « Surrey Six », quatre agents de la GRC ont été accusés d’abus de confiance, d’entrave à la justice et de fraude qui auraient censément été commis dans l’exercice de leurs fonctions pendant l’enquête, relativement à des allégations selon lesquelles ils auraient eu une conduite répréhensible pendant qu’ils s’occupaient d’un témoin protégé.</w:t>
            </w:r>
          </w:p>
          <w:p w:rsidR="00B0072F" w:rsidRPr="000E560D" w:rsidRDefault="00B0072F" w:rsidP="00B0072F">
            <w:pPr>
              <w:jc w:val="both"/>
              <w:rPr>
                <w:sz w:val="20"/>
                <w:lang w:val="fr-CA"/>
              </w:rPr>
            </w:pPr>
          </w:p>
        </w:tc>
      </w:tr>
      <w:tr w:rsidR="00B0072F" w:rsidRPr="000E560D" w:rsidTr="00B0072F">
        <w:tc>
          <w:tcPr>
            <w:tcW w:w="2427" w:type="pct"/>
            <w:gridSpan w:val="2"/>
          </w:tcPr>
          <w:p w:rsidR="00B0072F" w:rsidRPr="000E560D" w:rsidRDefault="00B0072F" w:rsidP="00B0072F">
            <w:pPr>
              <w:jc w:val="both"/>
              <w:rPr>
                <w:sz w:val="20"/>
                <w:lang w:val="fr-CA"/>
              </w:rPr>
            </w:pPr>
            <w:r w:rsidRPr="000E560D">
              <w:rPr>
                <w:sz w:val="20"/>
                <w:lang w:val="fr-CA"/>
              </w:rPr>
              <w:t>2 novembre 2015</w:t>
            </w:r>
          </w:p>
          <w:p w:rsidR="00B0072F" w:rsidRPr="000E560D" w:rsidRDefault="00B0072F" w:rsidP="00B0072F">
            <w:pPr>
              <w:jc w:val="both"/>
              <w:rPr>
                <w:sz w:val="20"/>
                <w:lang w:val="fr-CA"/>
              </w:rPr>
            </w:pPr>
            <w:r w:rsidRPr="000E560D">
              <w:rPr>
                <w:sz w:val="20"/>
                <w:lang w:val="fr-CA"/>
              </w:rPr>
              <w:t>Cour suprême de la Colombie-Britannique</w:t>
            </w:r>
          </w:p>
          <w:p w:rsidR="00B0072F" w:rsidRPr="000E560D" w:rsidRDefault="00B0072F" w:rsidP="00B0072F">
            <w:pPr>
              <w:jc w:val="both"/>
              <w:rPr>
                <w:sz w:val="20"/>
                <w:lang w:val="fr-CA"/>
              </w:rPr>
            </w:pPr>
            <w:r w:rsidRPr="000E560D">
              <w:rPr>
                <w:sz w:val="20"/>
                <w:lang w:val="fr-CA"/>
              </w:rPr>
              <w:t>(Juge Wedge)</w:t>
            </w:r>
          </w:p>
          <w:p w:rsidR="00B0072F" w:rsidRPr="000E560D" w:rsidRDefault="00B0072F" w:rsidP="00B0072F">
            <w:pPr>
              <w:jc w:val="both"/>
              <w:rPr>
                <w:sz w:val="20"/>
                <w:lang w:val="fr-CA"/>
              </w:rPr>
            </w:pPr>
            <w:r w:rsidRPr="000E560D">
              <w:rPr>
                <w:sz w:val="20"/>
                <w:lang w:val="fr-CA"/>
              </w:rPr>
              <w:t xml:space="preserve">2015 BCSC 2001 </w:t>
            </w:r>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Jugement accueillant la demande</w:t>
            </w:r>
          </w:p>
          <w:p w:rsidR="00B0072F" w:rsidRPr="000E560D" w:rsidRDefault="00B0072F" w:rsidP="00B0072F">
            <w:pPr>
              <w:jc w:val="both"/>
              <w:rPr>
                <w:sz w:val="20"/>
                <w:lang w:val="fr-CA"/>
              </w:rPr>
            </w:pPr>
          </w:p>
        </w:tc>
      </w:tr>
      <w:tr w:rsidR="00B0072F" w:rsidRPr="000E560D" w:rsidTr="00B0072F">
        <w:tc>
          <w:tcPr>
            <w:tcW w:w="2427" w:type="pct"/>
            <w:gridSpan w:val="2"/>
          </w:tcPr>
          <w:p w:rsidR="00B0072F" w:rsidRPr="000E560D" w:rsidRDefault="00B0072F" w:rsidP="00B0072F">
            <w:pPr>
              <w:jc w:val="both"/>
              <w:rPr>
                <w:sz w:val="20"/>
                <w:lang w:val="fr-CA"/>
              </w:rPr>
            </w:pPr>
            <w:r w:rsidRPr="000E560D">
              <w:rPr>
                <w:sz w:val="20"/>
                <w:lang w:val="fr-CA"/>
              </w:rPr>
              <w:t>8 janvier 2016</w:t>
            </w:r>
          </w:p>
          <w:p w:rsidR="00B0072F" w:rsidRPr="000E560D" w:rsidRDefault="00B0072F" w:rsidP="00B0072F">
            <w:pPr>
              <w:jc w:val="both"/>
              <w:rPr>
                <w:sz w:val="20"/>
                <w:lang w:val="fr-CA"/>
              </w:rPr>
            </w:pPr>
            <w:r w:rsidRPr="000E560D">
              <w:rPr>
                <w:sz w:val="20"/>
                <w:lang w:val="fr-CA"/>
              </w:rPr>
              <w:t>Cour suprême de la Colombie-Britannique</w:t>
            </w:r>
          </w:p>
          <w:p w:rsidR="00B0072F" w:rsidRPr="000E560D" w:rsidRDefault="00B0072F" w:rsidP="00B0072F">
            <w:pPr>
              <w:jc w:val="both"/>
              <w:rPr>
                <w:sz w:val="20"/>
                <w:lang w:val="fr-CA"/>
              </w:rPr>
            </w:pPr>
            <w:r w:rsidRPr="000E560D">
              <w:rPr>
                <w:sz w:val="20"/>
                <w:lang w:val="fr-CA"/>
              </w:rPr>
              <w:t>(Juge Wedge)</w:t>
            </w:r>
          </w:p>
          <w:p w:rsidR="00B0072F" w:rsidRPr="000E560D" w:rsidRDefault="00B0072F" w:rsidP="00B0072F">
            <w:pPr>
              <w:jc w:val="both"/>
              <w:rPr>
                <w:sz w:val="20"/>
                <w:lang w:val="fr-CA"/>
              </w:rPr>
            </w:pPr>
            <w:r w:rsidRPr="000E560D">
              <w:rPr>
                <w:sz w:val="20"/>
                <w:lang w:val="fr-CA"/>
              </w:rPr>
              <w:t xml:space="preserve">2016 BCSC 163 </w:t>
            </w:r>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Examen de l’objection</w:t>
            </w:r>
          </w:p>
        </w:tc>
      </w:tr>
      <w:tr w:rsidR="00B0072F" w:rsidRPr="000E560D" w:rsidTr="00B0072F">
        <w:tc>
          <w:tcPr>
            <w:tcW w:w="2427" w:type="pct"/>
            <w:gridSpan w:val="2"/>
          </w:tcPr>
          <w:p w:rsidR="00B0072F" w:rsidRPr="000E560D" w:rsidRDefault="00B0072F" w:rsidP="00B0072F">
            <w:pPr>
              <w:jc w:val="both"/>
              <w:rPr>
                <w:sz w:val="20"/>
                <w:lang w:val="fr-CA"/>
              </w:rPr>
            </w:pPr>
            <w:r w:rsidRPr="000E560D">
              <w:rPr>
                <w:sz w:val="20"/>
                <w:lang w:val="fr-CA"/>
              </w:rPr>
              <w:t>23 février 2017</w:t>
            </w:r>
          </w:p>
          <w:p w:rsidR="00B0072F" w:rsidRPr="000E560D" w:rsidRDefault="00B0072F" w:rsidP="00B0072F">
            <w:pPr>
              <w:jc w:val="both"/>
              <w:rPr>
                <w:sz w:val="20"/>
                <w:lang w:val="fr-CA"/>
              </w:rPr>
            </w:pPr>
            <w:r w:rsidRPr="000E560D">
              <w:rPr>
                <w:sz w:val="20"/>
                <w:lang w:val="fr-CA"/>
              </w:rPr>
              <w:t>Cour d’appel de la Colombie-Britannique (Vancouver)</w:t>
            </w:r>
          </w:p>
          <w:p w:rsidR="00B0072F" w:rsidRPr="000E560D" w:rsidRDefault="00B0072F" w:rsidP="00B0072F">
            <w:pPr>
              <w:jc w:val="both"/>
              <w:rPr>
                <w:sz w:val="20"/>
                <w:lang w:val="fr-CA"/>
              </w:rPr>
            </w:pPr>
            <w:r w:rsidRPr="000E560D">
              <w:rPr>
                <w:sz w:val="20"/>
                <w:lang w:val="fr-CA"/>
              </w:rPr>
              <w:t>(Juges Newbury, Frankel et Savage)</w:t>
            </w:r>
          </w:p>
          <w:p w:rsidR="00B0072F" w:rsidRPr="000E560D" w:rsidRDefault="00B0072F" w:rsidP="00B0072F">
            <w:pPr>
              <w:jc w:val="both"/>
              <w:rPr>
                <w:sz w:val="20"/>
                <w:lang w:val="fr-CA"/>
              </w:rPr>
            </w:pPr>
            <w:r w:rsidRPr="000E560D">
              <w:rPr>
                <w:sz w:val="20"/>
                <w:lang w:val="fr-CA"/>
              </w:rPr>
              <w:t xml:space="preserve">2017 BCCA 84 </w:t>
            </w:r>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Arrêt accueillant l’appel</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12 avril 2017</w:t>
            </w:r>
          </w:p>
          <w:p w:rsidR="00B0072F" w:rsidRPr="000E560D" w:rsidRDefault="00B0072F" w:rsidP="00B0072F">
            <w:pPr>
              <w:jc w:val="both"/>
              <w:rPr>
                <w:sz w:val="20"/>
                <w:lang w:val="fr-CA"/>
              </w:rPr>
            </w:pPr>
            <w:r w:rsidRPr="000E560D">
              <w:rPr>
                <w:sz w:val="20"/>
                <w:lang w:val="fr-CA"/>
              </w:rPr>
              <w:t>Cour suprême du Canada</w:t>
            </w:r>
          </w:p>
          <w:p w:rsidR="00B0072F" w:rsidRPr="000E560D" w:rsidRDefault="00B0072F" w:rsidP="00B0072F">
            <w:pPr>
              <w:jc w:val="both"/>
              <w:rPr>
                <w:sz w:val="20"/>
                <w:lang w:val="fr-CA"/>
              </w:rPr>
            </w:pPr>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Dépôt par Sa Majesté la Reine de la requête en prorogation de délai et de la demande d’autorisation d’appel de la décision de la Cour suprême de la Colombie-Britannique,  2015 BCSC 2001</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21 avril 2017</w:t>
            </w:r>
          </w:p>
          <w:p w:rsidR="00B0072F" w:rsidRPr="000E560D" w:rsidRDefault="00B0072F" w:rsidP="00B0072F">
            <w:pPr>
              <w:jc w:val="both"/>
              <w:rPr>
                <w:sz w:val="20"/>
                <w:lang w:val="fr-CA"/>
              </w:rPr>
            </w:pPr>
            <w:r w:rsidRPr="000E560D">
              <w:rPr>
                <w:sz w:val="20"/>
                <w:lang w:val="fr-CA"/>
              </w:rPr>
              <w:t>Cour suprême du Canada</w:t>
            </w: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Dépôt par la personne A de la requête en prorogation de délai et de la demande d’autorisation d’appel de la décision de la Cour suprême de la Colombie-Britannique,  2015 BCSC 2001</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24 avril 2017</w:t>
            </w:r>
          </w:p>
          <w:p w:rsidR="00B0072F" w:rsidRPr="000E560D" w:rsidRDefault="00B0072F" w:rsidP="00B0072F">
            <w:pPr>
              <w:jc w:val="both"/>
              <w:rPr>
                <w:sz w:val="20"/>
                <w:lang w:val="fr-CA"/>
              </w:rPr>
            </w:pPr>
            <w:r w:rsidRPr="000E560D">
              <w:rPr>
                <w:sz w:val="20"/>
                <w:lang w:val="fr-CA"/>
              </w:rPr>
              <w:t>Cour suprême du Canada</w:t>
            </w:r>
          </w:p>
          <w:p w:rsidR="00B0072F" w:rsidRPr="000E560D" w:rsidRDefault="00B0072F" w:rsidP="00B0072F">
            <w:pPr>
              <w:jc w:val="both"/>
              <w:rPr>
                <w:sz w:val="20"/>
                <w:lang w:val="fr-CA"/>
              </w:rPr>
            </w:pPr>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Dépôt par Sa Majesté la Reine et la personne A de la requête en prorogation de délai et de la demande d’autorisation d’appel de la décision de la Cour d’appel de la Colombie-Britannique, 2017 BCCA 84</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9 juin 2017</w:t>
            </w:r>
          </w:p>
          <w:p w:rsidR="00B0072F" w:rsidRPr="000E560D" w:rsidRDefault="00B0072F" w:rsidP="00B0072F">
            <w:pPr>
              <w:jc w:val="both"/>
              <w:rPr>
                <w:sz w:val="20"/>
                <w:lang w:val="fr-CA"/>
              </w:rPr>
            </w:pPr>
            <w:r w:rsidRPr="000E560D">
              <w:rPr>
                <w:sz w:val="20"/>
                <w:lang w:val="fr-CA"/>
              </w:rPr>
              <w:t>Cour suprême du Canada</w:t>
            </w: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Dépôt par le surintendant Shinkaruk de la requête en prorogation de délai et de la demande d’autorisation d’appel de la décision de la Cour d’appel de la Colombie-Britannique, 2017 BCCA 84</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15 juin 2017</w:t>
            </w:r>
          </w:p>
          <w:p w:rsidR="00B0072F" w:rsidRPr="000E560D" w:rsidRDefault="00B0072F" w:rsidP="00B0072F">
            <w:pPr>
              <w:jc w:val="both"/>
              <w:rPr>
                <w:sz w:val="20"/>
                <w:lang w:val="fr-CA"/>
              </w:rPr>
            </w:pPr>
            <w:r w:rsidRPr="000E560D">
              <w:rPr>
                <w:sz w:val="20"/>
                <w:lang w:val="fr-CA"/>
              </w:rPr>
              <w:t>Cour suprême du Canada</w:t>
            </w: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Dépôt par le procureur général du Canada de la requête en prorogation de délai et de la demande d’autorisation d’appel de la décision de la Cour suprême de la Colombie-Britannique, 2015 BCSC 2001</w:t>
            </w:r>
          </w:p>
        </w:tc>
      </w:tr>
    </w:tbl>
    <w:p w:rsidR="00B0072F" w:rsidRPr="000E560D" w:rsidRDefault="006B07D6" w:rsidP="00B0072F">
      <w:pPr>
        <w:jc w:val="both"/>
        <w:rPr>
          <w:sz w:val="20"/>
          <w:lang w:val="fr-CA"/>
        </w:rPr>
      </w:pPr>
      <w:r>
        <w:rPr>
          <w:sz w:val="20"/>
          <w:szCs w:val="20"/>
        </w:rPr>
        <w:pict>
          <v:rect id="_x0000_i1051" style="width:2in;height:1pt" o:hrpct="0" o:hralign="center" o:hrstd="t" o:hrnoshade="t" o:hr="t" fillcolor="black [3213]" stroked="f"/>
        </w:pict>
      </w:r>
    </w:p>
    <w:p w:rsidR="00B0072F" w:rsidRPr="000E560D" w:rsidRDefault="00B0072F" w:rsidP="00B0072F">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0E560D" w:rsidTr="00B0072F">
        <w:tc>
          <w:tcPr>
            <w:tcW w:w="543" w:type="pct"/>
          </w:tcPr>
          <w:p w:rsidR="00B0072F" w:rsidRPr="00DD48FF" w:rsidRDefault="00B0072F" w:rsidP="00B0072F">
            <w:pPr>
              <w:jc w:val="both"/>
              <w:rPr>
                <w:sz w:val="20"/>
              </w:rPr>
            </w:pPr>
            <w:r w:rsidRPr="00DD48FF">
              <w:rPr>
                <w:rStyle w:val="SCCFileNumberChar"/>
                <w:sz w:val="20"/>
                <w:szCs w:val="20"/>
              </w:rPr>
              <w:lastRenderedPageBreak/>
              <w:t>37578</w:t>
            </w:r>
          </w:p>
        </w:tc>
        <w:tc>
          <w:tcPr>
            <w:tcW w:w="4457" w:type="pct"/>
            <w:gridSpan w:val="3"/>
          </w:tcPr>
          <w:p w:rsidR="00B0072F" w:rsidRPr="00DD48FF" w:rsidRDefault="00B0072F" w:rsidP="00B0072F">
            <w:pPr>
              <w:pStyle w:val="SCCLsocParty"/>
              <w:jc w:val="both"/>
              <w:rPr>
                <w:b/>
                <w:sz w:val="20"/>
                <w:szCs w:val="20"/>
                <w:lang w:val="en-US"/>
              </w:rPr>
            </w:pPr>
            <w:r w:rsidRPr="00DD48FF">
              <w:rPr>
                <w:b/>
                <w:sz w:val="20"/>
                <w:szCs w:val="20"/>
                <w:lang w:val="en-US"/>
              </w:rPr>
              <w:t>S.A. v. Z.G.</w:t>
            </w:r>
          </w:p>
          <w:p w:rsidR="00B0072F" w:rsidRPr="00DD48FF" w:rsidRDefault="00B0072F" w:rsidP="00B0072F">
            <w:pPr>
              <w:jc w:val="both"/>
              <w:rPr>
                <w:sz w:val="20"/>
              </w:rPr>
            </w:pPr>
            <w:r w:rsidRPr="00DD48FF">
              <w:rPr>
                <w:sz w:val="20"/>
              </w:rPr>
              <w:t>(Ont.) (Civil) (By Leave)</w:t>
            </w:r>
          </w:p>
        </w:tc>
      </w:tr>
      <w:tr w:rsidR="00F9185B" w:rsidRPr="000E560D" w:rsidTr="00B0072F">
        <w:tc>
          <w:tcPr>
            <w:tcW w:w="543" w:type="pct"/>
          </w:tcPr>
          <w:p w:rsidR="00F9185B" w:rsidRPr="00DD48FF" w:rsidRDefault="00F9185B" w:rsidP="00B0072F">
            <w:pPr>
              <w:jc w:val="both"/>
              <w:rPr>
                <w:rStyle w:val="SCCFileNumberChar"/>
                <w:sz w:val="20"/>
                <w:szCs w:val="20"/>
              </w:rPr>
            </w:pPr>
            <w:r w:rsidRPr="00DD48FF">
              <w:rPr>
                <w:rStyle w:val="SCCFileNumberChar"/>
                <w:sz w:val="20"/>
                <w:szCs w:val="20"/>
              </w:rPr>
              <w:t>Coram:</w:t>
            </w:r>
          </w:p>
        </w:tc>
        <w:tc>
          <w:tcPr>
            <w:tcW w:w="4457" w:type="pct"/>
            <w:gridSpan w:val="3"/>
          </w:tcPr>
          <w:p w:rsidR="00F9185B" w:rsidRPr="00DD48FF" w:rsidRDefault="00DD48FF" w:rsidP="00B0072F">
            <w:pPr>
              <w:pStyle w:val="SCCLsocParty"/>
              <w:jc w:val="both"/>
              <w:rPr>
                <w:sz w:val="20"/>
                <w:szCs w:val="20"/>
                <w:lang w:val="en-US"/>
              </w:rPr>
            </w:pPr>
            <w:r w:rsidRPr="00DD48FF">
              <w:rPr>
                <w:sz w:val="20"/>
                <w:szCs w:val="20"/>
                <w:lang w:val="en-US"/>
              </w:rPr>
              <w:t>McLachlin C.J. and Abella, Moldaver, Karakatsanis, Wagner, Gascon, Côté, Brown and Rowe JJ.</w:t>
            </w:r>
          </w:p>
          <w:p w:rsidR="00DD48FF" w:rsidRPr="00DD48FF" w:rsidRDefault="00DD48FF" w:rsidP="00DD48FF">
            <w:pPr>
              <w:rPr>
                <w:lang w:val="en-US"/>
              </w:rPr>
            </w:pPr>
          </w:p>
        </w:tc>
      </w:tr>
      <w:tr w:rsidR="00F9185B" w:rsidRPr="000E560D" w:rsidTr="00F9185B">
        <w:tc>
          <w:tcPr>
            <w:tcW w:w="5000" w:type="pct"/>
            <w:gridSpan w:val="4"/>
          </w:tcPr>
          <w:p w:rsidR="00F9185B" w:rsidRDefault="00DD48FF" w:rsidP="00B0072F">
            <w:pPr>
              <w:pStyle w:val="SCCLsocParty"/>
              <w:jc w:val="both"/>
              <w:rPr>
                <w:sz w:val="20"/>
                <w:szCs w:val="20"/>
                <w:lang w:val="en-US"/>
              </w:rPr>
            </w:pPr>
            <w:r w:rsidRPr="00DD48FF">
              <w:rPr>
                <w:sz w:val="20"/>
                <w:szCs w:val="20"/>
                <w:lang w:val="en-US"/>
              </w:rPr>
              <w:t>The application for leave to appeal from the judgment of the Court of Appeal for Ontario, Number C60864, 2017 ONCA 243, dated March 27, 2017, is dismissed with costs.</w:t>
            </w:r>
          </w:p>
          <w:p w:rsidR="00DD48FF" w:rsidRPr="00DD48FF" w:rsidRDefault="00DD48FF" w:rsidP="00DD48FF">
            <w:pPr>
              <w:rPr>
                <w:lang w:val="en-US"/>
              </w:rPr>
            </w:pPr>
          </w:p>
        </w:tc>
      </w:tr>
      <w:tr w:rsidR="00B0072F" w:rsidRPr="000E560D" w:rsidTr="00B0072F">
        <w:tc>
          <w:tcPr>
            <w:tcW w:w="5000" w:type="pct"/>
            <w:gridSpan w:val="4"/>
          </w:tcPr>
          <w:p w:rsidR="00B0072F" w:rsidRPr="000E560D" w:rsidRDefault="00B0072F" w:rsidP="00B0072F">
            <w:pPr>
              <w:pStyle w:val="SCCBanSummary"/>
              <w:rPr>
                <w:sz w:val="20"/>
                <w:szCs w:val="20"/>
              </w:rPr>
            </w:pPr>
            <w:r w:rsidRPr="000E560D">
              <w:rPr>
                <w:sz w:val="20"/>
                <w:szCs w:val="20"/>
              </w:rPr>
              <w:t>(Publication ban in case) (Publication ban on party)</w:t>
            </w:r>
          </w:p>
          <w:p w:rsidR="00B0072F" w:rsidRPr="000E560D" w:rsidRDefault="00B0072F" w:rsidP="00B0072F">
            <w:pPr>
              <w:jc w:val="both"/>
              <w:rPr>
                <w:sz w:val="20"/>
              </w:rPr>
            </w:pPr>
          </w:p>
          <w:p w:rsidR="00B0072F" w:rsidRPr="000E560D" w:rsidRDefault="00B0072F" w:rsidP="00B0072F">
            <w:pPr>
              <w:jc w:val="both"/>
              <w:rPr>
                <w:sz w:val="20"/>
              </w:rPr>
            </w:pPr>
            <w:r w:rsidRPr="000E560D">
              <w:rPr>
                <w:sz w:val="20"/>
              </w:rPr>
              <w:t>Mortgages – Validity – Father using corporate vehicles to provide son and his wife with funds to build house and registering personal mortgage on title – Mortgagors never making payments on mortgage – In context of divorce proceedings between mortgagors, father seeking repayment of mortgage – What constitutes an advance under a mortgage? – Does the mortgagee or mortgagor bear the onus of providing the advances under the mortgage? – Does equity demand an accounting of the funds paid by the Applicant?</w:t>
            </w:r>
          </w:p>
          <w:p w:rsidR="00B0072F" w:rsidRPr="000E560D" w:rsidRDefault="00B0072F" w:rsidP="00B0072F">
            <w:pPr>
              <w:jc w:val="both"/>
              <w:rPr>
                <w:sz w:val="20"/>
              </w:rPr>
            </w:pPr>
          </w:p>
        </w:tc>
      </w:tr>
      <w:tr w:rsidR="00B0072F" w:rsidRPr="000E560D" w:rsidTr="00B0072F">
        <w:tc>
          <w:tcPr>
            <w:tcW w:w="5000" w:type="pct"/>
            <w:gridSpan w:val="4"/>
          </w:tcPr>
          <w:p w:rsidR="00B0072F" w:rsidRPr="000E560D" w:rsidRDefault="00B0072F" w:rsidP="00B0072F">
            <w:pPr>
              <w:pStyle w:val="aparanumbering1"/>
              <w:spacing w:before="0" w:after="0"/>
              <w:rPr>
                <w:sz w:val="20"/>
                <w:szCs w:val="20"/>
              </w:rPr>
            </w:pPr>
            <w:r w:rsidRPr="000E560D">
              <w:rPr>
                <w:rFonts w:ascii="Times New Roman" w:hAnsi="Times New Roman" w:cs="Times New Roman"/>
                <w:sz w:val="20"/>
                <w:szCs w:val="20"/>
              </w:rPr>
              <w:t>S.A. is the father of A.A. and the former father-in-law of Z.G. A.A. and Z.G.</w:t>
            </w:r>
            <w:r w:rsidRPr="000E560D">
              <w:rPr>
                <w:rFonts w:ascii="Times New Roman" w:hAnsi="Times New Roman" w:cs="Times New Roman"/>
                <w:sz w:val="20"/>
                <w:szCs w:val="20"/>
                <w:lang w:val="en"/>
              </w:rPr>
              <w:t xml:space="preserve"> were married in 1991. Their final separation was in June, 2008. They lived affluently, with the husband concentrating on business matters, and the wife concentrating on raising their son, who was born in 1998. The wife was qualified as a real estate sales agent and broker, and worked part time outside the home throughout the marriage. In April 2005 the couple purchased a property for $1,030,000. A first mortgage was registered on the property in the amount of $700,000 with a commercial lender. The couple had the original house demolished and began construction of a new home on the property. A second mortgage in the amount of $800,000 was registered with the father, S.A., as mortgagee. The mortgage did not require periodic payments or the payment of interest.  The father, husband and wife were all parties to the second mortgage. The mortgage was prepared a lawyer who advised each of them to obtain independent legal advice, but they declined to do so. A company owned in part by the husband, 808276 Ontario Inc. (“808”), made payments that funded the construction of the new home. The father claimed these payments were his advances under the mortgage. The father did not own any shares in 808 but used it as an income splitting tool. The father did not demand repayment of the mortgage until August, 2008, after the separation. He issued a statement of claim to enforce the mortgage against the husband and the wife, the same day on which the husband initiated his divorce application. The husband did not defend the mortgage action and default judgment against him in his father’s favour was entered on March 23, 2009. The mortgage action proceeded against the wife.</w:t>
            </w:r>
          </w:p>
        </w:tc>
      </w:tr>
      <w:tr w:rsidR="00B0072F" w:rsidRPr="000E560D" w:rsidTr="00B0072F">
        <w:tc>
          <w:tcPr>
            <w:tcW w:w="5000" w:type="pct"/>
            <w:gridSpan w:val="4"/>
          </w:tcPr>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July 14, 2015</w:t>
            </w:r>
          </w:p>
          <w:p w:rsidR="00B0072F" w:rsidRPr="000E560D" w:rsidRDefault="00B0072F" w:rsidP="00B0072F">
            <w:pPr>
              <w:jc w:val="both"/>
              <w:rPr>
                <w:sz w:val="20"/>
              </w:rPr>
            </w:pPr>
            <w:r w:rsidRPr="000E560D">
              <w:rPr>
                <w:sz w:val="20"/>
              </w:rPr>
              <w:t>Ontario Superior Court of Justice</w:t>
            </w:r>
          </w:p>
          <w:p w:rsidR="00B0072F" w:rsidRPr="000E560D" w:rsidRDefault="00B0072F" w:rsidP="00B0072F">
            <w:pPr>
              <w:jc w:val="both"/>
              <w:rPr>
                <w:sz w:val="20"/>
              </w:rPr>
            </w:pPr>
            <w:r w:rsidRPr="000E560D">
              <w:rPr>
                <w:sz w:val="20"/>
              </w:rPr>
              <w:t>(Kruzick E.R.)</w:t>
            </w:r>
          </w:p>
          <w:p w:rsidR="00B0072F" w:rsidRPr="000E560D" w:rsidRDefault="006B07D6" w:rsidP="00B0072F">
            <w:pPr>
              <w:jc w:val="both"/>
              <w:rPr>
                <w:sz w:val="20"/>
              </w:rPr>
            </w:pPr>
            <w:hyperlink r:id="rId38" w:history="1">
              <w:r w:rsidR="00B0072F" w:rsidRPr="000E560D">
                <w:rPr>
                  <w:rStyle w:val="Hyperlink"/>
                  <w:sz w:val="20"/>
                </w:rPr>
                <w:t>2015 ONSC 4397</w:t>
              </w:r>
            </w:hyperlink>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Father’s mortgage action against the respondent, his son’s ex-wife, dismissed.  Mortgage found to be invalid</w:t>
            </w:r>
          </w:p>
          <w:p w:rsidR="00B0072F" w:rsidRPr="000E560D" w:rsidRDefault="00B0072F" w:rsidP="00B0072F">
            <w:pPr>
              <w:jc w:val="both"/>
              <w:rPr>
                <w:sz w:val="20"/>
              </w:rPr>
            </w:pP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March 27, 2017</w:t>
            </w:r>
          </w:p>
          <w:p w:rsidR="00B0072F" w:rsidRPr="000E560D" w:rsidRDefault="00B0072F" w:rsidP="00B0072F">
            <w:pPr>
              <w:jc w:val="both"/>
              <w:rPr>
                <w:sz w:val="20"/>
              </w:rPr>
            </w:pPr>
            <w:r w:rsidRPr="000E560D">
              <w:rPr>
                <w:sz w:val="20"/>
              </w:rPr>
              <w:t>Court of Appeal for Ontario</w:t>
            </w:r>
          </w:p>
          <w:p w:rsidR="00B0072F" w:rsidRPr="000E560D" w:rsidRDefault="00B0072F" w:rsidP="00B0072F">
            <w:pPr>
              <w:jc w:val="both"/>
              <w:rPr>
                <w:sz w:val="20"/>
              </w:rPr>
            </w:pPr>
            <w:r w:rsidRPr="000E560D">
              <w:rPr>
                <w:sz w:val="20"/>
              </w:rPr>
              <w:t>(Feldman, Simmons and Lauwers JJ.A.)</w:t>
            </w:r>
          </w:p>
          <w:p w:rsidR="00B0072F" w:rsidRPr="000E560D" w:rsidRDefault="006B07D6" w:rsidP="00B0072F">
            <w:pPr>
              <w:jc w:val="both"/>
              <w:rPr>
                <w:sz w:val="20"/>
              </w:rPr>
            </w:pPr>
            <w:hyperlink r:id="rId39" w:history="1">
              <w:r w:rsidR="00B0072F" w:rsidRPr="000E560D">
                <w:rPr>
                  <w:rStyle w:val="Hyperlink"/>
                  <w:sz w:val="20"/>
                </w:rPr>
                <w:t>2017 ONCA 243</w:t>
              </w:r>
            </w:hyperlink>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Applicant’s appeal dismissed in part</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May 25, 2017</w:t>
            </w:r>
          </w:p>
          <w:p w:rsidR="00B0072F" w:rsidRPr="000E560D" w:rsidRDefault="00B0072F" w:rsidP="00B0072F">
            <w:pPr>
              <w:jc w:val="both"/>
              <w:rPr>
                <w:sz w:val="20"/>
              </w:rPr>
            </w:pPr>
            <w:r w:rsidRPr="000E560D">
              <w:rPr>
                <w:sz w:val="20"/>
              </w:rPr>
              <w:t>Supreme Court of Canada</w:t>
            </w: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Application for leave to appeal filed</w:t>
            </w:r>
          </w:p>
          <w:p w:rsidR="00B0072F" w:rsidRPr="000E560D" w:rsidRDefault="00B0072F" w:rsidP="00B0072F">
            <w:pPr>
              <w:jc w:val="both"/>
              <w:rPr>
                <w:sz w:val="20"/>
              </w:rPr>
            </w:pPr>
          </w:p>
        </w:tc>
      </w:tr>
    </w:tbl>
    <w:p w:rsidR="00B0072F" w:rsidRPr="000E560D" w:rsidRDefault="006B07D6" w:rsidP="00B0072F">
      <w:pPr>
        <w:jc w:val="both"/>
        <w:rPr>
          <w:sz w:val="20"/>
        </w:rPr>
      </w:pPr>
      <w:r>
        <w:rPr>
          <w:sz w:val="20"/>
          <w:szCs w:val="20"/>
        </w:rPr>
        <w:pict>
          <v:rect id="_x0000_i1052" style="width:2in;height:1pt" o:hrpct="0" o:hralign="center" o:hrstd="t" o:hrnoshade="t" o:hr="t" fillcolor="black [3213]" stroked="f"/>
        </w:pict>
      </w:r>
    </w:p>
    <w:p w:rsidR="00B0072F" w:rsidRPr="000E560D" w:rsidRDefault="00B0072F" w:rsidP="00B0072F">
      <w:pPr>
        <w:jc w:val="both"/>
        <w:rPr>
          <w:sz w:val="20"/>
        </w:rPr>
      </w:pPr>
    </w:p>
    <w:p w:rsidR="00DD48FF" w:rsidRDefault="00DD48FF">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6B07D6" w:rsidTr="00B0072F">
        <w:tc>
          <w:tcPr>
            <w:tcW w:w="543" w:type="pct"/>
          </w:tcPr>
          <w:p w:rsidR="00B0072F" w:rsidRPr="00382DD9" w:rsidRDefault="00B0072F" w:rsidP="00B0072F">
            <w:pPr>
              <w:jc w:val="both"/>
              <w:rPr>
                <w:sz w:val="20"/>
                <w:lang w:val="fr-CA"/>
              </w:rPr>
            </w:pPr>
            <w:r w:rsidRPr="00382DD9">
              <w:rPr>
                <w:rStyle w:val="SCCFileNumberChar"/>
                <w:sz w:val="20"/>
                <w:szCs w:val="20"/>
                <w:lang w:val="fr-CA"/>
              </w:rPr>
              <w:lastRenderedPageBreak/>
              <w:t>37578</w:t>
            </w:r>
          </w:p>
        </w:tc>
        <w:tc>
          <w:tcPr>
            <w:tcW w:w="4457" w:type="pct"/>
            <w:gridSpan w:val="3"/>
          </w:tcPr>
          <w:p w:rsidR="00B0072F" w:rsidRPr="00382DD9" w:rsidRDefault="00B0072F" w:rsidP="00B0072F">
            <w:pPr>
              <w:pStyle w:val="SCCLsocParty"/>
              <w:jc w:val="both"/>
              <w:rPr>
                <w:b/>
                <w:sz w:val="20"/>
                <w:szCs w:val="20"/>
              </w:rPr>
            </w:pPr>
            <w:r w:rsidRPr="00382DD9">
              <w:rPr>
                <w:b/>
                <w:sz w:val="20"/>
                <w:szCs w:val="20"/>
              </w:rPr>
              <w:t>S.A. c. Z.G.</w:t>
            </w:r>
          </w:p>
          <w:p w:rsidR="00B0072F" w:rsidRPr="00382DD9" w:rsidRDefault="00B0072F" w:rsidP="00B0072F">
            <w:pPr>
              <w:jc w:val="both"/>
              <w:rPr>
                <w:sz w:val="20"/>
                <w:lang w:val="fr-CA"/>
              </w:rPr>
            </w:pPr>
            <w:r w:rsidRPr="00382DD9">
              <w:rPr>
                <w:sz w:val="20"/>
                <w:lang w:val="fr-CA"/>
              </w:rPr>
              <w:t>(Ont.) (Civile) (Sur autorisation)</w:t>
            </w:r>
          </w:p>
        </w:tc>
      </w:tr>
      <w:tr w:rsidR="00F9185B" w:rsidRPr="006B07D6" w:rsidTr="00B0072F">
        <w:tc>
          <w:tcPr>
            <w:tcW w:w="543" w:type="pct"/>
          </w:tcPr>
          <w:p w:rsidR="00F9185B" w:rsidRPr="000E560D" w:rsidRDefault="00F9185B" w:rsidP="00B0072F">
            <w:pPr>
              <w:jc w:val="both"/>
              <w:rPr>
                <w:rStyle w:val="SCCFileNumberChar"/>
                <w:sz w:val="20"/>
                <w:szCs w:val="20"/>
                <w:lang w:val="fr-CA"/>
              </w:rPr>
            </w:pPr>
            <w:r>
              <w:rPr>
                <w:rStyle w:val="SCCFileNumberChar"/>
                <w:sz w:val="20"/>
                <w:szCs w:val="20"/>
                <w:lang w:val="fr-CA"/>
              </w:rPr>
              <w:t>Coram :</w:t>
            </w:r>
          </w:p>
        </w:tc>
        <w:tc>
          <w:tcPr>
            <w:tcW w:w="4457" w:type="pct"/>
            <w:gridSpan w:val="3"/>
          </w:tcPr>
          <w:p w:rsidR="00F9185B" w:rsidRDefault="00DD48FF" w:rsidP="00B0072F">
            <w:pPr>
              <w:pStyle w:val="SCCLsocParty"/>
              <w:jc w:val="both"/>
              <w:rPr>
                <w:sz w:val="20"/>
                <w:szCs w:val="20"/>
                <w:lang w:val="fr-FR"/>
              </w:rPr>
            </w:pPr>
            <w:r w:rsidRPr="00D8715A">
              <w:rPr>
                <w:sz w:val="20"/>
                <w:szCs w:val="20"/>
                <w:lang w:val="fr-FR"/>
              </w:rPr>
              <w:t>La juge en chef McLachlin et les juges Abella, Moldaver, Karakatsanis, Wagner, Gascon, Côté, Brown et Rowe</w:t>
            </w:r>
          </w:p>
          <w:p w:rsidR="00DD48FF" w:rsidRPr="00DD48FF" w:rsidRDefault="00DD48FF" w:rsidP="00DD48FF">
            <w:pPr>
              <w:rPr>
                <w:lang w:val="fr-FR"/>
              </w:rPr>
            </w:pPr>
          </w:p>
        </w:tc>
      </w:tr>
      <w:tr w:rsidR="00F9185B" w:rsidRPr="006B07D6" w:rsidTr="00F9185B">
        <w:tc>
          <w:tcPr>
            <w:tcW w:w="5000" w:type="pct"/>
            <w:gridSpan w:val="4"/>
          </w:tcPr>
          <w:p w:rsidR="00F9185B" w:rsidRDefault="00DD48FF" w:rsidP="00F9185B">
            <w:pPr>
              <w:pStyle w:val="SCCLsocParty"/>
              <w:tabs>
                <w:tab w:val="left" w:pos="1404"/>
              </w:tabs>
              <w:jc w:val="both"/>
              <w:rPr>
                <w:sz w:val="20"/>
                <w:szCs w:val="20"/>
              </w:rPr>
            </w:pPr>
            <w:r w:rsidRPr="00D8715A">
              <w:rPr>
                <w:sz w:val="20"/>
                <w:szCs w:val="20"/>
              </w:rPr>
              <w:t xml:space="preserve">La demande d’autorisation d’appel de l’arrêt de la </w:t>
            </w:r>
            <w:r w:rsidRPr="00D8715A">
              <w:rPr>
                <w:sz w:val="20"/>
                <w:szCs w:val="20"/>
                <w:lang w:val="fr-FR"/>
              </w:rPr>
              <w:t>Cour d’appel de l’Ontario</w:t>
            </w:r>
            <w:r w:rsidRPr="00D8715A">
              <w:rPr>
                <w:sz w:val="20"/>
                <w:szCs w:val="20"/>
              </w:rPr>
              <w:t xml:space="preserve">, numéro </w:t>
            </w:r>
            <w:r w:rsidRPr="00D8715A">
              <w:rPr>
                <w:sz w:val="20"/>
                <w:szCs w:val="20"/>
                <w:lang w:val="fr-FR"/>
              </w:rPr>
              <w:t>C60864, 2017 ONCA 243</w:t>
            </w:r>
            <w:r w:rsidRPr="00D8715A">
              <w:rPr>
                <w:sz w:val="20"/>
                <w:szCs w:val="20"/>
              </w:rPr>
              <w:t xml:space="preserve">, daté du </w:t>
            </w:r>
            <w:r w:rsidRPr="00D8715A">
              <w:rPr>
                <w:sz w:val="20"/>
                <w:szCs w:val="20"/>
                <w:lang w:val="fr-FR"/>
              </w:rPr>
              <w:t>27 mars 2017</w:t>
            </w:r>
            <w:r w:rsidRPr="00D8715A">
              <w:rPr>
                <w:sz w:val="20"/>
                <w:szCs w:val="20"/>
              </w:rPr>
              <w:t>, est rejetée avec dépens.</w:t>
            </w:r>
          </w:p>
          <w:p w:rsidR="00DD48FF" w:rsidRPr="00DD48FF" w:rsidRDefault="00DD48FF" w:rsidP="00DD48FF">
            <w:pPr>
              <w:rPr>
                <w:lang w:val="fr-CA"/>
              </w:rPr>
            </w:pPr>
          </w:p>
        </w:tc>
      </w:tr>
      <w:tr w:rsidR="00B0072F" w:rsidRPr="006B07D6" w:rsidTr="00B0072F">
        <w:tc>
          <w:tcPr>
            <w:tcW w:w="5000" w:type="pct"/>
            <w:gridSpan w:val="4"/>
          </w:tcPr>
          <w:p w:rsidR="00B0072F" w:rsidRPr="000E560D" w:rsidRDefault="00B0072F" w:rsidP="00B0072F">
            <w:pPr>
              <w:pStyle w:val="SCCBanSummary"/>
              <w:rPr>
                <w:sz w:val="20"/>
                <w:szCs w:val="20"/>
                <w:lang w:val="fr-CA"/>
              </w:rPr>
            </w:pPr>
            <w:r w:rsidRPr="000E560D">
              <w:rPr>
                <w:sz w:val="20"/>
                <w:szCs w:val="20"/>
                <w:lang w:val="fr-CA"/>
              </w:rPr>
              <w:t>(Ordonnance de non-publication dans le dossier) (Ordonnance de non-publication visant une partie)</w:t>
            </w:r>
          </w:p>
          <w:p w:rsidR="00B0072F" w:rsidRPr="000E560D" w:rsidRDefault="00B0072F" w:rsidP="00B0072F">
            <w:pPr>
              <w:jc w:val="both"/>
              <w:rPr>
                <w:sz w:val="20"/>
                <w:lang w:val="fr-CA"/>
              </w:rPr>
            </w:pPr>
          </w:p>
          <w:p w:rsidR="00B0072F" w:rsidRPr="000E560D" w:rsidRDefault="00B0072F" w:rsidP="00B0072F">
            <w:pPr>
              <w:jc w:val="both"/>
              <w:rPr>
                <w:sz w:val="20"/>
                <w:lang w:val="fr-CA"/>
              </w:rPr>
            </w:pPr>
            <w:r w:rsidRPr="000E560D">
              <w:rPr>
                <w:sz w:val="20"/>
                <w:lang w:val="fr-CA"/>
              </w:rPr>
              <w:t>Hypothèques – Validité – Le père a eu recours à des personnes morales pour fournir, à son fils et à l’épouse de ce dernier, des fonds pour construire une maison et a fait inscrire une hypothèque personnelle grevant le titre – Les débiteurs hypothécaires n’ont jamais fait de paiements de remboursement du prêt hypothécaire – Dans le contexte d’une procédure de divorce entre débiteurs hypothécaires, le père cherche à obtenir le remboursement du prêt hypothécaire – En quoi consiste une avance sur un prêt hypothécaire? – Le fardeau de fournir les avances en exécution du prêt hypothécaire appartient-il au créancier hypothécaire ou au débiteur hypothécaire? – L’equity exige-t-il la reddition de compte des fonds versés par le demandeur?</w:t>
            </w:r>
          </w:p>
          <w:p w:rsidR="00B0072F" w:rsidRPr="000E560D" w:rsidRDefault="00B0072F" w:rsidP="00B0072F">
            <w:pPr>
              <w:jc w:val="both"/>
              <w:rPr>
                <w:sz w:val="20"/>
                <w:lang w:val="fr-CA"/>
              </w:rPr>
            </w:pPr>
          </w:p>
        </w:tc>
      </w:tr>
      <w:tr w:rsidR="00B0072F" w:rsidRPr="000E560D" w:rsidTr="00B0072F">
        <w:tc>
          <w:tcPr>
            <w:tcW w:w="5000" w:type="pct"/>
            <w:gridSpan w:val="4"/>
          </w:tcPr>
          <w:p w:rsidR="00B0072F" w:rsidRPr="000E560D" w:rsidRDefault="00B0072F" w:rsidP="00B0072F">
            <w:pPr>
              <w:pStyle w:val="aparanumbering1"/>
              <w:spacing w:before="0" w:after="0"/>
              <w:rPr>
                <w:sz w:val="20"/>
                <w:szCs w:val="20"/>
                <w:lang w:val="fr-CA"/>
              </w:rPr>
            </w:pPr>
            <w:r w:rsidRPr="000E560D">
              <w:rPr>
                <w:rFonts w:ascii="Times New Roman" w:hAnsi="Times New Roman" w:cs="Times New Roman"/>
                <w:sz w:val="20"/>
                <w:szCs w:val="20"/>
                <w:lang w:val="fr-CA"/>
              </w:rPr>
              <w:t>S.A. est le père d’A.A. et l’ancien beau-père de Z.G. A.A. et Z.G. se sont mariés en 1991. Leur séparation définitive a eu lieu en juin 2008. Ils avaient un gros train de vie, l’époux s’occupant principalement d’affaires commerciales et l’épouse s’occupant principalement de l’éducation de leur fils, né en 1998. L’épouse était agente et courtière immobilière qualifiée et travaillait à temps partiel à l’extérieur du foyer tout au long du mariage. En avril 2005, le couple a acheté une propriété au prix de 1 030 000 $. Une hypothèque de premier rang en faveur d’un prêteur commercial, pour un montant de 700 000 $, a été inscrite sur la propriété. Le couple a fait démolir la maison et a commencé la construction d’une nouvelle demeure sur le terrain. Une hypothèque de deuxième rang, au montant de 800 000 $, a été inscrite au nom du père, S.A. à titre créancier hypothécaire. Le prêt hypothécaire n’obligeait pas le versement de paiements périodiques ou d’intérêts. Le père, l’époux et l’épouse étaient tous parties au prêt garanti par l’hypothèque de deuxième rang. L’hypothèque a été rédigée par un avocat qui a recommandé à chacun d’eux d’obtenir des conseils juridiques indépendants, mais ils ont décliné cette offre. Une société appartenant en partie à l’époux, 808276 Ontario Inc. (« 808 »), a effectué des paiements qui ont financé la construction de la nouvelle demeure. Le père a prétendu que ces paiements étaient ses avances en exécution de l’emprunt hypothécaire. Le père ne possédait pas d’actions de 808, mais il s’en servait comme outil de fractionnement du revenu. Ce n’est qu’après la séparation, en août 2008, que le père a exigé le remboursement du prêt hypothécaire. Il a déposé une déclaration pour obtenir l’exécution du prêt hypothécaire contre l’époux et l’épouse, le même jour où l’époux a introduit sa demande de divorce. L’époux n’a pas opposé de défense à l’action hypothécaire et un jugement par défaut en faveur de son père a été prononcé contre lui le 23 mars 2009. L’action hypothécaire contre l’épouse est allée de l’avant.</w:t>
            </w:r>
          </w:p>
        </w:tc>
      </w:tr>
      <w:tr w:rsidR="00B0072F" w:rsidRPr="000E560D" w:rsidTr="00B0072F">
        <w:tc>
          <w:tcPr>
            <w:tcW w:w="5000" w:type="pct"/>
            <w:gridSpan w:val="4"/>
          </w:tcPr>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14 juillet 2015</w:t>
            </w:r>
          </w:p>
          <w:p w:rsidR="00B0072F" w:rsidRPr="000E560D" w:rsidRDefault="00B0072F" w:rsidP="00B0072F">
            <w:pPr>
              <w:jc w:val="both"/>
              <w:rPr>
                <w:sz w:val="20"/>
                <w:lang w:val="fr-CA"/>
              </w:rPr>
            </w:pPr>
            <w:r w:rsidRPr="000E560D">
              <w:rPr>
                <w:sz w:val="20"/>
                <w:lang w:val="fr-CA"/>
              </w:rPr>
              <w:t>Cour supérieure de justice de l’Ontario</w:t>
            </w:r>
          </w:p>
          <w:p w:rsidR="00B0072F" w:rsidRPr="000E560D" w:rsidRDefault="00B0072F" w:rsidP="00B0072F">
            <w:pPr>
              <w:jc w:val="both"/>
              <w:rPr>
                <w:sz w:val="20"/>
                <w:lang w:val="fr-CA"/>
              </w:rPr>
            </w:pPr>
            <w:r w:rsidRPr="000E560D">
              <w:rPr>
                <w:sz w:val="20"/>
                <w:lang w:val="fr-CA"/>
              </w:rPr>
              <w:t>(Juge Kruzick)</w:t>
            </w:r>
          </w:p>
          <w:p w:rsidR="00B0072F" w:rsidRPr="000E560D" w:rsidRDefault="006B07D6" w:rsidP="00B0072F">
            <w:pPr>
              <w:jc w:val="both"/>
              <w:rPr>
                <w:sz w:val="20"/>
                <w:lang w:val="fr-CA"/>
              </w:rPr>
            </w:pPr>
            <w:hyperlink r:id="rId40" w:history="1">
              <w:r w:rsidR="00B0072F" w:rsidRPr="000E560D">
                <w:rPr>
                  <w:rStyle w:val="Hyperlink"/>
                  <w:sz w:val="20"/>
                  <w:lang w:val="fr-CA"/>
                </w:rPr>
                <w:t>2015 ONSC 4397</w:t>
              </w:r>
            </w:hyperlink>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Jugement rejetant l’action hypothécaire du père contre l’intimée, l’ex-épouse de son fils, et concluant à l’invalidité de l’hypothèque</w:t>
            </w:r>
          </w:p>
          <w:p w:rsidR="00B0072F" w:rsidRPr="000E560D" w:rsidRDefault="00B0072F" w:rsidP="00B0072F">
            <w:pPr>
              <w:jc w:val="both"/>
              <w:rPr>
                <w:sz w:val="20"/>
                <w:lang w:val="fr-CA"/>
              </w:rPr>
            </w:pP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27 mars 2017</w:t>
            </w:r>
          </w:p>
          <w:p w:rsidR="00B0072F" w:rsidRPr="000E560D" w:rsidRDefault="00B0072F" w:rsidP="00B0072F">
            <w:pPr>
              <w:jc w:val="both"/>
              <w:rPr>
                <w:sz w:val="20"/>
                <w:lang w:val="fr-CA"/>
              </w:rPr>
            </w:pPr>
            <w:r w:rsidRPr="000E560D">
              <w:rPr>
                <w:sz w:val="20"/>
                <w:lang w:val="fr-CA"/>
              </w:rPr>
              <w:t>Cour d’appel de l’Ontario</w:t>
            </w:r>
          </w:p>
          <w:p w:rsidR="00B0072F" w:rsidRPr="000E560D" w:rsidRDefault="00B0072F" w:rsidP="00B0072F">
            <w:pPr>
              <w:jc w:val="both"/>
              <w:rPr>
                <w:sz w:val="20"/>
                <w:lang w:val="fr-CA"/>
              </w:rPr>
            </w:pPr>
            <w:r w:rsidRPr="000E560D">
              <w:rPr>
                <w:sz w:val="20"/>
                <w:lang w:val="fr-CA"/>
              </w:rPr>
              <w:t>(Juges Feldman, Simmons et Lauwers)</w:t>
            </w:r>
          </w:p>
          <w:p w:rsidR="00B0072F" w:rsidRPr="000E560D" w:rsidRDefault="006B07D6" w:rsidP="00B0072F">
            <w:pPr>
              <w:jc w:val="both"/>
              <w:rPr>
                <w:sz w:val="20"/>
                <w:lang w:val="fr-CA"/>
              </w:rPr>
            </w:pPr>
            <w:hyperlink r:id="rId41" w:history="1">
              <w:r w:rsidR="00B0072F" w:rsidRPr="000E560D">
                <w:rPr>
                  <w:rStyle w:val="Hyperlink"/>
                  <w:sz w:val="20"/>
                  <w:lang w:val="fr-CA"/>
                </w:rPr>
                <w:t>2017 ONCA 243</w:t>
              </w:r>
            </w:hyperlink>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Arrêt rejetant en partie l’appel du demandeur</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25 mai 2017</w:t>
            </w:r>
          </w:p>
          <w:p w:rsidR="00B0072F" w:rsidRPr="000E560D" w:rsidRDefault="00B0072F" w:rsidP="00B0072F">
            <w:pPr>
              <w:jc w:val="both"/>
              <w:rPr>
                <w:sz w:val="20"/>
                <w:lang w:val="fr-CA"/>
              </w:rPr>
            </w:pPr>
            <w:r w:rsidRPr="000E560D">
              <w:rPr>
                <w:sz w:val="20"/>
                <w:lang w:val="fr-CA"/>
              </w:rPr>
              <w:t>Cour suprême du Canada</w:t>
            </w: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Dépôt de la demande d’autorisation d’appel</w:t>
            </w:r>
          </w:p>
          <w:p w:rsidR="00B0072F" w:rsidRPr="000E560D" w:rsidRDefault="00B0072F" w:rsidP="00B0072F">
            <w:pPr>
              <w:jc w:val="both"/>
              <w:rPr>
                <w:sz w:val="20"/>
                <w:lang w:val="fr-CA"/>
              </w:rPr>
            </w:pPr>
          </w:p>
        </w:tc>
      </w:tr>
    </w:tbl>
    <w:p w:rsidR="00B0072F" w:rsidRPr="000E560D" w:rsidRDefault="006B07D6" w:rsidP="00B0072F">
      <w:pPr>
        <w:jc w:val="both"/>
        <w:rPr>
          <w:sz w:val="20"/>
          <w:lang w:val="fr-CA"/>
        </w:rPr>
      </w:pPr>
      <w:r>
        <w:rPr>
          <w:sz w:val="20"/>
          <w:szCs w:val="20"/>
        </w:rPr>
        <w:pict>
          <v:rect id="_x0000_i1053" style="width:2in;height:1pt" o:hrpct="0" o:hralign="center" o:hrstd="t" o:hrnoshade="t" o:hr="t" fillcolor="black [3213]" stroked="f"/>
        </w:pict>
      </w:r>
    </w:p>
    <w:p w:rsidR="00B0072F" w:rsidRPr="000E560D" w:rsidRDefault="00B0072F" w:rsidP="00B0072F">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0E560D" w:rsidTr="00B0072F">
        <w:tc>
          <w:tcPr>
            <w:tcW w:w="543" w:type="pct"/>
          </w:tcPr>
          <w:p w:rsidR="00B0072F" w:rsidRPr="00DD48FF" w:rsidRDefault="00B0072F" w:rsidP="00B0072F">
            <w:pPr>
              <w:jc w:val="both"/>
              <w:rPr>
                <w:sz w:val="20"/>
              </w:rPr>
            </w:pPr>
            <w:r w:rsidRPr="00DD48FF">
              <w:rPr>
                <w:rStyle w:val="SCCFileNumberChar"/>
                <w:sz w:val="20"/>
                <w:szCs w:val="20"/>
              </w:rPr>
              <w:t>37554</w:t>
            </w:r>
          </w:p>
        </w:tc>
        <w:tc>
          <w:tcPr>
            <w:tcW w:w="4457" w:type="pct"/>
            <w:gridSpan w:val="3"/>
          </w:tcPr>
          <w:p w:rsidR="00B0072F" w:rsidRPr="00DD48FF" w:rsidRDefault="00DD48FF" w:rsidP="00B0072F">
            <w:pPr>
              <w:jc w:val="both"/>
              <w:rPr>
                <w:sz w:val="20"/>
              </w:rPr>
            </w:pPr>
            <w:r w:rsidRPr="00DD48FF">
              <w:rPr>
                <w:rFonts w:eastAsia="Calibri" w:cs="Times New Roman"/>
                <w:b/>
                <w:sz w:val="20"/>
                <w:szCs w:val="20"/>
                <w:lang w:val="en-US"/>
              </w:rPr>
              <w:t xml:space="preserve">Teledyne Continental Motors, Inc. and Teledyne Technologies Incorporated v. 1205055 Ontario Limited c.o.b. Aviation Technical Consultants, Corporate Aircraft Restorations Inc. and Maurice Nesbitt </w:t>
            </w:r>
            <w:r w:rsidR="00B0072F" w:rsidRPr="00DD48FF">
              <w:rPr>
                <w:sz w:val="20"/>
              </w:rPr>
              <w:t>(Ont.) (Civil) (By Leave)</w:t>
            </w:r>
          </w:p>
        </w:tc>
      </w:tr>
      <w:tr w:rsidR="00F9185B" w:rsidRPr="000E560D" w:rsidTr="00B0072F">
        <w:tc>
          <w:tcPr>
            <w:tcW w:w="543" w:type="pct"/>
          </w:tcPr>
          <w:p w:rsidR="00F9185B" w:rsidRPr="00DD48FF" w:rsidRDefault="00F9185B" w:rsidP="00B0072F">
            <w:pPr>
              <w:jc w:val="both"/>
              <w:rPr>
                <w:rStyle w:val="SCCFileNumberChar"/>
                <w:sz w:val="20"/>
                <w:szCs w:val="20"/>
              </w:rPr>
            </w:pPr>
            <w:r w:rsidRPr="00DD48FF">
              <w:rPr>
                <w:rStyle w:val="SCCFileNumberChar"/>
                <w:sz w:val="20"/>
                <w:szCs w:val="20"/>
              </w:rPr>
              <w:t>Coram:</w:t>
            </w:r>
          </w:p>
        </w:tc>
        <w:tc>
          <w:tcPr>
            <w:tcW w:w="4457" w:type="pct"/>
            <w:gridSpan w:val="3"/>
          </w:tcPr>
          <w:p w:rsidR="00F9185B" w:rsidRPr="00DD48FF" w:rsidRDefault="00DD48FF" w:rsidP="00B0072F">
            <w:pPr>
              <w:pStyle w:val="SCCLsocParty"/>
              <w:jc w:val="both"/>
              <w:rPr>
                <w:sz w:val="20"/>
                <w:szCs w:val="20"/>
                <w:lang w:val="en-US"/>
              </w:rPr>
            </w:pPr>
            <w:r w:rsidRPr="00DD48FF">
              <w:rPr>
                <w:sz w:val="20"/>
                <w:szCs w:val="20"/>
                <w:lang w:val="en-US"/>
              </w:rPr>
              <w:t>McLachlin C.J. and Abella, Moldaver, Karakatsanis, Wagner, Gascon, Côté, Brown and Rowe JJ.</w:t>
            </w:r>
          </w:p>
          <w:p w:rsidR="00DD48FF" w:rsidRPr="00DD48FF" w:rsidRDefault="00DD48FF" w:rsidP="00DD48FF">
            <w:pPr>
              <w:rPr>
                <w:lang w:val="en-US"/>
              </w:rPr>
            </w:pPr>
          </w:p>
        </w:tc>
      </w:tr>
      <w:tr w:rsidR="00F9185B" w:rsidRPr="000E560D" w:rsidTr="00F9185B">
        <w:tc>
          <w:tcPr>
            <w:tcW w:w="5000" w:type="pct"/>
            <w:gridSpan w:val="4"/>
          </w:tcPr>
          <w:p w:rsidR="00F9185B" w:rsidRPr="00DD48FF" w:rsidRDefault="00DD48FF" w:rsidP="00B0072F">
            <w:pPr>
              <w:pStyle w:val="SCCLsocParty"/>
              <w:jc w:val="both"/>
              <w:rPr>
                <w:sz w:val="20"/>
                <w:szCs w:val="20"/>
                <w:lang w:val="en-US"/>
              </w:rPr>
            </w:pPr>
            <w:r w:rsidRPr="00DD48FF">
              <w:rPr>
                <w:sz w:val="20"/>
                <w:szCs w:val="20"/>
                <w:lang w:val="en-US"/>
              </w:rPr>
              <w:t>The application for leave to appeal from the judgment of the Court of Appeal for Ontario, Number C62769, 2017 ONCA 208, dated March 10, 2017, is dismissed with costs.</w:t>
            </w:r>
          </w:p>
          <w:p w:rsidR="00DD48FF" w:rsidRPr="00DD48FF" w:rsidRDefault="00DD48FF" w:rsidP="00DD48FF">
            <w:pPr>
              <w:rPr>
                <w:lang w:val="en-US"/>
              </w:rPr>
            </w:pPr>
          </w:p>
        </w:tc>
      </w:tr>
      <w:tr w:rsidR="00B0072F" w:rsidRPr="000E560D" w:rsidTr="00B0072F">
        <w:tc>
          <w:tcPr>
            <w:tcW w:w="5000" w:type="pct"/>
            <w:gridSpan w:val="4"/>
          </w:tcPr>
          <w:p w:rsidR="00B0072F" w:rsidRPr="000E560D" w:rsidRDefault="00B0072F" w:rsidP="00B0072F">
            <w:pPr>
              <w:jc w:val="both"/>
              <w:rPr>
                <w:sz w:val="20"/>
              </w:rPr>
            </w:pPr>
            <w:r w:rsidRPr="000E560D">
              <w:rPr>
                <w:sz w:val="20"/>
              </w:rPr>
              <w:t xml:space="preserve">Private international law – Applicable law – Torts – Negligence – Limitation of actions – Action for damages in Ontario against aircraft manufacturer and others in respect of accident in New York State – Aircraft manufacturer claiming that action is statute-barred under </w:t>
            </w:r>
            <w:r w:rsidRPr="000E560D">
              <w:rPr>
                <w:sz w:val="20"/>
                <w:lang w:val="en"/>
              </w:rPr>
              <w:t xml:space="preserve">United States federal legislation </w:t>
            </w:r>
            <w:r w:rsidRPr="000E560D">
              <w:rPr>
                <w:sz w:val="20"/>
              </w:rPr>
              <w:t xml:space="preserve">– What is the applicable choice of law framework where several torts are pleaded with different potential </w:t>
            </w:r>
            <w:r w:rsidRPr="000E560D">
              <w:rPr>
                <w:i/>
                <w:sz w:val="20"/>
              </w:rPr>
              <w:t>loci delicti</w:t>
            </w:r>
            <w:r w:rsidRPr="000E560D">
              <w:rPr>
                <w:sz w:val="20"/>
              </w:rPr>
              <w:t xml:space="preserve"> in connection with a single, multi-jurisdictional incident?</w:t>
            </w:r>
          </w:p>
        </w:tc>
      </w:tr>
      <w:tr w:rsidR="00B0072F" w:rsidRPr="000E560D" w:rsidTr="00B0072F">
        <w:tc>
          <w:tcPr>
            <w:tcW w:w="5000" w:type="pct"/>
            <w:gridSpan w:val="4"/>
          </w:tcPr>
          <w:p w:rsidR="00B0072F" w:rsidRPr="000E560D" w:rsidRDefault="00B0072F" w:rsidP="00B0072F">
            <w:pPr>
              <w:jc w:val="both"/>
              <w:rPr>
                <w:sz w:val="20"/>
              </w:rPr>
            </w:pPr>
          </w:p>
        </w:tc>
      </w:tr>
      <w:tr w:rsidR="00B0072F" w:rsidRPr="000E560D" w:rsidTr="00B0072F">
        <w:tc>
          <w:tcPr>
            <w:tcW w:w="5000" w:type="pct"/>
            <w:gridSpan w:val="4"/>
          </w:tcPr>
          <w:p w:rsidR="00B0072F" w:rsidRPr="000E560D" w:rsidRDefault="00B0072F" w:rsidP="00B0072F">
            <w:pPr>
              <w:jc w:val="both"/>
              <w:rPr>
                <w:sz w:val="20"/>
              </w:rPr>
            </w:pPr>
            <w:r w:rsidRPr="000E560D">
              <w:rPr>
                <w:sz w:val="20"/>
              </w:rPr>
              <w:t>On a flight from Ontario to Delaware, a twin-engine Beech aircraft crashed in New York State. The two pilots and the passenger died in the accident. Their estates commenced actions in Ontario against the aircraft manufacturer and companies that inspected and maintained the engine. Those companies brought third party claims and cross-claims against the aircraft manufacturer alleging the improper design and manufacture of the engine and replacement parts, misleading repair instructions, and the failure to warn about certain engine failures.</w:t>
            </w:r>
          </w:p>
          <w:p w:rsidR="00B0072F" w:rsidRPr="000E560D" w:rsidRDefault="00B0072F" w:rsidP="00B0072F">
            <w:pPr>
              <w:jc w:val="both"/>
              <w:rPr>
                <w:sz w:val="20"/>
              </w:rPr>
            </w:pPr>
          </w:p>
          <w:p w:rsidR="00B0072F" w:rsidRPr="000E560D" w:rsidRDefault="00B0072F" w:rsidP="00B0072F">
            <w:pPr>
              <w:jc w:val="both"/>
              <w:rPr>
                <w:sz w:val="20"/>
              </w:rPr>
            </w:pPr>
            <w:r w:rsidRPr="000E560D">
              <w:rPr>
                <w:sz w:val="20"/>
              </w:rPr>
              <w:t xml:space="preserve">The aircraft manufacturer moved for summary judgment. The manufacturer asserted that since the accident took place in New York State, the claims against it were barred by the United States federal </w:t>
            </w:r>
            <w:r w:rsidRPr="000E560D">
              <w:rPr>
                <w:i/>
                <w:sz w:val="20"/>
              </w:rPr>
              <w:t>General Aviation Revitalization Act of 1994</w:t>
            </w:r>
            <w:r w:rsidRPr="000E560D">
              <w:rPr>
                <w:sz w:val="20"/>
              </w:rPr>
              <w:t xml:space="preserve"> (“GARA”), Pub.L. No. 103 298, 108 Stat. 1552 (codified at 49 U.S.C. § 40101 notes). GARA bars a civil action against an aircraft manufacturer for damages for deaths arising out of an accident involving an aircraft which is brought more than 18 years after the date of delivery of the aircraft to its first purchaser. </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September 7, 2016</w:t>
            </w:r>
          </w:p>
          <w:p w:rsidR="00B0072F" w:rsidRPr="000E560D" w:rsidRDefault="00B0072F" w:rsidP="00B0072F">
            <w:pPr>
              <w:jc w:val="both"/>
              <w:rPr>
                <w:sz w:val="20"/>
              </w:rPr>
            </w:pPr>
            <w:r w:rsidRPr="000E560D">
              <w:rPr>
                <w:sz w:val="20"/>
              </w:rPr>
              <w:t>Ontario Superior Court of Justice</w:t>
            </w:r>
          </w:p>
          <w:p w:rsidR="00B0072F" w:rsidRPr="000E560D" w:rsidRDefault="00B0072F" w:rsidP="00B0072F">
            <w:pPr>
              <w:jc w:val="both"/>
              <w:rPr>
                <w:sz w:val="20"/>
              </w:rPr>
            </w:pPr>
            <w:r w:rsidRPr="000E560D">
              <w:rPr>
                <w:sz w:val="20"/>
              </w:rPr>
              <w:t>(Morgan J.)</w:t>
            </w:r>
          </w:p>
          <w:p w:rsidR="00B0072F" w:rsidRPr="000E560D" w:rsidRDefault="006B07D6" w:rsidP="00B0072F">
            <w:pPr>
              <w:jc w:val="both"/>
              <w:rPr>
                <w:sz w:val="20"/>
                <w:lang w:val="en"/>
              </w:rPr>
            </w:pPr>
            <w:hyperlink r:id="rId42" w:history="1">
              <w:r w:rsidR="00B0072F" w:rsidRPr="000E560D">
                <w:rPr>
                  <w:rStyle w:val="Hyperlink"/>
                  <w:sz w:val="20"/>
                  <w:lang w:val="en"/>
                </w:rPr>
                <w:t>2016 ONSC 5507</w:t>
              </w:r>
            </w:hyperlink>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 xml:space="preserve">Motion for summary judgment to dismiss claim as statute-barred by U.S. federal legislation dismissed </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March 10, 2017</w:t>
            </w:r>
          </w:p>
          <w:p w:rsidR="00B0072F" w:rsidRPr="000E560D" w:rsidRDefault="00B0072F" w:rsidP="00B0072F">
            <w:pPr>
              <w:jc w:val="both"/>
              <w:rPr>
                <w:sz w:val="20"/>
              </w:rPr>
            </w:pPr>
            <w:r w:rsidRPr="000E560D">
              <w:rPr>
                <w:sz w:val="20"/>
              </w:rPr>
              <w:t>Court of Appeal for Ontario</w:t>
            </w:r>
          </w:p>
          <w:p w:rsidR="00B0072F" w:rsidRPr="000E560D" w:rsidRDefault="00B0072F" w:rsidP="00B0072F">
            <w:pPr>
              <w:jc w:val="both"/>
              <w:rPr>
                <w:sz w:val="20"/>
              </w:rPr>
            </w:pPr>
            <w:r w:rsidRPr="000E560D">
              <w:rPr>
                <w:sz w:val="20"/>
              </w:rPr>
              <w:t>(Hoy A.C.J.O, Gillese and Brown JJ.A.)</w:t>
            </w:r>
          </w:p>
          <w:p w:rsidR="00B0072F" w:rsidRPr="000E560D" w:rsidRDefault="006B07D6" w:rsidP="00B0072F">
            <w:pPr>
              <w:jc w:val="both"/>
              <w:rPr>
                <w:sz w:val="20"/>
              </w:rPr>
            </w:pPr>
            <w:hyperlink r:id="rId43" w:history="1">
              <w:r w:rsidR="00B0072F" w:rsidRPr="000E560D">
                <w:rPr>
                  <w:rStyle w:val="Hyperlink"/>
                  <w:sz w:val="20"/>
                  <w:lang w:val="en"/>
                </w:rPr>
                <w:t>2017 ONCA 208</w:t>
              </w:r>
            </w:hyperlink>
            <w:r w:rsidR="00B0072F" w:rsidRPr="000E560D">
              <w:rPr>
                <w:sz w:val="20"/>
              </w:rPr>
              <w:t xml:space="preserve"> </w:t>
            </w:r>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 xml:space="preserve">Appeal dismissed </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May 5, 2017</w:t>
            </w:r>
          </w:p>
          <w:p w:rsidR="00B0072F" w:rsidRPr="000E560D" w:rsidRDefault="00B0072F" w:rsidP="00B0072F">
            <w:pPr>
              <w:jc w:val="both"/>
              <w:rPr>
                <w:sz w:val="20"/>
              </w:rPr>
            </w:pPr>
            <w:r w:rsidRPr="000E560D">
              <w:rPr>
                <w:sz w:val="20"/>
              </w:rPr>
              <w:t>Supreme Court of Canada</w:t>
            </w:r>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Application for leave to appeal filed</w:t>
            </w:r>
          </w:p>
        </w:tc>
      </w:tr>
    </w:tbl>
    <w:p w:rsidR="00B0072F" w:rsidRPr="000E560D" w:rsidRDefault="006B07D6" w:rsidP="00B0072F">
      <w:pPr>
        <w:jc w:val="both"/>
        <w:rPr>
          <w:sz w:val="20"/>
        </w:rPr>
      </w:pPr>
      <w:r>
        <w:rPr>
          <w:sz w:val="20"/>
          <w:szCs w:val="20"/>
        </w:rPr>
        <w:pict>
          <v:rect id="_x0000_i1054" style="width:2in;height:1pt" o:hrpct="0" o:hralign="center" o:hrstd="t" o:hrnoshade="t" o:hr="t" fillcolor="black [3213]" stroked="f"/>
        </w:pict>
      </w:r>
    </w:p>
    <w:p w:rsidR="00B0072F" w:rsidRPr="000E560D" w:rsidRDefault="00B0072F" w:rsidP="00B007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34787A" w:rsidTr="00B0072F">
        <w:tc>
          <w:tcPr>
            <w:tcW w:w="543" w:type="pct"/>
          </w:tcPr>
          <w:p w:rsidR="00B0072F" w:rsidRPr="00DD48FF" w:rsidRDefault="00B0072F" w:rsidP="00B0072F">
            <w:pPr>
              <w:jc w:val="both"/>
              <w:rPr>
                <w:sz w:val="20"/>
                <w:lang w:val="fr-CA"/>
              </w:rPr>
            </w:pPr>
            <w:r w:rsidRPr="00DD48FF">
              <w:rPr>
                <w:rStyle w:val="SCCFileNumberChar"/>
                <w:sz w:val="20"/>
                <w:szCs w:val="20"/>
                <w:lang w:val="fr-CA"/>
              </w:rPr>
              <w:t>37554</w:t>
            </w:r>
          </w:p>
        </w:tc>
        <w:tc>
          <w:tcPr>
            <w:tcW w:w="4457" w:type="pct"/>
            <w:gridSpan w:val="3"/>
          </w:tcPr>
          <w:p w:rsidR="00B0072F" w:rsidRPr="00DD48FF" w:rsidRDefault="00DD48FF" w:rsidP="00B0072F">
            <w:pPr>
              <w:jc w:val="both"/>
              <w:rPr>
                <w:sz w:val="20"/>
                <w:lang w:val="fr-CA"/>
              </w:rPr>
            </w:pPr>
            <w:r w:rsidRPr="00DD48FF">
              <w:rPr>
                <w:rFonts w:eastAsia="Calibri" w:cs="Times New Roman"/>
                <w:b/>
                <w:sz w:val="20"/>
                <w:szCs w:val="20"/>
                <w:lang w:val="fr-CA"/>
              </w:rPr>
              <w:t xml:space="preserve">Teledyne Continental Motors, Inc. et Teledyne Technologies Incorporated c. 1205055 Ontario Limited c.o.b. Aviation Technical Consultants, Corporate Aircraft Restorations Inc. et Maurice Nesbitt </w:t>
            </w:r>
            <w:r w:rsidR="00B0072F" w:rsidRPr="00DD48FF">
              <w:rPr>
                <w:sz w:val="20"/>
                <w:lang w:val="fr-CA"/>
              </w:rPr>
              <w:t>(Ont.) (Civile) (Sur autorisation)</w:t>
            </w:r>
          </w:p>
        </w:tc>
      </w:tr>
      <w:tr w:rsidR="00F9185B" w:rsidRPr="006B07D6" w:rsidTr="00B0072F">
        <w:tc>
          <w:tcPr>
            <w:tcW w:w="543" w:type="pct"/>
          </w:tcPr>
          <w:p w:rsidR="00F9185B" w:rsidRPr="00DD48FF" w:rsidRDefault="00F9185B" w:rsidP="00B0072F">
            <w:pPr>
              <w:jc w:val="both"/>
              <w:rPr>
                <w:rStyle w:val="SCCFileNumberChar"/>
                <w:sz w:val="20"/>
                <w:szCs w:val="20"/>
                <w:lang w:val="fr-CA"/>
              </w:rPr>
            </w:pPr>
            <w:r w:rsidRPr="00DD48FF">
              <w:rPr>
                <w:rStyle w:val="SCCFileNumberChar"/>
                <w:sz w:val="20"/>
                <w:szCs w:val="20"/>
                <w:lang w:val="fr-CA"/>
              </w:rPr>
              <w:t>Coram :</w:t>
            </w:r>
          </w:p>
        </w:tc>
        <w:tc>
          <w:tcPr>
            <w:tcW w:w="4457" w:type="pct"/>
            <w:gridSpan w:val="3"/>
          </w:tcPr>
          <w:p w:rsidR="00F9185B" w:rsidRPr="00DD48FF" w:rsidRDefault="00DD48FF" w:rsidP="00B0072F">
            <w:pPr>
              <w:pStyle w:val="SCCLsocParty"/>
              <w:jc w:val="both"/>
              <w:rPr>
                <w:sz w:val="20"/>
                <w:szCs w:val="20"/>
                <w:lang w:val="fr-FR"/>
              </w:rPr>
            </w:pPr>
            <w:r w:rsidRPr="00DD48FF">
              <w:rPr>
                <w:sz w:val="20"/>
                <w:szCs w:val="20"/>
                <w:lang w:val="fr-FR"/>
              </w:rPr>
              <w:t>La juge en chef McLachlin et les juges Abella, Moldaver, Karakatsanis, Wagner, Gascon, Côté, Brown et Rowe</w:t>
            </w:r>
          </w:p>
          <w:p w:rsidR="00DD48FF" w:rsidRPr="00DD48FF" w:rsidRDefault="00DD48FF" w:rsidP="00DD48FF">
            <w:pPr>
              <w:rPr>
                <w:lang w:val="fr-FR"/>
              </w:rPr>
            </w:pPr>
          </w:p>
        </w:tc>
      </w:tr>
      <w:tr w:rsidR="00F9185B" w:rsidRPr="006B07D6" w:rsidTr="00F9185B">
        <w:tc>
          <w:tcPr>
            <w:tcW w:w="5000" w:type="pct"/>
            <w:gridSpan w:val="4"/>
          </w:tcPr>
          <w:p w:rsidR="00F9185B" w:rsidRPr="00F9185B" w:rsidRDefault="00DD48FF" w:rsidP="00B0072F">
            <w:pPr>
              <w:pStyle w:val="SCCLsocParty"/>
              <w:jc w:val="both"/>
              <w:rPr>
                <w:sz w:val="20"/>
                <w:szCs w:val="20"/>
              </w:rPr>
            </w:pPr>
            <w:r w:rsidRPr="00C97DE2">
              <w:rPr>
                <w:sz w:val="20"/>
                <w:szCs w:val="20"/>
              </w:rPr>
              <w:t xml:space="preserve">La demande d’autorisation d’appel de l’arrêt de la </w:t>
            </w:r>
            <w:r w:rsidRPr="00C97DE2">
              <w:rPr>
                <w:sz w:val="20"/>
                <w:szCs w:val="20"/>
                <w:lang w:val="fr-FR"/>
              </w:rPr>
              <w:t>Cour d’appel de l’Ontario</w:t>
            </w:r>
            <w:r w:rsidRPr="00C97DE2">
              <w:rPr>
                <w:sz w:val="20"/>
                <w:szCs w:val="20"/>
              </w:rPr>
              <w:t xml:space="preserve">, numéro </w:t>
            </w:r>
            <w:r w:rsidRPr="00C97DE2">
              <w:rPr>
                <w:sz w:val="20"/>
                <w:szCs w:val="20"/>
                <w:lang w:val="fr-FR"/>
              </w:rPr>
              <w:t>C62769, 2017 ONCA 208</w:t>
            </w:r>
            <w:r w:rsidRPr="00C97DE2">
              <w:rPr>
                <w:sz w:val="20"/>
                <w:szCs w:val="20"/>
              </w:rPr>
              <w:t xml:space="preserve">, daté du </w:t>
            </w:r>
            <w:r w:rsidRPr="00C97DE2">
              <w:rPr>
                <w:sz w:val="20"/>
                <w:szCs w:val="20"/>
                <w:lang w:val="fr-FR"/>
              </w:rPr>
              <w:t>10 mars 2017</w:t>
            </w:r>
            <w:r w:rsidRPr="00C97DE2">
              <w:rPr>
                <w:sz w:val="20"/>
                <w:szCs w:val="20"/>
              </w:rPr>
              <w:t>, est rejetée avec dépens.</w:t>
            </w:r>
          </w:p>
        </w:tc>
      </w:tr>
      <w:tr w:rsidR="00B0072F" w:rsidRPr="006B07D6" w:rsidTr="00B0072F">
        <w:tc>
          <w:tcPr>
            <w:tcW w:w="5000" w:type="pct"/>
            <w:gridSpan w:val="4"/>
          </w:tcPr>
          <w:p w:rsidR="00B0072F" w:rsidRPr="000E560D" w:rsidRDefault="00B0072F" w:rsidP="00B0072F">
            <w:pPr>
              <w:jc w:val="both"/>
              <w:rPr>
                <w:sz w:val="20"/>
                <w:lang w:val="fr-CA"/>
              </w:rPr>
            </w:pPr>
            <w:r w:rsidRPr="000E560D">
              <w:rPr>
                <w:sz w:val="20"/>
                <w:lang w:val="fr-CA"/>
              </w:rPr>
              <w:lastRenderedPageBreak/>
              <w:t>Droit international privé – Droit applicable – Responsabilité délictuelle – Négligence – Prescription – Action en dommages-intérêts contre un fabricant d’avions et d’autres relativement à un accident dans l’État de New York – Le fabricant de l’avion prétend que l’action est prescrite en vertu d’une loi fédérale des États-Unis – Quel régime du choix de la loi applicable s’applique lorsque sont plaidés plusieurs délits civils, commis dans divers lieux, en lien avec un seul incident touchant plusieurs ressorts?</w:t>
            </w:r>
          </w:p>
        </w:tc>
      </w:tr>
      <w:tr w:rsidR="00B0072F" w:rsidRPr="006B07D6" w:rsidTr="00B0072F">
        <w:tc>
          <w:tcPr>
            <w:tcW w:w="5000" w:type="pct"/>
            <w:gridSpan w:val="4"/>
          </w:tcPr>
          <w:p w:rsidR="00B0072F" w:rsidRPr="000E560D" w:rsidRDefault="00B0072F" w:rsidP="00B0072F">
            <w:pPr>
              <w:jc w:val="both"/>
              <w:rPr>
                <w:sz w:val="20"/>
                <w:lang w:val="fr-CA"/>
              </w:rPr>
            </w:pPr>
          </w:p>
        </w:tc>
      </w:tr>
      <w:tr w:rsidR="00B0072F" w:rsidRPr="006B07D6" w:rsidTr="00B0072F">
        <w:tc>
          <w:tcPr>
            <w:tcW w:w="5000" w:type="pct"/>
            <w:gridSpan w:val="4"/>
          </w:tcPr>
          <w:p w:rsidR="00B0072F" w:rsidRPr="000E560D" w:rsidRDefault="00B0072F" w:rsidP="00B0072F">
            <w:pPr>
              <w:jc w:val="both"/>
              <w:rPr>
                <w:sz w:val="20"/>
                <w:lang w:val="fr-CA"/>
              </w:rPr>
            </w:pPr>
            <w:r w:rsidRPr="000E560D">
              <w:rPr>
                <w:sz w:val="20"/>
                <w:lang w:val="fr-CA"/>
              </w:rPr>
              <w:t>Alors qu’il effectuait un vol en partance de l’Ontario et à destination du Delaware, un avion bimoteur de marque Beech s’est écrasé dans l’État de New York. Les deux pilotes et le passager ont péri dans l’accident. Leurs successions ont intenté des actions en Ontario contre le fabricant de l’avion et les sociétés qui avaient fait l’inspection et l’entretien des moteurs. Ces sociétés ont mis en cause des tiers et ont déposé des demandes reconventionnelles contre le fabricant de l’avion, alléguant des vices de conception et de fabrication du moteur et des pièces de rechange, des instructions de réparation trompeuses et l’omission de fournir une mise en garde à propos de certaines défaillances du moteur.</w:t>
            </w:r>
          </w:p>
          <w:p w:rsidR="00B0072F" w:rsidRPr="000E560D" w:rsidRDefault="00B0072F" w:rsidP="00B0072F">
            <w:pPr>
              <w:jc w:val="both"/>
              <w:rPr>
                <w:sz w:val="20"/>
                <w:lang w:val="fr-CA"/>
              </w:rPr>
            </w:pPr>
          </w:p>
          <w:p w:rsidR="00B0072F" w:rsidRPr="000E560D" w:rsidRDefault="00B0072F" w:rsidP="00B0072F">
            <w:pPr>
              <w:jc w:val="both"/>
              <w:rPr>
                <w:sz w:val="20"/>
                <w:lang w:val="fr-CA"/>
              </w:rPr>
            </w:pPr>
            <w:r w:rsidRPr="000E560D">
              <w:rPr>
                <w:sz w:val="20"/>
                <w:lang w:val="fr-CA"/>
              </w:rPr>
              <w:t xml:space="preserve">Le fabricant de l’avion a présenté une motion en jugement sommaire. Selon le fabricant, puisque l’accident s’était produit dans l’État de New York, les recours contre lui étaient prescrits par la loi fédérale des États-Unis intitulée </w:t>
            </w:r>
            <w:r w:rsidRPr="000E560D">
              <w:rPr>
                <w:i/>
                <w:sz w:val="20"/>
                <w:lang w:val="fr-CA"/>
              </w:rPr>
              <w:t>General Aviation Revitalization Act of 1994</w:t>
            </w:r>
            <w:r w:rsidRPr="000E560D">
              <w:rPr>
                <w:sz w:val="20"/>
                <w:lang w:val="fr-CA"/>
              </w:rPr>
              <w:t xml:space="preserve"> (« GARA »), Pub.L. No. 103 298, 108 Stat. 1552 (codifiée à 49 U.S.C. § 40101 notes). La GARA rend irrecevable toute action civile en dommages-intérêts contre un fabricant d’avions relativement aux décès découlant d’un accident impliquant un aéronef intentée plus de dix-huit ans après la livraison de l’aéronef à son premier acheteur. </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7 septembre 2016</w:t>
            </w:r>
          </w:p>
          <w:p w:rsidR="00B0072F" w:rsidRPr="000E560D" w:rsidRDefault="00B0072F" w:rsidP="00B0072F">
            <w:pPr>
              <w:jc w:val="both"/>
              <w:rPr>
                <w:sz w:val="20"/>
                <w:lang w:val="fr-CA"/>
              </w:rPr>
            </w:pPr>
            <w:r w:rsidRPr="000E560D">
              <w:rPr>
                <w:sz w:val="20"/>
                <w:lang w:val="fr-CA"/>
              </w:rPr>
              <w:t>Cour supérieure de justice de l’Ontario</w:t>
            </w:r>
          </w:p>
          <w:p w:rsidR="00B0072F" w:rsidRPr="000E560D" w:rsidRDefault="00B0072F" w:rsidP="00B0072F">
            <w:pPr>
              <w:jc w:val="both"/>
              <w:rPr>
                <w:sz w:val="20"/>
                <w:lang w:val="fr-CA"/>
              </w:rPr>
            </w:pPr>
            <w:r w:rsidRPr="000E560D">
              <w:rPr>
                <w:sz w:val="20"/>
                <w:lang w:val="fr-CA"/>
              </w:rPr>
              <w:t>(Juge Morgan)</w:t>
            </w:r>
          </w:p>
          <w:p w:rsidR="00B0072F" w:rsidRPr="000E560D" w:rsidRDefault="006B07D6" w:rsidP="00B0072F">
            <w:pPr>
              <w:jc w:val="both"/>
              <w:rPr>
                <w:sz w:val="20"/>
                <w:lang w:val="fr-CA"/>
              </w:rPr>
            </w:pPr>
            <w:hyperlink r:id="rId44" w:history="1">
              <w:r w:rsidR="00B0072F" w:rsidRPr="000E560D">
                <w:rPr>
                  <w:rStyle w:val="Hyperlink"/>
                  <w:sz w:val="20"/>
                  <w:lang w:val="fr-CA"/>
                </w:rPr>
                <w:t>2016 ONSC 5507</w:t>
              </w:r>
            </w:hyperlink>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Rejet de la motion en jugement sommaire en rejet du recours pour cause de prescription en vertu de la loi fédérale des États-Unis</w:t>
            </w:r>
          </w:p>
          <w:p w:rsidR="00B0072F" w:rsidRPr="000E560D" w:rsidRDefault="00B0072F" w:rsidP="00B0072F">
            <w:pPr>
              <w:jc w:val="both"/>
              <w:rPr>
                <w:sz w:val="20"/>
                <w:lang w:val="fr-CA"/>
              </w:rPr>
            </w:pPr>
          </w:p>
        </w:tc>
      </w:tr>
      <w:tr w:rsidR="00B0072F" w:rsidRPr="000E560D" w:rsidTr="00B0072F">
        <w:tc>
          <w:tcPr>
            <w:tcW w:w="2427" w:type="pct"/>
            <w:gridSpan w:val="2"/>
          </w:tcPr>
          <w:p w:rsidR="00B0072F" w:rsidRPr="000E560D" w:rsidRDefault="00B0072F" w:rsidP="00B0072F">
            <w:pPr>
              <w:jc w:val="both"/>
              <w:rPr>
                <w:sz w:val="20"/>
                <w:lang w:val="fr-CA"/>
              </w:rPr>
            </w:pPr>
            <w:r w:rsidRPr="000E560D">
              <w:rPr>
                <w:sz w:val="20"/>
                <w:lang w:val="fr-CA"/>
              </w:rPr>
              <w:t>10 mars 2017</w:t>
            </w:r>
          </w:p>
          <w:p w:rsidR="00B0072F" w:rsidRPr="000E560D" w:rsidRDefault="00B0072F" w:rsidP="00B0072F">
            <w:pPr>
              <w:jc w:val="both"/>
              <w:rPr>
                <w:sz w:val="20"/>
                <w:lang w:val="fr-CA"/>
              </w:rPr>
            </w:pPr>
            <w:r w:rsidRPr="000E560D">
              <w:rPr>
                <w:sz w:val="20"/>
                <w:lang w:val="fr-CA"/>
              </w:rPr>
              <w:t>Cour d’appel de l’Ontario</w:t>
            </w:r>
          </w:p>
          <w:p w:rsidR="00B0072F" w:rsidRPr="000E560D" w:rsidRDefault="00B0072F" w:rsidP="00B0072F">
            <w:pPr>
              <w:jc w:val="both"/>
              <w:rPr>
                <w:sz w:val="20"/>
                <w:lang w:val="fr-CA"/>
              </w:rPr>
            </w:pPr>
            <w:r w:rsidRPr="000E560D">
              <w:rPr>
                <w:sz w:val="20"/>
                <w:lang w:val="fr-CA"/>
              </w:rPr>
              <w:t>(Juge en chef adjoint Hoy, juges Gillese et Brown)</w:t>
            </w:r>
          </w:p>
          <w:p w:rsidR="00B0072F" w:rsidRPr="000E560D" w:rsidRDefault="006B07D6" w:rsidP="00B0072F">
            <w:pPr>
              <w:jc w:val="both"/>
              <w:rPr>
                <w:sz w:val="20"/>
                <w:lang w:val="fr-CA"/>
              </w:rPr>
            </w:pPr>
            <w:hyperlink r:id="rId45" w:history="1">
              <w:r w:rsidR="00B0072F" w:rsidRPr="000E560D">
                <w:rPr>
                  <w:rStyle w:val="Hyperlink"/>
                  <w:sz w:val="20"/>
                  <w:lang w:val="fr-CA"/>
                </w:rPr>
                <w:t>2017 ONCA 208</w:t>
              </w:r>
            </w:hyperlink>
            <w:r w:rsidR="00B0072F" w:rsidRPr="000E560D">
              <w:rPr>
                <w:sz w:val="20"/>
                <w:lang w:val="fr-CA"/>
              </w:rPr>
              <w:t xml:space="preserve"> </w:t>
            </w:r>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Rejet de l’appel</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5 mai 2017</w:t>
            </w:r>
          </w:p>
          <w:p w:rsidR="00B0072F" w:rsidRPr="000E560D" w:rsidRDefault="00B0072F" w:rsidP="00B0072F">
            <w:pPr>
              <w:jc w:val="both"/>
              <w:rPr>
                <w:sz w:val="20"/>
                <w:lang w:val="fr-CA"/>
              </w:rPr>
            </w:pPr>
            <w:r w:rsidRPr="000E560D">
              <w:rPr>
                <w:sz w:val="20"/>
                <w:lang w:val="fr-CA"/>
              </w:rPr>
              <w:t>Cour suprême du Canada</w:t>
            </w: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Dépôt de la demande d’autorisation d’appel</w:t>
            </w:r>
          </w:p>
        </w:tc>
      </w:tr>
    </w:tbl>
    <w:p w:rsidR="00B0072F" w:rsidRPr="000E560D" w:rsidRDefault="006B07D6" w:rsidP="00B0072F">
      <w:pPr>
        <w:jc w:val="both"/>
        <w:rPr>
          <w:sz w:val="20"/>
          <w:lang w:val="fr-CA"/>
        </w:rPr>
      </w:pPr>
      <w:r>
        <w:rPr>
          <w:sz w:val="20"/>
          <w:szCs w:val="20"/>
        </w:rPr>
        <w:pict>
          <v:rect id="_x0000_i1055" style="width:2in;height:1pt" o:hrpct="0" o:hralign="center" o:hrstd="t" o:hrnoshade="t" o:hr="t" fillcolor="black [3213]" stroked="f"/>
        </w:pict>
      </w:r>
    </w:p>
    <w:p w:rsidR="00B0072F" w:rsidRPr="000E560D" w:rsidRDefault="00B0072F" w:rsidP="00B0072F">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0E560D" w:rsidTr="00B0072F">
        <w:tc>
          <w:tcPr>
            <w:tcW w:w="543" w:type="pct"/>
          </w:tcPr>
          <w:p w:rsidR="00B0072F" w:rsidRPr="00DD48FF" w:rsidRDefault="00B0072F" w:rsidP="00B0072F">
            <w:pPr>
              <w:jc w:val="both"/>
              <w:rPr>
                <w:sz w:val="20"/>
              </w:rPr>
            </w:pPr>
            <w:r w:rsidRPr="00DD48FF">
              <w:rPr>
                <w:rStyle w:val="SCCFileNumberChar"/>
                <w:sz w:val="20"/>
                <w:szCs w:val="20"/>
              </w:rPr>
              <w:t>37589</w:t>
            </w:r>
          </w:p>
        </w:tc>
        <w:tc>
          <w:tcPr>
            <w:tcW w:w="4457" w:type="pct"/>
            <w:gridSpan w:val="3"/>
          </w:tcPr>
          <w:p w:rsidR="00B0072F" w:rsidRPr="00DD48FF" w:rsidRDefault="00DD48FF" w:rsidP="00F9185B">
            <w:pPr>
              <w:pStyle w:val="SCCLsocParty"/>
              <w:jc w:val="both"/>
              <w:rPr>
                <w:sz w:val="20"/>
                <w:lang w:val="en-US"/>
              </w:rPr>
            </w:pPr>
            <w:r w:rsidRPr="00DD48FF">
              <w:rPr>
                <w:b/>
                <w:sz w:val="20"/>
                <w:szCs w:val="20"/>
                <w:lang w:val="en-US"/>
              </w:rPr>
              <w:t xml:space="preserve">Charles Zubovits v. Her Majesty the Queen in Right of Ontario as Represented by the Ministry of the Environment and Climate Change, Ontario Public Service Employees Union and Ontario Labour Relations Board </w:t>
            </w:r>
            <w:r w:rsidR="00B0072F" w:rsidRPr="00DD48FF">
              <w:rPr>
                <w:sz w:val="20"/>
                <w:lang w:val="en-US"/>
              </w:rPr>
              <w:t>(Ont.) (Civil) (By Leave)</w:t>
            </w:r>
          </w:p>
        </w:tc>
      </w:tr>
      <w:tr w:rsidR="00F9185B" w:rsidRPr="000E560D" w:rsidTr="00B0072F">
        <w:tc>
          <w:tcPr>
            <w:tcW w:w="543" w:type="pct"/>
          </w:tcPr>
          <w:p w:rsidR="00F9185B" w:rsidRPr="00DD48FF" w:rsidRDefault="00F9185B" w:rsidP="00B0072F">
            <w:pPr>
              <w:jc w:val="both"/>
              <w:rPr>
                <w:rStyle w:val="SCCFileNumberChar"/>
                <w:sz w:val="20"/>
                <w:szCs w:val="20"/>
              </w:rPr>
            </w:pPr>
            <w:r w:rsidRPr="00DD48FF">
              <w:rPr>
                <w:rStyle w:val="SCCFileNumberChar"/>
                <w:sz w:val="20"/>
                <w:szCs w:val="20"/>
              </w:rPr>
              <w:t>Coram:</w:t>
            </w:r>
          </w:p>
        </w:tc>
        <w:tc>
          <w:tcPr>
            <w:tcW w:w="4457" w:type="pct"/>
            <w:gridSpan w:val="3"/>
          </w:tcPr>
          <w:p w:rsidR="00F9185B" w:rsidRPr="00DD48FF" w:rsidRDefault="00DD48FF" w:rsidP="00F9185B">
            <w:pPr>
              <w:pStyle w:val="SCCLsocParty"/>
              <w:jc w:val="both"/>
              <w:rPr>
                <w:sz w:val="20"/>
                <w:szCs w:val="20"/>
                <w:lang w:val="en-US"/>
              </w:rPr>
            </w:pPr>
            <w:r w:rsidRPr="00DD48FF">
              <w:rPr>
                <w:sz w:val="20"/>
                <w:szCs w:val="20"/>
                <w:lang w:val="en-US"/>
              </w:rPr>
              <w:t>McLachlin C.J. and Abella, Moldaver, Karakatsanis, Wagner, Gascon, Côté, Brown and Rowe JJ.</w:t>
            </w:r>
          </w:p>
          <w:p w:rsidR="00DD48FF" w:rsidRPr="00DD48FF" w:rsidRDefault="00DD48FF" w:rsidP="00DD48FF">
            <w:pPr>
              <w:rPr>
                <w:lang w:val="en-US"/>
              </w:rPr>
            </w:pPr>
          </w:p>
        </w:tc>
      </w:tr>
      <w:tr w:rsidR="00F9185B" w:rsidRPr="000E560D" w:rsidTr="00F9185B">
        <w:tc>
          <w:tcPr>
            <w:tcW w:w="5000" w:type="pct"/>
            <w:gridSpan w:val="4"/>
          </w:tcPr>
          <w:p w:rsidR="00DD48FF" w:rsidRPr="0075260B" w:rsidRDefault="00DD48FF" w:rsidP="00DD48FF">
            <w:pPr>
              <w:jc w:val="both"/>
              <w:rPr>
                <w:sz w:val="20"/>
                <w:szCs w:val="20"/>
              </w:rPr>
            </w:pPr>
            <w:r w:rsidRPr="0075260B">
              <w:rPr>
                <w:sz w:val="20"/>
                <w:szCs w:val="20"/>
              </w:rPr>
              <w:t>The application for leave to appeal from the judgment of the Court of Appeal for Ontario, Number M46869, dated January 17, 2017, is dismissed with costs to Her Majesty in Right of Ontario as represented by the Ministry of the Environment and Climate Change.</w:t>
            </w:r>
          </w:p>
          <w:p w:rsidR="00F9185B" w:rsidRPr="00DD48FF" w:rsidRDefault="00F9185B" w:rsidP="00F9185B">
            <w:pPr>
              <w:pStyle w:val="SCCLsocParty"/>
              <w:jc w:val="both"/>
              <w:rPr>
                <w:sz w:val="20"/>
                <w:szCs w:val="20"/>
                <w:lang w:val="en-CA"/>
              </w:rPr>
            </w:pPr>
          </w:p>
        </w:tc>
      </w:tr>
      <w:tr w:rsidR="00B0072F" w:rsidRPr="000E560D" w:rsidTr="00B0072F">
        <w:tc>
          <w:tcPr>
            <w:tcW w:w="5000" w:type="pct"/>
            <w:gridSpan w:val="4"/>
          </w:tcPr>
          <w:p w:rsidR="00B0072F" w:rsidRPr="000E560D" w:rsidRDefault="00B0072F" w:rsidP="00B0072F">
            <w:pPr>
              <w:jc w:val="both"/>
              <w:rPr>
                <w:sz w:val="20"/>
              </w:rPr>
            </w:pPr>
            <w:r w:rsidRPr="000E560D">
              <w:rPr>
                <w:i/>
                <w:sz w:val="20"/>
              </w:rPr>
              <w:t xml:space="preserve">Charter of Rights </w:t>
            </w:r>
            <w:r w:rsidRPr="000E560D">
              <w:rPr>
                <w:sz w:val="20"/>
              </w:rPr>
              <w:t xml:space="preserve">– Cruel and unusual treatment – Labour relations – Grievances – Wrongful dismissal – Whether the Ontario Ministry of Environment has, without proper investigation, wrongfully dismissed the Applicant in a politically-charged manner in order to blame the Applicant for his supervisor’s illegal actions – Whether the Ontario Public Service Employees Union has violated its fiduciary duties under the </w:t>
            </w:r>
            <w:r w:rsidRPr="000E560D">
              <w:rPr>
                <w:i/>
                <w:sz w:val="20"/>
              </w:rPr>
              <w:t>Labour Relations Act</w:t>
            </w:r>
            <w:r w:rsidRPr="000E560D">
              <w:rPr>
                <w:sz w:val="20"/>
              </w:rPr>
              <w:t xml:space="preserve">, the </w:t>
            </w:r>
            <w:r w:rsidRPr="000E560D">
              <w:rPr>
                <w:i/>
                <w:sz w:val="20"/>
              </w:rPr>
              <w:t>Canada Labour Code</w:t>
            </w:r>
            <w:r w:rsidRPr="000E560D">
              <w:rPr>
                <w:sz w:val="20"/>
              </w:rPr>
              <w:t xml:space="preserve">, the collective agreement between Management Board of Cabinet and OPSEU, motivated by political revenge, or, at best, serious negligence, discrimination, arbitrariness and bad faith – Whether multiple procedural and legal errors were made by the reviewing tribunals and authorities, resulting in no proper judicial consideration of the matter, such as promising </w:t>
            </w:r>
            <w:r w:rsidRPr="000E560D">
              <w:rPr>
                <w:sz w:val="20"/>
              </w:rPr>
              <w:lastRenderedPageBreak/>
              <w:t xml:space="preserve">but not fulfilling reviewing duties, not providing procedural guidelines, cutting short investigation of the matter, refusing to exercise jurisdiction, not providing adequate court decisions, and not enforcing the </w:t>
            </w:r>
            <w:r w:rsidRPr="000E560D">
              <w:rPr>
                <w:i/>
                <w:sz w:val="20"/>
              </w:rPr>
              <w:t>Labour Relations Act</w:t>
            </w:r>
            <w:r w:rsidRPr="000E560D">
              <w:rPr>
                <w:sz w:val="20"/>
              </w:rPr>
              <w:t xml:space="preserve">’s requirement regarding the burden of proof, all violating the Applicant’s guaranteed right to justice under the </w:t>
            </w:r>
            <w:r w:rsidRPr="000E560D">
              <w:rPr>
                <w:i/>
                <w:sz w:val="20"/>
              </w:rPr>
              <w:t>Charter</w:t>
            </w:r>
            <w:r w:rsidRPr="000E560D">
              <w:rPr>
                <w:sz w:val="20"/>
              </w:rPr>
              <w:t xml:space="preserve"> – Whether the cumulative effect of the Ontario Ministry of Environment’s actions qualify as a violation of s. 12 of the </w:t>
            </w:r>
            <w:r w:rsidRPr="000E560D">
              <w:rPr>
                <w:i/>
                <w:sz w:val="20"/>
              </w:rPr>
              <w:t>Human Rights Code</w:t>
            </w:r>
            <w:r w:rsidRPr="000E560D">
              <w:rPr>
                <w:sz w:val="20"/>
              </w:rPr>
              <w:t xml:space="preserve"> and a cruel and disproportionate penalty, without consideration of the permanent health effect it caused the Applicant personally and the cumulative effect it has caused on innocent third party Canadian citizens. </w:t>
            </w:r>
          </w:p>
        </w:tc>
      </w:tr>
      <w:tr w:rsidR="00B0072F" w:rsidRPr="000E560D" w:rsidTr="00B0072F">
        <w:tc>
          <w:tcPr>
            <w:tcW w:w="5000" w:type="pct"/>
            <w:gridSpan w:val="4"/>
          </w:tcPr>
          <w:p w:rsidR="00B0072F" w:rsidRPr="000E560D" w:rsidRDefault="00B0072F" w:rsidP="00B0072F">
            <w:pPr>
              <w:jc w:val="both"/>
              <w:rPr>
                <w:sz w:val="20"/>
              </w:rPr>
            </w:pPr>
          </w:p>
        </w:tc>
      </w:tr>
      <w:tr w:rsidR="00B0072F" w:rsidRPr="000E560D" w:rsidTr="00B0072F">
        <w:tc>
          <w:tcPr>
            <w:tcW w:w="5000" w:type="pct"/>
            <w:gridSpan w:val="4"/>
          </w:tcPr>
          <w:p w:rsidR="00B0072F" w:rsidRPr="000E560D" w:rsidRDefault="00B0072F" w:rsidP="00B0072F">
            <w:pPr>
              <w:jc w:val="both"/>
              <w:rPr>
                <w:sz w:val="20"/>
              </w:rPr>
            </w:pPr>
            <w:r w:rsidRPr="000E560D">
              <w:rPr>
                <w:sz w:val="20"/>
              </w:rPr>
              <w:t>The Applicant, Mr. Zubovits requested judicial review of several decisions relating to his dismissal from the Ministry of the Environment and Climate Change (“Ministry”). Mr. Zubovits submits that the Ministry wrongfully dismissed him in 2003 and that various tribunals and courts he has engaged over the years have all failed to properly appreciate the merits of his case, specifically the unenforceability of the Settlement Agreement signed in response to his termination. The application for judicial review was dismissed.  Mr. Zubovits’ subsequent motion to extend the time to seek leave to appeal to the Court of Appeal was dismissed. Mr. Zubovits then sought to have the order reviewed by a three member panel of the Court of Appeal. The review motion was also dismissed.</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September 29, 2015</w:t>
            </w:r>
          </w:p>
          <w:p w:rsidR="00B0072F" w:rsidRPr="000E560D" w:rsidRDefault="00B0072F" w:rsidP="00B0072F">
            <w:pPr>
              <w:jc w:val="both"/>
              <w:rPr>
                <w:sz w:val="20"/>
              </w:rPr>
            </w:pPr>
            <w:r w:rsidRPr="000E560D">
              <w:rPr>
                <w:sz w:val="20"/>
              </w:rPr>
              <w:t>Ontario Superior Court of Justice</w:t>
            </w:r>
          </w:p>
          <w:p w:rsidR="00B0072F" w:rsidRPr="000E560D" w:rsidRDefault="00B0072F" w:rsidP="00B0072F">
            <w:pPr>
              <w:jc w:val="both"/>
              <w:rPr>
                <w:sz w:val="20"/>
              </w:rPr>
            </w:pPr>
            <w:r w:rsidRPr="000E560D">
              <w:rPr>
                <w:sz w:val="20"/>
              </w:rPr>
              <w:t>(Molloy, Kruzick and Lococo JJ.)</w:t>
            </w:r>
          </w:p>
          <w:p w:rsidR="00B0072F" w:rsidRPr="000E560D" w:rsidRDefault="00B0072F" w:rsidP="00B0072F">
            <w:pPr>
              <w:jc w:val="both"/>
              <w:rPr>
                <w:sz w:val="20"/>
              </w:rPr>
            </w:pPr>
            <w:r w:rsidRPr="000E560D">
              <w:rPr>
                <w:sz w:val="20"/>
              </w:rPr>
              <w:t>2015 ONSC 6055; 3/15</w:t>
            </w:r>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Application for judicial review dismissed</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July 13, 2016</w:t>
            </w:r>
          </w:p>
          <w:p w:rsidR="00B0072F" w:rsidRPr="000E560D" w:rsidRDefault="00B0072F" w:rsidP="00B0072F">
            <w:pPr>
              <w:jc w:val="both"/>
              <w:rPr>
                <w:sz w:val="20"/>
              </w:rPr>
            </w:pPr>
            <w:r w:rsidRPr="000E560D">
              <w:rPr>
                <w:sz w:val="20"/>
              </w:rPr>
              <w:t>Court of Appeal for Ontario</w:t>
            </w:r>
          </w:p>
          <w:p w:rsidR="00B0072F" w:rsidRPr="000E560D" w:rsidRDefault="00B0072F" w:rsidP="00B0072F">
            <w:pPr>
              <w:jc w:val="both"/>
              <w:rPr>
                <w:sz w:val="20"/>
                <w:lang w:val="fr-CA"/>
              </w:rPr>
            </w:pPr>
            <w:r w:rsidRPr="000E560D">
              <w:rPr>
                <w:sz w:val="20"/>
                <w:lang w:val="fr-CA"/>
              </w:rPr>
              <w:t>(MacFarland J.A.)</w:t>
            </w:r>
          </w:p>
          <w:p w:rsidR="00B0072F" w:rsidRPr="000E560D" w:rsidRDefault="00B0072F" w:rsidP="00B0072F">
            <w:pPr>
              <w:jc w:val="both"/>
              <w:rPr>
                <w:sz w:val="20"/>
                <w:lang w:val="fr-CA"/>
              </w:rPr>
            </w:pPr>
            <w:r w:rsidRPr="000E560D">
              <w:rPr>
                <w:sz w:val="20"/>
                <w:lang w:val="fr-CA"/>
              </w:rPr>
              <w:t>M45688</w:t>
            </w:r>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Application for extension of time to seek leave to appeal dismissed</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January 17, 2017</w:t>
            </w:r>
          </w:p>
          <w:p w:rsidR="00B0072F" w:rsidRPr="000E560D" w:rsidRDefault="00B0072F" w:rsidP="00B0072F">
            <w:pPr>
              <w:jc w:val="both"/>
              <w:rPr>
                <w:sz w:val="20"/>
              </w:rPr>
            </w:pPr>
            <w:r w:rsidRPr="000E560D">
              <w:rPr>
                <w:sz w:val="20"/>
              </w:rPr>
              <w:t>Court of Appeal for Ontario</w:t>
            </w:r>
          </w:p>
          <w:p w:rsidR="00B0072F" w:rsidRPr="000E560D" w:rsidRDefault="00B0072F" w:rsidP="00B0072F">
            <w:pPr>
              <w:jc w:val="both"/>
              <w:rPr>
                <w:sz w:val="20"/>
              </w:rPr>
            </w:pPr>
            <w:r w:rsidRPr="000E560D">
              <w:rPr>
                <w:sz w:val="20"/>
              </w:rPr>
              <w:t>(Simmons, Brown and Roberts JJ.A.)</w:t>
            </w:r>
          </w:p>
          <w:p w:rsidR="00B0072F" w:rsidRPr="000E560D" w:rsidRDefault="00B0072F" w:rsidP="00B0072F">
            <w:pPr>
              <w:jc w:val="both"/>
              <w:rPr>
                <w:sz w:val="20"/>
              </w:rPr>
            </w:pPr>
            <w:r w:rsidRPr="000E560D">
              <w:rPr>
                <w:sz w:val="20"/>
              </w:rPr>
              <w:t>M46869; M46791; M45688</w:t>
            </w:r>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Review motion dismissed</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March 17, 2017</w:t>
            </w:r>
          </w:p>
          <w:p w:rsidR="00B0072F" w:rsidRPr="000E560D" w:rsidRDefault="00B0072F" w:rsidP="00B0072F">
            <w:pPr>
              <w:jc w:val="both"/>
              <w:rPr>
                <w:sz w:val="20"/>
              </w:rPr>
            </w:pPr>
            <w:r w:rsidRPr="000E560D">
              <w:rPr>
                <w:sz w:val="20"/>
              </w:rPr>
              <w:t>Supreme Court of Canada</w:t>
            </w: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Application for leave to appeal filed</w:t>
            </w:r>
          </w:p>
        </w:tc>
      </w:tr>
    </w:tbl>
    <w:p w:rsidR="00B0072F" w:rsidRPr="000E560D" w:rsidRDefault="006B07D6" w:rsidP="00B0072F">
      <w:pPr>
        <w:jc w:val="both"/>
        <w:rPr>
          <w:sz w:val="20"/>
        </w:rPr>
      </w:pPr>
      <w:r>
        <w:rPr>
          <w:sz w:val="20"/>
          <w:szCs w:val="20"/>
        </w:rPr>
        <w:pict>
          <v:rect id="_x0000_i1056" style="width:2in;height:1pt" o:hrpct="0" o:hralign="center" o:hrstd="t" o:hrnoshade="t" o:hr="t" fillcolor="black [3213]" stroked="f"/>
        </w:pict>
      </w:r>
    </w:p>
    <w:p w:rsidR="00B0072F" w:rsidRPr="000E560D" w:rsidRDefault="00B0072F" w:rsidP="00B007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DD48FF" w:rsidTr="00B0072F">
        <w:tc>
          <w:tcPr>
            <w:tcW w:w="543" w:type="pct"/>
          </w:tcPr>
          <w:p w:rsidR="00B0072F" w:rsidRPr="00DD48FF" w:rsidRDefault="00B0072F" w:rsidP="00B0072F">
            <w:pPr>
              <w:jc w:val="both"/>
              <w:rPr>
                <w:sz w:val="20"/>
                <w:lang w:val="fr-CA"/>
              </w:rPr>
            </w:pPr>
            <w:r w:rsidRPr="00DD48FF">
              <w:rPr>
                <w:rStyle w:val="SCCFileNumberChar"/>
                <w:sz w:val="20"/>
                <w:szCs w:val="20"/>
                <w:lang w:val="fr-CA"/>
              </w:rPr>
              <w:t>37589</w:t>
            </w:r>
          </w:p>
        </w:tc>
        <w:tc>
          <w:tcPr>
            <w:tcW w:w="4457" w:type="pct"/>
            <w:gridSpan w:val="3"/>
          </w:tcPr>
          <w:p w:rsidR="00B0072F" w:rsidRPr="00DD48FF" w:rsidRDefault="00DD48FF" w:rsidP="00B0072F">
            <w:pPr>
              <w:jc w:val="both"/>
              <w:rPr>
                <w:sz w:val="20"/>
                <w:lang w:val="fr-CA"/>
              </w:rPr>
            </w:pPr>
            <w:r w:rsidRPr="00DD48FF">
              <w:rPr>
                <w:rFonts w:eastAsia="Calibri" w:cs="Times New Roman"/>
                <w:b/>
                <w:sz w:val="20"/>
                <w:szCs w:val="20"/>
                <w:lang w:val="fr-CA"/>
              </w:rPr>
              <w:t xml:space="preserve">Charles Zubovits c. Sa Majesté la Reine du chef de l’Ontario, représentée par le Ministère de l’Environnement et de l’Action en matière de changement climatique, Syndicat des employées et employés de la fonction publique de l’Ontario et Commission des relations de travail de l’Ontario </w:t>
            </w:r>
            <w:r w:rsidR="00B0072F" w:rsidRPr="00DD48FF">
              <w:rPr>
                <w:sz w:val="20"/>
                <w:lang w:val="fr-CA"/>
              </w:rPr>
              <w:t>(Ont.) (Civile) (Sur autorisation)</w:t>
            </w:r>
          </w:p>
        </w:tc>
      </w:tr>
      <w:tr w:rsidR="00F9185B" w:rsidRPr="006B07D6" w:rsidTr="00B0072F">
        <w:tc>
          <w:tcPr>
            <w:tcW w:w="543" w:type="pct"/>
          </w:tcPr>
          <w:p w:rsidR="00F9185B" w:rsidRPr="00DD48FF" w:rsidRDefault="00F9185B" w:rsidP="00B0072F">
            <w:pPr>
              <w:jc w:val="both"/>
              <w:rPr>
                <w:rStyle w:val="SCCFileNumberChar"/>
                <w:sz w:val="20"/>
                <w:szCs w:val="20"/>
                <w:lang w:val="fr-CA"/>
              </w:rPr>
            </w:pPr>
            <w:r w:rsidRPr="00DD48FF">
              <w:rPr>
                <w:rStyle w:val="SCCFileNumberChar"/>
                <w:sz w:val="20"/>
                <w:szCs w:val="20"/>
                <w:lang w:val="fr-CA"/>
              </w:rPr>
              <w:t>Coram :</w:t>
            </w:r>
          </w:p>
        </w:tc>
        <w:tc>
          <w:tcPr>
            <w:tcW w:w="4457" w:type="pct"/>
            <w:gridSpan w:val="3"/>
          </w:tcPr>
          <w:p w:rsidR="00F9185B" w:rsidRPr="00DD48FF" w:rsidRDefault="00DD48FF" w:rsidP="00B0072F">
            <w:pPr>
              <w:pStyle w:val="SCCLsocParty"/>
              <w:jc w:val="both"/>
              <w:rPr>
                <w:sz w:val="20"/>
                <w:szCs w:val="20"/>
                <w:lang w:val="fr-FR"/>
              </w:rPr>
            </w:pPr>
            <w:r w:rsidRPr="00DD48FF">
              <w:rPr>
                <w:sz w:val="20"/>
                <w:szCs w:val="20"/>
                <w:lang w:val="fr-FR"/>
              </w:rPr>
              <w:t>La juge en chef McLachlin et les juges Abella, Moldaver, Karakatsanis, Wagner, Gascon, Côté, Brown et Rowe</w:t>
            </w:r>
          </w:p>
          <w:p w:rsidR="00DD48FF" w:rsidRPr="00DD48FF" w:rsidRDefault="00DD48FF" w:rsidP="00DD48FF">
            <w:pPr>
              <w:rPr>
                <w:lang w:val="fr-FR"/>
              </w:rPr>
            </w:pPr>
          </w:p>
        </w:tc>
      </w:tr>
      <w:tr w:rsidR="00F9185B" w:rsidRPr="006B07D6" w:rsidTr="00F9185B">
        <w:tc>
          <w:tcPr>
            <w:tcW w:w="5000" w:type="pct"/>
            <w:gridSpan w:val="4"/>
          </w:tcPr>
          <w:p w:rsidR="00F9185B" w:rsidRDefault="00DD48FF" w:rsidP="00B0072F">
            <w:pPr>
              <w:pStyle w:val="SCCLsocParty"/>
              <w:jc w:val="both"/>
              <w:rPr>
                <w:sz w:val="20"/>
                <w:szCs w:val="20"/>
              </w:rPr>
            </w:pPr>
            <w:r w:rsidRPr="0075260B">
              <w:rPr>
                <w:sz w:val="20"/>
                <w:szCs w:val="20"/>
              </w:rPr>
              <w:t xml:space="preserve">La demande d’autorisation d’appel de l’arrêt de la </w:t>
            </w:r>
            <w:r w:rsidRPr="0075260B">
              <w:rPr>
                <w:sz w:val="20"/>
                <w:szCs w:val="20"/>
                <w:lang w:val="fr-FR"/>
              </w:rPr>
              <w:t>Cour d’appel de l’Ontario</w:t>
            </w:r>
            <w:r w:rsidRPr="0075260B">
              <w:rPr>
                <w:sz w:val="20"/>
                <w:szCs w:val="20"/>
              </w:rPr>
              <w:t xml:space="preserve">, numéro </w:t>
            </w:r>
            <w:r w:rsidRPr="0075260B">
              <w:rPr>
                <w:sz w:val="20"/>
                <w:szCs w:val="20"/>
                <w:lang w:val="fr-FR"/>
              </w:rPr>
              <w:t>M46869</w:t>
            </w:r>
            <w:r w:rsidRPr="0075260B">
              <w:rPr>
                <w:sz w:val="20"/>
                <w:szCs w:val="20"/>
              </w:rPr>
              <w:t xml:space="preserve">, daté du </w:t>
            </w:r>
            <w:r w:rsidRPr="0075260B">
              <w:rPr>
                <w:sz w:val="20"/>
                <w:szCs w:val="20"/>
                <w:lang w:val="fr-FR"/>
              </w:rPr>
              <w:t>17 janvier 2017</w:t>
            </w:r>
            <w:r w:rsidRPr="0075260B">
              <w:rPr>
                <w:sz w:val="20"/>
                <w:szCs w:val="20"/>
              </w:rPr>
              <w:t xml:space="preserve">, est rejetée avec dépens en faveur de l’intimée, </w:t>
            </w:r>
            <w:r w:rsidRPr="0075260B">
              <w:rPr>
                <w:sz w:val="20"/>
                <w:szCs w:val="20"/>
                <w:lang w:val="fr-FR"/>
              </w:rPr>
              <w:t>Sa Majesté la Reine du chef de l’Ontario, représentée par le Ministère de l’Environnement et de l’Action en matière de changement climatique.</w:t>
            </w:r>
            <w:r w:rsidRPr="0075260B">
              <w:rPr>
                <w:sz w:val="20"/>
                <w:szCs w:val="20"/>
              </w:rPr>
              <w:t xml:space="preserve">  </w:t>
            </w:r>
          </w:p>
          <w:p w:rsidR="00DD48FF" w:rsidRPr="00DD48FF" w:rsidRDefault="00DD48FF" w:rsidP="00DD48FF">
            <w:pPr>
              <w:rPr>
                <w:lang w:val="fr-CA"/>
              </w:rPr>
            </w:pPr>
          </w:p>
        </w:tc>
      </w:tr>
      <w:tr w:rsidR="00B0072F" w:rsidRPr="006B07D6" w:rsidTr="00B0072F">
        <w:tc>
          <w:tcPr>
            <w:tcW w:w="5000" w:type="pct"/>
            <w:gridSpan w:val="4"/>
          </w:tcPr>
          <w:p w:rsidR="00B0072F" w:rsidRPr="000E560D" w:rsidRDefault="00B0072F" w:rsidP="00B0072F">
            <w:pPr>
              <w:jc w:val="both"/>
              <w:rPr>
                <w:sz w:val="20"/>
                <w:lang w:val="fr-CA"/>
              </w:rPr>
            </w:pPr>
            <w:r w:rsidRPr="000E560D">
              <w:rPr>
                <w:i/>
                <w:sz w:val="20"/>
                <w:lang w:val="fr-CA"/>
              </w:rPr>
              <w:t xml:space="preserve">Charte des droits </w:t>
            </w:r>
            <w:r w:rsidRPr="000E560D">
              <w:rPr>
                <w:sz w:val="20"/>
                <w:lang w:val="fr-CA"/>
              </w:rPr>
              <w:t xml:space="preserve">– Traitement cruel et inusité – Relations du travail – Griefs – Congédiement abusif – Le ministère de l’Environnement de l’Ontario a-t-il, sans enquête en bonne et due forme, abusivement congédié le demandeur de manière politiquement chargée afin de le blâmer pour les gestes illégaux commis par son superviseur? – Le Syndicat des employées et employés de la fonction publique de l’Ontario a-t-il violé ses obligations fiduciaires sous le régime de la </w:t>
            </w:r>
            <w:r w:rsidRPr="000E560D">
              <w:rPr>
                <w:i/>
                <w:sz w:val="20"/>
                <w:lang w:val="fr-CA"/>
              </w:rPr>
              <w:lastRenderedPageBreak/>
              <w:t>Loi sur les relations de travail</w:t>
            </w:r>
            <w:r w:rsidRPr="000E560D">
              <w:rPr>
                <w:sz w:val="20"/>
                <w:lang w:val="fr-CA"/>
              </w:rPr>
              <w:t xml:space="preserve">, du </w:t>
            </w:r>
            <w:r w:rsidRPr="000E560D">
              <w:rPr>
                <w:i/>
                <w:sz w:val="20"/>
                <w:lang w:val="fr-CA"/>
              </w:rPr>
              <w:t>Code canadien du travail</w:t>
            </w:r>
            <w:r w:rsidRPr="000E560D">
              <w:rPr>
                <w:sz w:val="20"/>
                <w:lang w:val="fr-CA"/>
              </w:rPr>
              <w:t xml:space="preserve"> et de la convention collective entre le Conseil de gestion du gouvernement et le  SEFPO, mû par la vengeance politique ou, au mieux, par négligence grave, discrimination, arbitraire et mauvaise foi? – Les tribunaux et les autorités de révision ont-ils commis de multiples erreurs de procédure et de droit, si bien que l’affaire n’a pas fait l’objet d’un examen judiciaire convenable, notamment en promettant la révision sans remplir leurs obligations à cet égard, en n’ayant pas fourni de lignes directrices en matière de procédure, en coupant court à l’enquête sur l’affaire, en refusant d’exercer leur compétence, en ne fournissant pas de jurisprudence adéquate et en ne faisant pas respecter l’exigence de la </w:t>
            </w:r>
            <w:r w:rsidRPr="000E560D">
              <w:rPr>
                <w:i/>
                <w:sz w:val="20"/>
                <w:lang w:val="fr-CA"/>
              </w:rPr>
              <w:t>Loi sur les relations de travail</w:t>
            </w:r>
            <w:r w:rsidRPr="000E560D">
              <w:rPr>
                <w:sz w:val="20"/>
                <w:lang w:val="fr-CA"/>
              </w:rPr>
              <w:t xml:space="preserve"> en ce qui concerne le fardeau de la preuve, le tout en violation du droit à la justice que la </w:t>
            </w:r>
            <w:r w:rsidRPr="000E560D">
              <w:rPr>
                <w:i/>
                <w:sz w:val="20"/>
                <w:lang w:val="fr-CA"/>
              </w:rPr>
              <w:t>Charte</w:t>
            </w:r>
            <w:r w:rsidRPr="000E560D">
              <w:rPr>
                <w:sz w:val="20"/>
                <w:lang w:val="fr-CA"/>
              </w:rPr>
              <w:t xml:space="preserve"> garantit au demandeur? – L’effet cumulatif des gestes commis par le ministère de l’Environnement de l’Ontario représente-t-il une violation de l’art. 12 du </w:t>
            </w:r>
            <w:r w:rsidRPr="000E560D">
              <w:rPr>
                <w:i/>
                <w:sz w:val="20"/>
                <w:lang w:val="fr-CA"/>
              </w:rPr>
              <w:t>Code des droits de la personne</w:t>
            </w:r>
            <w:r w:rsidRPr="000E560D">
              <w:rPr>
                <w:sz w:val="20"/>
                <w:lang w:val="fr-CA"/>
              </w:rPr>
              <w:t xml:space="preserve"> et une peine cruelle et disproportionnée, sans égard à l’effet permanent sur la santé qu’il a causé au demandeur personnellement et à l’effet cumulatif qu’il a causé à de tiers citoyens canadiens innocents? </w:t>
            </w:r>
          </w:p>
        </w:tc>
      </w:tr>
      <w:tr w:rsidR="00B0072F" w:rsidRPr="006B07D6" w:rsidTr="00B0072F">
        <w:tc>
          <w:tcPr>
            <w:tcW w:w="5000" w:type="pct"/>
            <w:gridSpan w:val="4"/>
          </w:tcPr>
          <w:p w:rsidR="00B0072F" w:rsidRPr="000E560D" w:rsidRDefault="00B0072F" w:rsidP="00B0072F">
            <w:pPr>
              <w:jc w:val="both"/>
              <w:rPr>
                <w:sz w:val="20"/>
                <w:lang w:val="fr-CA"/>
              </w:rPr>
            </w:pPr>
          </w:p>
        </w:tc>
      </w:tr>
      <w:tr w:rsidR="00B0072F" w:rsidRPr="000E560D" w:rsidTr="00B0072F">
        <w:tc>
          <w:tcPr>
            <w:tcW w:w="5000" w:type="pct"/>
            <w:gridSpan w:val="4"/>
          </w:tcPr>
          <w:p w:rsidR="00B0072F" w:rsidRPr="000E560D" w:rsidRDefault="00B0072F" w:rsidP="00B0072F">
            <w:pPr>
              <w:jc w:val="both"/>
              <w:rPr>
                <w:sz w:val="20"/>
                <w:lang w:val="fr-CA"/>
              </w:rPr>
            </w:pPr>
            <w:r w:rsidRPr="000E560D">
              <w:rPr>
                <w:sz w:val="20"/>
                <w:lang w:val="fr-CA"/>
              </w:rPr>
              <w:t>Le demandeur, M. Zubovits a sollicité le contrôle judiciaire de plusieurs décisions relatives à son congédiement du ministère de l’Environnement et de l’Action en matière de changement climatique (le « ministère »). Monsieur Zubovits prétend que le ministère l’aurait abusivement congédié en 2003 et que les divers tribunaux administratifs et judiciaires auxquels il s’est adressé au fil des ans ont tous omis d’apprécier le bien-fondé de sa cause, en particulier en ce qui concerne l’impossibilité de faire respecter l’accord de règlement qu’il avait signé à la suite de son congédiement. La demande de contrôle judiciaire a été rejetée.  La motion subséquente de M. Zubovits en prorogation du délai pour demander l’autorisation d’interjeter appel à la Cour d’appel a été rejetée. Monsieur Zubovits a ensuite demandé que l’ordonnance soit révisée par une formation de trois juges la Cour d’appel. La motion en révision a elle aussi été rejetée.</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29 septembre 2015</w:t>
            </w:r>
          </w:p>
          <w:p w:rsidR="00B0072F" w:rsidRPr="000E560D" w:rsidRDefault="00B0072F" w:rsidP="00B0072F">
            <w:pPr>
              <w:jc w:val="both"/>
              <w:rPr>
                <w:sz w:val="20"/>
                <w:lang w:val="fr-CA"/>
              </w:rPr>
            </w:pPr>
            <w:r w:rsidRPr="000E560D">
              <w:rPr>
                <w:sz w:val="20"/>
                <w:lang w:val="fr-CA"/>
              </w:rPr>
              <w:t>Cour supérieure de justice de l’Ontario</w:t>
            </w:r>
          </w:p>
          <w:p w:rsidR="00B0072F" w:rsidRPr="000E560D" w:rsidRDefault="00B0072F" w:rsidP="00B0072F">
            <w:pPr>
              <w:jc w:val="both"/>
              <w:rPr>
                <w:sz w:val="20"/>
                <w:lang w:val="fr-CA"/>
              </w:rPr>
            </w:pPr>
            <w:r w:rsidRPr="000E560D">
              <w:rPr>
                <w:sz w:val="20"/>
                <w:lang w:val="fr-CA"/>
              </w:rPr>
              <w:t>(Juges Molloy, Kruzick et Lococo)</w:t>
            </w:r>
          </w:p>
          <w:p w:rsidR="00B0072F" w:rsidRPr="000E560D" w:rsidRDefault="00B0072F" w:rsidP="00B0072F">
            <w:pPr>
              <w:jc w:val="both"/>
              <w:rPr>
                <w:sz w:val="20"/>
                <w:lang w:val="fr-CA"/>
              </w:rPr>
            </w:pPr>
            <w:r w:rsidRPr="000E560D">
              <w:rPr>
                <w:sz w:val="20"/>
                <w:lang w:val="fr-CA"/>
              </w:rPr>
              <w:t>2015 ONSC 6055; 3/15</w:t>
            </w:r>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Rejet de la demande de contrôle judiciaire</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13 juillet 2016</w:t>
            </w:r>
          </w:p>
          <w:p w:rsidR="00B0072F" w:rsidRPr="000E560D" w:rsidRDefault="00B0072F" w:rsidP="00B0072F">
            <w:pPr>
              <w:jc w:val="both"/>
              <w:rPr>
                <w:sz w:val="20"/>
                <w:lang w:val="fr-CA"/>
              </w:rPr>
            </w:pPr>
            <w:r w:rsidRPr="000E560D">
              <w:rPr>
                <w:sz w:val="20"/>
                <w:lang w:val="fr-CA"/>
              </w:rPr>
              <w:t>Cour d’appel de l’Ontario</w:t>
            </w:r>
          </w:p>
          <w:p w:rsidR="00B0072F" w:rsidRPr="000E560D" w:rsidRDefault="00B0072F" w:rsidP="00B0072F">
            <w:pPr>
              <w:jc w:val="both"/>
              <w:rPr>
                <w:sz w:val="20"/>
                <w:lang w:val="fr-CA"/>
              </w:rPr>
            </w:pPr>
            <w:r w:rsidRPr="000E560D">
              <w:rPr>
                <w:sz w:val="20"/>
                <w:lang w:val="fr-CA"/>
              </w:rPr>
              <w:t>(Juge MacFarland)</w:t>
            </w:r>
          </w:p>
          <w:p w:rsidR="00B0072F" w:rsidRPr="000E560D" w:rsidRDefault="00B0072F" w:rsidP="00B0072F">
            <w:pPr>
              <w:jc w:val="both"/>
              <w:rPr>
                <w:sz w:val="20"/>
                <w:lang w:val="fr-CA"/>
              </w:rPr>
            </w:pPr>
            <w:r w:rsidRPr="000E560D">
              <w:rPr>
                <w:sz w:val="20"/>
                <w:lang w:val="fr-CA"/>
              </w:rPr>
              <w:t>M45688</w:t>
            </w:r>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Rejet de la demande de prorogation du délai pour demander l’autorisation d’interjeter appel</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17 janvier 2017</w:t>
            </w:r>
          </w:p>
          <w:p w:rsidR="00B0072F" w:rsidRPr="000E560D" w:rsidRDefault="00B0072F" w:rsidP="00B0072F">
            <w:pPr>
              <w:jc w:val="both"/>
              <w:rPr>
                <w:sz w:val="20"/>
                <w:lang w:val="fr-CA"/>
              </w:rPr>
            </w:pPr>
            <w:r w:rsidRPr="000E560D">
              <w:rPr>
                <w:sz w:val="20"/>
                <w:lang w:val="fr-CA"/>
              </w:rPr>
              <w:t>Cour d’appel de l’Ontario</w:t>
            </w:r>
          </w:p>
          <w:p w:rsidR="00B0072F" w:rsidRPr="000E560D" w:rsidRDefault="00B0072F" w:rsidP="00B0072F">
            <w:pPr>
              <w:jc w:val="both"/>
              <w:rPr>
                <w:sz w:val="20"/>
                <w:lang w:val="fr-CA"/>
              </w:rPr>
            </w:pPr>
            <w:r w:rsidRPr="000E560D">
              <w:rPr>
                <w:sz w:val="20"/>
                <w:lang w:val="fr-CA"/>
              </w:rPr>
              <w:t>(Juges Simmons, Brown et Roberts)</w:t>
            </w:r>
          </w:p>
          <w:p w:rsidR="00B0072F" w:rsidRPr="000E560D" w:rsidRDefault="00B0072F" w:rsidP="00B0072F">
            <w:pPr>
              <w:jc w:val="both"/>
              <w:rPr>
                <w:sz w:val="20"/>
                <w:lang w:val="fr-CA"/>
              </w:rPr>
            </w:pPr>
            <w:r w:rsidRPr="000E560D">
              <w:rPr>
                <w:sz w:val="20"/>
                <w:lang w:val="fr-CA"/>
              </w:rPr>
              <w:t>M46869; M46791; M45688</w:t>
            </w:r>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Rejet de la motion en révision</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17 mars 2017</w:t>
            </w:r>
          </w:p>
          <w:p w:rsidR="00B0072F" w:rsidRPr="000E560D" w:rsidRDefault="00B0072F" w:rsidP="00B0072F">
            <w:pPr>
              <w:jc w:val="both"/>
              <w:rPr>
                <w:sz w:val="20"/>
                <w:lang w:val="fr-CA"/>
              </w:rPr>
            </w:pPr>
            <w:r w:rsidRPr="000E560D">
              <w:rPr>
                <w:sz w:val="20"/>
                <w:lang w:val="fr-CA"/>
              </w:rPr>
              <w:t>Cour suprême du Canada</w:t>
            </w: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Dépôt de la demande d’autorisation d’appel</w:t>
            </w:r>
          </w:p>
        </w:tc>
      </w:tr>
    </w:tbl>
    <w:p w:rsidR="00B0072F" w:rsidRPr="000E560D" w:rsidRDefault="006B07D6" w:rsidP="00B0072F">
      <w:pPr>
        <w:jc w:val="both"/>
        <w:rPr>
          <w:sz w:val="20"/>
          <w:lang w:val="fr-CA"/>
        </w:rPr>
      </w:pPr>
      <w:r>
        <w:rPr>
          <w:sz w:val="20"/>
          <w:szCs w:val="20"/>
        </w:rPr>
        <w:pict>
          <v:rect id="_x0000_i1057" style="width:2in;height:1pt" o:hrpct="0" o:hralign="center" o:hrstd="t" o:hrnoshade="t" o:hr="t" fillcolor="black [3213]" stroked="f"/>
        </w:pict>
      </w:r>
    </w:p>
    <w:p w:rsidR="00B0072F" w:rsidRPr="000E560D" w:rsidRDefault="00B0072F" w:rsidP="00B0072F">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0E560D" w:rsidTr="00DD48FF">
        <w:trPr>
          <w:trHeight w:val="318"/>
        </w:trPr>
        <w:tc>
          <w:tcPr>
            <w:tcW w:w="543" w:type="pct"/>
          </w:tcPr>
          <w:p w:rsidR="00B0072F" w:rsidRPr="00DD48FF" w:rsidRDefault="00B0072F" w:rsidP="00B0072F">
            <w:pPr>
              <w:jc w:val="both"/>
              <w:rPr>
                <w:sz w:val="20"/>
              </w:rPr>
            </w:pPr>
            <w:r w:rsidRPr="00DD48FF">
              <w:rPr>
                <w:rStyle w:val="SCCFileNumberChar"/>
                <w:sz w:val="20"/>
                <w:szCs w:val="20"/>
              </w:rPr>
              <w:t>37579</w:t>
            </w:r>
          </w:p>
        </w:tc>
        <w:tc>
          <w:tcPr>
            <w:tcW w:w="4457" w:type="pct"/>
            <w:gridSpan w:val="3"/>
          </w:tcPr>
          <w:p w:rsidR="00B0072F" w:rsidRPr="00DD48FF" w:rsidRDefault="00B0072F" w:rsidP="00B0072F">
            <w:pPr>
              <w:pStyle w:val="SCCLsocParty"/>
              <w:jc w:val="both"/>
              <w:rPr>
                <w:b/>
                <w:sz w:val="20"/>
                <w:szCs w:val="20"/>
                <w:lang w:val="en-US"/>
              </w:rPr>
            </w:pPr>
            <w:r w:rsidRPr="00DD48FF">
              <w:rPr>
                <w:b/>
                <w:sz w:val="20"/>
                <w:szCs w:val="20"/>
                <w:lang w:val="en-US"/>
              </w:rPr>
              <w:t>Ivan Cavric v. Ontario Securities Commission</w:t>
            </w:r>
          </w:p>
          <w:p w:rsidR="00B0072F" w:rsidRPr="00DD48FF" w:rsidRDefault="00B0072F" w:rsidP="00B0072F">
            <w:pPr>
              <w:jc w:val="both"/>
              <w:rPr>
                <w:sz w:val="20"/>
              </w:rPr>
            </w:pPr>
            <w:r w:rsidRPr="00DD48FF">
              <w:rPr>
                <w:sz w:val="20"/>
              </w:rPr>
              <w:t>(Ont.) (Civil) (By Leave)</w:t>
            </w:r>
          </w:p>
        </w:tc>
      </w:tr>
      <w:tr w:rsidR="00F9185B" w:rsidRPr="000E560D" w:rsidTr="00B0072F">
        <w:tc>
          <w:tcPr>
            <w:tcW w:w="543" w:type="pct"/>
          </w:tcPr>
          <w:p w:rsidR="00F9185B" w:rsidRPr="000E560D" w:rsidRDefault="00F9185B" w:rsidP="00B0072F">
            <w:pPr>
              <w:jc w:val="both"/>
              <w:rPr>
                <w:rStyle w:val="SCCFileNumberChar"/>
                <w:sz w:val="20"/>
                <w:szCs w:val="20"/>
              </w:rPr>
            </w:pPr>
            <w:r>
              <w:rPr>
                <w:rStyle w:val="SCCFileNumberChar"/>
                <w:sz w:val="20"/>
                <w:szCs w:val="20"/>
              </w:rPr>
              <w:t>Coram:</w:t>
            </w:r>
          </w:p>
        </w:tc>
        <w:tc>
          <w:tcPr>
            <w:tcW w:w="4457" w:type="pct"/>
            <w:gridSpan w:val="3"/>
          </w:tcPr>
          <w:p w:rsidR="00F9185B" w:rsidRDefault="00DD48FF" w:rsidP="00B0072F">
            <w:pPr>
              <w:pStyle w:val="SCCLsocParty"/>
              <w:jc w:val="both"/>
              <w:rPr>
                <w:sz w:val="20"/>
                <w:szCs w:val="20"/>
                <w:lang w:val="en-US"/>
              </w:rPr>
            </w:pPr>
            <w:r w:rsidRPr="00DD48FF">
              <w:rPr>
                <w:sz w:val="20"/>
                <w:szCs w:val="20"/>
                <w:lang w:val="en-US"/>
              </w:rPr>
              <w:t>McLachlin C.J. and Abella, Moldaver, Karakatsanis, Wagner, Gascon, Côté, Brown and Rowe JJ.</w:t>
            </w:r>
          </w:p>
          <w:p w:rsidR="00DD48FF" w:rsidRPr="00DD48FF" w:rsidRDefault="00DD48FF" w:rsidP="00DD48FF">
            <w:pPr>
              <w:rPr>
                <w:lang w:val="en-US"/>
              </w:rPr>
            </w:pPr>
          </w:p>
        </w:tc>
      </w:tr>
      <w:tr w:rsidR="00F9185B" w:rsidRPr="000E560D" w:rsidTr="00F9185B">
        <w:tc>
          <w:tcPr>
            <w:tcW w:w="5000" w:type="pct"/>
            <w:gridSpan w:val="4"/>
          </w:tcPr>
          <w:p w:rsidR="00F9185B" w:rsidRDefault="00DD48FF" w:rsidP="00B0072F">
            <w:pPr>
              <w:pStyle w:val="SCCLsocParty"/>
              <w:jc w:val="both"/>
              <w:rPr>
                <w:sz w:val="20"/>
                <w:szCs w:val="20"/>
                <w:lang w:val="en-US"/>
              </w:rPr>
            </w:pPr>
            <w:r w:rsidRPr="00DD48FF">
              <w:rPr>
                <w:sz w:val="20"/>
                <w:szCs w:val="20"/>
                <w:lang w:val="en-US"/>
              </w:rPr>
              <w:t>The application for leave to appeal from the judgment of the Court of Appeal for Ontario, Number C62121, 2017 ONCA 279, dated April 4, 2017, is dismissed with costs.</w:t>
            </w:r>
          </w:p>
          <w:p w:rsidR="00DD48FF" w:rsidRPr="00DD48FF" w:rsidRDefault="00DD48FF" w:rsidP="00DD48FF">
            <w:pPr>
              <w:rPr>
                <w:lang w:val="en-US"/>
              </w:rPr>
            </w:pPr>
          </w:p>
        </w:tc>
      </w:tr>
      <w:tr w:rsidR="00B0072F" w:rsidRPr="000E560D" w:rsidTr="00B0072F">
        <w:tc>
          <w:tcPr>
            <w:tcW w:w="5000" w:type="pct"/>
            <w:gridSpan w:val="4"/>
          </w:tcPr>
          <w:p w:rsidR="00B0072F" w:rsidRPr="000E560D" w:rsidRDefault="00B0072F" w:rsidP="00B0072F">
            <w:pPr>
              <w:jc w:val="both"/>
              <w:rPr>
                <w:sz w:val="20"/>
              </w:rPr>
            </w:pPr>
            <w:r w:rsidRPr="000E560D">
              <w:rPr>
                <w:sz w:val="20"/>
              </w:rPr>
              <w:t xml:space="preserve">Administrative law — Boards and tribunals — Ontario Securities Commission — Jurisdiction — Panel appointed to hear merits of complaint — Both panel members’ commissions expired between decision on merits and sanctions </w:t>
            </w:r>
            <w:r w:rsidRPr="000E560D">
              <w:rPr>
                <w:sz w:val="20"/>
              </w:rPr>
              <w:lastRenderedPageBreak/>
              <w:t xml:space="preserve">hearing — Commission appointed new panel for sanctions hearing — Whether Commission has legislative authority to appoint new panel for sanctions hearing — Whether original panel members were available to continue pursuant to the </w:t>
            </w:r>
            <w:r w:rsidRPr="000E560D">
              <w:rPr>
                <w:i/>
                <w:sz w:val="20"/>
              </w:rPr>
              <w:t>Statutory Powers and Procedures Act</w:t>
            </w:r>
            <w:r w:rsidRPr="000E560D">
              <w:rPr>
                <w:sz w:val="20"/>
              </w:rPr>
              <w:t>, R.S.O. 1990, c. S.22, s. 4.3 — Whether appointing a new panel was fair to the applicant in light of s. 4.3 — Whether procedural fairness, and the appearance of procedural fairness, takes precedence over administrative expedience in the context of a quasi-judicial hearing.</w:t>
            </w:r>
          </w:p>
        </w:tc>
      </w:tr>
      <w:tr w:rsidR="00B0072F" w:rsidRPr="000E560D" w:rsidTr="00B0072F">
        <w:tc>
          <w:tcPr>
            <w:tcW w:w="5000" w:type="pct"/>
            <w:gridSpan w:val="4"/>
          </w:tcPr>
          <w:p w:rsidR="00B0072F" w:rsidRPr="000E560D" w:rsidRDefault="00B0072F" w:rsidP="00B0072F">
            <w:pPr>
              <w:jc w:val="both"/>
              <w:rPr>
                <w:sz w:val="20"/>
              </w:rPr>
            </w:pPr>
          </w:p>
        </w:tc>
      </w:tr>
      <w:tr w:rsidR="00B0072F" w:rsidRPr="000E560D" w:rsidTr="00B0072F">
        <w:tc>
          <w:tcPr>
            <w:tcW w:w="5000" w:type="pct"/>
            <w:gridSpan w:val="4"/>
          </w:tcPr>
          <w:p w:rsidR="00B0072F" w:rsidRPr="000E560D" w:rsidRDefault="00B0072F" w:rsidP="00B0072F">
            <w:pPr>
              <w:jc w:val="both"/>
              <w:rPr>
                <w:sz w:val="20"/>
              </w:rPr>
            </w:pPr>
            <w:r w:rsidRPr="000E560D">
              <w:rPr>
                <w:sz w:val="20"/>
              </w:rPr>
              <w:t xml:space="preserve">In 2007, the Ontario Securities Commission issued a notice of hearing against MRS Sciences Inc. and certain individuals, including Mr. Cavric, the current applicant, alleging various breaches of the </w:t>
            </w:r>
            <w:r w:rsidRPr="000E560D">
              <w:rPr>
                <w:i/>
                <w:sz w:val="20"/>
              </w:rPr>
              <w:t>Securities Act</w:t>
            </w:r>
            <w:r w:rsidRPr="000E560D">
              <w:rPr>
                <w:sz w:val="20"/>
              </w:rPr>
              <w:t xml:space="preserve">, R.S.O. 1990, c. S-5. After hearing on the merits before a panel of two commissioners, MRS Sciences Inc. and the individuals were found to have breached the </w:t>
            </w:r>
            <w:r w:rsidRPr="000E560D">
              <w:rPr>
                <w:i/>
                <w:sz w:val="20"/>
              </w:rPr>
              <w:t>Securities Act</w:t>
            </w:r>
            <w:r w:rsidRPr="000E560D">
              <w:rPr>
                <w:sz w:val="20"/>
              </w:rPr>
              <w:t xml:space="preserve">. Shortly after that decision, both commissioners’ five-year appointments expired. MRS Sciences and the individuals were advised that neither commissioner would be scheduled to preside over the sanctions hearing. They brought a preliminary motion challenging the jurisdiction of the new panel. The Commission dismissed that motion. MRS Sciences and the individuals then filed a notice of appeal and a notice of application for judicial review from that decision. The Divisional Court dismissed the appeal and quashed the application for judicial review. The sanctions hearing then went ahead. At it, Commission staff adduced transcripts of the hearing on the merits. The sanctions panel admitted them over the objection of MRS Sciences and the individuals, and they ordered various sanctions against MRS Sciences and the individuals. </w:t>
            </w:r>
          </w:p>
          <w:p w:rsidR="00B0072F" w:rsidRPr="000E560D" w:rsidRDefault="00B0072F" w:rsidP="00B0072F">
            <w:pPr>
              <w:jc w:val="both"/>
              <w:rPr>
                <w:sz w:val="20"/>
              </w:rPr>
            </w:pPr>
          </w:p>
          <w:p w:rsidR="00B0072F" w:rsidRPr="000E560D" w:rsidRDefault="00B0072F" w:rsidP="00B0072F">
            <w:pPr>
              <w:jc w:val="both"/>
              <w:rPr>
                <w:sz w:val="20"/>
              </w:rPr>
            </w:pPr>
            <w:r w:rsidRPr="000E560D">
              <w:rPr>
                <w:sz w:val="20"/>
              </w:rPr>
              <w:t>MRS Sciences and the individuals then appealed the panel composition decision, the decision to admit transcript evidence from the hearing on the merits, and the sanctions decision. A majority of the Divisional Court dismissed the appeal. The Court of Appeal dismissed a subsequent appeal.</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November 26, 2015</w:t>
            </w:r>
          </w:p>
          <w:p w:rsidR="00B0072F" w:rsidRPr="000E560D" w:rsidRDefault="00B0072F" w:rsidP="00B0072F">
            <w:pPr>
              <w:jc w:val="both"/>
              <w:rPr>
                <w:sz w:val="20"/>
              </w:rPr>
            </w:pPr>
            <w:r w:rsidRPr="000E560D">
              <w:rPr>
                <w:sz w:val="20"/>
              </w:rPr>
              <w:t>Ontario Superior Court of Justice</w:t>
            </w:r>
          </w:p>
          <w:p w:rsidR="00B0072F" w:rsidRPr="000E560D" w:rsidRDefault="00B0072F" w:rsidP="00B0072F">
            <w:pPr>
              <w:jc w:val="both"/>
              <w:rPr>
                <w:sz w:val="20"/>
              </w:rPr>
            </w:pPr>
            <w:r w:rsidRPr="000E560D">
              <w:rPr>
                <w:sz w:val="20"/>
              </w:rPr>
              <w:t>(Gordon R.S.J., Molloy, Corbett JJ.)</w:t>
            </w:r>
          </w:p>
          <w:p w:rsidR="00B0072F" w:rsidRPr="000E560D" w:rsidRDefault="00B0072F" w:rsidP="00B0072F">
            <w:pPr>
              <w:jc w:val="both"/>
              <w:rPr>
                <w:sz w:val="20"/>
              </w:rPr>
            </w:pPr>
            <w:r w:rsidRPr="000E560D">
              <w:rPr>
                <w:sz w:val="20"/>
              </w:rPr>
              <w:t>2015 ONSC 6317</w:t>
            </w:r>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Appeal of decision of Ontario Securities Commission dismissed</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April 4, 2017</w:t>
            </w:r>
          </w:p>
          <w:p w:rsidR="00B0072F" w:rsidRPr="000E560D" w:rsidRDefault="00B0072F" w:rsidP="00B0072F">
            <w:pPr>
              <w:jc w:val="both"/>
              <w:rPr>
                <w:sz w:val="20"/>
              </w:rPr>
            </w:pPr>
            <w:r w:rsidRPr="000E560D">
              <w:rPr>
                <w:sz w:val="20"/>
              </w:rPr>
              <w:t>Court of Appeal for Ontario</w:t>
            </w:r>
          </w:p>
          <w:p w:rsidR="00B0072F" w:rsidRPr="000E560D" w:rsidRDefault="00B0072F" w:rsidP="00B0072F">
            <w:pPr>
              <w:jc w:val="both"/>
              <w:rPr>
                <w:sz w:val="20"/>
              </w:rPr>
            </w:pPr>
            <w:r w:rsidRPr="000E560D">
              <w:rPr>
                <w:sz w:val="20"/>
              </w:rPr>
              <w:t>(Juriansz, Lauwers, Hourigan JJ.A.)</w:t>
            </w:r>
          </w:p>
          <w:p w:rsidR="00B0072F" w:rsidRPr="000E560D" w:rsidRDefault="00B0072F" w:rsidP="00B0072F">
            <w:pPr>
              <w:jc w:val="both"/>
              <w:rPr>
                <w:sz w:val="20"/>
              </w:rPr>
            </w:pPr>
            <w:r w:rsidRPr="000E560D">
              <w:rPr>
                <w:sz w:val="20"/>
              </w:rPr>
              <w:t>2017 ONCA 279</w:t>
            </w:r>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Appeal dismissed</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May 26, 2017</w:t>
            </w:r>
          </w:p>
          <w:p w:rsidR="00B0072F" w:rsidRPr="000E560D" w:rsidRDefault="00B0072F" w:rsidP="00B0072F">
            <w:pPr>
              <w:jc w:val="both"/>
              <w:rPr>
                <w:sz w:val="20"/>
              </w:rPr>
            </w:pPr>
            <w:r w:rsidRPr="000E560D">
              <w:rPr>
                <w:sz w:val="20"/>
              </w:rPr>
              <w:t>Supreme Court of Canada</w:t>
            </w: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Application for leave to appeal filed</w:t>
            </w:r>
          </w:p>
          <w:p w:rsidR="00B0072F" w:rsidRPr="000E560D" w:rsidRDefault="00B0072F" w:rsidP="00B0072F">
            <w:pPr>
              <w:jc w:val="both"/>
              <w:rPr>
                <w:sz w:val="20"/>
              </w:rPr>
            </w:pPr>
          </w:p>
        </w:tc>
      </w:tr>
    </w:tbl>
    <w:p w:rsidR="00B0072F" w:rsidRPr="000E560D" w:rsidRDefault="006B07D6" w:rsidP="00B0072F">
      <w:pPr>
        <w:jc w:val="both"/>
        <w:rPr>
          <w:sz w:val="20"/>
        </w:rPr>
      </w:pPr>
      <w:r>
        <w:rPr>
          <w:sz w:val="20"/>
          <w:szCs w:val="20"/>
        </w:rPr>
        <w:pict>
          <v:rect id="_x0000_i1058" style="width:2in;height:1pt" o:hrpct="0" o:hralign="center" o:hrstd="t" o:hrnoshade="t" o:hr="t" fillcolor="black [3213]" stroked="f"/>
        </w:pict>
      </w:r>
    </w:p>
    <w:p w:rsidR="00B0072F" w:rsidRPr="000E560D" w:rsidRDefault="00B0072F" w:rsidP="00B007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0E560D" w:rsidTr="00B0072F">
        <w:tc>
          <w:tcPr>
            <w:tcW w:w="543" w:type="pct"/>
          </w:tcPr>
          <w:p w:rsidR="00B0072F" w:rsidRPr="00DD48FF" w:rsidRDefault="00B0072F" w:rsidP="00B0072F">
            <w:pPr>
              <w:jc w:val="both"/>
              <w:rPr>
                <w:sz w:val="20"/>
                <w:lang w:val="fr-CA"/>
              </w:rPr>
            </w:pPr>
            <w:r w:rsidRPr="00DD48FF">
              <w:rPr>
                <w:rStyle w:val="SCCFileNumberChar"/>
                <w:sz w:val="20"/>
                <w:szCs w:val="20"/>
                <w:lang w:val="fr-CA"/>
              </w:rPr>
              <w:t>37579</w:t>
            </w:r>
          </w:p>
        </w:tc>
        <w:tc>
          <w:tcPr>
            <w:tcW w:w="4457" w:type="pct"/>
            <w:gridSpan w:val="3"/>
          </w:tcPr>
          <w:p w:rsidR="00B0072F" w:rsidRPr="00DD48FF" w:rsidRDefault="00B0072F" w:rsidP="00B0072F">
            <w:pPr>
              <w:pStyle w:val="SCCLsocParty"/>
              <w:jc w:val="both"/>
              <w:rPr>
                <w:b/>
                <w:sz w:val="20"/>
                <w:szCs w:val="20"/>
              </w:rPr>
            </w:pPr>
            <w:r w:rsidRPr="00DD48FF">
              <w:rPr>
                <w:b/>
                <w:sz w:val="20"/>
                <w:szCs w:val="20"/>
              </w:rPr>
              <w:t>Ivan Cavric c. Commission des valeurs mobilières de l’Ontario</w:t>
            </w:r>
          </w:p>
          <w:p w:rsidR="00B0072F" w:rsidRPr="00DD48FF" w:rsidRDefault="00B0072F" w:rsidP="00B0072F">
            <w:pPr>
              <w:jc w:val="both"/>
              <w:rPr>
                <w:sz w:val="20"/>
                <w:lang w:val="fr-CA"/>
              </w:rPr>
            </w:pPr>
            <w:r w:rsidRPr="00DD48FF">
              <w:rPr>
                <w:sz w:val="20"/>
                <w:lang w:val="fr-CA"/>
              </w:rPr>
              <w:t>(Ont.) (Civile) (Sur autorisation)</w:t>
            </w:r>
          </w:p>
        </w:tc>
      </w:tr>
      <w:tr w:rsidR="00F9185B" w:rsidRPr="006B07D6" w:rsidTr="00B0072F">
        <w:tc>
          <w:tcPr>
            <w:tcW w:w="543" w:type="pct"/>
          </w:tcPr>
          <w:p w:rsidR="00F9185B" w:rsidRPr="000E560D" w:rsidRDefault="00F9185B" w:rsidP="00B0072F">
            <w:pPr>
              <w:jc w:val="both"/>
              <w:rPr>
                <w:rStyle w:val="SCCFileNumberChar"/>
                <w:sz w:val="20"/>
                <w:szCs w:val="20"/>
                <w:lang w:val="fr-CA"/>
              </w:rPr>
            </w:pPr>
            <w:r>
              <w:rPr>
                <w:rStyle w:val="SCCFileNumberChar"/>
                <w:sz w:val="20"/>
                <w:szCs w:val="20"/>
                <w:lang w:val="fr-CA"/>
              </w:rPr>
              <w:t>Coram :</w:t>
            </w:r>
          </w:p>
        </w:tc>
        <w:tc>
          <w:tcPr>
            <w:tcW w:w="4457" w:type="pct"/>
            <w:gridSpan w:val="3"/>
          </w:tcPr>
          <w:p w:rsidR="00F9185B" w:rsidRDefault="00DD48FF" w:rsidP="00B0072F">
            <w:pPr>
              <w:pStyle w:val="SCCLsocParty"/>
              <w:jc w:val="both"/>
              <w:rPr>
                <w:sz w:val="20"/>
                <w:szCs w:val="20"/>
                <w:lang w:val="fr-FR"/>
              </w:rPr>
            </w:pPr>
            <w:r w:rsidRPr="009B2DC7">
              <w:rPr>
                <w:sz w:val="20"/>
                <w:szCs w:val="20"/>
                <w:lang w:val="fr-FR"/>
              </w:rPr>
              <w:t>La juge en chef McLachlin et les juges Abella, Moldaver, Karakatsanis, Wagner, Gascon, Côté, Brown et Rowe</w:t>
            </w:r>
          </w:p>
          <w:p w:rsidR="00DD48FF" w:rsidRPr="00DD48FF" w:rsidRDefault="00DD48FF" w:rsidP="00DD48FF">
            <w:pPr>
              <w:rPr>
                <w:lang w:val="fr-FR"/>
              </w:rPr>
            </w:pPr>
          </w:p>
        </w:tc>
      </w:tr>
      <w:tr w:rsidR="00F9185B" w:rsidRPr="006B07D6" w:rsidTr="00F9185B">
        <w:tc>
          <w:tcPr>
            <w:tcW w:w="5000" w:type="pct"/>
            <w:gridSpan w:val="4"/>
          </w:tcPr>
          <w:p w:rsidR="00F9185B" w:rsidRDefault="00DD48FF" w:rsidP="00B0072F">
            <w:pPr>
              <w:pStyle w:val="SCCLsocParty"/>
              <w:jc w:val="both"/>
              <w:rPr>
                <w:sz w:val="20"/>
                <w:szCs w:val="20"/>
              </w:rPr>
            </w:pPr>
            <w:r w:rsidRPr="009B2DC7">
              <w:rPr>
                <w:sz w:val="20"/>
                <w:szCs w:val="20"/>
              </w:rPr>
              <w:t xml:space="preserve">La demande d’autorisation d’appel de l’arrêt de la </w:t>
            </w:r>
            <w:r w:rsidRPr="009B2DC7">
              <w:rPr>
                <w:sz w:val="20"/>
                <w:szCs w:val="20"/>
                <w:lang w:val="fr-FR"/>
              </w:rPr>
              <w:t>Cour d’appel de l’Ontario</w:t>
            </w:r>
            <w:r w:rsidRPr="009B2DC7">
              <w:rPr>
                <w:sz w:val="20"/>
                <w:szCs w:val="20"/>
              </w:rPr>
              <w:t xml:space="preserve">, numéro </w:t>
            </w:r>
            <w:r w:rsidRPr="009B2DC7">
              <w:rPr>
                <w:sz w:val="20"/>
                <w:szCs w:val="20"/>
                <w:lang w:val="fr-FR"/>
              </w:rPr>
              <w:t>C62121, 2017 ONCA 279</w:t>
            </w:r>
            <w:r w:rsidRPr="009B2DC7">
              <w:rPr>
                <w:sz w:val="20"/>
                <w:szCs w:val="20"/>
              </w:rPr>
              <w:t xml:space="preserve">, daté du </w:t>
            </w:r>
            <w:r w:rsidRPr="009B2DC7">
              <w:rPr>
                <w:sz w:val="20"/>
                <w:szCs w:val="20"/>
                <w:lang w:val="fr-FR"/>
              </w:rPr>
              <w:t>4 avril 2017</w:t>
            </w:r>
            <w:r w:rsidRPr="009B2DC7">
              <w:rPr>
                <w:sz w:val="20"/>
                <w:szCs w:val="20"/>
              </w:rPr>
              <w:t>, est rejetée avec dépens.</w:t>
            </w:r>
          </w:p>
          <w:p w:rsidR="00DD48FF" w:rsidRPr="00DD48FF" w:rsidRDefault="00DD48FF" w:rsidP="00DD48FF">
            <w:pPr>
              <w:rPr>
                <w:lang w:val="fr-CA"/>
              </w:rPr>
            </w:pPr>
          </w:p>
        </w:tc>
      </w:tr>
      <w:tr w:rsidR="00B0072F" w:rsidRPr="006B07D6" w:rsidTr="00B0072F">
        <w:tc>
          <w:tcPr>
            <w:tcW w:w="5000" w:type="pct"/>
            <w:gridSpan w:val="4"/>
          </w:tcPr>
          <w:p w:rsidR="00B0072F" w:rsidRPr="000E560D" w:rsidRDefault="00B0072F" w:rsidP="00B0072F">
            <w:pPr>
              <w:jc w:val="both"/>
              <w:rPr>
                <w:sz w:val="20"/>
                <w:lang w:val="fr-CA"/>
              </w:rPr>
            </w:pPr>
            <w:r w:rsidRPr="000E560D">
              <w:rPr>
                <w:sz w:val="20"/>
                <w:lang w:val="fr-CA"/>
              </w:rPr>
              <w:t xml:space="preserve">Droit administratif — Organismes et tribunaux administratifs — Commission des valeurs mobilières de l’Ontario — Compétence — Comité constitué pour entendre la plainte au fond — Expiration des mandats des deux commissaires entre la décision sur le fond et l’audience sur les sanctions — Nouveau comité constitué par la Commission pour l’audience sur les sanctions — La Commission avait-elle la compétence législative pour constituer un nouveau comité pour l’audience sur les sanctions? — Le mandat des membres initiaux du comité pouvait-il se poursuivre conformément à l’art. 4.3 de la </w:t>
            </w:r>
            <w:r w:rsidRPr="000E560D">
              <w:rPr>
                <w:i/>
                <w:sz w:val="20"/>
                <w:lang w:val="fr-CA"/>
              </w:rPr>
              <w:t>Loi sur l’exercice des compétences légales</w:t>
            </w:r>
            <w:r w:rsidRPr="000E560D">
              <w:rPr>
                <w:sz w:val="20"/>
                <w:lang w:val="fr-CA"/>
              </w:rPr>
              <w:t xml:space="preserve">, L.R.O. 1990, chap. S.22? — La constitution d’un nouveau </w:t>
            </w:r>
            <w:r w:rsidRPr="000E560D">
              <w:rPr>
                <w:sz w:val="20"/>
                <w:lang w:val="fr-CA"/>
              </w:rPr>
              <w:lastRenderedPageBreak/>
              <w:t>comité était-elle juste pour les demandeurs compte tenu de l’art. 4.3? — L’équité procédurale, et l’apparence d’équité procédurale, l’emportent-elles sur la commodité administrative dans le contexte d’une audience quasi-judiciaire?</w:t>
            </w:r>
          </w:p>
        </w:tc>
      </w:tr>
      <w:tr w:rsidR="00B0072F" w:rsidRPr="006B07D6" w:rsidTr="00B0072F">
        <w:tc>
          <w:tcPr>
            <w:tcW w:w="5000" w:type="pct"/>
            <w:gridSpan w:val="4"/>
          </w:tcPr>
          <w:p w:rsidR="00B0072F" w:rsidRPr="000E560D" w:rsidRDefault="00B0072F" w:rsidP="00B0072F">
            <w:pPr>
              <w:jc w:val="both"/>
              <w:rPr>
                <w:sz w:val="20"/>
                <w:lang w:val="fr-CA"/>
              </w:rPr>
            </w:pPr>
          </w:p>
        </w:tc>
      </w:tr>
      <w:tr w:rsidR="00B0072F" w:rsidRPr="006B07D6" w:rsidTr="00B0072F">
        <w:tc>
          <w:tcPr>
            <w:tcW w:w="5000" w:type="pct"/>
            <w:gridSpan w:val="4"/>
          </w:tcPr>
          <w:p w:rsidR="00B0072F" w:rsidRPr="000E560D" w:rsidRDefault="00B0072F" w:rsidP="00B0072F">
            <w:pPr>
              <w:jc w:val="both"/>
              <w:rPr>
                <w:sz w:val="20"/>
                <w:lang w:val="fr-CA"/>
              </w:rPr>
            </w:pPr>
            <w:r w:rsidRPr="000E560D">
              <w:rPr>
                <w:sz w:val="20"/>
                <w:lang w:val="fr-CA"/>
              </w:rPr>
              <w:t xml:space="preserve">En 2007, la Commission des valeurs mobilières de l’Ontario a déposé un avis d’audience contre MRS Sciences Inc. et certaines personnes, notamment M. Cavric, le demandeur actuel, leur reprochant divers manquements à la </w:t>
            </w:r>
            <w:r w:rsidRPr="000E560D">
              <w:rPr>
                <w:i/>
                <w:sz w:val="20"/>
                <w:lang w:val="fr-CA"/>
              </w:rPr>
              <w:t>Loi sur les valeurs mobilières</w:t>
            </w:r>
            <w:r w:rsidRPr="000E560D">
              <w:rPr>
                <w:sz w:val="20"/>
                <w:lang w:val="fr-CA"/>
              </w:rPr>
              <w:t xml:space="preserve">, L.R.O. 1990, chap. S-5. Après l’audience sur le fond devant un comité de deux commissaires, ceux-ci ont conclu que MRS Sciences Inc. et les particuliers avaient contrevenu à la </w:t>
            </w:r>
            <w:r w:rsidRPr="000E560D">
              <w:rPr>
                <w:i/>
                <w:sz w:val="20"/>
                <w:lang w:val="fr-CA"/>
              </w:rPr>
              <w:t>Loi sur les valeurs mobilières</w:t>
            </w:r>
            <w:r w:rsidRPr="000E560D">
              <w:rPr>
                <w:sz w:val="20"/>
                <w:lang w:val="fr-CA"/>
              </w:rPr>
              <w:t>. Peu après cette décision, les nominations de cinq ans des deux commissaires ont pris fin. MRS Sciences et les particuliers ont été avisés qu’aucun des commissaires ne pouvait présider l’audience sur les sanctions. Ils ont présenté une requête préliminaire contestant la compétence du nouveau comité. La Commission a rejeté cette requête. MRS Sciences et les particuliers ont ensuite présenté un avis d’appel et un avis de requête en révision judiciaire à l’égard de cette décision. La Cour divisionnaire a rejeté l’appel et a annulé la requête en révision judiciaire. L’audience sur les sanctions a ensuite eu lieu. Lors de celle-ci, les employés de la Commission ont présenté en preuve les transcriptions de l’audience sur le fond. Le comité présidant l’audience sur les sanctions les a admises malgré l’opposition de MRS Sciences et des particuliers, et il a imposé diverses sanctions à MRS Sciences et aux particuliers.</w:t>
            </w:r>
          </w:p>
          <w:p w:rsidR="00B0072F" w:rsidRPr="000E560D" w:rsidRDefault="00B0072F" w:rsidP="00B0072F">
            <w:pPr>
              <w:jc w:val="both"/>
              <w:rPr>
                <w:sz w:val="20"/>
                <w:lang w:val="fr-CA"/>
              </w:rPr>
            </w:pPr>
          </w:p>
          <w:p w:rsidR="00B0072F" w:rsidRPr="000E560D" w:rsidRDefault="00B0072F" w:rsidP="00B0072F">
            <w:pPr>
              <w:jc w:val="both"/>
              <w:rPr>
                <w:sz w:val="20"/>
                <w:lang w:val="fr-CA"/>
              </w:rPr>
            </w:pPr>
            <w:r w:rsidRPr="000E560D">
              <w:rPr>
                <w:sz w:val="20"/>
                <w:lang w:val="fr-CA"/>
              </w:rPr>
              <w:t>MRS Sciences et les particuliers ont ensuite interjeté appel de la décision sur la composition du comité, de la décision d’admettre en preuve les transcriptions de l’audience sur le fond et de la décision relative aux sanctions. La Cour divisionnaire a rejeté l’appel à la majorité. La Cour d’appel a rejeté un appel subséquent.</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26 novembre 2015</w:t>
            </w:r>
          </w:p>
          <w:p w:rsidR="00B0072F" w:rsidRPr="000E560D" w:rsidRDefault="00B0072F" w:rsidP="00B0072F">
            <w:pPr>
              <w:jc w:val="both"/>
              <w:rPr>
                <w:sz w:val="20"/>
                <w:lang w:val="fr-CA"/>
              </w:rPr>
            </w:pPr>
            <w:r w:rsidRPr="000E560D">
              <w:rPr>
                <w:sz w:val="20"/>
                <w:lang w:val="fr-CA"/>
              </w:rPr>
              <w:t>Cour supérieure de justice de l’Ontario</w:t>
            </w:r>
          </w:p>
          <w:p w:rsidR="00B0072F" w:rsidRPr="000E560D" w:rsidRDefault="00B0072F" w:rsidP="00B0072F">
            <w:pPr>
              <w:jc w:val="both"/>
              <w:rPr>
                <w:sz w:val="20"/>
                <w:lang w:val="fr-CA"/>
              </w:rPr>
            </w:pPr>
            <w:r w:rsidRPr="000E560D">
              <w:rPr>
                <w:sz w:val="20"/>
                <w:lang w:val="fr-CA"/>
              </w:rPr>
              <w:t>(Juges Gordon, Molloy et Corbett)</w:t>
            </w:r>
          </w:p>
          <w:p w:rsidR="00B0072F" w:rsidRPr="000E560D" w:rsidRDefault="00B0072F" w:rsidP="00B0072F">
            <w:pPr>
              <w:jc w:val="both"/>
              <w:rPr>
                <w:sz w:val="20"/>
                <w:lang w:val="fr-CA"/>
              </w:rPr>
            </w:pPr>
            <w:r w:rsidRPr="000E560D">
              <w:rPr>
                <w:sz w:val="20"/>
                <w:lang w:val="fr-CA"/>
              </w:rPr>
              <w:t>2015 ONSC 6317</w:t>
            </w:r>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Appel de la décision de la Commission des valeurs mobilières de l’Ontario rejeté</w:t>
            </w:r>
          </w:p>
          <w:p w:rsidR="00B0072F" w:rsidRPr="000E560D" w:rsidRDefault="00B0072F" w:rsidP="00B0072F">
            <w:pPr>
              <w:jc w:val="both"/>
              <w:rPr>
                <w:sz w:val="20"/>
                <w:lang w:val="fr-CA"/>
              </w:rPr>
            </w:pPr>
          </w:p>
        </w:tc>
      </w:tr>
      <w:tr w:rsidR="00B0072F" w:rsidRPr="000E560D" w:rsidTr="00B0072F">
        <w:tc>
          <w:tcPr>
            <w:tcW w:w="2427" w:type="pct"/>
            <w:gridSpan w:val="2"/>
          </w:tcPr>
          <w:p w:rsidR="00B0072F" w:rsidRPr="000E560D" w:rsidRDefault="00B0072F" w:rsidP="00B0072F">
            <w:pPr>
              <w:jc w:val="both"/>
              <w:rPr>
                <w:sz w:val="20"/>
                <w:lang w:val="fr-CA"/>
              </w:rPr>
            </w:pPr>
            <w:r w:rsidRPr="000E560D">
              <w:rPr>
                <w:sz w:val="20"/>
                <w:lang w:val="fr-CA"/>
              </w:rPr>
              <w:t>4 avril 2017</w:t>
            </w:r>
          </w:p>
          <w:p w:rsidR="00B0072F" w:rsidRPr="000E560D" w:rsidRDefault="00B0072F" w:rsidP="00B0072F">
            <w:pPr>
              <w:jc w:val="both"/>
              <w:rPr>
                <w:sz w:val="20"/>
                <w:lang w:val="fr-CA"/>
              </w:rPr>
            </w:pPr>
            <w:r w:rsidRPr="000E560D">
              <w:rPr>
                <w:sz w:val="20"/>
                <w:lang w:val="fr-CA"/>
              </w:rPr>
              <w:t>Cour d’appel de l’Ontario</w:t>
            </w:r>
          </w:p>
          <w:p w:rsidR="00B0072F" w:rsidRPr="000E560D" w:rsidRDefault="00B0072F" w:rsidP="00B0072F">
            <w:pPr>
              <w:jc w:val="both"/>
              <w:rPr>
                <w:sz w:val="20"/>
                <w:lang w:val="fr-CA"/>
              </w:rPr>
            </w:pPr>
            <w:r w:rsidRPr="000E560D">
              <w:rPr>
                <w:sz w:val="20"/>
                <w:lang w:val="fr-CA"/>
              </w:rPr>
              <w:t>(Juges Juriansz, Lauwers et Hourigan)</w:t>
            </w:r>
          </w:p>
          <w:p w:rsidR="00B0072F" w:rsidRPr="000E560D" w:rsidRDefault="00B0072F" w:rsidP="00B0072F">
            <w:pPr>
              <w:jc w:val="both"/>
              <w:rPr>
                <w:sz w:val="20"/>
                <w:lang w:val="fr-CA"/>
              </w:rPr>
            </w:pPr>
            <w:r w:rsidRPr="000E560D">
              <w:rPr>
                <w:sz w:val="20"/>
                <w:lang w:val="fr-CA"/>
              </w:rPr>
              <w:t>2017 ONCA 279</w:t>
            </w:r>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Appel rejeté</w:t>
            </w:r>
          </w:p>
          <w:p w:rsidR="00B0072F" w:rsidRPr="000E560D" w:rsidRDefault="00B0072F" w:rsidP="00B0072F">
            <w:pPr>
              <w:jc w:val="both"/>
              <w:rPr>
                <w:sz w:val="20"/>
                <w:lang w:val="fr-CA"/>
              </w:rPr>
            </w:pPr>
          </w:p>
        </w:tc>
      </w:tr>
      <w:tr w:rsidR="00B0072F" w:rsidRPr="000E560D" w:rsidTr="00B0072F">
        <w:tc>
          <w:tcPr>
            <w:tcW w:w="2427" w:type="pct"/>
            <w:gridSpan w:val="2"/>
          </w:tcPr>
          <w:p w:rsidR="00B0072F" w:rsidRPr="000E560D" w:rsidRDefault="00B0072F" w:rsidP="00B0072F">
            <w:pPr>
              <w:jc w:val="both"/>
              <w:rPr>
                <w:sz w:val="20"/>
                <w:lang w:val="fr-CA"/>
              </w:rPr>
            </w:pPr>
            <w:r w:rsidRPr="000E560D">
              <w:rPr>
                <w:sz w:val="20"/>
                <w:lang w:val="fr-CA"/>
              </w:rPr>
              <w:t>26 mai 2017</w:t>
            </w:r>
          </w:p>
          <w:p w:rsidR="00B0072F" w:rsidRPr="000E560D" w:rsidRDefault="00B0072F" w:rsidP="00B0072F">
            <w:pPr>
              <w:jc w:val="both"/>
              <w:rPr>
                <w:sz w:val="20"/>
                <w:lang w:val="fr-CA"/>
              </w:rPr>
            </w:pPr>
            <w:r w:rsidRPr="000E560D">
              <w:rPr>
                <w:sz w:val="20"/>
                <w:lang w:val="fr-CA"/>
              </w:rPr>
              <w:t>Cour suprême du Canada</w:t>
            </w: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Demande d’autorisation d’appel déposée</w:t>
            </w:r>
          </w:p>
        </w:tc>
      </w:tr>
    </w:tbl>
    <w:p w:rsidR="00B0072F" w:rsidRPr="000E560D" w:rsidRDefault="006B07D6" w:rsidP="00B0072F">
      <w:pPr>
        <w:jc w:val="both"/>
        <w:rPr>
          <w:sz w:val="20"/>
          <w:lang w:val="fr-CA"/>
        </w:rPr>
      </w:pPr>
      <w:r>
        <w:rPr>
          <w:sz w:val="20"/>
          <w:szCs w:val="20"/>
        </w:rPr>
        <w:pict>
          <v:rect id="_x0000_i1059" style="width:2in;height:1pt" o:hrpct="0" o:hralign="center" o:hrstd="t" o:hrnoshade="t" o:hr="t" fillcolor="black [3213]" stroked="f"/>
        </w:pict>
      </w:r>
    </w:p>
    <w:p w:rsidR="00B0072F" w:rsidRPr="000E560D" w:rsidRDefault="00B0072F" w:rsidP="00B0072F">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0E560D" w:rsidTr="00B0072F">
        <w:tc>
          <w:tcPr>
            <w:tcW w:w="543" w:type="pct"/>
          </w:tcPr>
          <w:p w:rsidR="00B0072F" w:rsidRPr="00DD48FF" w:rsidRDefault="00B0072F" w:rsidP="00B0072F">
            <w:pPr>
              <w:jc w:val="both"/>
              <w:rPr>
                <w:sz w:val="20"/>
              </w:rPr>
            </w:pPr>
            <w:r w:rsidRPr="00DD48FF">
              <w:rPr>
                <w:rStyle w:val="SCCFileNumberChar"/>
                <w:sz w:val="20"/>
                <w:szCs w:val="20"/>
              </w:rPr>
              <w:t>37584</w:t>
            </w:r>
          </w:p>
        </w:tc>
        <w:tc>
          <w:tcPr>
            <w:tcW w:w="4457" w:type="pct"/>
            <w:gridSpan w:val="3"/>
          </w:tcPr>
          <w:p w:rsidR="00B0072F" w:rsidRPr="00DD48FF" w:rsidRDefault="00B0072F" w:rsidP="00F9185B">
            <w:pPr>
              <w:pStyle w:val="SCCLsocParty"/>
              <w:jc w:val="both"/>
              <w:rPr>
                <w:sz w:val="20"/>
                <w:lang w:val="en-US"/>
              </w:rPr>
            </w:pPr>
            <w:r w:rsidRPr="00DD48FF">
              <w:rPr>
                <w:b/>
                <w:sz w:val="20"/>
                <w:szCs w:val="20"/>
                <w:lang w:val="en-US"/>
              </w:rPr>
              <w:t>Jame</w:t>
            </w:r>
            <w:r w:rsidR="00DD48FF" w:rsidRPr="00DD48FF">
              <w:rPr>
                <w:b/>
                <w:sz w:val="20"/>
                <w:szCs w:val="20"/>
                <w:lang w:val="en-US"/>
              </w:rPr>
              <w:t>James T. Grenon v. Canada Revenue Agency, Attorney General of Canada, Scott Shelton, Gordon Lawrence, Derek Carroll, Gordon Ross, Helen Little, Andre Baril, Jane Doe, John Doe, Bruce Lo, Lizy Jacob and Judith Thain</w:t>
            </w:r>
            <w:r w:rsidR="00DD48FF" w:rsidRPr="00DD48FF">
              <w:rPr>
                <w:sz w:val="20"/>
                <w:lang w:val="en-US"/>
              </w:rPr>
              <w:t xml:space="preserve"> </w:t>
            </w:r>
            <w:r w:rsidRPr="00DD48FF">
              <w:rPr>
                <w:sz w:val="20"/>
                <w:lang w:val="en-US"/>
              </w:rPr>
              <w:t>(Alta.) (Civil) (By Leave)</w:t>
            </w:r>
          </w:p>
        </w:tc>
      </w:tr>
      <w:tr w:rsidR="00F9185B" w:rsidRPr="000E560D" w:rsidTr="00B0072F">
        <w:tc>
          <w:tcPr>
            <w:tcW w:w="543" w:type="pct"/>
          </w:tcPr>
          <w:p w:rsidR="00F9185B" w:rsidRPr="000E560D" w:rsidRDefault="00F9185B" w:rsidP="00B0072F">
            <w:pPr>
              <w:jc w:val="both"/>
              <w:rPr>
                <w:rStyle w:val="SCCFileNumberChar"/>
                <w:sz w:val="20"/>
                <w:szCs w:val="20"/>
              </w:rPr>
            </w:pPr>
            <w:r>
              <w:rPr>
                <w:rStyle w:val="SCCFileNumberChar"/>
                <w:sz w:val="20"/>
                <w:szCs w:val="20"/>
              </w:rPr>
              <w:t>Coram:</w:t>
            </w:r>
          </w:p>
        </w:tc>
        <w:tc>
          <w:tcPr>
            <w:tcW w:w="4457" w:type="pct"/>
            <w:gridSpan w:val="3"/>
          </w:tcPr>
          <w:p w:rsidR="00F9185B" w:rsidRDefault="00DD48FF" w:rsidP="00F9185B">
            <w:pPr>
              <w:pStyle w:val="SCCLsocParty"/>
              <w:jc w:val="both"/>
              <w:rPr>
                <w:sz w:val="20"/>
                <w:szCs w:val="20"/>
                <w:lang w:val="en-US"/>
              </w:rPr>
            </w:pPr>
            <w:r w:rsidRPr="00DD48FF">
              <w:rPr>
                <w:sz w:val="20"/>
                <w:szCs w:val="20"/>
                <w:lang w:val="en-US"/>
              </w:rPr>
              <w:t>McLachlin C.J. and Abella, Moldaver, Karakatsanis, Wagner, Gascon, Côté, Brown and Rowe JJ.</w:t>
            </w:r>
          </w:p>
          <w:p w:rsidR="00DD48FF" w:rsidRPr="00DD48FF" w:rsidRDefault="00DD48FF" w:rsidP="00DD48FF">
            <w:pPr>
              <w:rPr>
                <w:lang w:val="en-US"/>
              </w:rPr>
            </w:pPr>
          </w:p>
        </w:tc>
      </w:tr>
      <w:tr w:rsidR="00F9185B" w:rsidRPr="000E560D" w:rsidTr="00F9185B">
        <w:tc>
          <w:tcPr>
            <w:tcW w:w="5000" w:type="pct"/>
            <w:gridSpan w:val="4"/>
          </w:tcPr>
          <w:p w:rsidR="00F9185B" w:rsidRDefault="00DD48FF" w:rsidP="00F9185B">
            <w:pPr>
              <w:pStyle w:val="SCCLsocParty"/>
              <w:jc w:val="both"/>
              <w:rPr>
                <w:sz w:val="20"/>
                <w:szCs w:val="20"/>
                <w:lang w:val="en-US"/>
              </w:rPr>
            </w:pPr>
            <w:r w:rsidRPr="00DD48FF">
              <w:rPr>
                <w:sz w:val="20"/>
                <w:szCs w:val="20"/>
                <w:lang w:val="en-US"/>
              </w:rPr>
              <w:t>The application for leave to appeal from the judgment of the Court of Appeal of Alberta (Calgary), Number 1601-0132-AC, 2017 ABCA 96, dated March 27, 2017, is dismissed with costs.</w:t>
            </w:r>
          </w:p>
          <w:p w:rsidR="00DD48FF" w:rsidRPr="00DD48FF" w:rsidRDefault="00DD48FF" w:rsidP="00DD48FF">
            <w:pPr>
              <w:rPr>
                <w:lang w:val="en-US"/>
              </w:rPr>
            </w:pPr>
          </w:p>
        </w:tc>
      </w:tr>
      <w:tr w:rsidR="00B0072F" w:rsidRPr="000E560D" w:rsidTr="00B0072F">
        <w:tc>
          <w:tcPr>
            <w:tcW w:w="5000" w:type="pct"/>
            <w:gridSpan w:val="4"/>
          </w:tcPr>
          <w:p w:rsidR="00B0072F" w:rsidRPr="000E560D" w:rsidRDefault="00B0072F" w:rsidP="00B0072F">
            <w:pPr>
              <w:jc w:val="both"/>
              <w:rPr>
                <w:sz w:val="20"/>
              </w:rPr>
            </w:pPr>
            <w:r w:rsidRPr="000E560D">
              <w:rPr>
                <w:sz w:val="20"/>
              </w:rPr>
              <w:t xml:space="preserve">Torts — Negligence — Private law duty of care — Taxation audit resulting in reassessments —Applicant filing Statement of Claim alleging several causes of action, including negligence, against Canada Revenue Agency (CRA) and its officers for conduct during course of audit — </w:t>
            </w:r>
            <w:r w:rsidRPr="000E560D">
              <w:rPr>
                <w:sz w:val="20"/>
                <w:lang w:val="en"/>
              </w:rPr>
              <w:t xml:space="preserve">Court of Queen’s Bench of Alberta making order striking all causes of action except misfeasance of public office claim, which was stayed pending outcome of proceedings in Tax Court of Canada — Court of Appeal dismissing appeal — </w:t>
            </w:r>
            <w:r w:rsidRPr="000E560D">
              <w:rPr>
                <w:sz w:val="20"/>
              </w:rPr>
              <w:t>Whether CRA can ever owe a duty of care to an individual taxpayer and if so, when?</w:t>
            </w:r>
          </w:p>
        </w:tc>
      </w:tr>
      <w:tr w:rsidR="00B0072F" w:rsidRPr="000E560D" w:rsidTr="00B0072F">
        <w:tc>
          <w:tcPr>
            <w:tcW w:w="5000" w:type="pct"/>
            <w:gridSpan w:val="4"/>
          </w:tcPr>
          <w:p w:rsidR="00B0072F" w:rsidRPr="000E560D" w:rsidRDefault="00B0072F" w:rsidP="00B0072F">
            <w:pPr>
              <w:jc w:val="both"/>
              <w:rPr>
                <w:sz w:val="20"/>
              </w:rPr>
            </w:pPr>
          </w:p>
        </w:tc>
      </w:tr>
      <w:tr w:rsidR="00B0072F" w:rsidRPr="000E560D" w:rsidTr="00B0072F">
        <w:tc>
          <w:tcPr>
            <w:tcW w:w="5000" w:type="pct"/>
            <w:gridSpan w:val="4"/>
          </w:tcPr>
          <w:p w:rsidR="00B0072F" w:rsidRPr="000E560D" w:rsidRDefault="00B0072F" w:rsidP="00B0072F">
            <w:pPr>
              <w:jc w:val="both"/>
              <w:rPr>
                <w:sz w:val="20"/>
                <w:lang w:val="en"/>
              </w:rPr>
            </w:pPr>
            <w:r w:rsidRPr="000E560D">
              <w:rPr>
                <w:sz w:val="20"/>
                <w:lang w:val="en"/>
              </w:rPr>
              <w:lastRenderedPageBreak/>
              <w:t xml:space="preserve">The Applicant, Mr. Grenon commenced a private law claim for recovery of damages, alleging negligence, misfeasance in public office and interference with contractual relations and fiduciary duty, all arising from the conduct of the respondents </w:t>
            </w:r>
            <w:r w:rsidRPr="000E560D">
              <w:rPr>
                <w:bCs/>
                <w:sz w:val="20"/>
                <w:lang w:val="en"/>
              </w:rPr>
              <w:t>CRA</w:t>
            </w:r>
            <w:r w:rsidRPr="000E560D">
              <w:rPr>
                <w:b/>
                <w:bCs/>
                <w:sz w:val="20"/>
                <w:lang w:val="en"/>
              </w:rPr>
              <w:t xml:space="preserve"> </w:t>
            </w:r>
            <w:r w:rsidRPr="000E560D">
              <w:rPr>
                <w:sz w:val="20"/>
                <w:lang w:val="en"/>
              </w:rPr>
              <w:t>and its officers in the course of an investigative audit.</w:t>
            </w:r>
          </w:p>
          <w:p w:rsidR="00B0072F" w:rsidRPr="000E560D" w:rsidRDefault="00B0072F" w:rsidP="00B0072F">
            <w:pPr>
              <w:jc w:val="both"/>
              <w:rPr>
                <w:sz w:val="20"/>
                <w:lang w:val="en"/>
              </w:rPr>
            </w:pPr>
          </w:p>
          <w:p w:rsidR="00B0072F" w:rsidRPr="000E560D" w:rsidRDefault="00B0072F" w:rsidP="00B0072F">
            <w:pPr>
              <w:jc w:val="both"/>
              <w:rPr>
                <w:sz w:val="20"/>
              </w:rPr>
            </w:pPr>
            <w:r w:rsidRPr="000E560D">
              <w:rPr>
                <w:sz w:val="20"/>
                <w:lang w:val="en" w:eastAsia="en-CA"/>
              </w:rPr>
              <w:t>The Court of Queen’s Bench of Alberta</w:t>
            </w:r>
            <w:r w:rsidRPr="000E560D">
              <w:rPr>
                <w:sz w:val="20"/>
                <w:lang w:eastAsia="en-CA"/>
              </w:rPr>
              <w:t xml:space="preserve"> struck all causes of action in the applicant’s statement of claim struck except for the claim of misfeasance in public office which was stayed pending a decision of the Tax Court of Canada. The Court of Appeal dismissed the appeal.  </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May 6, 2016</w:t>
            </w:r>
          </w:p>
          <w:p w:rsidR="00B0072F" w:rsidRPr="000E560D" w:rsidRDefault="00B0072F" w:rsidP="00B0072F">
            <w:pPr>
              <w:jc w:val="both"/>
              <w:rPr>
                <w:sz w:val="20"/>
              </w:rPr>
            </w:pPr>
            <w:r w:rsidRPr="000E560D">
              <w:rPr>
                <w:sz w:val="20"/>
              </w:rPr>
              <w:t>Court of Queen’s Bench of Alberta</w:t>
            </w:r>
          </w:p>
          <w:p w:rsidR="00B0072F" w:rsidRPr="000E560D" w:rsidRDefault="00B0072F" w:rsidP="00B0072F">
            <w:pPr>
              <w:jc w:val="both"/>
              <w:rPr>
                <w:sz w:val="20"/>
              </w:rPr>
            </w:pPr>
            <w:r w:rsidRPr="000E560D">
              <w:rPr>
                <w:sz w:val="20"/>
              </w:rPr>
              <w:t>(Dario J.)</w:t>
            </w:r>
          </w:p>
          <w:p w:rsidR="00B0072F" w:rsidRPr="000E560D" w:rsidRDefault="006B07D6" w:rsidP="00B0072F">
            <w:pPr>
              <w:jc w:val="both"/>
              <w:rPr>
                <w:sz w:val="20"/>
              </w:rPr>
            </w:pPr>
            <w:hyperlink r:id="rId46" w:history="1">
              <w:r w:rsidR="00B0072F" w:rsidRPr="000E560D">
                <w:rPr>
                  <w:rStyle w:val="Hyperlink"/>
                  <w:sz w:val="20"/>
                </w:rPr>
                <w:t>2016 ABQB 260</w:t>
              </w:r>
            </w:hyperlink>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All causes of action in Applicant’s statement of claim struck except for the claim of misfeasance in public office which was stayed pending a decision of the Tax Court of Canada.</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March 27, 2017</w:t>
            </w:r>
          </w:p>
          <w:p w:rsidR="00B0072F" w:rsidRPr="000E560D" w:rsidRDefault="00B0072F" w:rsidP="00B0072F">
            <w:pPr>
              <w:jc w:val="both"/>
              <w:rPr>
                <w:sz w:val="20"/>
              </w:rPr>
            </w:pPr>
            <w:r w:rsidRPr="000E560D">
              <w:rPr>
                <w:sz w:val="20"/>
              </w:rPr>
              <w:t>Court of Appeal of Alberta (Calgary)</w:t>
            </w:r>
          </w:p>
          <w:p w:rsidR="00B0072F" w:rsidRPr="000E560D" w:rsidRDefault="00B0072F" w:rsidP="00B0072F">
            <w:pPr>
              <w:jc w:val="both"/>
              <w:rPr>
                <w:sz w:val="20"/>
              </w:rPr>
            </w:pPr>
            <w:r w:rsidRPr="000E560D">
              <w:rPr>
                <w:sz w:val="20"/>
              </w:rPr>
              <w:t>(Veldhuis, Schutz and Crighton JJ.A.)</w:t>
            </w:r>
          </w:p>
          <w:p w:rsidR="00B0072F" w:rsidRPr="000E560D" w:rsidRDefault="006B07D6" w:rsidP="00B0072F">
            <w:pPr>
              <w:jc w:val="both"/>
              <w:rPr>
                <w:sz w:val="20"/>
              </w:rPr>
            </w:pPr>
            <w:hyperlink r:id="rId47" w:history="1">
              <w:r w:rsidR="00B0072F" w:rsidRPr="000E560D">
                <w:rPr>
                  <w:rStyle w:val="Hyperlink"/>
                  <w:sz w:val="20"/>
                </w:rPr>
                <w:t>2017 ABCA 96</w:t>
              </w:r>
            </w:hyperlink>
          </w:p>
          <w:p w:rsidR="00B0072F" w:rsidRPr="000E560D" w:rsidRDefault="00B0072F" w:rsidP="00B0072F">
            <w:pPr>
              <w:jc w:val="both"/>
              <w:rPr>
                <w:sz w:val="20"/>
              </w:rPr>
            </w:pPr>
            <w:r w:rsidRPr="000E560D">
              <w:rPr>
                <w:sz w:val="20"/>
              </w:rPr>
              <w:t>File No.: 1601-0132-AC</w:t>
            </w:r>
          </w:p>
          <w:p w:rsidR="00B0072F" w:rsidRPr="000E560D" w:rsidRDefault="00B0072F" w:rsidP="00B0072F">
            <w:pPr>
              <w:jc w:val="both"/>
              <w:rPr>
                <w:sz w:val="20"/>
              </w:rPr>
            </w:pP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Appeal dismissed except issue of whether the Applicant is the proper party to sue on behalf of RRSP trust, allowed.</w:t>
            </w:r>
          </w:p>
          <w:p w:rsidR="00B0072F" w:rsidRPr="000E560D" w:rsidRDefault="00B0072F" w:rsidP="00B0072F">
            <w:pPr>
              <w:jc w:val="both"/>
              <w:rPr>
                <w:sz w:val="20"/>
              </w:rPr>
            </w:pPr>
          </w:p>
        </w:tc>
      </w:tr>
      <w:tr w:rsidR="00B0072F" w:rsidRPr="000E560D" w:rsidTr="00B0072F">
        <w:tc>
          <w:tcPr>
            <w:tcW w:w="2427" w:type="pct"/>
            <w:gridSpan w:val="2"/>
          </w:tcPr>
          <w:p w:rsidR="00B0072F" w:rsidRPr="000E560D" w:rsidRDefault="00B0072F" w:rsidP="00B0072F">
            <w:pPr>
              <w:jc w:val="both"/>
              <w:rPr>
                <w:sz w:val="20"/>
              </w:rPr>
            </w:pPr>
            <w:r w:rsidRPr="000E560D">
              <w:rPr>
                <w:sz w:val="20"/>
              </w:rPr>
              <w:t>May 25, 2017</w:t>
            </w:r>
          </w:p>
          <w:p w:rsidR="00B0072F" w:rsidRPr="000E560D" w:rsidRDefault="00B0072F" w:rsidP="00B0072F">
            <w:pPr>
              <w:jc w:val="both"/>
              <w:rPr>
                <w:sz w:val="20"/>
              </w:rPr>
            </w:pPr>
            <w:r w:rsidRPr="000E560D">
              <w:rPr>
                <w:sz w:val="20"/>
              </w:rPr>
              <w:t>Supreme Court of Canada</w:t>
            </w:r>
          </w:p>
        </w:tc>
        <w:tc>
          <w:tcPr>
            <w:tcW w:w="243" w:type="pct"/>
          </w:tcPr>
          <w:p w:rsidR="00B0072F" w:rsidRPr="000E560D" w:rsidRDefault="00B0072F" w:rsidP="00B0072F">
            <w:pPr>
              <w:jc w:val="both"/>
              <w:rPr>
                <w:sz w:val="20"/>
              </w:rPr>
            </w:pPr>
          </w:p>
        </w:tc>
        <w:tc>
          <w:tcPr>
            <w:tcW w:w="2330" w:type="pct"/>
          </w:tcPr>
          <w:p w:rsidR="00B0072F" w:rsidRPr="000E560D" w:rsidRDefault="00B0072F" w:rsidP="00B0072F">
            <w:pPr>
              <w:jc w:val="both"/>
              <w:rPr>
                <w:sz w:val="20"/>
              </w:rPr>
            </w:pPr>
            <w:r w:rsidRPr="000E560D">
              <w:rPr>
                <w:sz w:val="20"/>
              </w:rPr>
              <w:t>Application for leave to appeal filed.</w:t>
            </w:r>
          </w:p>
          <w:p w:rsidR="00B0072F" w:rsidRPr="000E560D" w:rsidRDefault="00B0072F" w:rsidP="00B0072F">
            <w:pPr>
              <w:jc w:val="both"/>
              <w:rPr>
                <w:sz w:val="20"/>
              </w:rPr>
            </w:pPr>
          </w:p>
        </w:tc>
      </w:tr>
    </w:tbl>
    <w:p w:rsidR="00B0072F" w:rsidRPr="000E560D" w:rsidRDefault="006B07D6" w:rsidP="00B0072F">
      <w:pPr>
        <w:jc w:val="both"/>
        <w:rPr>
          <w:sz w:val="20"/>
        </w:rPr>
      </w:pPr>
      <w:r>
        <w:rPr>
          <w:sz w:val="20"/>
          <w:szCs w:val="20"/>
        </w:rPr>
        <w:pict>
          <v:rect id="_x0000_i1060" style="width:2in;height:1pt" o:hrpct="0" o:hralign="center" o:hrstd="t" o:hrnoshade="t" o:hr="t" fillcolor="black [3213]" stroked="f"/>
        </w:pict>
      </w:r>
    </w:p>
    <w:p w:rsidR="00B0072F" w:rsidRPr="000E560D" w:rsidRDefault="00B0072F" w:rsidP="00B0072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B0072F" w:rsidRPr="00DD48FF" w:rsidTr="00B0072F">
        <w:tc>
          <w:tcPr>
            <w:tcW w:w="543" w:type="pct"/>
          </w:tcPr>
          <w:p w:rsidR="00B0072F" w:rsidRPr="00DD48FF" w:rsidRDefault="00B0072F" w:rsidP="00B0072F">
            <w:pPr>
              <w:jc w:val="both"/>
              <w:rPr>
                <w:sz w:val="20"/>
                <w:lang w:val="fr-CA"/>
              </w:rPr>
            </w:pPr>
            <w:r w:rsidRPr="00DD48FF">
              <w:rPr>
                <w:rStyle w:val="SCCFileNumberChar"/>
                <w:sz w:val="20"/>
                <w:szCs w:val="20"/>
                <w:lang w:val="fr-CA"/>
              </w:rPr>
              <w:t>37584</w:t>
            </w:r>
          </w:p>
        </w:tc>
        <w:tc>
          <w:tcPr>
            <w:tcW w:w="4457" w:type="pct"/>
            <w:gridSpan w:val="3"/>
          </w:tcPr>
          <w:p w:rsidR="00B0072F" w:rsidRPr="00DD48FF" w:rsidRDefault="00DD48FF" w:rsidP="00F9185B">
            <w:pPr>
              <w:pStyle w:val="SCCLsocParty"/>
              <w:jc w:val="both"/>
              <w:rPr>
                <w:sz w:val="20"/>
              </w:rPr>
            </w:pPr>
            <w:r w:rsidRPr="00DD48FF">
              <w:rPr>
                <w:b/>
                <w:sz w:val="20"/>
                <w:szCs w:val="20"/>
                <w:lang w:val="fr-FR"/>
              </w:rPr>
              <w:t>James T. Grenon c. Agence du revenu du Canada, Procureur général du Canada, Scott Shelton, Gordon Lawrence, Derek Carroll, Gordon Ross, Helen Little, Andre Baril, Jane Doe, John Doe, Bruce Lo, Lizy Jacob et Judith Thain</w:t>
            </w:r>
            <w:r w:rsidRPr="00DD48FF">
              <w:rPr>
                <w:sz w:val="20"/>
              </w:rPr>
              <w:t xml:space="preserve"> </w:t>
            </w:r>
            <w:r w:rsidR="00B0072F" w:rsidRPr="00DD48FF">
              <w:rPr>
                <w:sz w:val="20"/>
              </w:rPr>
              <w:t>(Alb.) (Civile) (Sur autorisation)</w:t>
            </w:r>
          </w:p>
        </w:tc>
      </w:tr>
      <w:tr w:rsidR="00F9185B" w:rsidRPr="006B07D6" w:rsidTr="00B0072F">
        <w:tc>
          <w:tcPr>
            <w:tcW w:w="543" w:type="pct"/>
          </w:tcPr>
          <w:p w:rsidR="00F9185B" w:rsidRPr="000E560D" w:rsidRDefault="00F9185B" w:rsidP="00B0072F">
            <w:pPr>
              <w:jc w:val="both"/>
              <w:rPr>
                <w:rStyle w:val="SCCFileNumberChar"/>
                <w:sz w:val="20"/>
                <w:szCs w:val="20"/>
                <w:lang w:val="fr-CA"/>
              </w:rPr>
            </w:pPr>
            <w:r>
              <w:rPr>
                <w:rStyle w:val="SCCFileNumberChar"/>
                <w:sz w:val="20"/>
                <w:szCs w:val="20"/>
                <w:lang w:val="fr-CA"/>
              </w:rPr>
              <w:t xml:space="preserve">Coram : </w:t>
            </w:r>
          </w:p>
        </w:tc>
        <w:tc>
          <w:tcPr>
            <w:tcW w:w="4457" w:type="pct"/>
            <w:gridSpan w:val="3"/>
          </w:tcPr>
          <w:p w:rsidR="00F9185B" w:rsidRDefault="00DD48FF" w:rsidP="00F9185B">
            <w:pPr>
              <w:pStyle w:val="SCCLsocParty"/>
              <w:jc w:val="both"/>
              <w:rPr>
                <w:sz w:val="20"/>
                <w:szCs w:val="20"/>
                <w:lang w:val="fr-FR"/>
              </w:rPr>
            </w:pPr>
            <w:r w:rsidRPr="005457B4">
              <w:rPr>
                <w:sz w:val="20"/>
                <w:szCs w:val="20"/>
                <w:lang w:val="fr-FR"/>
              </w:rPr>
              <w:t>La juge en chef McLachlin et les juges Abella, Moldaver, Karakatsanis, Wagner, Gascon, Côté, Brown et Rowe</w:t>
            </w:r>
          </w:p>
          <w:p w:rsidR="00DD48FF" w:rsidRPr="00DD48FF" w:rsidRDefault="00DD48FF" w:rsidP="00DD48FF">
            <w:pPr>
              <w:rPr>
                <w:lang w:val="fr-FR"/>
              </w:rPr>
            </w:pPr>
          </w:p>
        </w:tc>
      </w:tr>
      <w:tr w:rsidR="00F9185B" w:rsidRPr="006B07D6" w:rsidTr="00F9185B">
        <w:tc>
          <w:tcPr>
            <w:tcW w:w="5000" w:type="pct"/>
            <w:gridSpan w:val="4"/>
          </w:tcPr>
          <w:p w:rsidR="00F9185B" w:rsidRDefault="00DD48FF" w:rsidP="00F9185B">
            <w:pPr>
              <w:pStyle w:val="SCCLsocParty"/>
              <w:jc w:val="both"/>
              <w:rPr>
                <w:sz w:val="20"/>
                <w:szCs w:val="20"/>
              </w:rPr>
            </w:pPr>
            <w:r w:rsidRPr="005457B4">
              <w:rPr>
                <w:sz w:val="20"/>
                <w:szCs w:val="20"/>
              </w:rPr>
              <w:t xml:space="preserve">La demande d’autorisation d’appel de l’arrêt de la </w:t>
            </w:r>
            <w:r w:rsidRPr="005457B4">
              <w:rPr>
                <w:sz w:val="20"/>
                <w:szCs w:val="20"/>
                <w:lang w:val="fr-FR"/>
              </w:rPr>
              <w:t>Cour d’appel de l’Alberta (Calgary)</w:t>
            </w:r>
            <w:r w:rsidRPr="005457B4">
              <w:rPr>
                <w:sz w:val="20"/>
                <w:szCs w:val="20"/>
              </w:rPr>
              <w:t xml:space="preserve">, numéro </w:t>
            </w:r>
            <w:r w:rsidRPr="005457B4">
              <w:rPr>
                <w:sz w:val="20"/>
                <w:szCs w:val="20"/>
                <w:lang w:val="fr-FR"/>
              </w:rPr>
              <w:t>1601-0132-AC, 2017 ABCA 96</w:t>
            </w:r>
            <w:r w:rsidRPr="005457B4">
              <w:rPr>
                <w:sz w:val="20"/>
                <w:szCs w:val="20"/>
              </w:rPr>
              <w:t xml:space="preserve">, daté du </w:t>
            </w:r>
            <w:r w:rsidRPr="005457B4">
              <w:rPr>
                <w:sz w:val="20"/>
                <w:szCs w:val="20"/>
                <w:lang w:val="fr-FR"/>
              </w:rPr>
              <w:t>27 mars 2017</w:t>
            </w:r>
            <w:r w:rsidRPr="005457B4">
              <w:rPr>
                <w:sz w:val="20"/>
                <w:szCs w:val="20"/>
              </w:rPr>
              <w:t>, est rejetée avec dépens.</w:t>
            </w:r>
          </w:p>
          <w:p w:rsidR="00DD48FF" w:rsidRPr="00DD48FF" w:rsidRDefault="00DD48FF" w:rsidP="00DD48FF">
            <w:pPr>
              <w:rPr>
                <w:lang w:val="fr-CA"/>
              </w:rPr>
            </w:pPr>
          </w:p>
        </w:tc>
      </w:tr>
      <w:tr w:rsidR="00B0072F" w:rsidRPr="006B07D6" w:rsidTr="00B0072F">
        <w:tc>
          <w:tcPr>
            <w:tcW w:w="5000" w:type="pct"/>
            <w:gridSpan w:val="4"/>
          </w:tcPr>
          <w:p w:rsidR="00B0072F" w:rsidRPr="000E560D" w:rsidRDefault="00B0072F" w:rsidP="00B0072F">
            <w:pPr>
              <w:jc w:val="both"/>
              <w:rPr>
                <w:sz w:val="20"/>
                <w:lang w:val="fr-CA"/>
              </w:rPr>
            </w:pPr>
            <w:r w:rsidRPr="000E560D">
              <w:rPr>
                <w:sz w:val="20"/>
                <w:lang w:val="fr-CA"/>
              </w:rPr>
              <w:t>Responsabilité délictuelle — Négligence — Obligation de diligence de droit privé — Vérification fiscale donnant lieu à de nouvelles cotisations — Dépôt par le demandeur d’une déclaration alléguant plusieurs causes d’action, notamment la négligence, contre l’Agence du revenu du Canada (ARC) et ses dirigeants en raison de leur conduite lors de la vérification — Ordonnance rendue par la Cour du Banc de la Reine de l’Alberta radiant toutes les causes d’action à l’exception de la faute dans l’exercice d’une charge publique, qui a été suspendue en attendant l’issue de l’instance devant la Cour canadienne de l’impôt — Rejet de l’appel par la Cour d’appel — L’ARC peut-elle avoir une obligation de diligence envers un contribuable individuel, et dans l’affirmative, dans quelles circonstances?</w:t>
            </w:r>
          </w:p>
        </w:tc>
      </w:tr>
      <w:tr w:rsidR="00B0072F" w:rsidRPr="006B07D6" w:rsidTr="00B0072F">
        <w:tc>
          <w:tcPr>
            <w:tcW w:w="5000" w:type="pct"/>
            <w:gridSpan w:val="4"/>
          </w:tcPr>
          <w:p w:rsidR="00B0072F" w:rsidRPr="000E560D" w:rsidRDefault="00B0072F" w:rsidP="00B0072F">
            <w:pPr>
              <w:jc w:val="both"/>
              <w:rPr>
                <w:sz w:val="20"/>
                <w:lang w:val="fr-CA"/>
              </w:rPr>
            </w:pPr>
          </w:p>
        </w:tc>
      </w:tr>
      <w:tr w:rsidR="00B0072F" w:rsidRPr="000E560D" w:rsidTr="00B0072F">
        <w:tc>
          <w:tcPr>
            <w:tcW w:w="5000" w:type="pct"/>
            <w:gridSpan w:val="4"/>
          </w:tcPr>
          <w:p w:rsidR="00B0072F" w:rsidRPr="000E560D" w:rsidRDefault="00B0072F" w:rsidP="00B0072F">
            <w:pPr>
              <w:jc w:val="both"/>
              <w:rPr>
                <w:sz w:val="20"/>
                <w:lang w:val="fr-CA"/>
              </w:rPr>
            </w:pPr>
            <w:r w:rsidRPr="000E560D">
              <w:rPr>
                <w:sz w:val="20"/>
                <w:lang w:val="fr-CA"/>
              </w:rPr>
              <w:t>Le demandeur, M. Grenon, a intenté une action de droit privé en dommages-intérêts; il allègue qu’il y a eu négligence, faute dans l’exercice d’une charge publique et entrave à des relations contractuelles et à l’obligation fiduciaire, découlant de la conduite des intimés, soit l’ARC et ses dirigeants, dans le cadre de la vérification.</w:t>
            </w:r>
          </w:p>
          <w:p w:rsidR="00B0072F" w:rsidRPr="000E560D" w:rsidRDefault="00B0072F" w:rsidP="00B0072F">
            <w:pPr>
              <w:jc w:val="both"/>
              <w:rPr>
                <w:sz w:val="20"/>
                <w:lang w:val="fr-CA"/>
              </w:rPr>
            </w:pPr>
          </w:p>
          <w:p w:rsidR="00B0072F" w:rsidRPr="000E560D" w:rsidRDefault="00B0072F" w:rsidP="00B0072F">
            <w:pPr>
              <w:jc w:val="both"/>
              <w:rPr>
                <w:sz w:val="20"/>
                <w:lang w:val="fr-CA" w:eastAsia="en-CA"/>
              </w:rPr>
            </w:pPr>
            <w:r w:rsidRPr="000E560D">
              <w:rPr>
                <w:sz w:val="20"/>
                <w:lang w:val="fr-CA" w:eastAsia="en-CA"/>
              </w:rPr>
              <w:t xml:space="preserve">La Cour du Banc de la Reine de l’Alberta a radié toutes les causes d’action figurant dans la déclaration du demandeur, à l’exception de l’allégation de faute dans l’exercice d’une charge publique, qui a été suspendue jusqu’à ce que la Cour canadienne de l’impôt rende une décision. La Cour d’appel a rejeté l’appel.  </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lastRenderedPageBreak/>
              <w:t>6 mai 2016</w:t>
            </w:r>
          </w:p>
          <w:p w:rsidR="00B0072F" w:rsidRPr="000E560D" w:rsidRDefault="00B0072F" w:rsidP="00B0072F">
            <w:pPr>
              <w:jc w:val="both"/>
              <w:rPr>
                <w:sz w:val="20"/>
                <w:lang w:val="fr-CA"/>
              </w:rPr>
            </w:pPr>
            <w:r w:rsidRPr="000E560D">
              <w:rPr>
                <w:sz w:val="20"/>
                <w:lang w:val="fr-CA"/>
              </w:rPr>
              <w:t>Cour du Banc de la Reine de l’Alberta</w:t>
            </w:r>
          </w:p>
          <w:p w:rsidR="00B0072F" w:rsidRPr="000E560D" w:rsidRDefault="00B0072F" w:rsidP="00B0072F">
            <w:pPr>
              <w:jc w:val="both"/>
              <w:rPr>
                <w:sz w:val="20"/>
                <w:lang w:val="fr-CA"/>
              </w:rPr>
            </w:pPr>
            <w:r w:rsidRPr="000E560D">
              <w:rPr>
                <w:sz w:val="20"/>
                <w:lang w:val="fr-CA"/>
              </w:rPr>
              <w:t>(Juge Dario)</w:t>
            </w:r>
          </w:p>
          <w:p w:rsidR="00B0072F" w:rsidRPr="000E560D" w:rsidRDefault="006B07D6" w:rsidP="00B0072F">
            <w:pPr>
              <w:jc w:val="both"/>
              <w:rPr>
                <w:sz w:val="20"/>
                <w:lang w:val="fr-CA"/>
              </w:rPr>
            </w:pPr>
            <w:hyperlink r:id="rId48" w:history="1">
              <w:r w:rsidR="00B0072F" w:rsidRPr="000E560D">
                <w:rPr>
                  <w:rStyle w:val="Hyperlink"/>
                  <w:sz w:val="20"/>
                  <w:lang w:val="fr-CA"/>
                </w:rPr>
                <w:t>2016 ABQB 260</w:t>
              </w:r>
            </w:hyperlink>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Radiation de toutes les causes d’action figurant dans la déclaration du demandeur, à l’exception de l’allégation de faute dans l’exercice d’une charge publique, qui a été suspendue jusqu’à ce que la Cour canadienne de l’impôt rende une décision.</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27 mars 2017</w:t>
            </w:r>
          </w:p>
          <w:p w:rsidR="00B0072F" w:rsidRPr="000E560D" w:rsidRDefault="00B0072F" w:rsidP="00B0072F">
            <w:pPr>
              <w:jc w:val="both"/>
              <w:rPr>
                <w:sz w:val="20"/>
                <w:lang w:val="fr-CA"/>
              </w:rPr>
            </w:pPr>
            <w:r w:rsidRPr="000E560D">
              <w:rPr>
                <w:sz w:val="20"/>
                <w:lang w:val="fr-CA"/>
              </w:rPr>
              <w:t>Cour d’appel de l’Alberta (Calgary)</w:t>
            </w:r>
          </w:p>
          <w:p w:rsidR="00B0072F" w:rsidRPr="000E560D" w:rsidRDefault="00B0072F" w:rsidP="00B0072F">
            <w:pPr>
              <w:jc w:val="both"/>
              <w:rPr>
                <w:sz w:val="20"/>
                <w:lang w:val="fr-CA"/>
              </w:rPr>
            </w:pPr>
            <w:r w:rsidRPr="000E560D">
              <w:rPr>
                <w:sz w:val="20"/>
                <w:lang w:val="fr-CA"/>
              </w:rPr>
              <w:t>(Juges Veldhuis, Schutz et Crighton)</w:t>
            </w:r>
          </w:p>
          <w:p w:rsidR="00B0072F" w:rsidRPr="000E560D" w:rsidRDefault="006B07D6" w:rsidP="00B0072F">
            <w:pPr>
              <w:jc w:val="both"/>
              <w:rPr>
                <w:sz w:val="20"/>
                <w:lang w:val="fr-CA"/>
              </w:rPr>
            </w:pPr>
            <w:hyperlink r:id="rId49" w:history="1">
              <w:r w:rsidR="00B0072F" w:rsidRPr="000E560D">
                <w:rPr>
                  <w:rStyle w:val="Hyperlink"/>
                  <w:sz w:val="20"/>
                  <w:lang w:val="fr-CA"/>
                </w:rPr>
                <w:t>2017 ABCA 96</w:t>
              </w:r>
            </w:hyperlink>
          </w:p>
          <w:p w:rsidR="00B0072F" w:rsidRPr="000E560D" w:rsidRDefault="00B0072F" w:rsidP="00B0072F">
            <w:pPr>
              <w:jc w:val="both"/>
              <w:rPr>
                <w:sz w:val="20"/>
                <w:lang w:val="fr-CA"/>
              </w:rPr>
            </w:pPr>
            <w:r w:rsidRPr="000E560D">
              <w:rPr>
                <w:sz w:val="20"/>
                <w:lang w:val="fr-CA"/>
              </w:rPr>
              <w:t>No du greffe : 1601-0132-AC</w:t>
            </w:r>
          </w:p>
          <w:p w:rsidR="00B0072F" w:rsidRPr="000E560D" w:rsidRDefault="00B0072F" w:rsidP="00B0072F">
            <w:pPr>
              <w:jc w:val="both"/>
              <w:rPr>
                <w:sz w:val="20"/>
                <w:lang w:val="fr-CA"/>
              </w:rPr>
            </w:pP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Rejet de l’appel, mais la question de savoir si le demandeur peut avoir qualité pour intenter une poursuite au nom d’un REER régi par une fiducie est accueillie.</w:t>
            </w:r>
          </w:p>
          <w:p w:rsidR="00B0072F" w:rsidRPr="000E560D" w:rsidRDefault="00B0072F" w:rsidP="00B0072F">
            <w:pPr>
              <w:jc w:val="both"/>
              <w:rPr>
                <w:sz w:val="20"/>
                <w:lang w:val="fr-CA"/>
              </w:rPr>
            </w:pPr>
          </w:p>
        </w:tc>
      </w:tr>
      <w:tr w:rsidR="00B0072F" w:rsidRPr="006B07D6" w:rsidTr="00B0072F">
        <w:tc>
          <w:tcPr>
            <w:tcW w:w="2427" w:type="pct"/>
            <w:gridSpan w:val="2"/>
          </w:tcPr>
          <w:p w:rsidR="00B0072F" w:rsidRPr="000E560D" w:rsidRDefault="00B0072F" w:rsidP="00B0072F">
            <w:pPr>
              <w:jc w:val="both"/>
              <w:rPr>
                <w:sz w:val="20"/>
                <w:lang w:val="fr-CA"/>
              </w:rPr>
            </w:pPr>
            <w:r w:rsidRPr="000E560D">
              <w:rPr>
                <w:sz w:val="20"/>
                <w:lang w:val="fr-CA"/>
              </w:rPr>
              <w:t>25 mai 2017</w:t>
            </w:r>
          </w:p>
          <w:p w:rsidR="00B0072F" w:rsidRPr="000E560D" w:rsidRDefault="00B0072F" w:rsidP="00B0072F">
            <w:pPr>
              <w:jc w:val="both"/>
              <w:rPr>
                <w:sz w:val="20"/>
                <w:lang w:val="fr-CA"/>
              </w:rPr>
            </w:pPr>
            <w:r w:rsidRPr="000E560D">
              <w:rPr>
                <w:sz w:val="20"/>
                <w:lang w:val="fr-CA"/>
              </w:rPr>
              <w:t>Cour suprême du Canada</w:t>
            </w:r>
          </w:p>
        </w:tc>
        <w:tc>
          <w:tcPr>
            <w:tcW w:w="243" w:type="pct"/>
          </w:tcPr>
          <w:p w:rsidR="00B0072F" w:rsidRPr="000E560D" w:rsidRDefault="00B0072F" w:rsidP="00B0072F">
            <w:pPr>
              <w:jc w:val="both"/>
              <w:rPr>
                <w:sz w:val="20"/>
                <w:lang w:val="fr-CA"/>
              </w:rPr>
            </w:pPr>
          </w:p>
        </w:tc>
        <w:tc>
          <w:tcPr>
            <w:tcW w:w="2330" w:type="pct"/>
          </w:tcPr>
          <w:p w:rsidR="00B0072F" w:rsidRPr="000E560D" w:rsidRDefault="00B0072F" w:rsidP="00B0072F">
            <w:pPr>
              <w:jc w:val="both"/>
              <w:rPr>
                <w:sz w:val="20"/>
                <w:lang w:val="fr-CA"/>
              </w:rPr>
            </w:pPr>
            <w:r w:rsidRPr="000E560D">
              <w:rPr>
                <w:sz w:val="20"/>
                <w:lang w:val="fr-CA"/>
              </w:rPr>
              <w:t>Dépôt de la demande d’autorisation d’appel.</w:t>
            </w:r>
          </w:p>
          <w:p w:rsidR="00B0072F" w:rsidRPr="000E560D" w:rsidRDefault="00B0072F" w:rsidP="00B0072F">
            <w:pPr>
              <w:jc w:val="both"/>
              <w:rPr>
                <w:sz w:val="20"/>
                <w:lang w:val="fr-CA"/>
              </w:rPr>
            </w:pPr>
          </w:p>
        </w:tc>
      </w:tr>
    </w:tbl>
    <w:p w:rsidR="00B0072F" w:rsidRPr="00B0072F" w:rsidRDefault="00B0072F" w:rsidP="00E8544A">
      <w:pPr>
        <w:rPr>
          <w:sz w:val="20"/>
          <w:szCs w:val="20"/>
          <w:lang w:val="fr-CA"/>
        </w:rPr>
      </w:pPr>
    </w:p>
    <w:p w:rsidR="00E8544A" w:rsidRPr="009D287C" w:rsidRDefault="006B07D6" w:rsidP="00E8544A">
      <w:pPr>
        <w:jc w:val="both"/>
        <w:rPr>
          <w:sz w:val="20"/>
        </w:rPr>
      </w:pPr>
      <w:r>
        <w:rPr>
          <w:sz w:val="20"/>
          <w:szCs w:val="20"/>
        </w:rPr>
        <w:pict>
          <v:rect id="_x0000_i1061" style="width:2in;height:1pt" o:hrpct="0" o:hralign="center" o:hrstd="t" o:hrnoshade="t" o:hr="t" fillcolor="black" stroked="f"/>
        </w:pict>
      </w:r>
    </w:p>
    <w:p w:rsidR="00E8544A" w:rsidRPr="009D287C" w:rsidRDefault="00E8544A" w:rsidP="00E8544A">
      <w:pPr>
        <w:jc w:val="both"/>
        <w:rPr>
          <w:sz w:val="20"/>
        </w:rPr>
      </w:pPr>
    </w:p>
    <w:p w:rsidR="00E8544A" w:rsidRPr="009D287C" w:rsidRDefault="00E8544A" w:rsidP="00E8544A">
      <w:pPr>
        <w:jc w:val="both"/>
        <w:rPr>
          <w:sz w:val="20"/>
          <w:lang w:val="fr-CA"/>
        </w:rPr>
      </w:pP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507366">
          <w:headerReference w:type="even" r:id="rId50"/>
          <w:headerReference w:type="default" r:id="rId51"/>
          <w:footerReference w:type="even" r:id="rId52"/>
          <w:footerReference w:type="default" r:id="rId53"/>
          <w:headerReference w:type="first" r:id="rId54"/>
          <w:footerReference w:type="first" r:id="rId5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183454" w:rsidRDefault="00B52C08" w:rsidP="00183454">
      <w:pPr>
        <w:tabs>
          <w:tab w:val="left" w:pos="-1440"/>
          <w:tab w:val="left" w:pos="-720"/>
        </w:tabs>
        <w:jc w:val="both"/>
        <w:rPr>
          <w:rFonts w:eastAsia="Times New Roman" w:cs="Times New Roman"/>
          <w:sz w:val="20"/>
          <w:szCs w:val="20"/>
          <w:lang w:val="en-US" w:eastAsia="en-CA"/>
        </w:rPr>
      </w:pPr>
      <w:r>
        <w:rPr>
          <w:rFonts w:eastAsia="Times New Roman" w:cs="Times New Roman"/>
          <w:sz w:val="20"/>
          <w:szCs w:val="20"/>
          <w:lang w:val="en-US" w:eastAsia="en-CA"/>
        </w:rPr>
        <w:t>2017.09.11</w:t>
      </w:r>
    </w:p>
    <w:p w:rsidR="00B52C08" w:rsidRDefault="00B52C08" w:rsidP="00183454">
      <w:pPr>
        <w:tabs>
          <w:tab w:val="left" w:pos="-1440"/>
          <w:tab w:val="left" w:pos="-720"/>
        </w:tabs>
        <w:jc w:val="both"/>
        <w:rPr>
          <w:rFonts w:eastAsia="Times New Roman" w:cs="Times New Roman"/>
          <w:sz w:val="20"/>
          <w:szCs w:val="20"/>
          <w:lang w:val="en-US" w:eastAsia="en-CA"/>
        </w:rPr>
      </w:pPr>
    </w:p>
    <w:p w:rsidR="00B52C08" w:rsidRDefault="00B52C08" w:rsidP="00183454">
      <w:pPr>
        <w:tabs>
          <w:tab w:val="left" w:pos="-1440"/>
          <w:tab w:val="left" w:pos="-720"/>
        </w:tabs>
        <w:jc w:val="both"/>
        <w:rPr>
          <w:rFonts w:eastAsia="Times New Roman" w:cs="Times New Roman"/>
          <w:sz w:val="20"/>
          <w:szCs w:val="20"/>
          <w:lang w:val="fr-CA" w:eastAsia="en-CA"/>
        </w:rPr>
      </w:pPr>
      <w:r w:rsidRPr="00B52C08">
        <w:rPr>
          <w:rFonts w:eastAsia="Times New Roman" w:cs="Times New Roman"/>
          <w:sz w:val="20"/>
          <w:szCs w:val="20"/>
          <w:lang w:val="fr-CA" w:eastAsia="en-CA"/>
        </w:rPr>
        <w:t>Before / Devant :   ROWE J. / LE JUGE ROWE</w:t>
      </w:r>
    </w:p>
    <w:p w:rsidR="00B52C08" w:rsidRDefault="00B52C08" w:rsidP="00183454">
      <w:pPr>
        <w:tabs>
          <w:tab w:val="left" w:pos="-1440"/>
          <w:tab w:val="left" w:pos="-720"/>
        </w:tabs>
        <w:jc w:val="both"/>
        <w:rPr>
          <w:rFonts w:eastAsia="Times New Roman" w:cs="Times New Roman"/>
          <w:sz w:val="20"/>
          <w:szCs w:val="20"/>
          <w:lang w:val="fr-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917"/>
        <w:gridCol w:w="1137"/>
        <w:gridCol w:w="4219"/>
      </w:tblGrid>
      <w:tr w:rsidR="00B52C08" w:rsidRPr="00802F41" w:rsidTr="00B52C08">
        <w:tc>
          <w:tcPr>
            <w:tcW w:w="4263" w:type="dxa"/>
            <w:gridSpan w:val="2"/>
          </w:tcPr>
          <w:p w:rsidR="00B52C08" w:rsidRPr="00802F41" w:rsidRDefault="00B52C08" w:rsidP="006B07D6">
            <w:pPr>
              <w:rPr>
                <w:b/>
                <w:sz w:val="20"/>
                <w:szCs w:val="20"/>
              </w:rPr>
            </w:pPr>
            <w:r w:rsidRPr="00802F41">
              <w:rPr>
                <w:b/>
                <w:sz w:val="20"/>
                <w:szCs w:val="20"/>
              </w:rPr>
              <w:t>Motions for leave to intervene</w:t>
            </w:r>
            <w:r w:rsidRPr="00802F41">
              <w:rPr>
                <w:sz w:val="20"/>
                <w:szCs w:val="20"/>
              </w:rPr>
              <w:t xml:space="preserve"> </w:t>
            </w:r>
            <w:r w:rsidRPr="00802F41">
              <w:rPr>
                <w:sz w:val="20"/>
                <w:szCs w:val="20"/>
              </w:rPr>
              <w:fldChar w:fldCharType="begin"/>
            </w:r>
            <w:r w:rsidRPr="00802F41">
              <w:rPr>
                <w:sz w:val="20"/>
                <w:szCs w:val="20"/>
              </w:rPr>
              <w:instrText xml:space="preserve"> SEQ CHAPTER \h \r 1</w:instrText>
            </w:r>
            <w:r w:rsidRPr="00802F41">
              <w:rPr>
                <w:sz w:val="20"/>
                <w:szCs w:val="20"/>
              </w:rPr>
              <w:fldChar w:fldCharType="end"/>
            </w:r>
          </w:p>
        </w:tc>
        <w:tc>
          <w:tcPr>
            <w:tcW w:w="1137" w:type="dxa"/>
          </w:tcPr>
          <w:p w:rsidR="00B52C08" w:rsidRPr="00802F41" w:rsidRDefault="00B52C08" w:rsidP="006B07D6">
            <w:pPr>
              <w:rPr>
                <w:sz w:val="20"/>
                <w:szCs w:val="20"/>
              </w:rPr>
            </w:pPr>
          </w:p>
          <w:p w:rsidR="00B52C08" w:rsidRPr="00802F41" w:rsidRDefault="00B52C08" w:rsidP="006B07D6">
            <w:pPr>
              <w:rPr>
                <w:sz w:val="20"/>
                <w:szCs w:val="20"/>
              </w:rPr>
            </w:pPr>
          </w:p>
        </w:tc>
        <w:tc>
          <w:tcPr>
            <w:tcW w:w="4219" w:type="dxa"/>
          </w:tcPr>
          <w:p w:rsidR="00B52C08" w:rsidRPr="00802F41" w:rsidRDefault="00B52C08" w:rsidP="006B07D6">
            <w:pPr>
              <w:rPr>
                <w:b/>
                <w:sz w:val="20"/>
                <w:szCs w:val="20"/>
              </w:rPr>
            </w:pPr>
            <w:r w:rsidRPr="00802F41">
              <w:rPr>
                <w:b/>
                <w:bCs/>
                <w:sz w:val="20"/>
                <w:szCs w:val="20"/>
                <w:lang w:val="fr-CA"/>
              </w:rPr>
              <w:t>Requêtes en autorisation d’intervenir</w:t>
            </w:r>
            <w:r w:rsidRPr="00802F41">
              <w:rPr>
                <w:sz w:val="20"/>
                <w:szCs w:val="20"/>
              </w:rPr>
              <w:t xml:space="preserve"> </w:t>
            </w:r>
            <w:r w:rsidRPr="00802F41">
              <w:rPr>
                <w:sz w:val="20"/>
                <w:szCs w:val="20"/>
              </w:rPr>
              <w:fldChar w:fldCharType="begin"/>
            </w:r>
            <w:r w:rsidRPr="00802F41">
              <w:rPr>
                <w:sz w:val="20"/>
                <w:szCs w:val="20"/>
              </w:rPr>
              <w:instrText xml:space="preserve"> SEQ CHAPTER \h \r 1</w:instrText>
            </w:r>
            <w:r w:rsidRPr="00802F41">
              <w:rPr>
                <w:sz w:val="20"/>
                <w:szCs w:val="20"/>
              </w:rPr>
              <w:fldChar w:fldCharType="end"/>
            </w:r>
          </w:p>
        </w:tc>
      </w:tr>
      <w:tr w:rsidR="00B52C08" w:rsidRPr="00802F41" w:rsidTr="00B52C08">
        <w:trPr>
          <w:trHeight w:hRule="exact" w:val="360"/>
        </w:trPr>
        <w:tc>
          <w:tcPr>
            <w:tcW w:w="1346" w:type="dxa"/>
          </w:tcPr>
          <w:p w:rsidR="00B52C08" w:rsidRPr="00802F41" w:rsidRDefault="00B52C08" w:rsidP="006B07D6">
            <w:pPr>
              <w:rPr>
                <w:sz w:val="20"/>
                <w:szCs w:val="20"/>
              </w:rPr>
            </w:pPr>
            <w:r w:rsidRPr="00802F41">
              <w:rPr>
                <w:sz w:val="20"/>
                <w:szCs w:val="20"/>
              </w:rPr>
              <w:t>BY / PAR</w:t>
            </w:r>
          </w:p>
        </w:tc>
        <w:tc>
          <w:tcPr>
            <w:tcW w:w="2917" w:type="dxa"/>
          </w:tcPr>
          <w:p w:rsidR="00B52C08" w:rsidRPr="00802F41" w:rsidRDefault="00B52C08" w:rsidP="006B07D6">
            <w:pPr>
              <w:rPr>
                <w:sz w:val="20"/>
                <w:szCs w:val="20"/>
              </w:rPr>
            </w:pPr>
            <w:r w:rsidRPr="00EC6ED4">
              <w:rPr>
                <w:rFonts w:cs="Times New Roman"/>
                <w:bCs/>
                <w:sz w:val="20"/>
                <w:szCs w:val="20"/>
                <w:lang w:val="fr-CA"/>
              </w:rPr>
              <w:t>Equal Pay Coalition</w:t>
            </w:r>
          </w:p>
        </w:tc>
        <w:tc>
          <w:tcPr>
            <w:tcW w:w="1137" w:type="dxa"/>
          </w:tcPr>
          <w:p w:rsidR="00B52C08" w:rsidRPr="00802F41" w:rsidRDefault="00B52C08" w:rsidP="006B07D6">
            <w:pPr>
              <w:rPr>
                <w:sz w:val="20"/>
                <w:szCs w:val="20"/>
              </w:rPr>
            </w:pPr>
          </w:p>
        </w:tc>
        <w:tc>
          <w:tcPr>
            <w:tcW w:w="4219" w:type="dxa"/>
          </w:tcPr>
          <w:p w:rsidR="00B52C08" w:rsidRPr="00802F41" w:rsidRDefault="00B52C08" w:rsidP="006B07D6">
            <w:pPr>
              <w:rPr>
                <w:sz w:val="20"/>
                <w:szCs w:val="20"/>
              </w:rPr>
            </w:pPr>
          </w:p>
        </w:tc>
      </w:tr>
      <w:tr w:rsidR="00B52C08" w:rsidRPr="006B07D6" w:rsidTr="00B52C08">
        <w:tc>
          <w:tcPr>
            <w:tcW w:w="1346" w:type="dxa"/>
          </w:tcPr>
          <w:p w:rsidR="00B52C08" w:rsidRPr="00802F41" w:rsidRDefault="00B52C08" w:rsidP="006B07D6">
            <w:pPr>
              <w:rPr>
                <w:sz w:val="20"/>
                <w:szCs w:val="20"/>
              </w:rPr>
            </w:pPr>
          </w:p>
        </w:tc>
        <w:tc>
          <w:tcPr>
            <w:tcW w:w="2917" w:type="dxa"/>
          </w:tcPr>
          <w:p w:rsidR="00B52C08" w:rsidRPr="00B52C08" w:rsidRDefault="00B52C08" w:rsidP="00B52C08">
            <w:pPr>
              <w:rPr>
                <w:sz w:val="20"/>
                <w:szCs w:val="20"/>
                <w:lang w:val="fr-CA"/>
              </w:rPr>
            </w:pPr>
            <w:r w:rsidRPr="00EC6ED4">
              <w:rPr>
                <w:rFonts w:cs="Times New Roman"/>
                <w:bCs/>
                <w:sz w:val="20"/>
                <w:szCs w:val="20"/>
                <w:lang w:val="fr-CA"/>
              </w:rPr>
              <w:t>Coalition pour l’équité salariale du Nouveau-Brunswick</w:t>
            </w:r>
            <w:r>
              <w:rPr>
                <w:rFonts w:cs="Times New Roman"/>
                <w:bCs/>
                <w:sz w:val="20"/>
                <w:szCs w:val="20"/>
                <w:lang w:val="fr-CA"/>
              </w:rPr>
              <w:t xml:space="preserve"> et</w:t>
            </w:r>
            <w:r w:rsidRPr="00EC6ED4">
              <w:rPr>
                <w:rFonts w:cs="Times New Roman"/>
                <w:bCs/>
                <w:sz w:val="20"/>
                <w:szCs w:val="20"/>
                <w:lang w:val="fr-CA"/>
              </w:rPr>
              <w:t xml:space="preserve"> Fonds d’action et d’éducation juridiques pour les femmes (conjointement)</w:t>
            </w:r>
          </w:p>
        </w:tc>
        <w:tc>
          <w:tcPr>
            <w:tcW w:w="1137" w:type="dxa"/>
          </w:tcPr>
          <w:p w:rsidR="00B52C08" w:rsidRPr="00B52C08" w:rsidRDefault="00B52C08" w:rsidP="006B07D6">
            <w:pPr>
              <w:rPr>
                <w:sz w:val="20"/>
                <w:szCs w:val="20"/>
                <w:lang w:val="fr-CA"/>
              </w:rPr>
            </w:pPr>
          </w:p>
        </w:tc>
        <w:tc>
          <w:tcPr>
            <w:tcW w:w="4219" w:type="dxa"/>
          </w:tcPr>
          <w:p w:rsidR="00B52C08" w:rsidRPr="00B52C08" w:rsidRDefault="00B52C08" w:rsidP="006B07D6">
            <w:pPr>
              <w:rPr>
                <w:sz w:val="20"/>
                <w:szCs w:val="20"/>
                <w:lang w:val="fr-CA"/>
              </w:rPr>
            </w:pPr>
          </w:p>
        </w:tc>
      </w:tr>
      <w:tr w:rsidR="00B52C08" w:rsidRPr="006B07D6" w:rsidTr="00B52C08">
        <w:tc>
          <w:tcPr>
            <w:tcW w:w="1346" w:type="dxa"/>
          </w:tcPr>
          <w:p w:rsidR="00B52C08" w:rsidRPr="00B52C08" w:rsidRDefault="00B52C08" w:rsidP="006B07D6">
            <w:pPr>
              <w:rPr>
                <w:sz w:val="20"/>
                <w:szCs w:val="20"/>
                <w:lang w:val="fr-CA"/>
              </w:rPr>
            </w:pPr>
          </w:p>
        </w:tc>
        <w:tc>
          <w:tcPr>
            <w:tcW w:w="2917" w:type="dxa"/>
          </w:tcPr>
          <w:p w:rsidR="00B52C08" w:rsidRPr="00B52C08" w:rsidRDefault="00B52C08" w:rsidP="006B07D6">
            <w:pPr>
              <w:rPr>
                <w:sz w:val="20"/>
                <w:szCs w:val="20"/>
                <w:lang w:val="fr-CA"/>
              </w:rPr>
            </w:pPr>
            <w:r w:rsidRPr="00EC6ED4">
              <w:rPr>
                <w:rFonts w:cs="Times New Roman"/>
                <w:bCs/>
                <w:sz w:val="20"/>
                <w:szCs w:val="20"/>
                <w:lang w:val="fr-CA"/>
              </w:rPr>
              <w:t>Alliance de la fonction publique du Canada</w:t>
            </w:r>
          </w:p>
        </w:tc>
        <w:tc>
          <w:tcPr>
            <w:tcW w:w="1137" w:type="dxa"/>
          </w:tcPr>
          <w:p w:rsidR="00B52C08" w:rsidRPr="00B52C08" w:rsidRDefault="00B52C08" w:rsidP="006B07D6">
            <w:pPr>
              <w:rPr>
                <w:sz w:val="20"/>
                <w:szCs w:val="20"/>
                <w:lang w:val="fr-CA"/>
              </w:rPr>
            </w:pPr>
          </w:p>
        </w:tc>
        <w:tc>
          <w:tcPr>
            <w:tcW w:w="4219" w:type="dxa"/>
          </w:tcPr>
          <w:p w:rsidR="00B52C08" w:rsidRPr="00B52C08" w:rsidRDefault="00B52C08" w:rsidP="006B07D6">
            <w:pPr>
              <w:rPr>
                <w:sz w:val="20"/>
                <w:szCs w:val="20"/>
                <w:lang w:val="fr-CA"/>
              </w:rPr>
            </w:pPr>
          </w:p>
        </w:tc>
      </w:tr>
      <w:tr w:rsidR="00B52C08" w:rsidRPr="006B07D6" w:rsidTr="00B52C08">
        <w:tc>
          <w:tcPr>
            <w:tcW w:w="1346" w:type="dxa"/>
          </w:tcPr>
          <w:p w:rsidR="00B52C08" w:rsidRPr="00B52C08" w:rsidRDefault="00B52C08" w:rsidP="006B07D6">
            <w:pPr>
              <w:rPr>
                <w:sz w:val="20"/>
                <w:szCs w:val="20"/>
                <w:lang w:val="fr-CA"/>
              </w:rPr>
            </w:pPr>
          </w:p>
        </w:tc>
        <w:tc>
          <w:tcPr>
            <w:tcW w:w="2917" w:type="dxa"/>
          </w:tcPr>
          <w:p w:rsidR="00B52C08" w:rsidRPr="00B52C08" w:rsidRDefault="00B52C08" w:rsidP="006B07D6">
            <w:pPr>
              <w:rPr>
                <w:sz w:val="20"/>
                <w:szCs w:val="20"/>
                <w:lang w:val="fr-CA"/>
              </w:rPr>
            </w:pPr>
            <w:r w:rsidRPr="00EC6ED4">
              <w:rPr>
                <w:rFonts w:cs="Times New Roman"/>
                <w:bCs/>
                <w:sz w:val="20"/>
                <w:szCs w:val="20"/>
                <w:lang w:val="fr-CA"/>
              </w:rPr>
              <w:t>Centrale des syndicats du Québec</w:t>
            </w:r>
          </w:p>
        </w:tc>
        <w:tc>
          <w:tcPr>
            <w:tcW w:w="1137" w:type="dxa"/>
          </w:tcPr>
          <w:p w:rsidR="00B52C08" w:rsidRPr="00B52C08" w:rsidRDefault="00B52C08" w:rsidP="006B07D6">
            <w:pPr>
              <w:rPr>
                <w:sz w:val="20"/>
                <w:szCs w:val="20"/>
                <w:lang w:val="fr-CA"/>
              </w:rPr>
            </w:pPr>
          </w:p>
        </w:tc>
        <w:tc>
          <w:tcPr>
            <w:tcW w:w="4219" w:type="dxa"/>
          </w:tcPr>
          <w:p w:rsidR="00B52C08" w:rsidRPr="00B52C08" w:rsidRDefault="00B52C08" w:rsidP="006B07D6">
            <w:pPr>
              <w:rPr>
                <w:sz w:val="20"/>
                <w:szCs w:val="20"/>
                <w:lang w:val="fr-CA"/>
              </w:rPr>
            </w:pPr>
          </w:p>
        </w:tc>
      </w:tr>
      <w:tr w:rsidR="00B52C08" w:rsidRPr="006B07D6" w:rsidTr="00B52C08">
        <w:tc>
          <w:tcPr>
            <w:tcW w:w="1346" w:type="dxa"/>
          </w:tcPr>
          <w:p w:rsidR="00B52C08" w:rsidRPr="00B52C08" w:rsidRDefault="00B52C08" w:rsidP="006B07D6">
            <w:pPr>
              <w:rPr>
                <w:sz w:val="20"/>
                <w:szCs w:val="20"/>
                <w:lang w:val="fr-CA"/>
              </w:rPr>
            </w:pPr>
          </w:p>
        </w:tc>
        <w:tc>
          <w:tcPr>
            <w:tcW w:w="2917" w:type="dxa"/>
          </w:tcPr>
          <w:p w:rsidR="00B52C08" w:rsidRPr="00B52C08" w:rsidRDefault="00B52C08" w:rsidP="006B07D6">
            <w:pPr>
              <w:rPr>
                <w:sz w:val="20"/>
                <w:szCs w:val="20"/>
                <w:lang w:val="fr-CA"/>
              </w:rPr>
            </w:pPr>
            <w:r w:rsidRPr="00EC6ED4">
              <w:rPr>
                <w:rFonts w:cs="Times New Roman"/>
                <w:bCs/>
                <w:sz w:val="20"/>
                <w:szCs w:val="20"/>
                <w:lang w:val="fr-CA"/>
              </w:rPr>
              <w:t>Institut professionnel de la fonction publique</w:t>
            </w:r>
          </w:p>
        </w:tc>
        <w:tc>
          <w:tcPr>
            <w:tcW w:w="1137" w:type="dxa"/>
          </w:tcPr>
          <w:p w:rsidR="00B52C08" w:rsidRPr="00B52C08" w:rsidRDefault="00B52C08" w:rsidP="006B07D6">
            <w:pPr>
              <w:rPr>
                <w:sz w:val="20"/>
                <w:szCs w:val="20"/>
                <w:lang w:val="fr-CA"/>
              </w:rPr>
            </w:pPr>
          </w:p>
        </w:tc>
        <w:tc>
          <w:tcPr>
            <w:tcW w:w="4219" w:type="dxa"/>
          </w:tcPr>
          <w:p w:rsidR="00B52C08" w:rsidRPr="00B52C08" w:rsidRDefault="00B52C08" w:rsidP="006B07D6">
            <w:pPr>
              <w:rPr>
                <w:sz w:val="20"/>
                <w:szCs w:val="20"/>
                <w:lang w:val="fr-CA"/>
              </w:rPr>
            </w:pPr>
          </w:p>
        </w:tc>
      </w:tr>
      <w:tr w:rsidR="00B52C08" w:rsidRPr="006B07D6" w:rsidTr="00B52C08">
        <w:tc>
          <w:tcPr>
            <w:tcW w:w="1346" w:type="dxa"/>
          </w:tcPr>
          <w:p w:rsidR="00B52C08" w:rsidRPr="00B52C08" w:rsidRDefault="00B52C08" w:rsidP="006B07D6">
            <w:pPr>
              <w:rPr>
                <w:sz w:val="20"/>
                <w:szCs w:val="20"/>
                <w:lang w:val="fr-CA"/>
              </w:rPr>
            </w:pPr>
          </w:p>
        </w:tc>
        <w:tc>
          <w:tcPr>
            <w:tcW w:w="2917" w:type="dxa"/>
          </w:tcPr>
          <w:p w:rsidR="00B52C08" w:rsidRPr="00B52C08" w:rsidRDefault="00B52C08" w:rsidP="006B07D6">
            <w:pPr>
              <w:rPr>
                <w:sz w:val="20"/>
                <w:szCs w:val="20"/>
                <w:lang w:val="fr-CA"/>
              </w:rPr>
            </w:pPr>
            <w:r w:rsidRPr="00EC6ED4">
              <w:rPr>
                <w:rFonts w:cs="Times New Roman"/>
                <w:bCs/>
                <w:sz w:val="20"/>
                <w:szCs w:val="20"/>
                <w:lang w:val="fr-CA"/>
              </w:rPr>
              <w:t>Association canadienne des employés professionnels</w:t>
            </w:r>
          </w:p>
        </w:tc>
        <w:tc>
          <w:tcPr>
            <w:tcW w:w="1137" w:type="dxa"/>
          </w:tcPr>
          <w:p w:rsidR="00B52C08" w:rsidRPr="00B52C08" w:rsidRDefault="00B52C08" w:rsidP="006B07D6">
            <w:pPr>
              <w:rPr>
                <w:sz w:val="20"/>
                <w:szCs w:val="20"/>
                <w:lang w:val="fr-CA"/>
              </w:rPr>
            </w:pPr>
          </w:p>
        </w:tc>
        <w:tc>
          <w:tcPr>
            <w:tcW w:w="4219" w:type="dxa"/>
          </w:tcPr>
          <w:p w:rsidR="00B52C08" w:rsidRPr="00B52C08" w:rsidRDefault="00B52C08" w:rsidP="006B07D6">
            <w:pPr>
              <w:rPr>
                <w:sz w:val="20"/>
                <w:szCs w:val="20"/>
                <w:lang w:val="fr-CA"/>
              </w:rPr>
            </w:pPr>
          </w:p>
        </w:tc>
      </w:tr>
      <w:tr w:rsidR="00B52C08" w:rsidRPr="006B07D6" w:rsidTr="00B52C08">
        <w:tc>
          <w:tcPr>
            <w:tcW w:w="1346" w:type="dxa"/>
          </w:tcPr>
          <w:p w:rsidR="00B52C08" w:rsidRPr="00B52C08" w:rsidRDefault="00B52C08" w:rsidP="006B07D6">
            <w:pPr>
              <w:rPr>
                <w:sz w:val="20"/>
                <w:szCs w:val="20"/>
                <w:lang w:val="fr-CA"/>
              </w:rPr>
            </w:pPr>
          </w:p>
        </w:tc>
        <w:tc>
          <w:tcPr>
            <w:tcW w:w="2917" w:type="dxa"/>
          </w:tcPr>
          <w:p w:rsidR="00B52C08" w:rsidRPr="00B52C08" w:rsidRDefault="00B52C08" w:rsidP="006B07D6">
            <w:pPr>
              <w:rPr>
                <w:sz w:val="20"/>
                <w:szCs w:val="20"/>
                <w:lang w:val="fr-CA"/>
              </w:rPr>
            </w:pPr>
            <w:r w:rsidRPr="00EC6ED4">
              <w:rPr>
                <w:rFonts w:cs="Times New Roman"/>
                <w:bCs/>
                <w:sz w:val="20"/>
                <w:szCs w:val="20"/>
                <w:lang w:val="fr-CA"/>
              </w:rPr>
              <w:t>Association canadienne des agents financiers et Association professionnelle des agents du Service extérieur (conjointement)</w:t>
            </w:r>
          </w:p>
        </w:tc>
        <w:tc>
          <w:tcPr>
            <w:tcW w:w="1137" w:type="dxa"/>
          </w:tcPr>
          <w:p w:rsidR="00B52C08" w:rsidRPr="00B52C08" w:rsidRDefault="00B52C08" w:rsidP="006B07D6">
            <w:pPr>
              <w:rPr>
                <w:sz w:val="20"/>
                <w:szCs w:val="20"/>
                <w:lang w:val="fr-CA"/>
              </w:rPr>
            </w:pPr>
          </w:p>
        </w:tc>
        <w:tc>
          <w:tcPr>
            <w:tcW w:w="4219" w:type="dxa"/>
          </w:tcPr>
          <w:p w:rsidR="00B52C08" w:rsidRPr="00B52C08" w:rsidRDefault="00B52C08" w:rsidP="006B07D6">
            <w:pPr>
              <w:rPr>
                <w:sz w:val="20"/>
                <w:szCs w:val="20"/>
                <w:lang w:val="fr-CA"/>
              </w:rPr>
            </w:pPr>
          </w:p>
        </w:tc>
      </w:tr>
      <w:tr w:rsidR="00B52C08" w:rsidRPr="006B07D6" w:rsidTr="00B52C08">
        <w:tc>
          <w:tcPr>
            <w:tcW w:w="1346" w:type="dxa"/>
          </w:tcPr>
          <w:p w:rsidR="00B52C08" w:rsidRPr="00B52C08" w:rsidRDefault="00B52C08" w:rsidP="006B07D6">
            <w:pPr>
              <w:rPr>
                <w:sz w:val="20"/>
                <w:szCs w:val="20"/>
                <w:lang w:val="fr-CA"/>
              </w:rPr>
            </w:pPr>
          </w:p>
        </w:tc>
        <w:tc>
          <w:tcPr>
            <w:tcW w:w="2917" w:type="dxa"/>
          </w:tcPr>
          <w:p w:rsidR="00B52C08" w:rsidRPr="00B52C08" w:rsidRDefault="00B52C08" w:rsidP="006B07D6">
            <w:pPr>
              <w:rPr>
                <w:sz w:val="20"/>
                <w:szCs w:val="20"/>
                <w:lang w:val="fr-CA"/>
              </w:rPr>
            </w:pPr>
          </w:p>
        </w:tc>
        <w:tc>
          <w:tcPr>
            <w:tcW w:w="1137" w:type="dxa"/>
          </w:tcPr>
          <w:p w:rsidR="00B52C08" w:rsidRPr="00B52C08" w:rsidRDefault="00B52C08" w:rsidP="006B07D6">
            <w:pPr>
              <w:rPr>
                <w:sz w:val="20"/>
                <w:szCs w:val="20"/>
                <w:lang w:val="fr-CA"/>
              </w:rPr>
            </w:pPr>
          </w:p>
        </w:tc>
        <w:tc>
          <w:tcPr>
            <w:tcW w:w="4219" w:type="dxa"/>
          </w:tcPr>
          <w:p w:rsidR="00B52C08" w:rsidRPr="00B52C08" w:rsidRDefault="00B52C08" w:rsidP="006B07D6">
            <w:pPr>
              <w:rPr>
                <w:sz w:val="20"/>
                <w:szCs w:val="20"/>
                <w:lang w:val="fr-CA"/>
              </w:rPr>
            </w:pPr>
          </w:p>
        </w:tc>
      </w:tr>
      <w:tr w:rsidR="00B52C08" w:rsidRPr="006B07D6" w:rsidTr="00B52C08">
        <w:tc>
          <w:tcPr>
            <w:tcW w:w="1346" w:type="dxa"/>
          </w:tcPr>
          <w:p w:rsidR="00B52C08" w:rsidRPr="00802F41" w:rsidRDefault="00B52C08" w:rsidP="006B07D6">
            <w:pPr>
              <w:rPr>
                <w:sz w:val="20"/>
                <w:szCs w:val="20"/>
              </w:rPr>
            </w:pPr>
            <w:r w:rsidRPr="00802F41">
              <w:rPr>
                <w:sz w:val="20"/>
                <w:szCs w:val="20"/>
              </w:rPr>
              <w:t>IN / DANS :</w:t>
            </w:r>
          </w:p>
        </w:tc>
        <w:tc>
          <w:tcPr>
            <w:tcW w:w="2917" w:type="dxa"/>
          </w:tcPr>
          <w:p w:rsidR="00B52C08" w:rsidRPr="009C1033" w:rsidRDefault="00B52C08" w:rsidP="006B07D6">
            <w:pPr>
              <w:rPr>
                <w:sz w:val="20"/>
                <w:szCs w:val="20"/>
                <w:lang w:val="fr-CA"/>
              </w:rPr>
            </w:pPr>
            <w:r w:rsidRPr="009C1033">
              <w:rPr>
                <w:sz w:val="20"/>
                <w:szCs w:val="20"/>
                <w:lang w:val="fr-CA"/>
              </w:rPr>
              <w:t>Procureure générale du Québec</w:t>
            </w:r>
          </w:p>
          <w:p w:rsidR="00B52C08" w:rsidRPr="009C1033" w:rsidRDefault="00B52C08" w:rsidP="006B07D6">
            <w:pPr>
              <w:rPr>
                <w:sz w:val="20"/>
                <w:szCs w:val="20"/>
                <w:lang w:val="fr-CA"/>
              </w:rPr>
            </w:pPr>
          </w:p>
          <w:p w:rsidR="00B52C08" w:rsidRPr="009C1033" w:rsidRDefault="00B52C08" w:rsidP="006B07D6">
            <w:pPr>
              <w:rPr>
                <w:sz w:val="20"/>
                <w:szCs w:val="20"/>
                <w:lang w:val="fr-CA"/>
              </w:rPr>
            </w:pPr>
            <w:r w:rsidRPr="009C1033">
              <w:rPr>
                <w:sz w:val="20"/>
                <w:szCs w:val="20"/>
                <w:lang w:val="fr-CA"/>
              </w:rPr>
              <w:tab/>
              <w:t>c. (37347)</w:t>
            </w:r>
          </w:p>
          <w:p w:rsidR="00B52C08" w:rsidRPr="009C1033" w:rsidRDefault="00B52C08" w:rsidP="006B07D6">
            <w:pPr>
              <w:rPr>
                <w:sz w:val="20"/>
                <w:szCs w:val="20"/>
                <w:lang w:val="fr-CA"/>
              </w:rPr>
            </w:pPr>
          </w:p>
          <w:p w:rsidR="00B52C08" w:rsidRPr="00B52C08" w:rsidRDefault="00B52C08" w:rsidP="006B07D6">
            <w:pPr>
              <w:rPr>
                <w:sz w:val="20"/>
                <w:szCs w:val="20"/>
                <w:lang w:val="fr-CA"/>
              </w:rPr>
            </w:pPr>
            <w:r w:rsidRPr="00B52C08">
              <w:rPr>
                <w:sz w:val="20"/>
                <w:szCs w:val="20"/>
                <w:lang w:val="fr-CA"/>
              </w:rPr>
              <w:t>Alliance du personnel professionnel et technique de la santé et des services sociaux et autres</w:t>
            </w:r>
          </w:p>
        </w:tc>
        <w:tc>
          <w:tcPr>
            <w:tcW w:w="1137" w:type="dxa"/>
          </w:tcPr>
          <w:p w:rsidR="00B52C08" w:rsidRPr="00B52C08" w:rsidRDefault="00B52C08" w:rsidP="006B07D6">
            <w:pPr>
              <w:rPr>
                <w:sz w:val="20"/>
                <w:szCs w:val="20"/>
                <w:lang w:val="fr-CA"/>
              </w:rPr>
            </w:pPr>
          </w:p>
        </w:tc>
        <w:tc>
          <w:tcPr>
            <w:tcW w:w="4219" w:type="dxa"/>
          </w:tcPr>
          <w:p w:rsidR="00B52C08" w:rsidRPr="00B52C08" w:rsidRDefault="00B52C08" w:rsidP="006B07D6">
            <w:pPr>
              <w:rPr>
                <w:sz w:val="20"/>
                <w:szCs w:val="20"/>
                <w:lang w:val="fr-CA"/>
              </w:rPr>
            </w:pPr>
          </w:p>
        </w:tc>
      </w:tr>
    </w:tbl>
    <w:p w:rsidR="00B52C08" w:rsidRDefault="00B52C08" w:rsidP="00183454">
      <w:pPr>
        <w:tabs>
          <w:tab w:val="left" w:pos="-1440"/>
          <w:tab w:val="left" w:pos="-720"/>
        </w:tabs>
        <w:jc w:val="both"/>
        <w:rPr>
          <w:rFonts w:eastAsia="Times New Roman" w:cs="Times New Roman"/>
          <w:sz w:val="20"/>
          <w:szCs w:val="20"/>
          <w:lang w:val="fr-CA" w:eastAsia="en-CA"/>
        </w:rPr>
      </w:pPr>
    </w:p>
    <w:p w:rsidR="00B52C08" w:rsidRDefault="00B52C08" w:rsidP="00B52C08">
      <w:pPr>
        <w:spacing w:line="232" w:lineRule="auto"/>
        <w:rPr>
          <w:rFonts w:cs="Times New Roman"/>
          <w:b/>
          <w:bCs/>
          <w:sz w:val="20"/>
          <w:szCs w:val="20"/>
          <w:lang w:val="fr-CA"/>
        </w:rPr>
      </w:pPr>
      <w:r>
        <w:rPr>
          <w:rFonts w:cs="Times New Roman"/>
          <w:b/>
          <w:bCs/>
          <w:sz w:val="20"/>
          <w:szCs w:val="20"/>
          <w:lang w:val="fr-CA"/>
        </w:rPr>
        <w:t>GRANTED / ACCORDÉES</w:t>
      </w:r>
    </w:p>
    <w:p w:rsidR="00B52C08" w:rsidRDefault="00B52C08" w:rsidP="00B52C08">
      <w:pPr>
        <w:spacing w:line="232" w:lineRule="auto"/>
        <w:rPr>
          <w:rFonts w:cs="Times New Roman"/>
          <w:b/>
          <w:bCs/>
          <w:sz w:val="20"/>
          <w:szCs w:val="20"/>
          <w:lang w:val="fr-CA"/>
        </w:rPr>
      </w:pPr>
    </w:p>
    <w:p w:rsidR="00B52C08" w:rsidRPr="00EC6ED4" w:rsidRDefault="00B52C08" w:rsidP="00B52C08">
      <w:pPr>
        <w:spacing w:line="232" w:lineRule="auto"/>
        <w:rPr>
          <w:rFonts w:cs="Times New Roman"/>
          <w:sz w:val="20"/>
          <w:szCs w:val="20"/>
          <w:lang w:val="fr-CA"/>
        </w:rPr>
      </w:pPr>
      <w:r w:rsidRPr="00EC6ED4">
        <w:rPr>
          <w:rFonts w:cs="Times New Roman"/>
          <w:b/>
          <w:bCs/>
          <w:sz w:val="20"/>
          <w:szCs w:val="20"/>
          <w:lang w:val="fr-CA"/>
        </w:rPr>
        <w:t xml:space="preserve">À LA SUITE DES DEMANDES </w:t>
      </w:r>
      <w:r w:rsidRPr="00EC6ED4">
        <w:rPr>
          <w:rFonts w:cs="Times New Roman"/>
          <w:bCs/>
          <w:sz w:val="20"/>
          <w:szCs w:val="20"/>
          <w:lang w:val="fr-CA"/>
        </w:rPr>
        <w:t>présentées par Equal Pay Coalition, la Coalition pour l’équité salariale du Nouveau-Brunswick, le Fonds d’action et d’éducation juridiques pour les femmes (conjointement), l’Alliance de la fonction publique du Canada, la Centrale des syndicats du Québec, l’Institut professionnel de la fonction publique, l’Association canadienne des employés professionnels, l’Association canadienne des agents financiers et l’Association professionnelle des agents du Service extérieur (conjointement) en vue d’intervenir dans l’appel</w:t>
      </w:r>
      <w:r w:rsidRPr="00EC6ED4">
        <w:rPr>
          <w:rFonts w:cs="Times New Roman"/>
          <w:sz w:val="20"/>
          <w:szCs w:val="20"/>
          <w:lang w:val="fr-CA"/>
        </w:rPr>
        <w:t>;</w:t>
      </w:r>
    </w:p>
    <w:p w:rsidR="00B52C08" w:rsidRPr="00EC6ED4" w:rsidRDefault="00B52C08" w:rsidP="00B52C08">
      <w:pPr>
        <w:spacing w:line="232" w:lineRule="auto"/>
        <w:rPr>
          <w:rFonts w:cs="Times New Roman"/>
          <w:sz w:val="20"/>
          <w:szCs w:val="20"/>
          <w:lang w:val="fr-CA"/>
        </w:rPr>
      </w:pPr>
    </w:p>
    <w:p w:rsidR="00B52C08" w:rsidRPr="00EC6ED4" w:rsidRDefault="00B52C08" w:rsidP="00B52C08">
      <w:pPr>
        <w:spacing w:line="232" w:lineRule="auto"/>
        <w:rPr>
          <w:rFonts w:cs="Times New Roman"/>
          <w:sz w:val="20"/>
          <w:szCs w:val="20"/>
          <w:lang w:val="fr-CA"/>
        </w:rPr>
      </w:pPr>
      <w:r w:rsidRPr="00EC6ED4">
        <w:rPr>
          <w:rFonts w:cs="Times New Roman"/>
          <w:b/>
          <w:bCs/>
          <w:sz w:val="20"/>
          <w:szCs w:val="20"/>
          <w:lang w:val="fr-CA"/>
        </w:rPr>
        <w:t xml:space="preserve">ET APRÈS EXAMEN </w:t>
      </w:r>
      <w:r w:rsidRPr="00EC6ED4">
        <w:rPr>
          <w:rFonts w:cs="Times New Roman"/>
          <w:bCs/>
          <w:sz w:val="20"/>
          <w:szCs w:val="20"/>
          <w:lang w:val="fr-CA"/>
        </w:rPr>
        <w:t>des documents déposés</w:t>
      </w:r>
      <w:r w:rsidRPr="00EC6ED4">
        <w:rPr>
          <w:rFonts w:cs="Times New Roman"/>
          <w:sz w:val="20"/>
          <w:szCs w:val="20"/>
          <w:lang w:val="fr-CA"/>
        </w:rPr>
        <w:t>;</w:t>
      </w:r>
    </w:p>
    <w:p w:rsidR="00B52C08" w:rsidRPr="00EC6ED4" w:rsidRDefault="00B52C08" w:rsidP="00B52C08">
      <w:pPr>
        <w:spacing w:line="232" w:lineRule="auto"/>
        <w:rPr>
          <w:rFonts w:cs="Times New Roman"/>
          <w:sz w:val="20"/>
          <w:szCs w:val="20"/>
          <w:lang w:val="fr-CA"/>
        </w:rPr>
      </w:pPr>
    </w:p>
    <w:p w:rsidR="00B52C08" w:rsidRPr="00EC6ED4" w:rsidRDefault="00B52C08" w:rsidP="00B52C08">
      <w:pPr>
        <w:spacing w:line="232" w:lineRule="auto"/>
        <w:rPr>
          <w:rFonts w:cs="Times New Roman"/>
          <w:sz w:val="20"/>
          <w:szCs w:val="20"/>
          <w:lang w:val="fr-CA"/>
        </w:rPr>
      </w:pPr>
      <w:r w:rsidRPr="00EC6ED4">
        <w:rPr>
          <w:rFonts w:cs="Times New Roman"/>
          <w:b/>
          <w:bCs/>
          <w:sz w:val="20"/>
          <w:szCs w:val="20"/>
          <w:lang w:val="fr-CA"/>
        </w:rPr>
        <w:t>IL EST ORDONNÉ CE QUI SUIT :</w:t>
      </w:r>
    </w:p>
    <w:p w:rsidR="00B52C08" w:rsidRPr="00EC6ED4" w:rsidRDefault="00B52C08" w:rsidP="00B52C08">
      <w:pPr>
        <w:spacing w:line="232" w:lineRule="auto"/>
        <w:rPr>
          <w:rFonts w:cs="Times New Roman"/>
          <w:sz w:val="20"/>
          <w:szCs w:val="20"/>
          <w:lang w:val="fr-CA"/>
        </w:rPr>
      </w:pPr>
    </w:p>
    <w:p w:rsidR="00B52C08" w:rsidRPr="00EC6ED4" w:rsidRDefault="00B52C08" w:rsidP="00B52C08">
      <w:pPr>
        <w:spacing w:line="232" w:lineRule="auto"/>
        <w:rPr>
          <w:rFonts w:cs="Times New Roman"/>
          <w:sz w:val="20"/>
          <w:szCs w:val="20"/>
          <w:lang w:val="fr-CA"/>
        </w:rPr>
      </w:pPr>
      <w:r w:rsidRPr="00EC6ED4">
        <w:rPr>
          <w:rFonts w:cs="Times New Roman"/>
          <w:sz w:val="20"/>
          <w:szCs w:val="20"/>
          <w:lang w:val="fr-CA"/>
        </w:rPr>
        <w:t xml:space="preserve">Les requêtes en autorisation d’intervenir </w:t>
      </w:r>
      <w:r w:rsidRPr="00EC6ED4">
        <w:rPr>
          <w:rFonts w:cs="Times New Roman"/>
          <w:bCs/>
          <w:sz w:val="20"/>
          <w:szCs w:val="20"/>
          <w:lang w:val="fr-CA"/>
        </w:rPr>
        <w:t>de Equal Pay Coalition, la Coalition pour l’équité salariale du Nouveau-Brunswick, le Fonds d’action et d’éducation juridiques pour les femmes (conjointement), l’Alliance de la fonction publique du Canada, la Centrale des syndicats du Québec, l’Institut professionnel de la fonction publique, l’Association canadienne des employés professionnels, l’Association canadienne des agents financiers et l’Association professionnelle des agents du Service extérieur (conjointement)</w:t>
      </w:r>
      <w:r w:rsidRPr="00EC6ED4">
        <w:rPr>
          <w:rFonts w:cs="Times New Roman"/>
          <w:sz w:val="20"/>
          <w:szCs w:val="20"/>
          <w:lang w:val="fr-CA"/>
        </w:rPr>
        <w:t xml:space="preserve"> sont accueillies et chacun de ces quatre (4) intervenants ou groupes d’intervenants pourront signifier et déposer un mémoire d’au plus dix (10) pages au plus tard le 17 octobre 2017.</w:t>
      </w:r>
    </w:p>
    <w:p w:rsidR="00B52C08" w:rsidRPr="00EC6ED4" w:rsidRDefault="00B52C08" w:rsidP="00B52C08">
      <w:pPr>
        <w:spacing w:line="232" w:lineRule="auto"/>
        <w:rPr>
          <w:rFonts w:cs="Times New Roman"/>
          <w:sz w:val="20"/>
          <w:szCs w:val="20"/>
          <w:lang w:val="fr-CA"/>
        </w:rPr>
      </w:pPr>
    </w:p>
    <w:p w:rsidR="00B52C08" w:rsidRPr="00EC6ED4" w:rsidRDefault="00B52C08" w:rsidP="00B52C08">
      <w:pPr>
        <w:spacing w:line="233" w:lineRule="auto"/>
        <w:rPr>
          <w:rFonts w:cs="Times New Roman"/>
          <w:sz w:val="20"/>
          <w:szCs w:val="20"/>
          <w:lang w:val="fr-CA"/>
        </w:rPr>
      </w:pPr>
      <w:r w:rsidRPr="00EC6ED4">
        <w:rPr>
          <w:rFonts w:cs="Times New Roman"/>
          <w:bCs/>
          <w:sz w:val="20"/>
          <w:szCs w:val="20"/>
          <w:lang w:val="fr-CA"/>
        </w:rPr>
        <w:t>Ces</w:t>
      </w:r>
      <w:r w:rsidRPr="00EC6ED4">
        <w:rPr>
          <w:rFonts w:cs="Times New Roman"/>
          <w:sz w:val="20"/>
          <w:szCs w:val="20"/>
          <w:lang w:val="fr-CA"/>
        </w:rPr>
        <w:t xml:space="preserve"> quatre (4) intervenants ou groupes d’intervenants auront chacun le droit de présenter une plaidoirie orale d’au plus de cinq (5) minutes lors de l’audition de l’appel.</w:t>
      </w:r>
    </w:p>
    <w:p w:rsidR="00B52C08" w:rsidRPr="00EC6ED4" w:rsidRDefault="00B52C08" w:rsidP="00B52C08">
      <w:pPr>
        <w:spacing w:line="233" w:lineRule="auto"/>
        <w:rPr>
          <w:rFonts w:cs="Times New Roman"/>
          <w:sz w:val="20"/>
          <w:szCs w:val="20"/>
          <w:lang w:val="fr-CA"/>
        </w:rPr>
      </w:pPr>
    </w:p>
    <w:p w:rsidR="00B52C08" w:rsidRPr="00EC6ED4" w:rsidRDefault="00B52C08" w:rsidP="00B52C08">
      <w:pPr>
        <w:spacing w:line="232" w:lineRule="auto"/>
        <w:rPr>
          <w:rFonts w:cs="Times New Roman"/>
          <w:sz w:val="20"/>
          <w:szCs w:val="20"/>
          <w:lang w:val="fr-CA"/>
        </w:rPr>
      </w:pPr>
      <w:r w:rsidRPr="006B07D6">
        <w:rPr>
          <w:rFonts w:cs="Times New Roman"/>
          <w:sz w:val="20"/>
          <w:szCs w:val="20"/>
          <w:lang w:val="fr-CA"/>
        </w:rPr>
        <w:t xml:space="preserve">Les intervenants n’ont pas le droit de soulever de nouvelles questions, de produire d’autres éléments de preuve ni de compléter de quelque autre façon le dossier des </w:t>
      </w:r>
      <w:r w:rsidRPr="006B07D6">
        <w:rPr>
          <w:rFonts w:cs="Times New Roman"/>
          <w:sz w:val="20"/>
          <w:szCs w:val="20"/>
        </w:rPr>
        <w:fldChar w:fldCharType="begin"/>
      </w:r>
      <w:r w:rsidRPr="006B07D6">
        <w:rPr>
          <w:rFonts w:cs="Times New Roman"/>
          <w:sz w:val="20"/>
          <w:szCs w:val="20"/>
          <w:lang w:val="fr-CA"/>
        </w:rPr>
        <w:instrText xml:space="preserve"> SEQ CHAPTER \h \r 1</w:instrText>
      </w:r>
      <w:r w:rsidRPr="006B07D6">
        <w:rPr>
          <w:rFonts w:cs="Times New Roman"/>
          <w:sz w:val="20"/>
          <w:szCs w:val="20"/>
        </w:rPr>
        <w:fldChar w:fldCharType="end"/>
      </w:r>
      <w:r w:rsidRPr="006B07D6">
        <w:rPr>
          <w:rFonts w:cs="Times New Roman"/>
          <w:bCs/>
          <w:sz w:val="20"/>
          <w:szCs w:val="20"/>
          <w:lang w:val="fr-CA"/>
        </w:rPr>
        <w:t>parties</w:t>
      </w:r>
      <w:r w:rsidRPr="00EC6ED4">
        <w:rPr>
          <w:rFonts w:cs="Times New Roman"/>
          <w:b/>
          <w:bCs/>
          <w:sz w:val="20"/>
          <w:szCs w:val="20"/>
          <w:lang w:val="fr-CA"/>
        </w:rPr>
        <w:t>.</w:t>
      </w:r>
    </w:p>
    <w:p w:rsidR="00B52C08" w:rsidRPr="00EC6ED4" w:rsidRDefault="00B52C08" w:rsidP="00B52C08">
      <w:pPr>
        <w:spacing w:line="232" w:lineRule="auto"/>
        <w:rPr>
          <w:rFonts w:cs="Times New Roman"/>
          <w:sz w:val="20"/>
          <w:szCs w:val="20"/>
          <w:lang w:val="fr-CA"/>
        </w:rPr>
      </w:pPr>
    </w:p>
    <w:p w:rsidR="00B52C08" w:rsidRPr="00EC6ED4" w:rsidRDefault="00B52C08" w:rsidP="00B52C08">
      <w:pPr>
        <w:rPr>
          <w:rFonts w:cs="Times New Roman"/>
          <w:sz w:val="20"/>
          <w:szCs w:val="20"/>
          <w:lang w:val="fr-FR"/>
        </w:rPr>
      </w:pPr>
      <w:r w:rsidRPr="00EC6ED4">
        <w:rPr>
          <w:rFonts w:cs="Times New Roman"/>
          <w:sz w:val="20"/>
          <w:szCs w:val="20"/>
          <w:lang w:val="fr-FR"/>
        </w:rPr>
        <w:t>Conformément à l’alinéa 59(1)</w:t>
      </w:r>
      <w:r w:rsidRPr="00EC6ED4">
        <w:rPr>
          <w:rFonts w:cs="Times New Roman"/>
          <w:i/>
          <w:sz w:val="20"/>
          <w:szCs w:val="20"/>
          <w:lang w:val="fr-FR"/>
        </w:rPr>
        <w:t>a</w:t>
      </w:r>
      <w:r w:rsidRPr="00EC6ED4">
        <w:rPr>
          <w:rFonts w:cs="Times New Roman"/>
          <w:sz w:val="20"/>
          <w:szCs w:val="20"/>
          <w:lang w:val="fr-FR"/>
        </w:rPr>
        <w:t xml:space="preserve">) des </w:t>
      </w:r>
      <w:r w:rsidRPr="00EC6ED4">
        <w:rPr>
          <w:rFonts w:cs="Times New Roman"/>
          <w:i/>
          <w:sz w:val="20"/>
          <w:szCs w:val="20"/>
          <w:lang w:val="fr-FR"/>
        </w:rPr>
        <w:t>Règles de la Cour suprême du Canada</w:t>
      </w:r>
      <w:r w:rsidRPr="00EC6ED4">
        <w:rPr>
          <w:rFonts w:cs="Times New Roman"/>
          <w:sz w:val="20"/>
          <w:szCs w:val="20"/>
          <w:lang w:val="fr-FR"/>
        </w:rPr>
        <w:t>, les intervenants paieront à l’appelante et aux intimés tous débours supplémentaires résultant de leurs interventions.</w:t>
      </w:r>
    </w:p>
    <w:p w:rsidR="00B52C08" w:rsidRPr="00EC6ED4" w:rsidRDefault="00B52C08" w:rsidP="00B52C08">
      <w:pPr>
        <w:rPr>
          <w:rFonts w:cs="Times New Roman"/>
          <w:sz w:val="20"/>
          <w:szCs w:val="20"/>
          <w:lang w:val="fr-FR"/>
        </w:rPr>
      </w:pPr>
    </w:p>
    <w:p w:rsidR="00B52C08" w:rsidRPr="00EC6ED4" w:rsidRDefault="00B52C08" w:rsidP="00B52C08">
      <w:pPr>
        <w:spacing w:line="228" w:lineRule="auto"/>
        <w:rPr>
          <w:rFonts w:cs="Times New Roman"/>
          <w:b/>
          <w:bCs/>
          <w:sz w:val="20"/>
          <w:szCs w:val="20"/>
          <w:lang w:val="fr-CA"/>
        </w:rPr>
      </w:pPr>
      <w:r w:rsidRPr="00EC6ED4">
        <w:rPr>
          <w:b/>
          <w:bCs/>
          <w:sz w:val="20"/>
          <w:szCs w:val="20"/>
          <w:lang w:val="fr-CA"/>
        </w:rPr>
        <w:t xml:space="preserve">IL EST EN OUTRE ORDONNÉ QUE : </w:t>
      </w:r>
    </w:p>
    <w:p w:rsidR="00B52C08" w:rsidRPr="00EC6ED4" w:rsidRDefault="00B52C08" w:rsidP="00B52C08">
      <w:pPr>
        <w:spacing w:line="228" w:lineRule="auto"/>
        <w:rPr>
          <w:rFonts w:cs="Times New Roman"/>
          <w:b/>
          <w:bCs/>
          <w:sz w:val="20"/>
          <w:szCs w:val="20"/>
          <w:lang w:val="fr-CA"/>
        </w:rPr>
      </w:pPr>
    </w:p>
    <w:p w:rsidR="00B52C08" w:rsidRDefault="00B52C08" w:rsidP="00B52C08">
      <w:pPr>
        <w:spacing w:line="228" w:lineRule="auto"/>
        <w:rPr>
          <w:sz w:val="20"/>
          <w:szCs w:val="20"/>
          <w:lang w:val="fr-CA"/>
        </w:rPr>
      </w:pPr>
      <w:r w:rsidRPr="00EC6ED4">
        <w:rPr>
          <w:sz w:val="20"/>
          <w:szCs w:val="20"/>
          <w:lang w:val="fr-CA"/>
        </w:rPr>
        <w:t>Le Procureur général de l’Ontario aura le droit de présenter une plaidoirie orale d’au plus cinq (5) minutes lors de l’audition de l’appel.</w:t>
      </w:r>
    </w:p>
    <w:p w:rsidR="006B07D6" w:rsidRPr="00EC6ED4" w:rsidRDefault="006B07D6" w:rsidP="00B52C08">
      <w:pPr>
        <w:spacing w:line="228" w:lineRule="auto"/>
        <w:rPr>
          <w:rFonts w:cs="Times New Roman"/>
          <w:b/>
          <w:bCs/>
          <w:sz w:val="20"/>
          <w:szCs w:val="20"/>
          <w:lang w:val="fr-CA"/>
        </w:rPr>
      </w:pPr>
    </w:p>
    <w:p w:rsidR="00B52C08" w:rsidRPr="00EC6ED4" w:rsidRDefault="00B52C08" w:rsidP="00B52C08">
      <w:pPr>
        <w:spacing w:line="232" w:lineRule="auto"/>
        <w:rPr>
          <w:rFonts w:cs="Times New Roman"/>
          <w:sz w:val="20"/>
          <w:szCs w:val="20"/>
        </w:rPr>
      </w:pPr>
      <w:r w:rsidRPr="00EC6ED4">
        <w:rPr>
          <w:rFonts w:cs="Times New Roman"/>
          <w:b/>
          <w:bCs/>
          <w:sz w:val="20"/>
          <w:szCs w:val="20"/>
        </w:rPr>
        <w:t xml:space="preserve">UPON APPLICATIONS </w:t>
      </w:r>
      <w:r w:rsidRPr="00EC6ED4">
        <w:rPr>
          <w:rFonts w:cs="Times New Roman"/>
          <w:sz w:val="20"/>
          <w:szCs w:val="20"/>
        </w:rPr>
        <w:t>by the Equal Pay Coalition, the New Brunswick Coalition for Pay Equity, the Women’s Legal Education and Action Fund (jointly), the Public Service Alliance of Canada, the Centrale des syndicats du Québec, the Professional Institute of the Public Service of Canada, the Canadian Association of Professional Employees, the Association of Canadian Financial Officers and the Professional Association of Foreign Service Officers (jointly) for leave to intervene in the above appeal;</w:t>
      </w:r>
    </w:p>
    <w:p w:rsidR="00B52C08" w:rsidRPr="00EC6ED4" w:rsidRDefault="00B52C08" w:rsidP="00B52C08">
      <w:pPr>
        <w:spacing w:line="232" w:lineRule="auto"/>
        <w:rPr>
          <w:rFonts w:cs="Times New Roman"/>
          <w:sz w:val="20"/>
          <w:szCs w:val="20"/>
        </w:rPr>
      </w:pPr>
    </w:p>
    <w:p w:rsidR="00B52C08" w:rsidRPr="00EC6ED4" w:rsidRDefault="00B52C08" w:rsidP="00B52C08">
      <w:pPr>
        <w:spacing w:line="232" w:lineRule="auto"/>
        <w:rPr>
          <w:rFonts w:cs="Times New Roman"/>
          <w:sz w:val="20"/>
          <w:szCs w:val="20"/>
        </w:rPr>
      </w:pPr>
      <w:r w:rsidRPr="00EC6ED4">
        <w:rPr>
          <w:rFonts w:cs="Times New Roman"/>
          <w:b/>
          <w:bCs/>
          <w:sz w:val="20"/>
          <w:szCs w:val="20"/>
        </w:rPr>
        <w:t>AND THE MATERIAL FILED</w:t>
      </w:r>
      <w:r w:rsidRPr="00EC6ED4">
        <w:rPr>
          <w:rFonts w:cs="Times New Roman"/>
          <w:sz w:val="20"/>
          <w:szCs w:val="20"/>
        </w:rPr>
        <w:t xml:space="preserve"> having been read;</w:t>
      </w:r>
    </w:p>
    <w:p w:rsidR="00B52C08" w:rsidRPr="00EC6ED4" w:rsidRDefault="00B52C08" w:rsidP="00B52C08">
      <w:pPr>
        <w:spacing w:line="232" w:lineRule="auto"/>
        <w:jc w:val="center"/>
        <w:rPr>
          <w:rFonts w:cs="Times New Roman"/>
          <w:sz w:val="20"/>
          <w:szCs w:val="20"/>
        </w:rPr>
      </w:pPr>
    </w:p>
    <w:p w:rsidR="00B52C08" w:rsidRPr="00EC6ED4" w:rsidRDefault="00B52C08" w:rsidP="00B52C08">
      <w:pPr>
        <w:spacing w:line="232" w:lineRule="auto"/>
        <w:rPr>
          <w:rFonts w:cs="Times New Roman"/>
          <w:b/>
          <w:bCs/>
          <w:sz w:val="20"/>
          <w:szCs w:val="20"/>
        </w:rPr>
      </w:pPr>
      <w:r w:rsidRPr="00EC6ED4">
        <w:rPr>
          <w:rFonts w:cs="Times New Roman"/>
          <w:b/>
          <w:bCs/>
          <w:sz w:val="20"/>
          <w:szCs w:val="20"/>
        </w:rPr>
        <w:t>IT IS HEREBY ORDERED THAT:</w:t>
      </w:r>
    </w:p>
    <w:p w:rsidR="00B52C08" w:rsidRPr="00EC6ED4" w:rsidRDefault="00B52C08" w:rsidP="00B52C08">
      <w:pPr>
        <w:spacing w:line="228" w:lineRule="auto"/>
        <w:rPr>
          <w:rFonts w:cs="Times New Roman"/>
          <w:sz w:val="20"/>
          <w:szCs w:val="20"/>
        </w:rPr>
      </w:pPr>
    </w:p>
    <w:p w:rsidR="00B52C08" w:rsidRPr="00EC6ED4" w:rsidRDefault="00B52C08" w:rsidP="00B52C08">
      <w:pPr>
        <w:spacing w:line="228" w:lineRule="auto"/>
        <w:rPr>
          <w:rFonts w:cs="Times New Roman"/>
          <w:sz w:val="20"/>
          <w:szCs w:val="20"/>
        </w:rPr>
      </w:pPr>
      <w:r w:rsidRPr="00EC6ED4">
        <w:rPr>
          <w:rFonts w:cs="Times New Roman"/>
          <w:sz w:val="20"/>
          <w:szCs w:val="20"/>
        </w:rPr>
        <w:t>The motions for leave to intervene of the Equal Pay Coalition, the New Brunswick Coalition for Pay Equity, the Women’s Legal Education and Action Fund (jointly), the Public Service Alliance of Canada, the Centrale des syndicats du Québec, the Professional Institute of the Public Service of Canada, the Canadian Association of Professional Employees, the Association of Canadian Financial Officers and the Professional Association of Foreign Service Officers (jointly) are granted and the said four (4) interveners</w:t>
      </w:r>
      <w:r w:rsidRPr="00EC6ED4">
        <w:rPr>
          <w:rFonts w:eastAsia="Times New Roman" w:cs="Times New Roman"/>
          <w:sz w:val="20"/>
          <w:szCs w:val="20"/>
          <w:lang w:eastAsia="fr-FR"/>
        </w:rPr>
        <w:t xml:space="preserve"> or groups of interveners </w:t>
      </w:r>
      <w:r w:rsidRPr="00EC6ED4">
        <w:rPr>
          <w:rFonts w:cs="Times New Roman"/>
          <w:sz w:val="20"/>
          <w:szCs w:val="20"/>
        </w:rPr>
        <w:t xml:space="preserve">shall be entitled to each serve and file a factum not to exceed ten (10) pages in length on or before October 17, 2017. </w:t>
      </w:r>
    </w:p>
    <w:p w:rsidR="00B52C08" w:rsidRPr="00EC6ED4" w:rsidRDefault="00B52C08" w:rsidP="00B52C08">
      <w:pPr>
        <w:spacing w:line="233" w:lineRule="auto"/>
        <w:rPr>
          <w:rFonts w:cs="Times New Roman"/>
          <w:bCs/>
          <w:sz w:val="20"/>
          <w:szCs w:val="20"/>
        </w:rPr>
      </w:pPr>
    </w:p>
    <w:p w:rsidR="00B52C08" w:rsidRPr="00EC6ED4" w:rsidRDefault="00B52C08" w:rsidP="00B52C08">
      <w:pPr>
        <w:spacing w:line="228" w:lineRule="auto"/>
        <w:rPr>
          <w:rFonts w:cs="Times New Roman"/>
          <w:sz w:val="20"/>
          <w:szCs w:val="20"/>
        </w:rPr>
      </w:pPr>
      <w:r w:rsidRPr="00EC6ED4">
        <w:rPr>
          <w:rFonts w:cs="Times New Roman"/>
          <w:bCs/>
          <w:sz w:val="20"/>
          <w:szCs w:val="20"/>
        </w:rPr>
        <w:t>The said four (4) interveners</w:t>
      </w:r>
      <w:r w:rsidRPr="00EC6ED4">
        <w:rPr>
          <w:rFonts w:cs="Times New Roman"/>
          <w:sz w:val="20"/>
          <w:szCs w:val="20"/>
        </w:rPr>
        <w:t xml:space="preserve"> or groups of interveners are each granted permission to present oral arguments not exceeding five (5) minutes at the hearing of the appeal.</w:t>
      </w:r>
    </w:p>
    <w:p w:rsidR="00B52C08" w:rsidRPr="00EC6ED4" w:rsidRDefault="00B52C08" w:rsidP="00B52C08">
      <w:pPr>
        <w:spacing w:line="228" w:lineRule="auto"/>
        <w:rPr>
          <w:rFonts w:cs="Times New Roman"/>
          <w:sz w:val="20"/>
          <w:szCs w:val="20"/>
        </w:rPr>
      </w:pPr>
    </w:p>
    <w:p w:rsidR="00B52C08" w:rsidRPr="006B07D6" w:rsidRDefault="00B52C08" w:rsidP="00B52C08">
      <w:pPr>
        <w:spacing w:line="228" w:lineRule="auto"/>
        <w:rPr>
          <w:rFonts w:cs="Times New Roman"/>
          <w:bCs/>
          <w:sz w:val="20"/>
          <w:szCs w:val="20"/>
        </w:rPr>
      </w:pPr>
      <w:r w:rsidRPr="006B07D6">
        <w:rPr>
          <w:rFonts w:cs="Times New Roman"/>
          <w:sz w:val="20"/>
          <w:szCs w:val="20"/>
        </w:rPr>
        <w:fldChar w:fldCharType="begin"/>
      </w:r>
      <w:r w:rsidRPr="006B07D6">
        <w:rPr>
          <w:rFonts w:cs="Times New Roman"/>
          <w:sz w:val="20"/>
          <w:szCs w:val="20"/>
        </w:rPr>
        <w:instrText xml:space="preserve"> SEQ CHAPTER \h \r 1</w:instrText>
      </w:r>
      <w:r w:rsidRPr="006B07D6">
        <w:rPr>
          <w:rFonts w:cs="Times New Roman"/>
          <w:sz w:val="20"/>
          <w:szCs w:val="20"/>
        </w:rPr>
        <w:fldChar w:fldCharType="end"/>
      </w:r>
      <w:r w:rsidRPr="006B07D6">
        <w:rPr>
          <w:rFonts w:cs="Times New Roman"/>
          <w:bCs/>
          <w:sz w:val="20"/>
          <w:szCs w:val="20"/>
        </w:rPr>
        <w:t>The interveners are not entitled to raise new issues or to adduce further evidence or otherwise to supplement the record of the parties.</w:t>
      </w:r>
    </w:p>
    <w:p w:rsidR="00B52C08" w:rsidRPr="00EC6ED4" w:rsidRDefault="00B52C08" w:rsidP="00B52C08">
      <w:pPr>
        <w:spacing w:line="228" w:lineRule="auto"/>
        <w:rPr>
          <w:rFonts w:cs="Times New Roman"/>
          <w:b/>
          <w:bCs/>
          <w:sz w:val="20"/>
          <w:szCs w:val="20"/>
        </w:rPr>
      </w:pPr>
    </w:p>
    <w:p w:rsidR="00B52C08" w:rsidRPr="00EC6ED4" w:rsidRDefault="00B52C08" w:rsidP="00B52C08">
      <w:pPr>
        <w:spacing w:line="230" w:lineRule="auto"/>
        <w:rPr>
          <w:rFonts w:cs="Times New Roman"/>
          <w:sz w:val="20"/>
          <w:szCs w:val="20"/>
        </w:rPr>
      </w:pPr>
      <w:r w:rsidRPr="00EC6ED4">
        <w:rPr>
          <w:rFonts w:cs="Times New Roman"/>
          <w:sz w:val="20"/>
          <w:szCs w:val="20"/>
        </w:rPr>
        <w:t>Pursuant to Rule 59(1)(</w:t>
      </w:r>
      <w:r w:rsidRPr="00EC6ED4">
        <w:rPr>
          <w:rFonts w:cs="Times New Roman"/>
          <w:i/>
          <w:iCs/>
          <w:sz w:val="20"/>
          <w:szCs w:val="20"/>
        </w:rPr>
        <w:t>a</w:t>
      </w:r>
      <w:r w:rsidRPr="00EC6ED4">
        <w:rPr>
          <w:rFonts w:cs="Times New Roman"/>
          <w:sz w:val="20"/>
          <w:szCs w:val="20"/>
        </w:rPr>
        <w:t xml:space="preserve">) of the </w:t>
      </w:r>
      <w:r w:rsidRPr="00EC6ED4">
        <w:rPr>
          <w:rFonts w:cs="Times New Roman"/>
          <w:i/>
          <w:iCs/>
          <w:sz w:val="20"/>
          <w:szCs w:val="20"/>
        </w:rPr>
        <w:t>Rules of the Supreme Court of Canada</w:t>
      </w:r>
      <w:r w:rsidRPr="00EC6ED4">
        <w:rPr>
          <w:rFonts w:cs="Times New Roman"/>
          <w:sz w:val="20"/>
          <w:szCs w:val="20"/>
        </w:rPr>
        <w:t>, the interveners shall pay to the appellant and respondents any additional disbursements resulting from their interventions.</w:t>
      </w:r>
    </w:p>
    <w:p w:rsidR="00B52C08" w:rsidRPr="00EC6ED4" w:rsidRDefault="00B52C08" w:rsidP="00B52C08">
      <w:pPr>
        <w:rPr>
          <w:rFonts w:cs="Times New Roman"/>
          <w:b/>
          <w:bCs/>
          <w:sz w:val="20"/>
          <w:szCs w:val="20"/>
        </w:rPr>
      </w:pPr>
    </w:p>
    <w:p w:rsidR="00B52C08" w:rsidRPr="00EC6ED4" w:rsidRDefault="00B52C08" w:rsidP="00B52C08">
      <w:pPr>
        <w:spacing w:line="228" w:lineRule="auto"/>
        <w:rPr>
          <w:b/>
          <w:bCs/>
          <w:sz w:val="20"/>
          <w:szCs w:val="20"/>
        </w:rPr>
      </w:pPr>
      <w:r w:rsidRPr="00EC6ED4">
        <w:rPr>
          <w:b/>
          <w:bCs/>
          <w:sz w:val="20"/>
          <w:szCs w:val="20"/>
        </w:rPr>
        <w:t xml:space="preserve">IT IS HEREBY FURTHER ORDERED THAT: </w:t>
      </w:r>
    </w:p>
    <w:p w:rsidR="00B52C08" w:rsidRPr="00EC6ED4" w:rsidRDefault="00B52C08" w:rsidP="00B52C08">
      <w:pPr>
        <w:spacing w:line="228" w:lineRule="auto"/>
        <w:rPr>
          <w:b/>
          <w:bCs/>
          <w:sz w:val="20"/>
          <w:szCs w:val="20"/>
        </w:rPr>
      </w:pPr>
    </w:p>
    <w:p w:rsidR="00B52C08" w:rsidRPr="00EC6ED4" w:rsidRDefault="00B52C08" w:rsidP="00B52C08">
      <w:pPr>
        <w:spacing w:line="228" w:lineRule="auto"/>
        <w:rPr>
          <w:rFonts w:cs="Times New Roman"/>
          <w:bCs/>
          <w:sz w:val="20"/>
          <w:szCs w:val="20"/>
        </w:rPr>
      </w:pPr>
      <w:r w:rsidRPr="00EC6ED4">
        <w:rPr>
          <w:rFonts w:cs="Times New Roman"/>
          <w:bCs/>
          <w:sz w:val="20"/>
          <w:szCs w:val="20"/>
        </w:rPr>
        <w:t>The Attorney General of Ontario is granted permission to present oral argument not exceeding five (5) minutes at the hearing of the appeal.</w:t>
      </w:r>
    </w:p>
    <w:p w:rsidR="00B52C08" w:rsidRPr="00B52C08" w:rsidRDefault="00B52C08" w:rsidP="00183454">
      <w:pPr>
        <w:tabs>
          <w:tab w:val="left" w:pos="-1440"/>
          <w:tab w:val="left" w:pos="-720"/>
        </w:tabs>
        <w:jc w:val="both"/>
        <w:rPr>
          <w:rFonts w:eastAsia="Times New Roman" w:cs="Times New Roman"/>
          <w:sz w:val="20"/>
          <w:szCs w:val="20"/>
          <w:lang w:eastAsia="en-CA"/>
        </w:rPr>
      </w:pPr>
    </w:p>
    <w:p w:rsidR="00CA2DEA" w:rsidRPr="006E5D7C" w:rsidRDefault="006B07D6" w:rsidP="00CA2DEA">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64" style="width:2in;height:1pt" o:hrpct="0" o:hralign="center" o:hrstd="t" o:hrnoshade="t" o:hr="t" fillcolor="black [3213]" stroked="f"/>
        </w:pict>
      </w:r>
    </w:p>
    <w:p w:rsidR="00CA2DEA" w:rsidRPr="006E5D7C" w:rsidRDefault="00CA2DEA" w:rsidP="00CA2DEA">
      <w:pPr>
        <w:widowControl w:val="0"/>
        <w:rPr>
          <w:rFonts w:eastAsia="Times New Roman" w:cs="Times New Roman"/>
          <w:sz w:val="20"/>
          <w:szCs w:val="20"/>
          <w:lang w:val="en-US" w:eastAsia="en-CA"/>
        </w:rPr>
      </w:pPr>
    </w:p>
    <w:p w:rsidR="00890FEB" w:rsidRPr="00C50A5C" w:rsidRDefault="00890FEB" w:rsidP="00831CA9">
      <w:pPr>
        <w:jc w:val="both"/>
        <w:rPr>
          <w:sz w:val="20"/>
          <w:szCs w:val="20"/>
          <w:lang w:val="fr-CA"/>
        </w:rPr>
      </w:pPr>
    </w:p>
    <w:p w:rsidR="00507366" w:rsidRDefault="00507366">
      <w:pPr>
        <w:rPr>
          <w:sz w:val="20"/>
          <w:szCs w:val="20"/>
          <w:lang w:val="fr-CA"/>
        </w:rPr>
      </w:pPr>
      <w:r>
        <w:rPr>
          <w:sz w:val="20"/>
          <w:szCs w:val="20"/>
          <w:lang w:val="fr-CA"/>
        </w:rPr>
        <w:br w:type="page"/>
      </w:r>
    </w:p>
    <w:p w:rsidR="00507366" w:rsidRDefault="00507366" w:rsidP="00831CA9">
      <w:pPr>
        <w:jc w:val="both"/>
        <w:rPr>
          <w:sz w:val="20"/>
          <w:szCs w:val="20"/>
          <w:lang w:val="fr-CA"/>
        </w:rPr>
      </w:pPr>
      <w:r>
        <w:rPr>
          <w:sz w:val="20"/>
          <w:szCs w:val="20"/>
          <w:lang w:val="fr-CA"/>
        </w:rPr>
        <w:lastRenderedPageBreak/>
        <w:t>2017.09.12</w:t>
      </w:r>
    </w:p>
    <w:p w:rsidR="00507366" w:rsidRDefault="00507366" w:rsidP="00831CA9">
      <w:pPr>
        <w:jc w:val="both"/>
        <w:rPr>
          <w:sz w:val="20"/>
          <w:szCs w:val="20"/>
          <w:lang w:val="fr-CA"/>
        </w:rPr>
      </w:pPr>
    </w:p>
    <w:p w:rsidR="00507366" w:rsidRPr="00802F41" w:rsidRDefault="00507366" w:rsidP="00507366">
      <w:pPr>
        <w:tabs>
          <w:tab w:val="left" w:pos="-1440"/>
          <w:tab w:val="left" w:pos="-720"/>
        </w:tabs>
        <w:jc w:val="both"/>
        <w:rPr>
          <w:sz w:val="20"/>
          <w:szCs w:val="20"/>
        </w:rPr>
      </w:pPr>
      <w:r w:rsidRPr="00802F41">
        <w:rPr>
          <w:sz w:val="20"/>
          <w:szCs w:val="20"/>
        </w:rPr>
        <w:t>Before / Devant:   THE DEPUTY REGISTRAR / LE REGISTRAIRE ADJOINT</w:t>
      </w:r>
    </w:p>
    <w:p w:rsidR="00507366" w:rsidRDefault="00507366" w:rsidP="00831CA9">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1142"/>
        <w:gridCol w:w="4236"/>
      </w:tblGrid>
      <w:tr w:rsidR="00507366" w:rsidRPr="006B07D6" w:rsidTr="006B07D6">
        <w:tc>
          <w:tcPr>
            <w:tcW w:w="4338" w:type="dxa"/>
          </w:tcPr>
          <w:p w:rsidR="00507366" w:rsidRPr="00802F41" w:rsidRDefault="00507366" w:rsidP="006B07D6">
            <w:pPr>
              <w:tabs>
                <w:tab w:val="left" w:pos="-1440"/>
                <w:tab w:val="left" w:pos="-720"/>
              </w:tabs>
              <w:jc w:val="both"/>
              <w:rPr>
                <w:b/>
                <w:sz w:val="20"/>
                <w:szCs w:val="20"/>
              </w:rPr>
            </w:pPr>
            <w:r w:rsidRPr="00802F41">
              <w:rPr>
                <w:sz w:val="20"/>
                <w:szCs w:val="20"/>
              </w:rPr>
              <w:fldChar w:fldCharType="begin"/>
            </w:r>
            <w:r w:rsidRPr="00802F41">
              <w:rPr>
                <w:sz w:val="20"/>
                <w:szCs w:val="20"/>
              </w:rPr>
              <w:instrText xml:space="preserve"> SEQ CHAPTER \h \r 1</w:instrText>
            </w:r>
            <w:r w:rsidRPr="00802F41">
              <w:rPr>
                <w:sz w:val="20"/>
                <w:szCs w:val="20"/>
              </w:rPr>
              <w:fldChar w:fldCharType="end"/>
            </w:r>
            <w:r w:rsidRPr="00802F41">
              <w:rPr>
                <w:b/>
                <w:bCs/>
                <w:sz w:val="20"/>
                <w:szCs w:val="20"/>
              </w:rPr>
              <w:t>Motion to extend time</w:t>
            </w:r>
          </w:p>
        </w:tc>
        <w:tc>
          <w:tcPr>
            <w:tcW w:w="1170" w:type="dxa"/>
          </w:tcPr>
          <w:p w:rsidR="00507366" w:rsidRPr="00802F41" w:rsidRDefault="00507366" w:rsidP="006B07D6">
            <w:pPr>
              <w:tabs>
                <w:tab w:val="left" w:pos="-1440"/>
                <w:tab w:val="left" w:pos="-720"/>
              </w:tabs>
              <w:jc w:val="both"/>
              <w:rPr>
                <w:sz w:val="20"/>
                <w:szCs w:val="20"/>
              </w:rPr>
            </w:pPr>
          </w:p>
          <w:p w:rsidR="00507366" w:rsidRPr="00802F41" w:rsidRDefault="00507366" w:rsidP="006B07D6">
            <w:pPr>
              <w:tabs>
                <w:tab w:val="left" w:pos="-1440"/>
                <w:tab w:val="left" w:pos="-720"/>
              </w:tabs>
              <w:jc w:val="both"/>
              <w:rPr>
                <w:sz w:val="20"/>
                <w:szCs w:val="20"/>
              </w:rPr>
            </w:pPr>
          </w:p>
        </w:tc>
        <w:tc>
          <w:tcPr>
            <w:tcW w:w="4327" w:type="dxa"/>
          </w:tcPr>
          <w:p w:rsidR="00507366" w:rsidRPr="00802F41" w:rsidRDefault="00507366" w:rsidP="006B07D6">
            <w:pPr>
              <w:tabs>
                <w:tab w:val="left" w:pos="-1440"/>
                <w:tab w:val="left" w:pos="-720"/>
              </w:tabs>
              <w:jc w:val="both"/>
              <w:rPr>
                <w:sz w:val="20"/>
                <w:szCs w:val="20"/>
                <w:lang w:val="fr-CA"/>
              </w:rPr>
            </w:pPr>
            <w:r w:rsidRPr="00802F41">
              <w:rPr>
                <w:b/>
                <w:bCs/>
                <w:color w:val="000000"/>
                <w:sz w:val="20"/>
                <w:szCs w:val="20"/>
                <w:lang w:val="fr-CA"/>
              </w:rPr>
              <w:t>Requête en prorogation de délai</w:t>
            </w:r>
            <w:r w:rsidRPr="00802F41">
              <w:rPr>
                <w:sz w:val="20"/>
                <w:szCs w:val="20"/>
                <w:lang w:val="fr-CA"/>
              </w:rPr>
              <w:t xml:space="preserve"> </w:t>
            </w:r>
            <w:r w:rsidRPr="00802F41">
              <w:rPr>
                <w:sz w:val="20"/>
                <w:szCs w:val="20"/>
              </w:rPr>
              <w:fldChar w:fldCharType="begin"/>
            </w:r>
            <w:r w:rsidRPr="00802F41">
              <w:rPr>
                <w:sz w:val="20"/>
                <w:szCs w:val="20"/>
                <w:lang w:val="fr-CA"/>
              </w:rPr>
              <w:instrText xml:space="preserve"> SEQ CHAPTER \h \r 1</w:instrText>
            </w:r>
            <w:r w:rsidRPr="00802F41">
              <w:rPr>
                <w:sz w:val="20"/>
                <w:szCs w:val="20"/>
              </w:rPr>
              <w:fldChar w:fldCharType="end"/>
            </w:r>
            <w:r w:rsidRPr="00802F41">
              <w:rPr>
                <w:sz w:val="20"/>
                <w:szCs w:val="20"/>
              </w:rPr>
              <w:fldChar w:fldCharType="begin"/>
            </w:r>
            <w:r w:rsidRPr="00802F41">
              <w:rPr>
                <w:sz w:val="20"/>
                <w:szCs w:val="20"/>
                <w:lang w:val="fr-CA"/>
              </w:rPr>
              <w:instrText xml:space="preserve"> SEQ CHAPTER \h \r 1</w:instrText>
            </w:r>
            <w:r w:rsidRPr="00802F41">
              <w:rPr>
                <w:sz w:val="20"/>
                <w:szCs w:val="20"/>
              </w:rPr>
              <w:fldChar w:fldCharType="end"/>
            </w:r>
          </w:p>
        </w:tc>
      </w:tr>
      <w:tr w:rsidR="00507366" w:rsidRPr="006B07D6" w:rsidTr="006B07D6">
        <w:tc>
          <w:tcPr>
            <w:tcW w:w="4338" w:type="dxa"/>
          </w:tcPr>
          <w:p w:rsidR="00507366" w:rsidRPr="009C1033" w:rsidRDefault="00507366" w:rsidP="006B07D6">
            <w:pPr>
              <w:tabs>
                <w:tab w:val="left" w:pos="-1440"/>
                <w:tab w:val="left" w:pos="-720"/>
              </w:tabs>
              <w:jc w:val="both"/>
              <w:rPr>
                <w:sz w:val="20"/>
                <w:szCs w:val="20"/>
                <w:lang w:val="en-US"/>
              </w:rPr>
            </w:pPr>
            <w:r w:rsidRPr="009C1033">
              <w:rPr>
                <w:sz w:val="20"/>
                <w:szCs w:val="20"/>
                <w:lang w:val="en-US"/>
              </w:rPr>
              <w:t>Daimler Trucks Canada Ltd.</w:t>
            </w:r>
          </w:p>
          <w:p w:rsidR="00507366" w:rsidRPr="009C1033" w:rsidRDefault="00507366" w:rsidP="006B07D6">
            <w:pPr>
              <w:tabs>
                <w:tab w:val="left" w:pos="-1440"/>
                <w:tab w:val="left" w:pos="-720"/>
              </w:tabs>
              <w:jc w:val="both"/>
              <w:rPr>
                <w:sz w:val="20"/>
                <w:szCs w:val="20"/>
                <w:lang w:val="en-US"/>
              </w:rPr>
            </w:pPr>
          </w:p>
          <w:p w:rsidR="00507366" w:rsidRPr="009C1033" w:rsidRDefault="00507366" w:rsidP="006B07D6">
            <w:pPr>
              <w:tabs>
                <w:tab w:val="left" w:pos="-1440"/>
                <w:tab w:val="left" w:pos="-720"/>
              </w:tabs>
              <w:jc w:val="both"/>
              <w:rPr>
                <w:sz w:val="20"/>
                <w:szCs w:val="20"/>
                <w:lang w:val="en-US"/>
              </w:rPr>
            </w:pPr>
            <w:r w:rsidRPr="009C1033">
              <w:rPr>
                <w:sz w:val="20"/>
                <w:szCs w:val="20"/>
                <w:lang w:val="en-US"/>
              </w:rPr>
              <w:tab/>
              <w:t>c. (37695)</w:t>
            </w:r>
          </w:p>
          <w:p w:rsidR="00507366" w:rsidRPr="009C1033" w:rsidRDefault="00507366" w:rsidP="006B07D6">
            <w:pPr>
              <w:tabs>
                <w:tab w:val="left" w:pos="-1440"/>
                <w:tab w:val="left" w:pos="-720"/>
              </w:tabs>
              <w:jc w:val="both"/>
              <w:rPr>
                <w:sz w:val="20"/>
                <w:szCs w:val="20"/>
                <w:lang w:val="en-US"/>
              </w:rPr>
            </w:pPr>
          </w:p>
          <w:p w:rsidR="00507366" w:rsidRPr="00802F41" w:rsidRDefault="00507366" w:rsidP="00507366">
            <w:pPr>
              <w:tabs>
                <w:tab w:val="left" w:pos="-1440"/>
                <w:tab w:val="left" w:pos="-720"/>
              </w:tabs>
              <w:jc w:val="both"/>
              <w:rPr>
                <w:sz w:val="20"/>
                <w:szCs w:val="20"/>
                <w:lang w:val="fr-CA"/>
              </w:rPr>
            </w:pPr>
            <w:r>
              <w:rPr>
                <w:sz w:val="20"/>
                <w:szCs w:val="20"/>
                <w:lang w:val="fr-CA"/>
              </w:rPr>
              <w:t>Camions Sterling de Lévis inc. et autres</w:t>
            </w:r>
          </w:p>
        </w:tc>
        <w:tc>
          <w:tcPr>
            <w:tcW w:w="1170" w:type="dxa"/>
          </w:tcPr>
          <w:p w:rsidR="00507366" w:rsidRPr="00802F41" w:rsidRDefault="00507366" w:rsidP="006B07D6">
            <w:pPr>
              <w:tabs>
                <w:tab w:val="left" w:pos="-1440"/>
                <w:tab w:val="left" w:pos="-720"/>
              </w:tabs>
              <w:jc w:val="both"/>
              <w:rPr>
                <w:sz w:val="20"/>
                <w:szCs w:val="20"/>
                <w:lang w:val="fr-CA"/>
              </w:rPr>
            </w:pPr>
          </w:p>
        </w:tc>
        <w:tc>
          <w:tcPr>
            <w:tcW w:w="4327" w:type="dxa"/>
          </w:tcPr>
          <w:p w:rsidR="00507366" w:rsidRPr="00802F41" w:rsidRDefault="00507366" w:rsidP="006B07D6">
            <w:pPr>
              <w:tabs>
                <w:tab w:val="left" w:pos="-1440"/>
                <w:tab w:val="left" w:pos="-720"/>
              </w:tabs>
              <w:jc w:val="both"/>
              <w:rPr>
                <w:sz w:val="20"/>
                <w:szCs w:val="20"/>
                <w:lang w:val="fr-CA"/>
              </w:rPr>
            </w:pPr>
          </w:p>
        </w:tc>
      </w:tr>
    </w:tbl>
    <w:p w:rsidR="00507366" w:rsidRDefault="00507366" w:rsidP="00831CA9">
      <w:pPr>
        <w:jc w:val="both"/>
        <w:rPr>
          <w:sz w:val="20"/>
          <w:szCs w:val="20"/>
          <w:lang w:val="fr-CA"/>
        </w:rPr>
      </w:pPr>
    </w:p>
    <w:p w:rsidR="00507366" w:rsidRPr="00507366" w:rsidRDefault="00507366" w:rsidP="00831CA9">
      <w:pPr>
        <w:jc w:val="both"/>
        <w:rPr>
          <w:b/>
          <w:sz w:val="20"/>
          <w:szCs w:val="20"/>
          <w:lang w:val="fr-CA"/>
        </w:rPr>
      </w:pPr>
      <w:r w:rsidRPr="00507366">
        <w:rPr>
          <w:b/>
          <w:sz w:val="20"/>
          <w:szCs w:val="20"/>
          <w:lang w:val="fr-CA"/>
        </w:rPr>
        <w:t>GRANTED / ACCORDÉE</w:t>
      </w:r>
    </w:p>
    <w:p w:rsidR="00507366" w:rsidRDefault="00507366" w:rsidP="00831CA9">
      <w:pPr>
        <w:jc w:val="both"/>
        <w:rPr>
          <w:sz w:val="20"/>
          <w:szCs w:val="20"/>
          <w:lang w:val="fr-CA"/>
        </w:rPr>
      </w:pPr>
    </w:p>
    <w:p w:rsidR="00507366" w:rsidRPr="00C20BE2" w:rsidRDefault="00507366" w:rsidP="00507366">
      <w:pPr>
        <w:spacing w:line="233" w:lineRule="auto"/>
        <w:jc w:val="both"/>
        <w:rPr>
          <w:rFonts w:cs="Times New Roman"/>
          <w:sz w:val="20"/>
          <w:szCs w:val="20"/>
          <w:lang w:val="fr-CA"/>
        </w:rPr>
      </w:pPr>
      <w:r w:rsidRPr="00C20BE2">
        <w:rPr>
          <w:rFonts w:cs="Times New Roman"/>
          <w:b/>
          <w:sz w:val="20"/>
          <w:szCs w:val="20"/>
          <w:lang w:val="fr-CA"/>
        </w:rPr>
        <w:t>À LA SUITE DE LA REQUÊTE</w:t>
      </w:r>
      <w:r w:rsidRPr="00C20BE2">
        <w:rPr>
          <w:rFonts w:cs="Times New Roman"/>
          <w:sz w:val="20"/>
          <w:szCs w:val="20"/>
          <w:lang w:val="fr-CA"/>
        </w:rPr>
        <w:t xml:space="preserve"> présentée par l’intimée pour obtenir une prorogation du délai de signification et de dépôt de la réponse à la demande d’autorisation d’appel pour le 31 octobre 2017;</w:t>
      </w:r>
    </w:p>
    <w:p w:rsidR="00507366" w:rsidRPr="00C20BE2" w:rsidRDefault="00507366" w:rsidP="00507366">
      <w:pPr>
        <w:spacing w:line="233" w:lineRule="auto"/>
        <w:jc w:val="both"/>
        <w:rPr>
          <w:rFonts w:cs="Times New Roman"/>
          <w:sz w:val="20"/>
          <w:szCs w:val="20"/>
          <w:lang w:val="fr-CA"/>
        </w:rPr>
      </w:pPr>
    </w:p>
    <w:p w:rsidR="00507366" w:rsidRPr="00C20BE2" w:rsidRDefault="00507366" w:rsidP="00507366">
      <w:pPr>
        <w:spacing w:line="233" w:lineRule="auto"/>
        <w:jc w:val="both"/>
        <w:rPr>
          <w:rFonts w:cs="Times New Roman"/>
          <w:sz w:val="20"/>
          <w:szCs w:val="20"/>
          <w:lang w:val="fr-CA"/>
        </w:rPr>
      </w:pPr>
      <w:r w:rsidRPr="00C20BE2">
        <w:rPr>
          <w:rFonts w:cs="Times New Roman"/>
          <w:b/>
          <w:bCs/>
          <w:sz w:val="20"/>
          <w:szCs w:val="20"/>
          <w:lang w:val="fr-CA"/>
        </w:rPr>
        <w:t xml:space="preserve">ET APRÈS EXAMEN </w:t>
      </w:r>
      <w:r w:rsidRPr="00C20BE2">
        <w:rPr>
          <w:rFonts w:cs="Times New Roman"/>
          <w:sz w:val="20"/>
          <w:szCs w:val="20"/>
          <w:lang w:val="fr-CA"/>
        </w:rPr>
        <w:t>des documents déposés;</w:t>
      </w:r>
    </w:p>
    <w:p w:rsidR="00507366" w:rsidRPr="00C20BE2" w:rsidRDefault="00507366" w:rsidP="00507366">
      <w:pPr>
        <w:spacing w:line="233" w:lineRule="auto"/>
        <w:jc w:val="both"/>
        <w:rPr>
          <w:rFonts w:cs="Times New Roman"/>
          <w:sz w:val="20"/>
          <w:szCs w:val="20"/>
          <w:lang w:val="fr-CA"/>
        </w:rPr>
      </w:pPr>
    </w:p>
    <w:p w:rsidR="00507366" w:rsidRPr="00C20BE2" w:rsidRDefault="00507366" w:rsidP="00507366">
      <w:pPr>
        <w:spacing w:line="233" w:lineRule="auto"/>
        <w:jc w:val="both"/>
        <w:rPr>
          <w:rFonts w:cs="Times New Roman"/>
          <w:sz w:val="20"/>
          <w:szCs w:val="20"/>
          <w:lang w:val="fr-CA"/>
        </w:rPr>
      </w:pPr>
      <w:r w:rsidRPr="00C20BE2">
        <w:rPr>
          <w:rFonts w:cs="Times New Roman"/>
          <w:b/>
          <w:sz w:val="20"/>
          <w:szCs w:val="20"/>
          <w:lang w:val="fr-CA"/>
        </w:rPr>
        <w:t>ET NOTANT</w:t>
      </w:r>
      <w:r w:rsidRPr="00C20BE2">
        <w:rPr>
          <w:rFonts w:cs="Times New Roman"/>
          <w:sz w:val="20"/>
          <w:szCs w:val="20"/>
          <w:lang w:val="fr-CA"/>
        </w:rPr>
        <w:t xml:space="preserve"> le consentement de la demanderesse;</w:t>
      </w:r>
    </w:p>
    <w:p w:rsidR="00507366" w:rsidRPr="00C20BE2" w:rsidRDefault="00507366" w:rsidP="00507366">
      <w:pPr>
        <w:spacing w:line="233" w:lineRule="auto"/>
        <w:jc w:val="both"/>
        <w:rPr>
          <w:rFonts w:cs="Times New Roman"/>
          <w:b/>
          <w:bCs/>
          <w:sz w:val="20"/>
          <w:szCs w:val="20"/>
          <w:lang w:val="fr-CA"/>
        </w:rPr>
      </w:pPr>
    </w:p>
    <w:p w:rsidR="00507366" w:rsidRPr="00C20BE2" w:rsidRDefault="00507366" w:rsidP="00507366">
      <w:pPr>
        <w:spacing w:line="233" w:lineRule="auto"/>
        <w:jc w:val="both"/>
        <w:rPr>
          <w:rFonts w:cs="Times New Roman"/>
          <w:b/>
          <w:bCs/>
          <w:sz w:val="20"/>
          <w:szCs w:val="20"/>
          <w:lang w:val="fr-CA"/>
        </w:rPr>
      </w:pPr>
      <w:r w:rsidRPr="00C20BE2">
        <w:rPr>
          <w:rFonts w:cs="Times New Roman"/>
          <w:b/>
          <w:bCs/>
          <w:sz w:val="20"/>
          <w:szCs w:val="20"/>
          <w:lang w:val="fr-CA"/>
        </w:rPr>
        <w:t>IL EST ORDONNÉ CE QUI SUIT :</w:t>
      </w:r>
    </w:p>
    <w:p w:rsidR="00507366" w:rsidRPr="00C20BE2" w:rsidRDefault="00507366" w:rsidP="00507366">
      <w:pPr>
        <w:spacing w:line="233" w:lineRule="auto"/>
        <w:jc w:val="both"/>
        <w:rPr>
          <w:rFonts w:cs="Times New Roman"/>
          <w:b/>
          <w:bCs/>
          <w:sz w:val="20"/>
          <w:szCs w:val="20"/>
          <w:lang w:val="fr-CA"/>
        </w:rPr>
      </w:pPr>
    </w:p>
    <w:p w:rsidR="00507366" w:rsidRPr="009C1033" w:rsidRDefault="00507366" w:rsidP="00507366">
      <w:pPr>
        <w:spacing w:line="233" w:lineRule="auto"/>
        <w:jc w:val="both"/>
        <w:rPr>
          <w:rFonts w:cs="Times New Roman"/>
          <w:bCs/>
          <w:sz w:val="20"/>
          <w:szCs w:val="20"/>
          <w:lang w:val="en-US"/>
        </w:rPr>
      </w:pPr>
      <w:r w:rsidRPr="009C1033">
        <w:rPr>
          <w:rFonts w:cs="Times New Roman"/>
          <w:bCs/>
          <w:sz w:val="20"/>
          <w:szCs w:val="20"/>
          <w:lang w:val="en-US"/>
        </w:rPr>
        <w:t>La requête est accueillie.</w:t>
      </w:r>
    </w:p>
    <w:p w:rsidR="00507366" w:rsidRPr="009C1033" w:rsidRDefault="00507366" w:rsidP="00831CA9">
      <w:pPr>
        <w:jc w:val="both"/>
        <w:rPr>
          <w:sz w:val="20"/>
          <w:szCs w:val="20"/>
          <w:lang w:val="en-US"/>
        </w:rPr>
      </w:pPr>
    </w:p>
    <w:p w:rsidR="00507366" w:rsidRPr="009C1033" w:rsidRDefault="00507366" w:rsidP="00831CA9">
      <w:pPr>
        <w:jc w:val="both"/>
        <w:rPr>
          <w:sz w:val="20"/>
          <w:szCs w:val="20"/>
          <w:lang w:val="en-US"/>
        </w:rPr>
      </w:pPr>
    </w:p>
    <w:p w:rsidR="00507366" w:rsidRPr="00A1206F" w:rsidRDefault="00507366" w:rsidP="00507366">
      <w:pPr>
        <w:spacing w:line="233" w:lineRule="auto"/>
        <w:jc w:val="both"/>
        <w:rPr>
          <w:rFonts w:cs="Times New Roman"/>
          <w:sz w:val="20"/>
          <w:szCs w:val="20"/>
        </w:rPr>
      </w:pPr>
      <w:r w:rsidRPr="00A1206F">
        <w:rPr>
          <w:rFonts w:cs="Times New Roman"/>
          <w:b/>
          <w:sz w:val="20"/>
          <w:szCs w:val="20"/>
        </w:rPr>
        <w:t>UPON A MOTION</w:t>
      </w:r>
      <w:r w:rsidRPr="00A1206F">
        <w:rPr>
          <w:rFonts w:cs="Times New Roman"/>
          <w:sz w:val="20"/>
          <w:szCs w:val="20"/>
        </w:rPr>
        <w:t xml:space="preserve"> by the respondent for an order extending the time within which to serve and file a response to the application for leave to appeal to October 31, 2017;</w:t>
      </w:r>
    </w:p>
    <w:p w:rsidR="00507366" w:rsidRPr="00A1206F" w:rsidRDefault="00507366" w:rsidP="00507366">
      <w:pPr>
        <w:spacing w:line="233" w:lineRule="auto"/>
        <w:jc w:val="both"/>
        <w:rPr>
          <w:rFonts w:cs="Times New Roman"/>
          <w:sz w:val="20"/>
          <w:szCs w:val="20"/>
        </w:rPr>
      </w:pPr>
    </w:p>
    <w:p w:rsidR="00507366" w:rsidRPr="00A1206F" w:rsidRDefault="00507366" w:rsidP="00507366">
      <w:pPr>
        <w:spacing w:line="233" w:lineRule="auto"/>
        <w:jc w:val="both"/>
        <w:rPr>
          <w:rFonts w:cs="Times New Roman"/>
          <w:sz w:val="20"/>
          <w:szCs w:val="20"/>
        </w:rPr>
      </w:pPr>
      <w:r w:rsidRPr="00A1206F">
        <w:rPr>
          <w:rFonts w:cs="Times New Roman"/>
          <w:b/>
          <w:sz w:val="20"/>
          <w:szCs w:val="20"/>
        </w:rPr>
        <w:t>AND THE MATERIAL FILED</w:t>
      </w:r>
      <w:r w:rsidRPr="00A1206F">
        <w:rPr>
          <w:rFonts w:cs="Times New Roman"/>
          <w:sz w:val="20"/>
          <w:szCs w:val="20"/>
        </w:rPr>
        <w:t xml:space="preserve"> having been read;</w:t>
      </w:r>
    </w:p>
    <w:p w:rsidR="00507366" w:rsidRPr="00A1206F" w:rsidRDefault="00507366" w:rsidP="00507366">
      <w:pPr>
        <w:spacing w:line="233" w:lineRule="auto"/>
        <w:jc w:val="both"/>
        <w:rPr>
          <w:rFonts w:cs="Times New Roman"/>
          <w:sz w:val="20"/>
          <w:szCs w:val="20"/>
        </w:rPr>
      </w:pPr>
    </w:p>
    <w:p w:rsidR="00507366" w:rsidRPr="00A1206F" w:rsidRDefault="00507366" w:rsidP="00507366">
      <w:pPr>
        <w:spacing w:line="233" w:lineRule="auto"/>
        <w:jc w:val="both"/>
        <w:rPr>
          <w:rFonts w:cs="Times New Roman"/>
          <w:sz w:val="20"/>
          <w:szCs w:val="20"/>
        </w:rPr>
      </w:pPr>
      <w:r w:rsidRPr="00A1206F">
        <w:rPr>
          <w:rFonts w:cs="Times New Roman"/>
          <w:b/>
          <w:sz w:val="20"/>
          <w:szCs w:val="20"/>
        </w:rPr>
        <w:t>AND IT BEING NOTED THAT</w:t>
      </w:r>
      <w:r w:rsidRPr="00A1206F">
        <w:rPr>
          <w:rFonts w:cs="Times New Roman"/>
          <w:sz w:val="20"/>
          <w:szCs w:val="20"/>
        </w:rPr>
        <w:t xml:space="preserve"> the applicant has given its consent;</w:t>
      </w:r>
    </w:p>
    <w:p w:rsidR="00507366" w:rsidRPr="00A1206F" w:rsidRDefault="00507366" w:rsidP="00507366">
      <w:pPr>
        <w:spacing w:line="233" w:lineRule="auto"/>
        <w:jc w:val="both"/>
        <w:rPr>
          <w:rFonts w:cs="Times New Roman"/>
          <w:b/>
          <w:bCs/>
          <w:sz w:val="20"/>
          <w:szCs w:val="20"/>
        </w:rPr>
      </w:pPr>
    </w:p>
    <w:p w:rsidR="00507366" w:rsidRPr="00A1206F" w:rsidRDefault="00507366" w:rsidP="00507366">
      <w:pPr>
        <w:spacing w:line="233" w:lineRule="auto"/>
        <w:jc w:val="both"/>
        <w:rPr>
          <w:rFonts w:cs="Times New Roman"/>
          <w:b/>
          <w:bCs/>
          <w:sz w:val="20"/>
          <w:szCs w:val="20"/>
        </w:rPr>
      </w:pPr>
      <w:r w:rsidRPr="00A1206F">
        <w:rPr>
          <w:rFonts w:cs="Times New Roman"/>
          <w:b/>
          <w:bCs/>
          <w:sz w:val="20"/>
          <w:szCs w:val="20"/>
        </w:rPr>
        <w:t>IT IS HEREBY ORDERED THAT:</w:t>
      </w:r>
    </w:p>
    <w:p w:rsidR="00507366" w:rsidRPr="00A1206F" w:rsidRDefault="00507366" w:rsidP="00507366">
      <w:pPr>
        <w:spacing w:line="233" w:lineRule="auto"/>
        <w:jc w:val="both"/>
        <w:rPr>
          <w:rFonts w:cs="Times New Roman"/>
          <w:b/>
          <w:bCs/>
          <w:sz w:val="20"/>
          <w:szCs w:val="20"/>
        </w:rPr>
      </w:pPr>
    </w:p>
    <w:p w:rsidR="00507366" w:rsidRDefault="00507366" w:rsidP="00507366">
      <w:pPr>
        <w:spacing w:line="233" w:lineRule="auto"/>
        <w:jc w:val="both"/>
        <w:rPr>
          <w:rFonts w:cs="Times New Roman"/>
          <w:bCs/>
          <w:sz w:val="20"/>
          <w:szCs w:val="20"/>
        </w:rPr>
      </w:pPr>
      <w:r w:rsidRPr="00A1206F">
        <w:rPr>
          <w:rFonts w:cs="Times New Roman"/>
          <w:bCs/>
          <w:sz w:val="20"/>
          <w:szCs w:val="20"/>
        </w:rPr>
        <w:t>The motion is granted.</w:t>
      </w:r>
    </w:p>
    <w:p w:rsidR="00507366" w:rsidRPr="00A1206F" w:rsidRDefault="00507366" w:rsidP="00507366">
      <w:pPr>
        <w:spacing w:line="233" w:lineRule="auto"/>
        <w:jc w:val="both"/>
        <w:rPr>
          <w:rFonts w:cs="Times New Roman"/>
          <w:bCs/>
          <w:sz w:val="20"/>
          <w:szCs w:val="20"/>
        </w:rPr>
      </w:pPr>
    </w:p>
    <w:p w:rsidR="00507366" w:rsidRPr="00507366" w:rsidRDefault="006B07D6" w:rsidP="00831CA9">
      <w:pPr>
        <w:jc w:val="both"/>
        <w:rPr>
          <w:sz w:val="20"/>
          <w:szCs w:val="20"/>
          <w:lang w:val="fr-CA"/>
        </w:rPr>
      </w:pPr>
      <w:r>
        <w:rPr>
          <w:rFonts w:eastAsia="Times New Roman" w:cs="Times New Roman"/>
          <w:sz w:val="20"/>
          <w:szCs w:val="20"/>
          <w:lang w:val="fr-CA" w:eastAsia="en-CA"/>
        </w:rPr>
        <w:pict>
          <v:rect id="_x0000_i1065" style="width:2in;height:1pt" o:hrpct="0" o:hralign="center" o:hrstd="t" o:hrnoshade="t" o:hr="t" fillcolor="black [3213]" stroked="f"/>
        </w:pict>
      </w:r>
    </w:p>
    <w:p w:rsidR="00507366" w:rsidRDefault="00507366" w:rsidP="00831CA9">
      <w:pPr>
        <w:jc w:val="both"/>
        <w:rPr>
          <w:sz w:val="20"/>
          <w:szCs w:val="20"/>
          <w:lang w:val="fr-CA"/>
        </w:rPr>
      </w:pPr>
    </w:p>
    <w:p w:rsidR="00507366" w:rsidRPr="00C50A5C" w:rsidRDefault="00507366" w:rsidP="00831CA9">
      <w:pPr>
        <w:jc w:val="both"/>
        <w:rPr>
          <w:sz w:val="20"/>
          <w:szCs w:val="20"/>
          <w:lang w:val="fr-CA"/>
        </w:rPr>
        <w:sectPr w:rsidR="00507366" w:rsidRPr="00C50A5C" w:rsidSect="00507366">
          <w:headerReference w:type="even" r:id="rId56"/>
          <w:headerReference w:type="default" r:id="rId57"/>
          <w:footerReference w:type="even" r:id="rId58"/>
          <w:footerReference w:type="default" r:id="rId59"/>
          <w:headerReference w:type="first" r:id="rId60"/>
          <w:footerReference w:type="first" r:id="rId61"/>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6B07D6"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Default="00875849" w:rsidP="005F1ED8">
            <w:pPr>
              <w:rPr>
                <w:sz w:val="20"/>
                <w:szCs w:val="20"/>
                <w:lang w:val="fr-CA"/>
              </w:rPr>
            </w:pPr>
            <w:r>
              <w:rPr>
                <w:sz w:val="20"/>
                <w:szCs w:val="20"/>
                <w:lang w:val="fr-CA"/>
              </w:rPr>
              <w:t>15.09.2017</w:t>
            </w:r>
          </w:p>
          <w:p w:rsidR="00875849" w:rsidRDefault="00875849" w:rsidP="005F1ED8">
            <w:pPr>
              <w:rPr>
                <w:sz w:val="20"/>
                <w:szCs w:val="20"/>
                <w:lang w:val="fr-CA"/>
              </w:rPr>
            </w:pPr>
          </w:p>
          <w:p w:rsidR="00875849" w:rsidRDefault="00875849" w:rsidP="005F1ED8">
            <w:pPr>
              <w:rPr>
                <w:b/>
                <w:sz w:val="20"/>
                <w:szCs w:val="20"/>
                <w:lang w:val="fr-CA"/>
              </w:rPr>
            </w:pPr>
            <w:r>
              <w:rPr>
                <w:b/>
                <w:sz w:val="20"/>
                <w:szCs w:val="20"/>
                <w:lang w:val="fr-CA"/>
              </w:rPr>
              <w:t>Michelle Constance Moore</w:t>
            </w:r>
          </w:p>
          <w:p w:rsidR="00875849" w:rsidRDefault="00875849" w:rsidP="005F1ED8">
            <w:pPr>
              <w:rPr>
                <w:b/>
                <w:sz w:val="20"/>
                <w:szCs w:val="20"/>
                <w:lang w:val="fr-CA"/>
              </w:rPr>
            </w:pPr>
          </w:p>
          <w:p w:rsidR="00875849" w:rsidRDefault="00875849" w:rsidP="005F1ED8">
            <w:pPr>
              <w:rPr>
                <w:b/>
                <w:sz w:val="20"/>
                <w:szCs w:val="20"/>
                <w:lang w:val="fr-CA"/>
              </w:rPr>
            </w:pPr>
            <w:r>
              <w:rPr>
                <w:b/>
                <w:sz w:val="20"/>
                <w:szCs w:val="20"/>
                <w:lang w:val="fr-CA"/>
              </w:rPr>
              <w:tab/>
              <w:t>v. (37546)</w:t>
            </w:r>
          </w:p>
          <w:p w:rsidR="00875849" w:rsidRDefault="00875849" w:rsidP="005F1ED8">
            <w:pPr>
              <w:rPr>
                <w:b/>
                <w:sz w:val="20"/>
                <w:szCs w:val="20"/>
                <w:lang w:val="fr-CA"/>
              </w:rPr>
            </w:pPr>
          </w:p>
          <w:p w:rsidR="00875849" w:rsidRPr="00382DD9" w:rsidRDefault="00875849" w:rsidP="005F1ED8">
            <w:pPr>
              <w:rPr>
                <w:b/>
                <w:sz w:val="20"/>
                <w:szCs w:val="20"/>
                <w:lang w:val="fr-CA"/>
              </w:rPr>
            </w:pPr>
            <w:r w:rsidRPr="00382DD9">
              <w:rPr>
                <w:b/>
                <w:sz w:val="20"/>
                <w:szCs w:val="20"/>
                <w:lang w:val="fr-CA"/>
              </w:rPr>
              <w:t>Risa Lorraine Sweet (Ont.)</w:t>
            </w:r>
          </w:p>
          <w:p w:rsidR="00646A9C" w:rsidRPr="00382DD9" w:rsidRDefault="00646A9C" w:rsidP="005F1ED8">
            <w:pPr>
              <w:rPr>
                <w:sz w:val="20"/>
                <w:szCs w:val="20"/>
                <w:lang w:val="fr-CA"/>
              </w:rPr>
            </w:pPr>
          </w:p>
          <w:p w:rsidR="00646A9C" w:rsidRPr="00875849" w:rsidRDefault="00875849" w:rsidP="005F1ED8">
            <w:pPr>
              <w:rPr>
                <w:sz w:val="20"/>
                <w:szCs w:val="20"/>
                <w:lang w:val="en-US"/>
              </w:rPr>
            </w:pPr>
            <w:r w:rsidRPr="00875849">
              <w:rPr>
                <w:sz w:val="20"/>
                <w:szCs w:val="20"/>
                <w:lang w:val="en-US"/>
              </w:rPr>
              <w:t>(By Leave)</w:t>
            </w:r>
          </w:p>
          <w:p w:rsidR="0086340B" w:rsidRPr="00875849" w:rsidRDefault="0086340B" w:rsidP="005F1ED8">
            <w:pPr>
              <w:rPr>
                <w:sz w:val="20"/>
                <w:szCs w:val="20"/>
                <w:lang w:val="en-US"/>
              </w:rPr>
            </w:pPr>
          </w:p>
          <w:p w:rsidR="0086340B" w:rsidRPr="003B3977" w:rsidRDefault="006B07D6" w:rsidP="005F1ED8">
            <w:pPr>
              <w:rPr>
                <w:sz w:val="20"/>
                <w:szCs w:val="20"/>
                <w:lang w:val="fr-CA"/>
              </w:rPr>
            </w:pPr>
            <w:r>
              <w:rPr>
                <w:sz w:val="20"/>
                <w:szCs w:val="20"/>
                <w:lang w:val="fr-CA"/>
              </w:rPr>
              <w:pict>
                <v:rect id="_x0000_i1068"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r w:rsidR="0086340B" w:rsidRPr="00130B0E" w:rsidTr="005F1ED8">
        <w:trPr>
          <w:cantSplit/>
        </w:trPr>
        <w:tc>
          <w:tcPr>
            <w:tcW w:w="2206" w:type="pct"/>
            <w:tcMar>
              <w:left w:w="0" w:type="dxa"/>
              <w:right w:w="0" w:type="dxa"/>
            </w:tcMar>
          </w:tcPr>
          <w:p w:rsidR="0086340B" w:rsidRPr="003B3977" w:rsidRDefault="0086340B" w:rsidP="005F1ED8">
            <w:pPr>
              <w:rPr>
                <w:sz w:val="20"/>
                <w:szCs w:val="20"/>
              </w:rPr>
            </w:pPr>
          </w:p>
        </w:tc>
        <w:tc>
          <w:tcPr>
            <w:tcW w:w="588" w:type="pct"/>
          </w:tcPr>
          <w:p w:rsidR="0086340B" w:rsidRPr="003B3977" w:rsidRDefault="0086340B" w:rsidP="005F1ED8">
            <w:pPr>
              <w:jc w:val="center"/>
              <w:rPr>
                <w:sz w:val="20"/>
                <w:szCs w:val="20"/>
              </w:rPr>
            </w:pPr>
          </w:p>
        </w:tc>
        <w:tc>
          <w:tcPr>
            <w:tcW w:w="2206" w:type="pct"/>
          </w:tcPr>
          <w:p w:rsidR="0086340B" w:rsidRPr="00130B0E" w:rsidRDefault="0086340B" w:rsidP="005F1ED8">
            <w:pPr>
              <w:rPr>
                <w:sz w:val="20"/>
                <w:szCs w:val="20"/>
                <w:lang w:val="fr-CA"/>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507366">
          <w:headerReference w:type="even" r:id="rId62"/>
          <w:headerReference w:type="default" r:id="rId63"/>
          <w:footerReference w:type="even" r:id="rId64"/>
          <w:footerReference w:type="default" r:id="rId65"/>
          <w:headerReference w:type="first" r:id="rId66"/>
          <w:footerReference w:type="first" r:id="rId6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6B07D6"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4D5A60" w:rsidRDefault="00FF6EEC" w:rsidP="00FF6EEC">
      <w:pPr>
        <w:rPr>
          <w:b/>
          <w:sz w:val="20"/>
          <w:szCs w:val="20"/>
          <w:lang w:val="fr-CA"/>
        </w:rPr>
      </w:pPr>
    </w:p>
    <w:p w:rsidR="0052229C" w:rsidRPr="004D5A60" w:rsidRDefault="009C1033" w:rsidP="0052229C">
      <w:pPr>
        <w:rPr>
          <w:b/>
          <w:sz w:val="20"/>
          <w:szCs w:val="20"/>
          <w:lang w:val="en-US"/>
        </w:rPr>
      </w:pPr>
      <w:r w:rsidRPr="004D5A60">
        <w:rPr>
          <w:b/>
          <w:sz w:val="20"/>
          <w:szCs w:val="20"/>
          <w:lang w:val="en-US"/>
        </w:rPr>
        <w:t>SEPTEMBER 22</w:t>
      </w:r>
      <w:r w:rsidR="0052229C" w:rsidRPr="004D5A60">
        <w:rPr>
          <w:b/>
          <w:sz w:val="20"/>
          <w:szCs w:val="20"/>
          <w:lang w:val="en-US"/>
        </w:rPr>
        <w:t>, 201</w:t>
      </w:r>
      <w:r w:rsidR="0056248C" w:rsidRPr="004D5A60">
        <w:rPr>
          <w:b/>
          <w:sz w:val="20"/>
          <w:szCs w:val="20"/>
          <w:lang w:val="en-US"/>
        </w:rPr>
        <w:t>7</w:t>
      </w:r>
      <w:r w:rsidR="0052229C" w:rsidRPr="004D5A60">
        <w:rPr>
          <w:b/>
          <w:sz w:val="20"/>
          <w:szCs w:val="20"/>
          <w:lang w:val="en-US"/>
        </w:rPr>
        <w:t xml:space="preserve"> / LE </w:t>
      </w:r>
      <w:r w:rsidRPr="004D5A60">
        <w:rPr>
          <w:b/>
          <w:sz w:val="20"/>
          <w:szCs w:val="20"/>
          <w:lang w:val="en-US"/>
        </w:rPr>
        <w:t>22 SEPTEMBRE</w:t>
      </w:r>
      <w:r w:rsidR="0052229C" w:rsidRPr="004D5A60">
        <w:rPr>
          <w:b/>
          <w:sz w:val="20"/>
          <w:szCs w:val="20"/>
          <w:lang w:val="en-US"/>
        </w:rPr>
        <w:t xml:space="preserve"> 201</w:t>
      </w:r>
      <w:r w:rsidR="0056248C" w:rsidRPr="004D5A60">
        <w:rPr>
          <w:b/>
          <w:sz w:val="20"/>
          <w:szCs w:val="20"/>
          <w:lang w:val="en-US"/>
        </w:rPr>
        <w:t>7</w:t>
      </w:r>
    </w:p>
    <w:p w:rsidR="004D5A60" w:rsidRPr="004D5A60" w:rsidRDefault="004D5A60" w:rsidP="0052229C">
      <w:pPr>
        <w:rPr>
          <w:b/>
          <w:sz w:val="20"/>
          <w:szCs w:val="20"/>
          <w:lang w:val="en-US"/>
        </w:rPr>
      </w:pPr>
    </w:p>
    <w:p w:rsidR="004D5A60" w:rsidRPr="004D5A60" w:rsidRDefault="004D5A60" w:rsidP="004D5A60">
      <w:pPr>
        <w:widowControl w:val="0"/>
        <w:rPr>
          <w:sz w:val="20"/>
          <w:szCs w:val="20"/>
        </w:rPr>
      </w:pPr>
      <w:r w:rsidRPr="004D5A60">
        <w:rPr>
          <w:sz w:val="20"/>
          <w:szCs w:val="20"/>
        </w:rPr>
        <w:t>Notice:</w:t>
      </w:r>
    </w:p>
    <w:p w:rsidR="004D5A60" w:rsidRPr="004D5A60" w:rsidRDefault="004D5A60" w:rsidP="004D5A60">
      <w:pPr>
        <w:widowControl w:val="0"/>
        <w:rPr>
          <w:sz w:val="20"/>
          <w:szCs w:val="20"/>
        </w:rPr>
      </w:pPr>
    </w:p>
    <w:p w:rsidR="004D5A60" w:rsidRPr="004D5A60" w:rsidRDefault="004D5A60" w:rsidP="004D5A60">
      <w:pPr>
        <w:autoSpaceDE w:val="0"/>
        <w:autoSpaceDN w:val="0"/>
        <w:jc w:val="both"/>
        <w:rPr>
          <w:rFonts w:eastAsia="Calibri"/>
          <w:sz w:val="20"/>
          <w:szCs w:val="20"/>
        </w:rPr>
      </w:pPr>
      <w:r w:rsidRPr="004D5A60">
        <w:rPr>
          <w:rFonts w:eastAsia="Calibri"/>
          <w:sz w:val="20"/>
          <w:szCs w:val="20"/>
        </w:rPr>
        <w:t xml:space="preserve">There is a ban on the publication of evidence, under ss. 517 and 539(1) of the </w:t>
      </w:r>
      <w:r w:rsidRPr="004D5A60">
        <w:rPr>
          <w:rFonts w:eastAsia="Calibri"/>
          <w:i/>
          <w:iCs/>
          <w:sz w:val="20"/>
          <w:szCs w:val="20"/>
        </w:rPr>
        <w:t>Criminal Code</w:t>
      </w:r>
      <w:r w:rsidRPr="004D5A60">
        <w:rPr>
          <w:rFonts w:eastAsia="Calibri"/>
          <w:sz w:val="20"/>
          <w:szCs w:val="20"/>
        </w:rPr>
        <w:t xml:space="preserve">, and an order under s. 648 of </w:t>
      </w:r>
      <w:r w:rsidRPr="004D5A60">
        <w:rPr>
          <w:rFonts w:eastAsia="Calibri"/>
          <w:i/>
          <w:iCs/>
          <w:sz w:val="20"/>
          <w:szCs w:val="20"/>
        </w:rPr>
        <w:t>the Criminal Code</w:t>
      </w:r>
      <w:r w:rsidRPr="004D5A60">
        <w:rPr>
          <w:rFonts w:eastAsia="Calibri"/>
          <w:sz w:val="20"/>
          <w:szCs w:val="20"/>
        </w:rPr>
        <w:t>. No information regarding evidence at the show cause hearing and the preliminary inquiry shall be published in any document nor broadcast or transmitted in any way before the trial has ended. No information regarding any portion of the trial at which the jury is not present shall be published in any document nor broadcast or transmitted in any way before the jury retires to consider its verdict. Although the reasons for judgment cannot be posted on our website while these publication bans are in effect, print copies are available from the Registry of the Supreme Court of Canada.</w:t>
      </w:r>
    </w:p>
    <w:p w:rsidR="004D5A60" w:rsidRPr="004D5A60" w:rsidRDefault="004D5A60" w:rsidP="004D5A60">
      <w:pPr>
        <w:widowControl w:val="0"/>
        <w:rPr>
          <w:sz w:val="20"/>
          <w:szCs w:val="20"/>
        </w:rPr>
      </w:pPr>
    </w:p>
    <w:p w:rsidR="004D5A60" w:rsidRPr="004D5A60" w:rsidRDefault="004D5A60" w:rsidP="004D5A60">
      <w:pPr>
        <w:widowControl w:val="0"/>
        <w:rPr>
          <w:sz w:val="20"/>
          <w:szCs w:val="20"/>
          <w:lang w:val="en-US"/>
        </w:rPr>
      </w:pPr>
    </w:p>
    <w:p w:rsidR="004D5A60" w:rsidRPr="004D5A60" w:rsidRDefault="004D5A60" w:rsidP="004D5A60">
      <w:pPr>
        <w:widowControl w:val="0"/>
        <w:rPr>
          <w:sz w:val="20"/>
          <w:szCs w:val="20"/>
          <w:lang w:val="fr-CA"/>
        </w:rPr>
      </w:pPr>
      <w:r w:rsidRPr="004D5A60">
        <w:rPr>
          <w:sz w:val="20"/>
          <w:szCs w:val="20"/>
          <w:lang w:val="fr-CA"/>
        </w:rPr>
        <w:t>Avis :</w:t>
      </w:r>
    </w:p>
    <w:p w:rsidR="004D5A60" w:rsidRPr="004D5A60" w:rsidRDefault="004D5A60" w:rsidP="004D5A60">
      <w:pPr>
        <w:widowControl w:val="0"/>
        <w:rPr>
          <w:sz w:val="20"/>
          <w:szCs w:val="20"/>
          <w:lang w:val="fr-CA"/>
        </w:rPr>
      </w:pPr>
    </w:p>
    <w:p w:rsidR="004D5A60" w:rsidRPr="004D5A60" w:rsidRDefault="004D5A60" w:rsidP="004D5A60">
      <w:pPr>
        <w:autoSpaceDE w:val="0"/>
        <w:autoSpaceDN w:val="0"/>
        <w:jc w:val="both"/>
        <w:rPr>
          <w:rFonts w:eastAsia="Calibri"/>
          <w:sz w:val="20"/>
          <w:szCs w:val="20"/>
          <w:lang w:val="fr-CA"/>
        </w:rPr>
      </w:pPr>
      <w:r w:rsidRPr="004D5A60">
        <w:rPr>
          <w:rFonts w:eastAsia="Calibri"/>
          <w:sz w:val="20"/>
          <w:szCs w:val="20"/>
          <w:lang w:val="fr-CA"/>
        </w:rPr>
        <w:t xml:space="preserve">La preuve est assujettie à une ordonnance de non-publication fondée sur l’art. 517 et le par. 539(1) du </w:t>
      </w:r>
      <w:r w:rsidRPr="004D5A60">
        <w:rPr>
          <w:rFonts w:eastAsia="Calibri"/>
          <w:i/>
          <w:iCs/>
          <w:sz w:val="20"/>
          <w:szCs w:val="20"/>
          <w:lang w:val="fr-CA"/>
        </w:rPr>
        <w:t xml:space="preserve">Code criminel </w:t>
      </w:r>
      <w:r w:rsidRPr="004D5A60">
        <w:rPr>
          <w:rFonts w:eastAsia="Calibri"/>
          <w:sz w:val="20"/>
          <w:szCs w:val="20"/>
          <w:lang w:val="fr-CA"/>
        </w:rPr>
        <w:t xml:space="preserve">et une ordonnance a été prononcée en application de l’art. 648 du </w:t>
      </w:r>
      <w:r w:rsidRPr="004D5A60">
        <w:rPr>
          <w:rFonts w:eastAsia="Calibri"/>
          <w:i/>
          <w:iCs/>
          <w:sz w:val="20"/>
          <w:szCs w:val="20"/>
          <w:lang w:val="fr-CA"/>
        </w:rPr>
        <w:t>Code criminel</w:t>
      </w:r>
      <w:r w:rsidRPr="004D5A60">
        <w:rPr>
          <w:rFonts w:eastAsia="Calibri"/>
          <w:sz w:val="20"/>
          <w:szCs w:val="20"/>
          <w:lang w:val="fr-CA"/>
        </w:rPr>
        <w:t>. Aucun renseignement concernant la preuve présentée lors de l’audience de justification et de l’enquête préliminaire ne peut être publié ou diffusé de quelque façon que ce soit avant la fin du procès. Aucun renseignement concernant une phase du procès se déroulant en l’absence du jury ne peut être publié ou diffusé de quelque façon que ce soit avant que le jury ne se retire pour délibérer. Même si les motifs de jugement ne peuvent être affichés sur notre site Web tant que ces ordonnances de non-publication sont en vigueur, il est possible d’en obtenir une version papier en s’adressant au greffe de la Cour suprême du Canada.</w:t>
      </w:r>
    </w:p>
    <w:p w:rsidR="004D5A60" w:rsidRPr="004D5A60" w:rsidRDefault="004D5A60" w:rsidP="004D5A60">
      <w:pPr>
        <w:tabs>
          <w:tab w:val="left" w:pos="720"/>
          <w:tab w:val="left" w:pos="1296"/>
          <w:tab w:val="left" w:pos="2160"/>
          <w:tab w:val="left" w:pos="2880"/>
          <w:tab w:val="left" w:pos="4320"/>
          <w:tab w:val="left" w:pos="10224"/>
          <w:tab w:val="left" w:pos="11376"/>
        </w:tabs>
        <w:jc w:val="both"/>
        <w:rPr>
          <w:sz w:val="20"/>
          <w:szCs w:val="20"/>
          <w:lang w:val="fr-CA"/>
        </w:rPr>
      </w:pPr>
    </w:p>
    <w:p w:rsidR="004D5A60" w:rsidRPr="004D5A60" w:rsidRDefault="004D5A60" w:rsidP="004D5A60">
      <w:pPr>
        <w:widowControl w:val="0"/>
        <w:rPr>
          <w:sz w:val="20"/>
          <w:szCs w:val="20"/>
          <w:lang w:val="fr-CA"/>
        </w:rPr>
      </w:pPr>
      <w:r w:rsidRPr="004D5A60">
        <w:rPr>
          <w:noProof/>
          <w:sz w:val="20"/>
          <w:szCs w:val="20"/>
          <w:lang w:val="en-US"/>
        </w:rPr>
        <mc:AlternateContent>
          <mc:Choice Requires="wps">
            <w:drawing>
              <wp:anchor distT="0" distB="0" distL="114300" distR="114300" simplePos="0" relativeHeight="251659264" behindDoc="0" locked="0" layoutInCell="1" allowOverlap="1" wp14:anchorId="217BE08B" wp14:editId="2861F948">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99B78"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4D5A60" w:rsidRPr="004D5A60" w:rsidRDefault="004D5A60" w:rsidP="004D5A60">
      <w:pPr>
        <w:jc w:val="both"/>
        <w:outlineLvl w:val="0"/>
        <w:rPr>
          <w:sz w:val="20"/>
          <w:szCs w:val="20"/>
          <w:lang w:val="fr-CA"/>
        </w:rPr>
      </w:pPr>
    </w:p>
    <w:p w:rsidR="004D5A60" w:rsidRPr="004D5A60" w:rsidRDefault="004D5A60" w:rsidP="004D5A60">
      <w:pPr>
        <w:ind w:left="1440" w:hanging="1440"/>
        <w:jc w:val="both"/>
        <w:rPr>
          <w:sz w:val="20"/>
          <w:szCs w:val="20"/>
        </w:rPr>
      </w:pPr>
      <w:r w:rsidRPr="004D5A60">
        <w:rPr>
          <w:b/>
          <w:sz w:val="20"/>
          <w:szCs w:val="20"/>
        </w:rPr>
        <w:fldChar w:fldCharType="begin"/>
      </w:r>
      <w:r w:rsidRPr="004D5A60">
        <w:rPr>
          <w:b/>
          <w:sz w:val="20"/>
          <w:szCs w:val="20"/>
        </w:rPr>
        <w:instrText xml:space="preserve"> SEQ CHAPTER \h \r 1</w:instrText>
      </w:r>
      <w:r w:rsidRPr="004D5A60">
        <w:rPr>
          <w:b/>
          <w:sz w:val="20"/>
          <w:szCs w:val="20"/>
        </w:rPr>
        <w:fldChar w:fldCharType="end"/>
      </w:r>
      <w:r w:rsidRPr="004D5A60">
        <w:rPr>
          <w:b/>
          <w:sz w:val="20"/>
          <w:szCs w:val="20"/>
        </w:rPr>
        <w:t xml:space="preserve">37052 </w:t>
      </w:r>
      <w:r w:rsidRPr="004D5A60">
        <w:rPr>
          <w:color w:val="FF0000"/>
          <w:sz w:val="20"/>
          <w:szCs w:val="20"/>
        </w:rPr>
        <w:tab/>
      </w:r>
      <w:r w:rsidRPr="004D5A60">
        <w:rPr>
          <w:b/>
          <w:iCs/>
          <w:sz w:val="20"/>
          <w:szCs w:val="20"/>
          <w:u w:val="single"/>
        </w:rPr>
        <w:t>Durham Regional Crime Stoppers Inc. and X.Y. v. Her Majesty the Queen – and – Director of Public Prosecutions of Canada</w:t>
      </w:r>
      <w:r w:rsidRPr="004D5A60">
        <w:rPr>
          <w:iCs/>
          <w:sz w:val="20"/>
          <w:szCs w:val="20"/>
        </w:rPr>
        <w:t xml:space="preserve"> (Ont.)</w:t>
      </w:r>
    </w:p>
    <w:p w:rsidR="004D5A60" w:rsidRPr="004D5A60" w:rsidRDefault="004D5A60" w:rsidP="004D5A60">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4D5A60">
        <w:rPr>
          <w:b/>
          <w:sz w:val="20"/>
          <w:szCs w:val="20"/>
        </w:rPr>
        <w:t>2017 SCC 45 / 2017 CSC 45</w:t>
      </w:r>
    </w:p>
    <w:p w:rsidR="004D5A60" w:rsidRPr="004D5A60" w:rsidRDefault="004D5A60" w:rsidP="004D5A6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4D5A60" w:rsidRPr="004D5A60" w:rsidRDefault="004D5A60" w:rsidP="004D5A60">
      <w:pPr>
        <w:ind w:left="1440" w:hanging="1440"/>
        <w:rPr>
          <w:sz w:val="20"/>
          <w:szCs w:val="20"/>
        </w:rPr>
      </w:pPr>
      <w:r w:rsidRPr="004D5A60">
        <w:rPr>
          <w:sz w:val="20"/>
          <w:szCs w:val="20"/>
        </w:rPr>
        <w:t>Coram:</w:t>
      </w:r>
      <w:r w:rsidRPr="004D5A60">
        <w:rPr>
          <w:sz w:val="20"/>
          <w:szCs w:val="20"/>
        </w:rPr>
        <w:tab/>
      </w:r>
      <w:r w:rsidRPr="004D5A60">
        <w:rPr>
          <w:sz w:val="20"/>
          <w:szCs w:val="20"/>
          <w:u w:val="single"/>
        </w:rPr>
        <w:t>McLachlin C.J. and Abella, Moldaver, Karakatsanis, Wagner, Gascon, Côté, Brown and Rowe JJ.</w:t>
      </w:r>
    </w:p>
    <w:p w:rsidR="004D5A60" w:rsidRPr="004D5A60" w:rsidRDefault="004D5A60" w:rsidP="004D5A60">
      <w:pPr>
        <w:rPr>
          <w:sz w:val="20"/>
          <w:szCs w:val="20"/>
        </w:rPr>
      </w:pPr>
    </w:p>
    <w:p w:rsidR="004D5A60" w:rsidRPr="004D5A60" w:rsidRDefault="004D5A60" w:rsidP="004D5A60">
      <w:pPr>
        <w:rPr>
          <w:sz w:val="20"/>
          <w:szCs w:val="20"/>
        </w:rPr>
      </w:pPr>
      <w:r w:rsidRPr="004D5A60">
        <w:rPr>
          <w:sz w:val="20"/>
          <w:szCs w:val="20"/>
        </w:rPr>
        <w:t>The appeal from the decision of the Ontario Superior Court of Justice, Number 15/13823, dated April 14, 2016, heard on January 20, 2017, is dismissed.</w:t>
      </w:r>
    </w:p>
    <w:p w:rsidR="004D5A60" w:rsidRPr="00473D0C" w:rsidRDefault="004D5A60" w:rsidP="004D5A60">
      <w:pPr>
        <w:rPr>
          <w:sz w:val="20"/>
        </w:rPr>
      </w:pPr>
    </w:p>
    <w:p w:rsidR="004D5A60" w:rsidRPr="00473D0C" w:rsidRDefault="004D5A60" w:rsidP="004D5A60">
      <w:pPr>
        <w:rPr>
          <w:sz w:val="20"/>
          <w:lang w:val="fr-CA"/>
        </w:rPr>
      </w:pPr>
      <w:r w:rsidRPr="00153AC6">
        <w:rPr>
          <w:sz w:val="20"/>
          <w:lang w:val="fr-CA"/>
        </w:rPr>
        <w:t>L’appel interjeté contre la décision de la Cour supérieure de justice de l’Ontario, numéro 15/13823, datée du 14 avril 2016, entendu le 20 janvier 2017, est rejeté.</w:t>
      </w:r>
    </w:p>
    <w:p w:rsidR="0052229C" w:rsidRPr="009C1033" w:rsidRDefault="0052229C" w:rsidP="0052229C">
      <w:pPr>
        <w:rPr>
          <w:sz w:val="20"/>
          <w:szCs w:val="20"/>
          <w:lang w:val="fr-CA"/>
        </w:rPr>
      </w:pPr>
    </w:p>
    <w:p w:rsidR="0052229C" w:rsidRPr="003B3977" w:rsidRDefault="006B07D6" w:rsidP="0052229C">
      <w:pPr>
        <w:spacing w:line="0" w:lineRule="atLeast"/>
        <w:rPr>
          <w:sz w:val="20"/>
          <w:szCs w:val="20"/>
        </w:rPr>
      </w:pPr>
      <w:r>
        <w:rPr>
          <w:b/>
          <w:sz w:val="20"/>
          <w:szCs w:val="20"/>
        </w:rPr>
        <w:pict>
          <v:rect id="_x0000_i1071"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507366">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FA688A">
            <w:pPr>
              <w:keepNext/>
              <w:keepLines/>
              <w:rPr>
                <w:b/>
                <w:szCs w:val="24"/>
              </w:rPr>
            </w:pPr>
            <w:r w:rsidRPr="00C50A5C">
              <w:rPr>
                <w:b/>
                <w:szCs w:val="24"/>
              </w:rPr>
              <w:lastRenderedPageBreak/>
              <w:t xml:space="preserve">AGENDA FOR </w:t>
            </w:r>
            <w:r w:rsidR="00FA688A">
              <w:rPr>
                <w:b/>
                <w:szCs w:val="24"/>
              </w:rPr>
              <w:t>OCTOBER</w:t>
            </w:r>
            <w:r w:rsidR="005F1ED8">
              <w:rPr>
                <w:b/>
                <w:szCs w:val="24"/>
              </w:rPr>
              <w:t xml:space="preserve"> 201</w:t>
            </w:r>
            <w:r w:rsidR="0056248C">
              <w:rPr>
                <w:b/>
                <w:szCs w:val="24"/>
              </w:rPr>
              <w:t>7</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FA688A">
            <w:pPr>
              <w:keepNext/>
              <w:keepLines/>
              <w:rPr>
                <w:b/>
                <w:szCs w:val="24"/>
                <w:lang w:val="fr-CA"/>
              </w:rPr>
            </w:pPr>
            <w:r w:rsidRPr="00C50A5C">
              <w:rPr>
                <w:b/>
                <w:szCs w:val="24"/>
                <w:lang w:val="fr-CA"/>
              </w:rPr>
              <w:t>CALENDRIER D</w:t>
            </w:r>
            <w:r w:rsidR="00FA688A">
              <w:rPr>
                <w:b/>
                <w:szCs w:val="24"/>
                <w:lang w:val="fr-CA"/>
              </w:rPr>
              <w:t>’OCTOBRE</w:t>
            </w:r>
            <w:r w:rsidRPr="00C50A5C">
              <w:rPr>
                <w:b/>
                <w:szCs w:val="24"/>
                <w:lang w:val="fr-CA"/>
              </w:rPr>
              <w:t xml:space="preserve"> </w:t>
            </w:r>
            <w:r w:rsidR="005F1ED8">
              <w:rPr>
                <w:b/>
                <w:szCs w:val="24"/>
                <w:lang w:val="fr-CA"/>
              </w:rPr>
              <w:t>201</w:t>
            </w:r>
            <w:r w:rsidR="0056248C">
              <w:rPr>
                <w:b/>
                <w:szCs w:val="24"/>
                <w:lang w:val="fr-CA"/>
              </w:rPr>
              <w:t>7</w:t>
            </w:r>
          </w:p>
        </w:tc>
      </w:tr>
    </w:tbl>
    <w:p w:rsidR="004B66B4" w:rsidRPr="00DD0B49" w:rsidRDefault="004B66B4" w:rsidP="004B66B4">
      <w:pPr>
        <w:rPr>
          <w:b/>
          <w:sz w:val="20"/>
          <w:szCs w:val="20"/>
        </w:rPr>
      </w:pPr>
    </w:p>
    <w:p w:rsidR="005F1ED8" w:rsidRPr="00464E78" w:rsidRDefault="005F1ED8" w:rsidP="005F1ED8">
      <w:pPr>
        <w:rPr>
          <w:b/>
          <w:sz w:val="20"/>
          <w:szCs w:val="20"/>
        </w:rPr>
      </w:pPr>
      <w:r w:rsidRPr="00464E78">
        <w:rPr>
          <w:b/>
          <w:sz w:val="20"/>
          <w:szCs w:val="20"/>
        </w:rPr>
        <w:t xml:space="preserve">AGENDA for the weeks of </w:t>
      </w:r>
      <w:r w:rsidR="00464E78" w:rsidRPr="00464E78">
        <w:rPr>
          <w:b/>
          <w:sz w:val="20"/>
          <w:szCs w:val="20"/>
        </w:rPr>
        <w:t>October 2</w:t>
      </w:r>
      <w:r w:rsidRPr="00464E78">
        <w:rPr>
          <w:b/>
          <w:sz w:val="20"/>
          <w:szCs w:val="20"/>
        </w:rPr>
        <w:t xml:space="preserve"> and </w:t>
      </w:r>
      <w:r w:rsidR="00464E78" w:rsidRPr="00464E78">
        <w:rPr>
          <w:b/>
          <w:sz w:val="20"/>
          <w:szCs w:val="20"/>
        </w:rPr>
        <w:t>9</w:t>
      </w:r>
      <w:r w:rsidRPr="00464E78">
        <w:rPr>
          <w:b/>
          <w:sz w:val="20"/>
          <w:szCs w:val="20"/>
        </w:rPr>
        <w:t>, 201</w:t>
      </w:r>
      <w:r w:rsidR="0056248C" w:rsidRPr="00464E78">
        <w:rPr>
          <w:b/>
          <w:sz w:val="20"/>
          <w:szCs w:val="20"/>
        </w:rPr>
        <w:t>7</w:t>
      </w:r>
      <w:r w:rsidRPr="00464E78">
        <w:rPr>
          <w:b/>
          <w:sz w:val="20"/>
          <w:szCs w:val="20"/>
        </w:rPr>
        <w:t>.</w:t>
      </w:r>
    </w:p>
    <w:p w:rsidR="005F1ED8" w:rsidRPr="00464E78" w:rsidRDefault="005F1ED8" w:rsidP="005F1ED8">
      <w:pPr>
        <w:rPr>
          <w:sz w:val="20"/>
          <w:szCs w:val="20"/>
          <w:lang w:val="fr-CA"/>
        </w:rPr>
      </w:pPr>
      <w:r w:rsidRPr="00464E78">
        <w:rPr>
          <w:b/>
          <w:sz w:val="20"/>
          <w:szCs w:val="20"/>
          <w:lang w:val="fr-CA"/>
        </w:rPr>
        <w:t xml:space="preserve">CALENDRIER de la semaine du </w:t>
      </w:r>
      <w:r w:rsidR="00464E78" w:rsidRPr="00464E78">
        <w:rPr>
          <w:b/>
          <w:sz w:val="20"/>
          <w:szCs w:val="20"/>
          <w:lang w:val="fr-CA"/>
        </w:rPr>
        <w:t>2 octobre</w:t>
      </w:r>
      <w:r w:rsidRPr="00464E78">
        <w:rPr>
          <w:b/>
          <w:sz w:val="20"/>
          <w:szCs w:val="20"/>
          <w:lang w:val="fr-CA"/>
        </w:rPr>
        <w:t xml:space="preserve"> et celle du </w:t>
      </w:r>
      <w:r w:rsidR="00464E78" w:rsidRPr="00464E78">
        <w:rPr>
          <w:b/>
          <w:sz w:val="20"/>
          <w:szCs w:val="20"/>
          <w:lang w:val="fr-CA"/>
        </w:rPr>
        <w:t>9 octobre</w:t>
      </w:r>
      <w:r w:rsidRPr="00464E78">
        <w:rPr>
          <w:b/>
          <w:sz w:val="20"/>
          <w:szCs w:val="20"/>
          <w:lang w:val="fr-CA"/>
        </w:rPr>
        <w:t xml:space="preserve"> 201</w:t>
      </w:r>
      <w:r w:rsidR="00C01FCB" w:rsidRPr="00464E78">
        <w:rPr>
          <w:b/>
          <w:sz w:val="20"/>
          <w:szCs w:val="20"/>
          <w:lang w:val="fr-CA"/>
        </w:rPr>
        <w:t>7</w:t>
      </w:r>
      <w:r w:rsidRPr="00464E78">
        <w:rPr>
          <w:b/>
          <w:sz w:val="20"/>
          <w:szCs w:val="20"/>
          <w:lang w:val="fr-CA"/>
        </w:rPr>
        <w:t>.</w:t>
      </w:r>
    </w:p>
    <w:p w:rsidR="005F1ED8" w:rsidRPr="00464E78" w:rsidRDefault="005F1ED8" w:rsidP="005F1ED8">
      <w:pPr>
        <w:rPr>
          <w:sz w:val="20"/>
          <w:szCs w:val="20"/>
          <w:lang w:val="fr-CA"/>
        </w:rPr>
      </w:pPr>
    </w:p>
    <w:p w:rsidR="004B66B4" w:rsidRPr="00DD0B49" w:rsidRDefault="006B07D6" w:rsidP="004B66B4">
      <w:pPr>
        <w:rPr>
          <w:sz w:val="20"/>
          <w:szCs w:val="20"/>
        </w:rPr>
      </w:pPr>
      <w:r>
        <w:rPr>
          <w:sz w:val="20"/>
          <w:szCs w:val="20"/>
        </w:rPr>
        <w:pict>
          <v:rect id="_x0000_i1074" style="width:480.95pt;height:1pt" o:hralign="center" o:hrstd="t" o:hrnoshade="t" o:hr="t" fillcolor="black [3213]" stroked="f"/>
        </w:pict>
      </w:r>
    </w:p>
    <w:p w:rsidR="004B66B4" w:rsidRDefault="004B66B4" w:rsidP="004B66B4">
      <w:pPr>
        <w:rPr>
          <w:sz w:val="20"/>
          <w:szCs w:val="20"/>
          <w:lang w:val="fr-CA"/>
        </w:rPr>
      </w:pPr>
    </w:p>
    <w:tbl>
      <w:tblPr>
        <w:tblStyle w:val="TableGrid8"/>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6958"/>
      </w:tblGrid>
      <w:tr w:rsidR="00395A4E" w:rsidRPr="006B07D6" w:rsidTr="007020C4">
        <w:trPr>
          <w:cantSplit/>
        </w:trPr>
        <w:tc>
          <w:tcPr>
            <w:tcW w:w="2398" w:type="dxa"/>
          </w:tcPr>
          <w:p w:rsidR="00395A4E" w:rsidRPr="00866D43" w:rsidRDefault="00395A4E" w:rsidP="00523289">
            <w:pPr>
              <w:rPr>
                <w:sz w:val="20"/>
              </w:rPr>
            </w:pPr>
            <w:r w:rsidRPr="00866D43">
              <w:rPr>
                <w:sz w:val="20"/>
              </w:rPr>
              <w:t>DATE OF HEARING /</w:t>
            </w:r>
          </w:p>
          <w:p w:rsidR="00395A4E" w:rsidRPr="00866D43" w:rsidRDefault="00395A4E" w:rsidP="00523289">
            <w:pPr>
              <w:rPr>
                <w:sz w:val="20"/>
              </w:rPr>
            </w:pPr>
            <w:r w:rsidRPr="00866D43">
              <w:rPr>
                <w:sz w:val="20"/>
              </w:rPr>
              <w:t>DATE D’AUDITION</w:t>
            </w:r>
          </w:p>
        </w:tc>
        <w:tc>
          <w:tcPr>
            <w:tcW w:w="6958" w:type="dxa"/>
          </w:tcPr>
          <w:p w:rsidR="00395A4E" w:rsidRPr="00866D43" w:rsidRDefault="00395A4E" w:rsidP="00523289">
            <w:pPr>
              <w:rPr>
                <w:sz w:val="20"/>
                <w:lang w:val="fr-CA"/>
              </w:rPr>
            </w:pPr>
            <w:r w:rsidRPr="00866D43">
              <w:rPr>
                <w:sz w:val="20"/>
                <w:lang w:val="fr-CA"/>
              </w:rPr>
              <w:t>NAME AND CASE NUMBER /</w:t>
            </w:r>
          </w:p>
          <w:p w:rsidR="00395A4E" w:rsidRPr="00866D43" w:rsidRDefault="00395A4E" w:rsidP="00523289">
            <w:pPr>
              <w:rPr>
                <w:sz w:val="20"/>
                <w:lang w:val="fr-CA"/>
              </w:rPr>
            </w:pPr>
            <w:r w:rsidRPr="00866D43">
              <w:rPr>
                <w:sz w:val="20"/>
                <w:lang w:val="fr-CA"/>
              </w:rPr>
              <w:t>NOM DE LA CAUSE ET NUMÉRO</w:t>
            </w:r>
          </w:p>
        </w:tc>
      </w:tr>
      <w:tr w:rsidR="00395A4E" w:rsidRPr="0034787A" w:rsidTr="007020C4">
        <w:trPr>
          <w:cantSplit/>
        </w:trPr>
        <w:tc>
          <w:tcPr>
            <w:tcW w:w="2398" w:type="dxa"/>
          </w:tcPr>
          <w:p w:rsidR="00395A4E" w:rsidRPr="00866D43" w:rsidRDefault="00395A4E" w:rsidP="00523289">
            <w:pPr>
              <w:rPr>
                <w:sz w:val="20"/>
              </w:rPr>
            </w:pPr>
            <w:r w:rsidRPr="00866D43">
              <w:rPr>
                <w:sz w:val="20"/>
              </w:rPr>
              <w:t>2017-10-03</w:t>
            </w:r>
          </w:p>
        </w:tc>
        <w:tc>
          <w:tcPr>
            <w:tcW w:w="6958" w:type="dxa"/>
          </w:tcPr>
          <w:p w:rsidR="00395A4E" w:rsidRPr="00866D43" w:rsidRDefault="00BB1CED" w:rsidP="00BB1CED">
            <w:pPr>
              <w:rPr>
                <w:sz w:val="20"/>
                <w:lang w:val="fr-CA"/>
              </w:rPr>
            </w:pPr>
            <w:r>
              <w:rPr>
                <w:rStyle w:val="SCCSsocChar"/>
                <w:lang w:val="fr-CA"/>
              </w:rPr>
              <w:t>Ville de Montréal</w:t>
            </w:r>
            <w:r w:rsidR="007020C4" w:rsidRPr="00B24496">
              <w:rPr>
                <w:rStyle w:val="SCCSsocChar"/>
                <w:lang w:val="fr-CA"/>
              </w:rPr>
              <w:t xml:space="preserve"> c. Davide Lonardi, et al.</w:t>
            </w:r>
            <w:r w:rsidR="007020C4" w:rsidRPr="00B24496">
              <w:rPr>
                <w:lang w:val="fr-CA"/>
              </w:rPr>
              <w:t xml:space="preserve"> </w:t>
            </w:r>
            <w:r w:rsidR="00395A4E" w:rsidRPr="00866D43">
              <w:rPr>
                <w:sz w:val="20"/>
                <w:lang w:val="fr-CA"/>
              </w:rPr>
              <w:t xml:space="preserve">(Qc) (Civile) (Autorisation) </w:t>
            </w:r>
            <w:r w:rsidR="00395A4E" w:rsidRPr="0097127E">
              <w:rPr>
                <w:sz w:val="20"/>
                <w:lang w:val="fr-CA"/>
              </w:rPr>
              <w:t>(</w:t>
            </w:r>
            <w:hyperlink r:id="rId74" w:history="1">
              <w:r w:rsidR="00395A4E" w:rsidRPr="0097127E">
                <w:rPr>
                  <w:rStyle w:val="Hyperlink"/>
                  <w:sz w:val="20"/>
                  <w:lang w:val="fr-CA"/>
                </w:rPr>
                <w:t>3</w:t>
              </w:r>
              <w:r w:rsidR="00395A4E">
                <w:rPr>
                  <w:rStyle w:val="Hyperlink"/>
                  <w:sz w:val="20"/>
                  <w:lang w:val="fr-CA"/>
                </w:rPr>
                <w:t>7184</w:t>
              </w:r>
            </w:hyperlink>
            <w:r w:rsidR="00395A4E" w:rsidRPr="0097127E">
              <w:rPr>
                <w:sz w:val="20"/>
                <w:lang w:val="fr-CA"/>
              </w:rPr>
              <w:t>)</w:t>
            </w:r>
          </w:p>
        </w:tc>
      </w:tr>
      <w:tr w:rsidR="00395A4E" w:rsidRPr="00741129" w:rsidTr="007020C4">
        <w:trPr>
          <w:cantSplit/>
        </w:trPr>
        <w:tc>
          <w:tcPr>
            <w:tcW w:w="2398" w:type="dxa"/>
          </w:tcPr>
          <w:p w:rsidR="00395A4E" w:rsidRPr="00866D43" w:rsidRDefault="00395A4E" w:rsidP="00523289">
            <w:pPr>
              <w:rPr>
                <w:sz w:val="20"/>
              </w:rPr>
            </w:pPr>
            <w:r w:rsidRPr="00866D43">
              <w:rPr>
                <w:sz w:val="20"/>
              </w:rPr>
              <w:t>2017-10-03</w:t>
            </w:r>
          </w:p>
        </w:tc>
        <w:tc>
          <w:tcPr>
            <w:tcW w:w="6958" w:type="dxa"/>
          </w:tcPr>
          <w:p w:rsidR="00395A4E" w:rsidRDefault="00395A4E" w:rsidP="00523289">
            <w:pPr>
              <w:rPr>
                <w:sz w:val="20"/>
              </w:rPr>
            </w:pPr>
            <w:r w:rsidRPr="00866D43">
              <w:rPr>
                <w:i/>
                <w:sz w:val="20"/>
              </w:rPr>
              <w:t>Charles Gerald Patrick v. Her Majesty the Queen</w:t>
            </w:r>
            <w:r w:rsidRPr="00866D43">
              <w:rPr>
                <w:sz w:val="20"/>
              </w:rPr>
              <w:t xml:space="preserve"> (B.C.) (Criminal) (By Leave) </w:t>
            </w:r>
            <w:r w:rsidRPr="00FD2BEA">
              <w:rPr>
                <w:sz w:val="20"/>
              </w:rPr>
              <w:t>(</w:t>
            </w:r>
            <w:hyperlink r:id="rId75" w:history="1">
              <w:r w:rsidRPr="00FD2BEA">
                <w:rPr>
                  <w:rStyle w:val="Hyperlink"/>
                  <w:sz w:val="20"/>
                </w:rPr>
                <w:t>37</w:t>
              </w:r>
              <w:r>
                <w:rPr>
                  <w:rStyle w:val="Hyperlink"/>
                  <w:sz w:val="20"/>
                </w:rPr>
                <w:t>514</w:t>
              </w:r>
            </w:hyperlink>
            <w:r w:rsidRPr="00FD2BEA">
              <w:rPr>
                <w:sz w:val="20"/>
              </w:rPr>
              <w:t>)</w:t>
            </w:r>
          </w:p>
          <w:p w:rsidR="00395A4E" w:rsidRPr="00AE6EB9" w:rsidRDefault="00395A4E" w:rsidP="00523289">
            <w:pPr>
              <w:rPr>
                <w:sz w:val="20"/>
                <w:lang w:val="fr-CA"/>
              </w:rPr>
            </w:pPr>
            <w:r w:rsidRPr="00FD2BEA">
              <w:rPr>
                <w:sz w:val="20"/>
                <w:lang w:val="fr-CA"/>
              </w:rPr>
              <w:t>(Oral hearing on leave application / Audition de la demande d’autorisation d’appel)</w:t>
            </w:r>
          </w:p>
        </w:tc>
      </w:tr>
      <w:tr w:rsidR="00395A4E" w:rsidRPr="00866D43" w:rsidTr="007020C4">
        <w:trPr>
          <w:cantSplit/>
        </w:trPr>
        <w:tc>
          <w:tcPr>
            <w:tcW w:w="2398" w:type="dxa"/>
          </w:tcPr>
          <w:p w:rsidR="00395A4E" w:rsidRPr="00866D43" w:rsidRDefault="00395A4E" w:rsidP="00523289">
            <w:pPr>
              <w:rPr>
                <w:sz w:val="20"/>
              </w:rPr>
            </w:pPr>
            <w:r w:rsidRPr="00866D43">
              <w:rPr>
                <w:sz w:val="20"/>
              </w:rPr>
              <w:t>2017-10-04</w:t>
            </w:r>
          </w:p>
        </w:tc>
        <w:tc>
          <w:tcPr>
            <w:tcW w:w="6958" w:type="dxa"/>
          </w:tcPr>
          <w:p w:rsidR="00395A4E" w:rsidRPr="00866D43" w:rsidRDefault="00395A4E" w:rsidP="00523289">
            <w:pPr>
              <w:rPr>
                <w:sz w:val="20"/>
              </w:rPr>
            </w:pPr>
            <w:r w:rsidRPr="00866D43">
              <w:rPr>
                <w:i/>
                <w:sz w:val="20"/>
              </w:rPr>
              <w:t>Delta Air Lines Inc. v. Gábor Lukács</w:t>
            </w:r>
            <w:r w:rsidRPr="00866D43">
              <w:rPr>
                <w:sz w:val="20"/>
              </w:rPr>
              <w:t xml:space="preserve"> (F</w:t>
            </w:r>
            <w:r>
              <w:rPr>
                <w:sz w:val="20"/>
              </w:rPr>
              <w:t>.</w:t>
            </w:r>
            <w:r w:rsidRPr="00866D43">
              <w:rPr>
                <w:sz w:val="20"/>
              </w:rPr>
              <w:t>C</w:t>
            </w:r>
            <w:r>
              <w:rPr>
                <w:sz w:val="20"/>
              </w:rPr>
              <w:t>.</w:t>
            </w:r>
            <w:r w:rsidRPr="00866D43">
              <w:rPr>
                <w:sz w:val="20"/>
              </w:rPr>
              <w:t>) (Civil) (By Leave)</w:t>
            </w:r>
            <w:r>
              <w:rPr>
                <w:sz w:val="20"/>
              </w:rPr>
              <w:t xml:space="preserve"> </w:t>
            </w:r>
            <w:r w:rsidRPr="00FD2BEA">
              <w:rPr>
                <w:sz w:val="20"/>
              </w:rPr>
              <w:t>(</w:t>
            </w:r>
            <w:hyperlink r:id="rId76" w:history="1">
              <w:r w:rsidRPr="00FD2BEA">
                <w:rPr>
                  <w:rStyle w:val="Hyperlink"/>
                  <w:sz w:val="20"/>
                </w:rPr>
                <w:t>37</w:t>
              </w:r>
              <w:r>
                <w:rPr>
                  <w:rStyle w:val="Hyperlink"/>
                  <w:sz w:val="20"/>
                </w:rPr>
                <w:t>276</w:t>
              </w:r>
            </w:hyperlink>
            <w:r w:rsidRPr="00FD2BEA">
              <w:rPr>
                <w:sz w:val="20"/>
              </w:rPr>
              <w:t>)</w:t>
            </w:r>
          </w:p>
        </w:tc>
      </w:tr>
      <w:tr w:rsidR="00395A4E" w:rsidRPr="00866D43" w:rsidTr="007020C4">
        <w:trPr>
          <w:cantSplit/>
        </w:trPr>
        <w:tc>
          <w:tcPr>
            <w:tcW w:w="2398" w:type="dxa"/>
          </w:tcPr>
          <w:p w:rsidR="00395A4E" w:rsidRPr="00866D43" w:rsidRDefault="00395A4E" w:rsidP="00523289">
            <w:pPr>
              <w:rPr>
                <w:sz w:val="20"/>
              </w:rPr>
            </w:pPr>
            <w:r w:rsidRPr="00866D43">
              <w:rPr>
                <w:sz w:val="20"/>
              </w:rPr>
              <w:t>2017-10-05</w:t>
            </w:r>
          </w:p>
        </w:tc>
        <w:tc>
          <w:tcPr>
            <w:tcW w:w="6958" w:type="dxa"/>
          </w:tcPr>
          <w:p w:rsidR="00395A4E" w:rsidRPr="00866D43" w:rsidRDefault="00395A4E" w:rsidP="00523289">
            <w:pPr>
              <w:rPr>
                <w:sz w:val="20"/>
              </w:rPr>
            </w:pPr>
            <w:r w:rsidRPr="00866D43">
              <w:rPr>
                <w:i/>
                <w:sz w:val="20"/>
              </w:rPr>
              <w:t>James Chadwick Rankin, carrying on business as Rankin's Garage &amp; Sales v. J.J. by his Litigation Guardian, J.A.J. et al.</w:t>
            </w:r>
            <w:r w:rsidRPr="00866D43">
              <w:rPr>
                <w:sz w:val="20"/>
              </w:rPr>
              <w:t xml:space="preserve"> (Ont.) (Criminal) (By Leave)</w:t>
            </w:r>
            <w:r>
              <w:rPr>
                <w:sz w:val="20"/>
              </w:rPr>
              <w:t xml:space="preserve"> </w:t>
            </w:r>
            <w:r w:rsidRPr="00FD2BEA">
              <w:rPr>
                <w:sz w:val="20"/>
              </w:rPr>
              <w:t>(</w:t>
            </w:r>
            <w:hyperlink r:id="rId77" w:history="1">
              <w:r w:rsidRPr="00FD2BEA">
                <w:rPr>
                  <w:rStyle w:val="Hyperlink"/>
                  <w:sz w:val="20"/>
                </w:rPr>
                <w:t>37</w:t>
              </w:r>
              <w:r>
                <w:rPr>
                  <w:rStyle w:val="Hyperlink"/>
                  <w:sz w:val="20"/>
                </w:rPr>
                <w:t>323</w:t>
              </w:r>
            </w:hyperlink>
            <w:r w:rsidRPr="00FD2BEA">
              <w:rPr>
                <w:sz w:val="20"/>
              </w:rPr>
              <w:t>)</w:t>
            </w:r>
          </w:p>
        </w:tc>
      </w:tr>
      <w:tr w:rsidR="00395A4E" w:rsidRPr="00866D43" w:rsidTr="007020C4">
        <w:trPr>
          <w:cantSplit/>
        </w:trPr>
        <w:tc>
          <w:tcPr>
            <w:tcW w:w="2398" w:type="dxa"/>
          </w:tcPr>
          <w:p w:rsidR="00395A4E" w:rsidRPr="00866D43" w:rsidRDefault="00395A4E" w:rsidP="00523289">
            <w:pPr>
              <w:rPr>
                <w:sz w:val="20"/>
              </w:rPr>
            </w:pPr>
            <w:r w:rsidRPr="00866D43">
              <w:rPr>
                <w:sz w:val="20"/>
              </w:rPr>
              <w:t>2017-10-11</w:t>
            </w:r>
          </w:p>
        </w:tc>
        <w:tc>
          <w:tcPr>
            <w:tcW w:w="6958" w:type="dxa"/>
          </w:tcPr>
          <w:p w:rsidR="00395A4E" w:rsidRPr="00866D43" w:rsidRDefault="00395A4E" w:rsidP="00523289">
            <w:pPr>
              <w:rPr>
                <w:sz w:val="20"/>
              </w:rPr>
            </w:pPr>
            <w:r w:rsidRPr="00866D43">
              <w:rPr>
                <w:i/>
                <w:sz w:val="20"/>
              </w:rPr>
              <w:t>Richard Alan Suter v. Her Majesty the Queen</w:t>
            </w:r>
            <w:r w:rsidRPr="00866D43">
              <w:rPr>
                <w:sz w:val="20"/>
              </w:rPr>
              <w:t xml:space="preserve"> (Alta.) (Criminal) (By Leave) </w:t>
            </w:r>
            <w:r w:rsidRPr="00FD2BEA">
              <w:rPr>
                <w:sz w:val="20"/>
              </w:rPr>
              <w:t>(</w:t>
            </w:r>
            <w:hyperlink r:id="rId78" w:history="1">
              <w:r w:rsidRPr="00FD2BEA">
                <w:rPr>
                  <w:rStyle w:val="Hyperlink"/>
                  <w:sz w:val="20"/>
                </w:rPr>
                <w:t>37</w:t>
              </w:r>
              <w:r>
                <w:rPr>
                  <w:rStyle w:val="Hyperlink"/>
                  <w:sz w:val="20"/>
                </w:rPr>
                <w:t>247</w:t>
              </w:r>
            </w:hyperlink>
            <w:r w:rsidRPr="00FD2BEA">
              <w:rPr>
                <w:sz w:val="20"/>
              </w:rPr>
              <w:t>)</w:t>
            </w:r>
          </w:p>
        </w:tc>
      </w:tr>
      <w:tr w:rsidR="00395A4E" w:rsidRPr="00866D43" w:rsidTr="007020C4">
        <w:trPr>
          <w:cantSplit/>
        </w:trPr>
        <w:tc>
          <w:tcPr>
            <w:tcW w:w="2398" w:type="dxa"/>
          </w:tcPr>
          <w:p w:rsidR="00395A4E" w:rsidRPr="00866D43" w:rsidRDefault="00395A4E" w:rsidP="00523289">
            <w:pPr>
              <w:rPr>
                <w:sz w:val="20"/>
              </w:rPr>
            </w:pPr>
            <w:r w:rsidRPr="00866D43">
              <w:rPr>
                <w:sz w:val="20"/>
              </w:rPr>
              <w:t>2017-10-12</w:t>
            </w:r>
          </w:p>
        </w:tc>
        <w:tc>
          <w:tcPr>
            <w:tcW w:w="6958" w:type="dxa"/>
          </w:tcPr>
          <w:p w:rsidR="00395A4E" w:rsidRPr="00866D43" w:rsidRDefault="00395A4E" w:rsidP="00523289">
            <w:pPr>
              <w:rPr>
                <w:sz w:val="20"/>
              </w:rPr>
            </w:pPr>
            <w:r w:rsidRPr="00866D43">
              <w:rPr>
                <w:i/>
                <w:sz w:val="20"/>
              </w:rPr>
              <w:t>Jeffrey G. Ewert v. Her Majesty the Queen in Right of Canada (the Commissioner of the Correctional Service of Canada, the Warden of Kent Institution and the Warden of Mission Institution)</w:t>
            </w:r>
            <w:r w:rsidRPr="00866D43">
              <w:rPr>
                <w:sz w:val="20"/>
              </w:rPr>
              <w:t xml:space="preserve"> (F</w:t>
            </w:r>
            <w:r>
              <w:rPr>
                <w:sz w:val="20"/>
              </w:rPr>
              <w:t>.</w:t>
            </w:r>
            <w:r w:rsidRPr="00866D43">
              <w:rPr>
                <w:sz w:val="20"/>
              </w:rPr>
              <w:t>C</w:t>
            </w:r>
            <w:r>
              <w:rPr>
                <w:sz w:val="20"/>
              </w:rPr>
              <w:t>.</w:t>
            </w:r>
            <w:r w:rsidRPr="00866D43">
              <w:rPr>
                <w:sz w:val="20"/>
              </w:rPr>
              <w:t>) (Civil) (By Leave)</w:t>
            </w:r>
            <w:r>
              <w:rPr>
                <w:sz w:val="20"/>
              </w:rPr>
              <w:t xml:space="preserve"> </w:t>
            </w:r>
            <w:r w:rsidRPr="00FD2BEA">
              <w:rPr>
                <w:sz w:val="20"/>
              </w:rPr>
              <w:t>(</w:t>
            </w:r>
            <w:hyperlink r:id="rId79" w:history="1">
              <w:r w:rsidRPr="00FD2BEA">
                <w:rPr>
                  <w:rStyle w:val="Hyperlink"/>
                  <w:sz w:val="20"/>
                </w:rPr>
                <w:t>37</w:t>
              </w:r>
              <w:r>
                <w:rPr>
                  <w:rStyle w:val="Hyperlink"/>
                  <w:sz w:val="20"/>
                </w:rPr>
                <w:t>233</w:t>
              </w:r>
            </w:hyperlink>
            <w:r w:rsidRPr="00FD2BEA">
              <w:rPr>
                <w:sz w:val="20"/>
              </w:rPr>
              <w:t>)</w:t>
            </w:r>
          </w:p>
        </w:tc>
      </w:tr>
      <w:tr w:rsidR="00395A4E" w:rsidRPr="00866D43" w:rsidTr="007020C4">
        <w:trPr>
          <w:cantSplit/>
        </w:trPr>
        <w:tc>
          <w:tcPr>
            <w:tcW w:w="2398" w:type="dxa"/>
          </w:tcPr>
          <w:p w:rsidR="00395A4E" w:rsidRPr="00866D43" w:rsidRDefault="00395A4E" w:rsidP="00523289">
            <w:pPr>
              <w:rPr>
                <w:sz w:val="20"/>
              </w:rPr>
            </w:pPr>
            <w:r w:rsidRPr="00866D43">
              <w:rPr>
                <w:sz w:val="20"/>
              </w:rPr>
              <w:t>2017-10-13</w:t>
            </w:r>
          </w:p>
        </w:tc>
        <w:tc>
          <w:tcPr>
            <w:tcW w:w="6958" w:type="dxa"/>
          </w:tcPr>
          <w:p w:rsidR="00395A4E" w:rsidRPr="00866D43" w:rsidRDefault="00395A4E" w:rsidP="00523289">
            <w:pPr>
              <w:rPr>
                <w:sz w:val="20"/>
              </w:rPr>
            </w:pPr>
            <w:r w:rsidRPr="00866D43">
              <w:rPr>
                <w:i/>
                <w:sz w:val="20"/>
              </w:rPr>
              <w:t>Michael Shawn Bourgeois v. Her Majesty the Queen</w:t>
            </w:r>
            <w:r w:rsidRPr="00866D43">
              <w:rPr>
                <w:sz w:val="20"/>
              </w:rPr>
              <w:t xml:space="preserve"> (Alta.) (Criminal) (As of Right)</w:t>
            </w:r>
            <w:r>
              <w:rPr>
                <w:sz w:val="20"/>
              </w:rPr>
              <w:t xml:space="preserve"> </w:t>
            </w:r>
            <w:r w:rsidRPr="00FD2BEA">
              <w:rPr>
                <w:sz w:val="20"/>
              </w:rPr>
              <w:t>(</w:t>
            </w:r>
            <w:hyperlink r:id="rId80" w:history="1">
              <w:r w:rsidRPr="00FD2BEA">
                <w:rPr>
                  <w:rStyle w:val="Hyperlink"/>
                  <w:sz w:val="20"/>
                </w:rPr>
                <w:t>37</w:t>
              </w:r>
              <w:r>
                <w:rPr>
                  <w:rStyle w:val="Hyperlink"/>
                  <w:sz w:val="20"/>
                </w:rPr>
                <w:t>461</w:t>
              </w:r>
            </w:hyperlink>
            <w:r w:rsidRPr="00FD2BEA">
              <w:rPr>
                <w:sz w:val="20"/>
              </w:rPr>
              <w:t>)</w:t>
            </w:r>
          </w:p>
        </w:tc>
      </w:tr>
    </w:tbl>
    <w:p w:rsidR="00FA688A" w:rsidRDefault="00FA688A" w:rsidP="004B66B4">
      <w:pPr>
        <w:rPr>
          <w:sz w:val="20"/>
          <w:szCs w:val="20"/>
          <w:lang w:val="fr-CA"/>
        </w:rPr>
      </w:pPr>
    </w:p>
    <w:p w:rsidR="004B66B4" w:rsidRPr="00DD0B49" w:rsidRDefault="006B07D6" w:rsidP="002868D0">
      <w:pPr>
        <w:jc w:val="both"/>
        <w:rPr>
          <w:sz w:val="20"/>
          <w:szCs w:val="20"/>
        </w:rPr>
      </w:pPr>
      <w:r>
        <w:rPr>
          <w:sz w:val="20"/>
          <w:szCs w:val="20"/>
          <w:lang w:val="fr-CA"/>
        </w:rPr>
        <w:pict>
          <v:rect id="_x0000_i1075"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507366">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C01FCB" w:rsidRPr="00167E4C" w:rsidRDefault="00C01FCB" w:rsidP="00C01FCB">
      <w:pPr>
        <w:widowControl w:val="0"/>
        <w:rPr>
          <w:sz w:val="20"/>
          <w:szCs w:val="20"/>
          <w:lang w:val="fr-CA"/>
        </w:rPr>
      </w:pPr>
    </w:p>
    <w:tbl>
      <w:tblPr>
        <w:tblW w:w="4976" w:type="pct"/>
        <w:tblCellMar>
          <w:left w:w="0" w:type="dxa"/>
          <w:bottom w:w="99" w:type="dxa"/>
          <w:right w:w="0" w:type="dxa"/>
        </w:tblCellMar>
        <w:tblLook w:val="04A0" w:firstRow="1" w:lastRow="0" w:firstColumn="1" w:lastColumn="0" w:noHBand="0" w:noVBand="1"/>
      </w:tblPr>
      <w:tblGrid>
        <w:gridCol w:w="713"/>
        <w:gridCol w:w="8643"/>
      </w:tblGrid>
      <w:tr w:rsidR="00972BA9" w:rsidRPr="00762674" w:rsidTr="00972BA9">
        <w:tc>
          <w:tcPr>
            <w:tcW w:w="381" w:type="pct"/>
            <w:hideMark/>
          </w:tcPr>
          <w:p w:rsidR="00972BA9" w:rsidRPr="00762674" w:rsidRDefault="00972BA9" w:rsidP="00972BA9">
            <w:pPr>
              <w:spacing w:line="276" w:lineRule="auto"/>
              <w:jc w:val="both"/>
              <w:rPr>
                <w:sz w:val="20"/>
                <w:szCs w:val="20"/>
              </w:rPr>
            </w:pPr>
            <w:bookmarkStart w:id="3" w:name="1"/>
            <w:bookmarkEnd w:id="3"/>
            <w:r w:rsidRPr="00762674">
              <w:rPr>
                <w:rStyle w:val="SCCFileNumberChar"/>
                <w:sz w:val="20"/>
                <w:szCs w:val="20"/>
              </w:rPr>
              <w:t>37184</w:t>
            </w:r>
          </w:p>
        </w:tc>
        <w:tc>
          <w:tcPr>
            <w:tcW w:w="4619" w:type="pct"/>
            <w:hideMark/>
          </w:tcPr>
          <w:p w:rsidR="00972BA9" w:rsidRPr="00762674" w:rsidRDefault="00972BA9" w:rsidP="00972BA9">
            <w:pPr>
              <w:pStyle w:val="SCCLsocParty"/>
              <w:jc w:val="both"/>
              <w:rPr>
                <w:sz w:val="20"/>
                <w:szCs w:val="20"/>
                <w:lang w:val="en-CA"/>
              </w:rPr>
            </w:pPr>
            <w:r w:rsidRPr="00972BA9">
              <w:rPr>
                <w:b/>
                <w:sz w:val="20"/>
                <w:szCs w:val="20"/>
                <w:lang w:val="en-US"/>
              </w:rPr>
              <w:t xml:space="preserve">City of Montréal v. Davide Lonardi, Simon Côté Béliveau, Jonathan Franco, Jean-François Hunter </w:t>
            </w:r>
            <w:r w:rsidRPr="00972BA9">
              <w:rPr>
                <w:b/>
                <w:sz w:val="20"/>
                <w:szCs w:val="20"/>
                <w:lang w:val="en-CA"/>
              </w:rPr>
              <w:t>- and between -</w:t>
            </w:r>
            <w:r>
              <w:rPr>
                <w:sz w:val="20"/>
                <w:szCs w:val="20"/>
                <w:lang w:val="en-CA"/>
              </w:rPr>
              <w:t xml:space="preserve"> </w:t>
            </w:r>
            <w:r w:rsidRPr="00972BA9">
              <w:rPr>
                <w:b/>
                <w:sz w:val="20"/>
                <w:szCs w:val="20"/>
                <w:lang w:val="en-CA"/>
              </w:rPr>
              <w:t>City of Montréal v. Ali Rasouli</w:t>
            </w:r>
            <w:r>
              <w:rPr>
                <w:sz w:val="20"/>
                <w:szCs w:val="20"/>
                <w:lang w:val="en-CA"/>
              </w:rPr>
              <w:t xml:space="preserve"> </w:t>
            </w:r>
            <w:r w:rsidRPr="00972BA9">
              <w:rPr>
                <w:b/>
                <w:sz w:val="20"/>
                <w:szCs w:val="20"/>
                <w:lang w:val="en-CA"/>
              </w:rPr>
              <w:t>- and between -</w:t>
            </w:r>
            <w:r>
              <w:rPr>
                <w:sz w:val="20"/>
                <w:szCs w:val="20"/>
                <w:lang w:val="en-CA"/>
              </w:rPr>
              <w:t xml:space="preserve"> </w:t>
            </w:r>
            <w:r w:rsidRPr="00972BA9">
              <w:rPr>
                <w:b/>
                <w:sz w:val="20"/>
                <w:szCs w:val="20"/>
                <w:lang w:val="en-CA"/>
              </w:rPr>
              <w:t>City of Montréal v. Mohamed Moudrika, Jean-Philippe Forest Munguia, Jonathan Beaudin Naudi</w:t>
            </w:r>
            <w:r>
              <w:rPr>
                <w:sz w:val="20"/>
                <w:szCs w:val="20"/>
                <w:lang w:val="en-CA"/>
              </w:rPr>
              <w:t xml:space="preserve"> </w:t>
            </w:r>
            <w:r w:rsidRPr="00972BA9">
              <w:rPr>
                <w:b/>
                <w:sz w:val="20"/>
                <w:szCs w:val="20"/>
                <w:lang w:val="en-CA"/>
              </w:rPr>
              <w:t>- and between -</w:t>
            </w:r>
            <w:r>
              <w:rPr>
                <w:sz w:val="20"/>
                <w:szCs w:val="20"/>
                <w:lang w:val="en-CA"/>
              </w:rPr>
              <w:t xml:space="preserve"> </w:t>
            </w:r>
            <w:r w:rsidRPr="00972BA9">
              <w:rPr>
                <w:b/>
                <w:sz w:val="20"/>
                <w:szCs w:val="20"/>
                <w:lang w:val="en-CA"/>
              </w:rPr>
              <w:t>City of Montréal v. Éric Primeau, Steve Chaperon, Illiasse Iden, Johnny Davin, Natna Nega, Nathan Bradshaw, Maxime Favreau Courtemanche</w:t>
            </w:r>
            <w:r>
              <w:rPr>
                <w:sz w:val="20"/>
                <w:szCs w:val="20"/>
                <w:lang w:val="en-CA"/>
              </w:rPr>
              <w:t xml:space="preserve"> </w:t>
            </w:r>
            <w:r w:rsidRPr="00972BA9">
              <w:rPr>
                <w:b/>
                <w:sz w:val="20"/>
                <w:szCs w:val="20"/>
                <w:lang w:val="en-CA"/>
              </w:rPr>
              <w:t>- and between -</w:t>
            </w:r>
            <w:r>
              <w:rPr>
                <w:sz w:val="20"/>
                <w:szCs w:val="20"/>
                <w:lang w:val="en-CA"/>
              </w:rPr>
              <w:t xml:space="preserve"> </w:t>
            </w:r>
            <w:r w:rsidRPr="00972BA9">
              <w:rPr>
                <w:b/>
                <w:sz w:val="20"/>
                <w:szCs w:val="20"/>
                <w:lang w:val="en-CA"/>
              </w:rPr>
              <w:t>City of Montréal v. Natna Nega</w:t>
            </w:r>
            <w:r>
              <w:rPr>
                <w:sz w:val="20"/>
                <w:szCs w:val="20"/>
                <w:lang w:val="en-CA"/>
              </w:rPr>
              <w:t xml:space="preserve"> </w:t>
            </w:r>
            <w:r w:rsidRPr="00972BA9">
              <w:rPr>
                <w:b/>
                <w:sz w:val="20"/>
                <w:szCs w:val="20"/>
                <w:lang w:val="en-CA"/>
              </w:rPr>
              <w:t>- and between -</w:t>
            </w:r>
            <w:r>
              <w:rPr>
                <w:sz w:val="20"/>
                <w:szCs w:val="20"/>
                <w:lang w:val="en-CA"/>
              </w:rPr>
              <w:t xml:space="preserve"> </w:t>
            </w:r>
            <w:r w:rsidRPr="00972BA9">
              <w:rPr>
                <w:b/>
                <w:sz w:val="20"/>
                <w:szCs w:val="20"/>
                <w:lang w:val="en-CA"/>
              </w:rPr>
              <w:t>City of Montréal v. Benjamin Kinal, Jonathan Beaudin Naudi, Simon Légaré, Daniel Daoust</w:t>
            </w:r>
            <w:r>
              <w:rPr>
                <w:sz w:val="20"/>
                <w:szCs w:val="20"/>
                <w:lang w:val="en-CA"/>
              </w:rPr>
              <w:t xml:space="preserve"> </w:t>
            </w:r>
            <w:r w:rsidRPr="00972BA9">
              <w:rPr>
                <w:b/>
                <w:sz w:val="20"/>
                <w:szCs w:val="20"/>
                <w:lang w:val="en-CA"/>
              </w:rPr>
              <w:t>(Que.) (Civil) (By Leave)</w:t>
            </w:r>
          </w:p>
        </w:tc>
      </w:tr>
    </w:tbl>
    <w:p w:rsidR="00972BA9" w:rsidRPr="00762674" w:rsidRDefault="00972BA9" w:rsidP="00972BA9">
      <w:pPr>
        <w:jc w:val="both"/>
        <w:rPr>
          <w:sz w:val="20"/>
          <w:szCs w:val="20"/>
        </w:rPr>
      </w:pPr>
    </w:p>
    <w:p w:rsidR="00972BA9" w:rsidRPr="00762674" w:rsidRDefault="00972BA9" w:rsidP="00972BA9">
      <w:pPr>
        <w:jc w:val="both"/>
        <w:rPr>
          <w:sz w:val="20"/>
          <w:szCs w:val="20"/>
        </w:rPr>
      </w:pPr>
      <w:r w:rsidRPr="00762674">
        <w:rPr>
          <w:sz w:val="20"/>
          <w:szCs w:val="20"/>
        </w:rPr>
        <w:t xml:space="preserve">Civil liability - Apportionment of liability - Riot causing damage - Definition of joint wrongful act or omission within meaning of art. 1480 of </w:t>
      </w:r>
      <w:r w:rsidRPr="00762674">
        <w:rPr>
          <w:i/>
          <w:sz w:val="20"/>
          <w:szCs w:val="20"/>
        </w:rPr>
        <w:t>Civil Code of Québec</w:t>
      </w:r>
      <w:r w:rsidRPr="00762674">
        <w:rPr>
          <w:sz w:val="20"/>
          <w:szCs w:val="20"/>
        </w:rPr>
        <w:t xml:space="preserve"> - Whether courts below erred in identifying fault committed and injury suffered by appellant - Whether respondents jointly participated in wrongful act or omission within meaning of art. 1480 of </w:t>
      </w:r>
      <w:r w:rsidRPr="00762674">
        <w:rPr>
          <w:i/>
          <w:sz w:val="20"/>
          <w:szCs w:val="20"/>
        </w:rPr>
        <w:t>Civil Code of Québec</w:t>
      </w:r>
      <w:r w:rsidRPr="00762674">
        <w:rPr>
          <w:sz w:val="20"/>
          <w:szCs w:val="20"/>
        </w:rPr>
        <w:t xml:space="preserve">, making them solidarily liable for damages caused - Whether respondents committed common fault or contributory faults making them solidarily liable within meaning of art. 1526 of </w:t>
      </w:r>
      <w:r w:rsidRPr="00762674">
        <w:rPr>
          <w:i/>
          <w:sz w:val="20"/>
          <w:szCs w:val="20"/>
        </w:rPr>
        <w:t>Civil Code of Québec</w:t>
      </w:r>
      <w:r w:rsidRPr="00762674">
        <w:rPr>
          <w:sz w:val="20"/>
          <w:szCs w:val="20"/>
        </w:rPr>
        <w:t xml:space="preserve"> - Arts. 480, 1526 </w:t>
      </w:r>
      <w:r w:rsidRPr="00762674">
        <w:rPr>
          <w:i/>
          <w:sz w:val="20"/>
          <w:szCs w:val="20"/>
        </w:rPr>
        <w:t>C.C.Q.</w:t>
      </w:r>
    </w:p>
    <w:p w:rsidR="00972BA9" w:rsidRPr="00762674" w:rsidRDefault="00972BA9" w:rsidP="00972BA9">
      <w:pPr>
        <w:widowControl w:val="0"/>
        <w:jc w:val="both"/>
        <w:rPr>
          <w:sz w:val="20"/>
          <w:szCs w:val="20"/>
        </w:rPr>
      </w:pPr>
    </w:p>
    <w:p w:rsidR="00972BA9" w:rsidRPr="00762674" w:rsidRDefault="00972BA9" w:rsidP="00972BA9">
      <w:pPr>
        <w:jc w:val="both"/>
        <w:rPr>
          <w:sz w:val="20"/>
          <w:szCs w:val="20"/>
        </w:rPr>
      </w:pPr>
      <w:r w:rsidRPr="00762674">
        <w:rPr>
          <w:sz w:val="20"/>
          <w:szCs w:val="20"/>
        </w:rPr>
        <w:t xml:space="preserve">In 2008 in Montréal, a riot erupted following a win by the Montréal Canadiens hockey team. Ten of the police vehicles belonging to the appellant City of Montréal were destroyed during the riot. Some of the rioters were identified, and the City instituted separate civil actions against each of them, asking the court to find them solidarily liable for the full value of the vehicle they had played a part in destroying. </w:t>
      </w:r>
    </w:p>
    <w:p w:rsidR="00FA688A" w:rsidRPr="00F655AF" w:rsidRDefault="00FA688A" w:rsidP="00C01FCB">
      <w:pPr>
        <w:tabs>
          <w:tab w:val="left" w:pos="-1440"/>
          <w:tab w:val="left" w:pos="-720"/>
        </w:tabs>
        <w:ind w:left="720" w:hanging="720"/>
        <w:jc w:val="both"/>
        <w:rPr>
          <w:sz w:val="20"/>
          <w:szCs w:val="20"/>
          <w:lang w:val="en-US"/>
        </w:rPr>
      </w:pPr>
    </w:p>
    <w:p w:rsidR="000B3C9A" w:rsidRPr="005F1ED8" w:rsidRDefault="006B07D6" w:rsidP="00C01FCB">
      <w:pPr>
        <w:tabs>
          <w:tab w:val="left" w:pos="-1440"/>
          <w:tab w:val="left" w:pos="-720"/>
        </w:tabs>
        <w:ind w:left="720" w:hanging="720"/>
        <w:jc w:val="both"/>
        <w:rPr>
          <w:sz w:val="20"/>
          <w:szCs w:val="20"/>
        </w:rPr>
      </w:pPr>
      <w:r>
        <w:rPr>
          <w:sz w:val="20"/>
          <w:szCs w:val="20"/>
          <w:lang w:val="fr-CA"/>
        </w:rPr>
        <w:pict>
          <v:rect id="_x0000_i1078" style="width:2in;height:1pt" o:hrpct="0" o:hralign="center" o:hrstd="t" o:hrnoshade="t" o:hr="t" fillcolor="black [3213]" stroked="f"/>
        </w:pict>
      </w:r>
    </w:p>
    <w:p w:rsidR="000B3C9A" w:rsidRPr="00DD0B49" w:rsidRDefault="000B3C9A" w:rsidP="000B3C9A">
      <w:pPr>
        <w:tabs>
          <w:tab w:val="left" w:pos="-1440"/>
          <w:tab w:val="left" w:pos="-720"/>
        </w:tabs>
        <w:ind w:left="720" w:hanging="720"/>
        <w:jc w:val="both"/>
        <w:rPr>
          <w:sz w:val="20"/>
          <w:szCs w:val="20"/>
          <w:lang w:val="fr-CA"/>
        </w:rPr>
      </w:pPr>
    </w:p>
    <w:tbl>
      <w:tblPr>
        <w:tblW w:w="4976" w:type="pct"/>
        <w:tblCellMar>
          <w:left w:w="0" w:type="dxa"/>
          <w:bottom w:w="99" w:type="dxa"/>
          <w:right w:w="0" w:type="dxa"/>
        </w:tblCellMar>
        <w:tblLook w:val="04A0" w:firstRow="1" w:lastRow="0" w:firstColumn="1" w:lastColumn="0" w:noHBand="0" w:noVBand="1"/>
      </w:tblPr>
      <w:tblGrid>
        <w:gridCol w:w="713"/>
        <w:gridCol w:w="8643"/>
      </w:tblGrid>
      <w:tr w:rsidR="00565A40" w:rsidRPr="005F7E08" w:rsidTr="00565A40">
        <w:tc>
          <w:tcPr>
            <w:tcW w:w="381" w:type="pct"/>
            <w:hideMark/>
          </w:tcPr>
          <w:p w:rsidR="00565A40" w:rsidRPr="005F7E08" w:rsidRDefault="00565A40" w:rsidP="00565A40">
            <w:pPr>
              <w:spacing w:line="276" w:lineRule="auto"/>
              <w:jc w:val="both"/>
              <w:rPr>
                <w:sz w:val="20"/>
                <w:szCs w:val="20"/>
              </w:rPr>
            </w:pPr>
            <w:r w:rsidRPr="005F7E08">
              <w:rPr>
                <w:rStyle w:val="SCCFileNumberChar"/>
                <w:sz w:val="20"/>
                <w:szCs w:val="20"/>
              </w:rPr>
              <w:t>37184</w:t>
            </w:r>
          </w:p>
        </w:tc>
        <w:tc>
          <w:tcPr>
            <w:tcW w:w="4619" w:type="pct"/>
            <w:hideMark/>
          </w:tcPr>
          <w:p w:rsidR="00565A40" w:rsidRPr="00565A40" w:rsidRDefault="00565A40" w:rsidP="00565A40">
            <w:pPr>
              <w:pStyle w:val="SCCLsocParty"/>
              <w:jc w:val="both"/>
              <w:rPr>
                <w:b/>
                <w:sz w:val="20"/>
                <w:szCs w:val="20"/>
              </w:rPr>
            </w:pPr>
            <w:r w:rsidRPr="00565A40">
              <w:rPr>
                <w:b/>
                <w:sz w:val="20"/>
                <w:szCs w:val="20"/>
              </w:rPr>
              <w:t>Ville de Montréal c. Davide Lonardi, Simon Côté Béliveau, Jonathan Franco, Jean-François Hunter</w:t>
            </w:r>
            <w:r w:rsidRPr="00565A40">
              <w:rPr>
                <w:b/>
                <w:sz w:val="20"/>
              </w:rPr>
              <w:t xml:space="preserve"> </w:t>
            </w:r>
            <w:r w:rsidRPr="00565A40">
              <w:rPr>
                <w:b/>
                <w:sz w:val="20"/>
                <w:szCs w:val="20"/>
              </w:rPr>
              <w:t>- et entre -</w:t>
            </w:r>
            <w:r w:rsidRPr="00565A40">
              <w:rPr>
                <w:b/>
                <w:sz w:val="20"/>
              </w:rPr>
              <w:t xml:space="preserve"> </w:t>
            </w:r>
            <w:r w:rsidRPr="00565A40">
              <w:rPr>
                <w:b/>
                <w:sz w:val="20"/>
                <w:szCs w:val="20"/>
              </w:rPr>
              <w:t>Ville de Montréal c. Ali Rasouli</w:t>
            </w:r>
            <w:r w:rsidRPr="00565A40">
              <w:rPr>
                <w:b/>
                <w:sz w:val="20"/>
              </w:rPr>
              <w:t xml:space="preserve"> </w:t>
            </w:r>
            <w:r w:rsidRPr="00565A40">
              <w:rPr>
                <w:b/>
                <w:sz w:val="20"/>
                <w:szCs w:val="20"/>
              </w:rPr>
              <w:t>- et entre -</w:t>
            </w:r>
            <w:r w:rsidRPr="00565A40">
              <w:rPr>
                <w:b/>
                <w:sz w:val="20"/>
              </w:rPr>
              <w:t xml:space="preserve"> </w:t>
            </w:r>
            <w:r w:rsidRPr="00565A40">
              <w:rPr>
                <w:b/>
                <w:sz w:val="20"/>
                <w:szCs w:val="20"/>
              </w:rPr>
              <w:t>Ville de Montréal c. Mohamed Moudrika, Jean-Philippe Forest Munguia, Jonathan Beaudin Naudi</w:t>
            </w:r>
            <w:r w:rsidRPr="00565A40">
              <w:rPr>
                <w:b/>
                <w:sz w:val="20"/>
              </w:rPr>
              <w:t xml:space="preserve"> </w:t>
            </w:r>
            <w:r w:rsidRPr="00565A40">
              <w:rPr>
                <w:b/>
                <w:sz w:val="20"/>
                <w:szCs w:val="20"/>
              </w:rPr>
              <w:t>- et entre -</w:t>
            </w:r>
            <w:r w:rsidRPr="00565A40">
              <w:rPr>
                <w:b/>
                <w:sz w:val="20"/>
              </w:rPr>
              <w:t xml:space="preserve"> </w:t>
            </w:r>
            <w:r w:rsidRPr="00565A40">
              <w:rPr>
                <w:b/>
                <w:sz w:val="20"/>
                <w:szCs w:val="20"/>
              </w:rPr>
              <w:t>Ville de Montréal c. Éric Primeau, Steve Chaperon, Illiasse Iden, Johnny Davin, Natna Nega, Nathan Bradshaw, Maxime Favreau Courtemanche</w:t>
            </w:r>
            <w:r w:rsidRPr="00565A40">
              <w:rPr>
                <w:b/>
                <w:sz w:val="20"/>
              </w:rPr>
              <w:t xml:space="preserve"> </w:t>
            </w:r>
            <w:r w:rsidRPr="00565A40">
              <w:rPr>
                <w:b/>
                <w:sz w:val="20"/>
                <w:szCs w:val="20"/>
              </w:rPr>
              <w:t>- et entre -</w:t>
            </w:r>
            <w:r w:rsidRPr="00565A40">
              <w:rPr>
                <w:b/>
                <w:sz w:val="20"/>
              </w:rPr>
              <w:t xml:space="preserve"> </w:t>
            </w:r>
            <w:r w:rsidRPr="00565A40">
              <w:rPr>
                <w:b/>
                <w:sz w:val="20"/>
                <w:szCs w:val="20"/>
              </w:rPr>
              <w:t>Ville de Montréal c. Natna Nega</w:t>
            </w:r>
            <w:r w:rsidRPr="00565A40">
              <w:rPr>
                <w:b/>
                <w:sz w:val="20"/>
              </w:rPr>
              <w:t xml:space="preserve"> </w:t>
            </w:r>
            <w:r w:rsidRPr="00565A40">
              <w:rPr>
                <w:b/>
                <w:sz w:val="20"/>
                <w:szCs w:val="20"/>
              </w:rPr>
              <w:t>- et entre -</w:t>
            </w:r>
            <w:r w:rsidRPr="00565A40">
              <w:rPr>
                <w:b/>
                <w:sz w:val="20"/>
              </w:rPr>
              <w:t xml:space="preserve"> </w:t>
            </w:r>
            <w:r w:rsidRPr="00565A40">
              <w:rPr>
                <w:b/>
                <w:sz w:val="20"/>
                <w:szCs w:val="20"/>
              </w:rPr>
              <w:t>Ville de Montréal c. Benjamin Kinal, Jonathan Beaudin Naudi, Simon Légaré, Daniel Daoust</w:t>
            </w:r>
          </w:p>
          <w:p w:rsidR="00565A40" w:rsidRPr="005F7E08" w:rsidRDefault="00565A40" w:rsidP="00565A40">
            <w:pPr>
              <w:spacing w:line="276" w:lineRule="auto"/>
              <w:jc w:val="both"/>
              <w:rPr>
                <w:sz w:val="20"/>
                <w:szCs w:val="20"/>
              </w:rPr>
            </w:pPr>
            <w:r w:rsidRPr="005F7E08">
              <w:rPr>
                <w:sz w:val="20"/>
                <w:szCs w:val="20"/>
              </w:rPr>
              <w:t>(Qc) (Civile) (Autorisation)</w:t>
            </w:r>
          </w:p>
        </w:tc>
      </w:tr>
    </w:tbl>
    <w:p w:rsidR="00565A40" w:rsidRPr="005F7E08" w:rsidRDefault="00565A40" w:rsidP="00565A40">
      <w:pPr>
        <w:jc w:val="both"/>
        <w:rPr>
          <w:sz w:val="20"/>
          <w:szCs w:val="20"/>
        </w:rPr>
      </w:pPr>
    </w:p>
    <w:p w:rsidR="00565A40" w:rsidRPr="00565A40" w:rsidRDefault="00565A40" w:rsidP="00565A40">
      <w:pPr>
        <w:jc w:val="both"/>
        <w:rPr>
          <w:sz w:val="20"/>
          <w:szCs w:val="20"/>
          <w:lang w:val="fr-CA"/>
        </w:rPr>
      </w:pPr>
      <w:r w:rsidRPr="00565A40">
        <w:rPr>
          <w:sz w:val="20"/>
          <w:szCs w:val="20"/>
          <w:lang w:val="fr-CA"/>
        </w:rPr>
        <w:t xml:space="preserve">Responsabilité civile - Partage de la responsabilité - Émeute causant des dommages - Définition d’un fait collectif fautif au sens de l’article 1480 du </w:t>
      </w:r>
      <w:r w:rsidRPr="00565A40">
        <w:rPr>
          <w:i/>
          <w:sz w:val="20"/>
          <w:szCs w:val="20"/>
          <w:lang w:val="fr-CA"/>
        </w:rPr>
        <w:t>Code civil du Québec</w:t>
      </w:r>
      <w:r w:rsidRPr="00565A40">
        <w:rPr>
          <w:sz w:val="20"/>
          <w:szCs w:val="20"/>
          <w:lang w:val="fr-CA"/>
        </w:rPr>
        <w:t xml:space="preserve"> - Les tribunaux inférieurs ont-ils commis une erreur dans l’identification de la faute commise et du préjudice subi par l’appelante? - Les intimés ont-ils participé à un fait collectif fautif au sens de l’article 1480 du </w:t>
      </w:r>
      <w:r w:rsidRPr="00565A40">
        <w:rPr>
          <w:i/>
          <w:sz w:val="20"/>
          <w:szCs w:val="20"/>
          <w:lang w:val="fr-CA"/>
        </w:rPr>
        <w:t xml:space="preserve">Code civil du Québec </w:t>
      </w:r>
      <w:r w:rsidRPr="00565A40">
        <w:rPr>
          <w:sz w:val="20"/>
          <w:szCs w:val="20"/>
          <w:lang w:val="fr-CA"/>
        </w:rPr>
        <w:t xml:space="preserve">les rendant solidairement responsables des dommages causés? - Les intimés ont-ils commis une faute commune ou des fautes contributoires les rendant solidairement responsables au sens de l’article 1526 du </w:t>
      </w:r>
      <w:r w:rsidRPr="00565A40">
        <w:rPr>
          <w:i/>
          <w:sz w:val="20"/>
          <w:szCs w:val="20"/>
          <w:lang w:val="fr-CA"/>
        </w:rPr>
        <w:t>Code civil du Québec</w:t>
      </w:r>
      <w:r w:rsidRPr="00565A40">
        <w:rPr>
          <w:sz w:val="20"/>
          <w:szCs w:val="20"/>
          <w:lang w:val="fr-CA"/>
        </w:rPr>
        <w:t xml:space="preserve">? - art. 1480, 1526 </w:t>
      </w:r>
      <w:r w:rsidRPr="00565A40">
        <w:rPr>
          <w:i/>
          <w:sz w:val="20"/>
          <w:szCs w:val="20"/>
          <w:lang w:val="fr-CA"/>
        </w:rPr>
        <w:t>C.c.Q.</w:t>
      </w:r>
    </w:p>
    <w:p w:rsidR="00565A40" w:rsidRPr="00565A40" w:rsidRDefault="00565A40" w:rsidP="00565A40">
      <w:pPr>
        <w:widowControl w:val="0"/>
        <w:jc w:val="both"/>
        <w:rPr>
          <w:sz w:val="20"/>
          <w:szCs w:val="20"/>
          <w:lang w:val="fr-CA"/>
        </w:rPr>
      </w:pPr>
    </w:p>
    <w:p w:rsidR="00565A40" w:rsidRPr="00565A40" w:rsidRDefault="00565A40" w:rsidP="00565A40">
      <w:pPr>
        <w:jc w:val="both"/>
        <w:rPr>
          <w:sz w:val="20"/>
          <w:szCs w:val="20"/>
          <w:lang w:val="fr-CA"/>
        </w:rPr>
      </w:pPr>
      <w:r w:rsidRPr="00565A40">
        <w:rPr>
          <w:sz w:val="20"/>
          <w:szCs w:val="20"/>
          <w:lang w:val="fr-CA"/>
        </w:rPr>
        <w:t xml:space="preserve">En 2008, à Montréal, une émeute survient à la suite d'une victoire de l’équipe de hockey les Canadiens de Montréal. Dix des véhicules de police de l’appelante, la Ville de Montréal, sont détruits lors de cette émeute. Certains émeutiers sont identifiés et la Ville entame des recours civils distincts contre chacun, demandant au tribunal de les déclarer solidairement responsables de la pleine valeur du véhicule qu’ils ont contribué à détruire. </w:t>
      </w:r>
    </w:p>
    <w:p w:rsidR="000B3C9A" w:rsidRDefault="000B3C9A" w:rsidP="000B3C9A">
      <w:pPr>
        <w:tabs>
          <w:tab w:val="left" w:pos="-1440"/>
          <w:tab w:val="left" w:pos="-720"/>
        </w:tabs>
        <w:ind w:left="720" w:hanging="720"/>
        <w:jc w:val="both"/>
        <w:rPr>
          <w:lang w:val="fr-CA"/>
        </w:rPr>
      </w:pPr>
    </w:p>
    <w:p w:rsidR="000B3C9A" w:rsidRPr="00DD0B49" w:rsidRDefault="006B07D6" w:rsidP="000B3C9A">
      <w:pPr>
        <w:tabs>
          <w:tab w:val="left" w:pos="-1440"/>
          <w:tab w:val="left" w:pos="-720"/>
        </w:tabs>
        <w:jc w:val="both"/>
        <w:rPr>
          <w:sz w:val="20"/>
          <w:szCs w:val="20"/>
          <w:lang w:val="fr-CA"/>
        </w:rPr>
      </w:pPr>
      <w:r>
        <w:rPr>
          <w:sz w:val="20"/>
          <w:szCs w:val="20"/>
          <w:lang w:val="fr-CA"/>
        </w:rPr>
        <w:pict>
          <v:rect id="_x0000_i1079" style="width:2in;height:1pt" o:hrpct="0" o:hralign="center" o:hrstd="t" o:hrnoshade="t" o:hr="t" fillcolor="black [3213]" stroked="f"/>
        </w:pict>
      </w:r>
    </w:p>
    <w:p w:rsidR="003D67E2" w:rsidRDefault="003D67E2">
      <w:pPr>
        <w:rPr>
          <w:sz w:val="20"/>
          <w:szCs w:val="20"/>
          <w:lang w:val="fr-CA"/>
        </w:rPr>
      </w:pPr>
      <w:r>
        <w:rPr>
          <w:sz w:val="20"/>
          <w:szCs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11"/>
        <w:gridCol w:w="8300"/>
      </w:tblGrid>
      <w:tr w:rsidR="003D67E2" w:rsidRPr="00E428A4" w:rsidTr="00523289">
        <w:tc>
          <w:tcPr>
            <w:tcW w:w="543" w:type="pct"/>
          </w:tcPr>
          <w:p w:rsidR="003D67E2" w:rsidRPr="00E428A4" w:rsidRDefault="003D67E2" w:rsidP="00523289">
            <w:pPr>
              <w:rPr>
                <w:sz w:val="20"/>
                <w:szCs w:val="20"/>
              </w:rPr>
            </w:pPr>
            <w:r w:rsidRPr="00E428A4">
              <w:rPr>
                <w:rStyle w:val="SCCFileNumberChar"/>
                <w:sz w:val="20"/>
                <w:szCs w:val="20"/>
              </w:rPr>
              <w:lastRenderedPageBreak/>
              <w:t>37514</w:t>
            </w:r>
          </w:p>
        </w:tc>
        <w:tc>
          <w:tcPr>
            <w:tcW w:w="4457" w:type="pct"/>
          </w:tcPr>
          <w:p w:rsidR="003D67E2" w:rsidRPr="003D67E2" w:rsidRDefault="003D67E2" w:rsidP="003D67E2">
            <w:pPr>
              <w:pStyle w:val="SCCLsocParty"/>
              <w:jc w:val="left"/>
              <w:rPr>
                <w:b/>
                <w:sz w:val="20"/>
                <w:szCs w:val="20"/>
                <w:lang w:val="en-US"/>
              </w:rPr>
            </w:pPr>
            <w:r w:rsidRPr="003D67E2">
              <w:rPr>
                <w:b/>
                <w:sz w:val="20"/>
                <w:szCs w:val="20"/>
                <w:lang w:val="en-US"/>
              </w:rPr>
              <w:t>Charles Gerald Patrick v. Her Majesty the Queen</w:t>
            </w:r>
          </w:p>
          <w:p w:rsidR="003D67E2" w:rsidRPr="00E428A4" w:rsidRDefault="003D67E2" w:rsidP="00523289">
            <w:pPr>
              <w:rPr>
                <w:sz w:val="20"/>
                <w:szCs w:val="20"/>
              </w:rPr>
            </w:pPr>
            <w:r w:rsidRPr="00E428A4">
              <w:rPr>
                <w:sz w:val="20"/>
                <w:szCs w:val="20"/>
              </w:rPr>
              <w:t>(B.C.) (Criminal) (By Leave)</w:t>
            </w:r>
          </w:p>
        </w:tc>
      </w:tr>
      <w:tr w:rsidR="003D67E2" w:rsidRPr="00E428A4" w:rsidTr="00523289">
        <w:tc>
          <w:tcPr>
            <w:tcW w:w="5000" w:type="pct"/>
            <w:gridSpan w:val="2"/>
          </w:tcPr>
          <w:p w:rsidR="003D67E2" w:rsidRPr="00E428A4" w:rsidRDefault="003D67E2" w:rsidP="00523289">
            <w:pPr>
              <w:rPr>
                <w:sz w:val="20"/>
                <w:szCs w:val="20"/>
              </w:rPr>
            </w:pPr>
          </w:p>
          <w:p w:rsidR="003D67E2" w:rsidRPr="00E428A4" w:rsidRDefault="003D67E2" w:rsidP="00523289">
            <w:pPr>
              <w:rPr>
                <w:sz w:val="20"/>
                <w:szCs w:val="20"/>
              </w:rPr>
            </w:pPr>
            <w:r w:rsidRPr="00E428A4">
              <w:rPr>
                <w:i/>
                <w:sz w:val="20"/>
                <w:szCs w:val="20"/>
              </w:rPr>
              <w:t>C</w:t>
            </w:r>
            <w:r w:rsidRPr="00E428A4">
              <w:rPr>
                <w:i/>
                <w:sz w:val="20"/>
                <w:szCs w:val="20"/>
                <w:lang w:val="en-US"/>
              </w:rPr>
              <w:t>harter of Rights</w:t>
            </w:r>
            <w:r w:rsidRPr="00E428A4">
              <w:rPr>
                <w:sz w:val="20"/>
                <w:szCs w:val="20"/>
                <w:lang w:val="en-US"/>
              </w:rPr>
              <w:t xml:space="preserve"> – Constitutional law – Search and seizure</w:t>
            </w:r>
            <w:r w:rsidRPr="00E428A4">
              <w:rPr>
                <w:iCs/>
                <w:sz w:val="20"/>
                <w:szCs w:val="20"/>
                <w:lang w:val="en-GB"/>
              </w:rPr>
              <w:t xml:space="preserve"> – Investigative detention – Search power incidental to investigative detention –</w:t>
            </w:r>
            <w:r w:rsidRPr="00E428A4">
              <w:rPr>
                <w:i/>
                <w:iCs/>
                <w:sz w:val="20"/>
                <w:szCs w:val="20"/>
                <w:lang w:val="en-GB"/>
              </w:rPr>
              <w:t xml:space="preserve"> </w:t>
            </w:r>
            <w:r w:rsidRPr="00E428A4">
              <w:rPr>
                <w:sz w:val="20"/>
                <w:szCs w:val="20"/>
                <w:lang w:val="en-US"/>
              </w:rPr>
              <w:t>Does a police officer have the power to question a detainee during the course of conducting a pat-down search incident to an investigative detention?</w:t>
            </w:r>
          </w:p>
        </w:tc>
      </w:tr>
      <w:tr w:rsidR="003D67E2" w:rsidRPr="00E428A4" w:rsidTr="00523289">
        <w:tc>
          <w:tcPr>
            <w:tcW w:w="5000" w:type="pct"/>
            <w:gridSpan w:val="2"/>
          </w:tcPr>
          <w:p w:rsidR="003D67E2" w:rsidRPr="00E428A4" w:rsidRDefault="003D67E2" w:rsidP="00523289">
            <w:pPr>
              <w:rPr>
                <w:sz w:val="20"/>
                <w:szCs w:val="20"/>
              </w:rPr>
            </w:pPr>
          </w:p>
        </w:tc>
      </w:tr>
      <w:tr w:rsidR="003D67E2" w:rsidRPr="00E428A4" w:rsidTr="00523289">
        <w:tc>
          <w:tcPr>
            <w:tcW w:w="5000" w:type="pct"/>
            <w:gridSpan w:val="2"/>
          </w:tcPr>
          <w:p w:rsidR="003D67E2" w:rsidRPr="00E428A4" w:rsidRDefault="003D67E2" w:rsidP="00523289">
            <w:pPr>
              <w:rPr>
                <w:sz w:val="20"/>
                <w:szCs w:val="20"/>
              </w:rPr>
            </w:pPr>
            <w:r w:rsidRPr="00E428A4">
              <w:rPr>
                <w:sz w:val="20"/>
                <w:szCs w:val="20"/>
              </w:rPr>
              <w:t>In the early morning hours of December 11, 2013, the Applicant and his three other passengers were stopped in a vehicle. The investigating officer believed the group was associated with a local drug house. Insurance inquiries made during the stop led the officer to believe the vehicle had been obtained fraudulently. Backup soon arrived on the scene. The Applicant and his passengers were asked to exit the vehicle. Upon exiting the vehicle, the officer observed a bulge in the Applicant’s jacket. She asked the Applicant, “Do you have anything on you?” The Applicant responded that he had a shotgun. The firearm was seized and the Applicant was placed under arrest. The Applicant was not afforded an opportunity to speak with counsel until arriving at the police detachment about 40 minutes after the roadside stop occurred. He was ultimately charged in an eight count indictment with a variety of firearm-related offences.</w:t>
            </w:r>
          </w:p>
          <w:p w:rsidR="003D67E2" w:rsidRPr="00E428A4" w:rsidRDefault="003D67E2" w:rsidP="00523289">
            <w:pPr>
              <w:rPr>
                <w:sz w:val="20"/>
                <w:szCs w:val="20"/>
              </w:rPr>
            </w:pPr>
          </w:p>
        </w:tc>
      </w:tr>
    </w:tbl>
    <w:p w:rsidR="005F263E" w:rsidRPr="003D67E2" w:rsidRDefault="000036BF" w:rsidP="00782AE4">
      <w:pPr>
        <w:jc w:val="both"/>
        <w:rPr>
          <w:sz w:val="20"/>
          <w:szCs w:val="20"/>
        </w:rPr>
      </w:pPr>
      <w:r>
        <w:rPr>
          <w:sz w:val="20"/>
          <w:szCs w:val="20"/>
          <w:lang w:val="fr-CA"/>
        </w:rPr>
        <w:pict>
          <v:rect id="_x0000_i1082" style="width:2in;height:1pt" o:hrpct="0" o:hralign="center" o:hrstd="t" o:hrnoshade="t" o:hr="t" fillcolor="black [3213]" stroked="f"/>
        </w:pict>
      </w:r>
    </w:p>
    <w:p w:rsidR="003D67E2" w:rsidRDefault="003D67E2">
      <w:pPr>
        <w:rPr>
          <w:sz w:val="20"/>
          <w:szCs w:val="20"/>
          <w:lang w:val="en-US"/>
        </w:rPr>
      </w:pPr>
    </w:p>
    <w:tbl>
      <w:tblPr>
        <w:tblW w:w="4952" w:type="pct"/>
        <w:tblLayout w:type="fixed"/>
        <w:tblCellMar>
          <w:left w:w="0" w:type="dxa"/>
          <w:bottom w:w="99" w:type="dxa"/>
          <w:right w:w="0" w:type="dxa"/>
        </w:tblCellMar>
        <w:tblLook w:val="04A0" w:firstRow="1" w:lastRow="0" w:firstColumn="1" w:lastColumn="0" w:noHBand="0" w:noVBand="1"/>
      </w:tblPr>
      <w:tblGrid>
        <w:gridCol w:w="1011"/>
        <w:gridCol w:w="8300"/>
      </w:tblGrid>
      <w:tr w:rsidR="003D67E2" w:rsidRPr="006B07D6" w:rsidTr="00523289">
        <w:tc>
          <w:tcPr>
            <w:tcW w:w="543" w:type="pct"/>
          </w:tcPr>
          <w:p w:rsidR="003D67E2" w:rsidRPr="00CE0CB3" w:rsidRDefault="003D67E2" w:rsidP="00523289">
            <w:pPr>
              <w:rPr>
                <w:sz w:val="20"/>
                <w:szCs w:val="20"/>
                <w:lang w:val="fr-CA"/>
              </w:rPr>
            </w:pPr>
            <w:r w:rsidRPr="00CE0CB3">
              <w:rPr>
                <w:rStyle w:val="SCCFileNumberChar"/>
                <w:sz w:val="20"/>
                <w:szCs w:val="20"/>
                <w:lang w:val="fr-CA"/>
              </w:rPr>
              <w:t>37514</w:t>
            </w:r>
          </w:p>
        </w:tc>
        <w:tc>
          <w:tcPr>
            <w:tcW w:w="4457" w:type="pct"/>
          </w:tcPr>
          <w:p w:rsidR="003D67E2" w:rsidRPr="003D67E2" w:rsidRDefault="003D67E2" w:rsidP="003D67E2">
            <w:pPr>
              <w:pStyle w:val="SCCLsocParty"/>
              <w:jc w:val="left"/>
              <w:rPr>
                <w:b/>
                <w:sz w:val="20"/>
                <w:szCs w:val="20"/>
              </w:rPr>
            </w:pPr>
            <w:r w:rsidRPr="003D67E2">
              <w:rPr>
                <w:b/>
                <w:sz w:val="20"/>
                <w:szCs w:val="20"/>
              </w:rPr>
              <w:t>Charles Gerald Patrick c. Sa Majesté la Reine</w:t>
            </w:r>
          </w:p>
          <w:p w:rsidR="003D67E2" w:rsidRPr="00CE0CB3" w:rsidRDefault="003D67E2" w:rsidP="00523289">
            <w:pPr>
              <w:rPr>
                <w:sz w:val="20"/>
                <w:szCs w:val="20"/>
                <w:lang w:val="fr-CA"/>
              </w:rPr>
            </w:pPr>
            <w:r w:rsidRPr="00CE0CB3">
              <w:rPr>
                <w:sz w:val="20"/>
                <w:szCs w:val="20"/>
                <w:lang w:val="fr-CA"/>
              </w:rPr>
              <w:t>(C.-B.) (Criminelle) (Sur autorisation)</w:t>
            </w:r>
          </w:p>
        </w:tc>
      </w:tr>
      <w:tr w:rsidR="003D67E2" w:rsidRPr="006B07D6" w:rsidTr="00523289">
        <w:tc>
          <w:tcPr>
            <w:tcW w:w="5000" w:type="pct"/>
            <w:gridSpan w:val="2"/>
          </w:tcPr>
          <w:p w:rsidR="003D67E2" w:rsidRPr="00CE0CB3" w:rsidRDefault="003D67E2" w:rsidP="00523289">
            <w:pPr>
              <w:rPr>
                <w:sz w:val="20"/>
                <w:szCs w:val="20"/>
                <w:lang w:val="fr-CA"/>
              </w:rPr>
            </w:pPr>
          </w:p>
          <w:p w:rsidR="003D67E2" w:rsidRPr="00CE0CB3" w:rsidRDefault="003D67E2" w:rsidP="00523289">
            <w:pPr>
              <w:rPr>
                <w:sz w:val="20"/>
                <w:szCs w:val="20"/>
                <w:lang w:val="fr-CA"/>
              </w:rPr>
            </w:pPr>
            <w:r w:rsidRPr="00CE0CB3">
              <w:rPr>
                <w:i/>
                <w:sz w:val="20"/>
                <w:szCs w:val="20"/>
                <w:lang w:val="fr-CA"/>
              </w:rPr>
              <w:t xml:space="preserve">Charte des droits </w:t>
            </w:r>
            <w:r w:rsidRPr="00CE0CB3">
              <w:rPr>
                <w:sz w:val="20"/>
                <w:szCs w:val="20"/>
                <w:lang w:val="fr-CA"/>
              </w:rPr>
              <w:t xml:space="preserve">– Droit constitutionnel – Fouilles, perquisitions et saisies </w:t>
            </w:r>
            <w:r w:rsidRPr="00CE0CB3">
              <w:rPr>
                <w:iCs/>
                <w:sz w:val="20"/>
                <w:szCs w:val="20"/>
                <w:lang w:val="fr-CA"/>
              </w:rPr>
              <w:t>– Détention aux fins d’enquête – Pouvoir de fouille accessoire à la détention aux fins d’enquête –</w:t>
            </w:r>
            <w:r w:rsidRPr="00CE0CB3">
              <w:rPr>
                <w:sz w:val="20"/>
                <w:szCs w:val="20"/>
                <w:lang w:val="fr-CA"/>
              </w:rPr>
              <w:t xml:space="preserve"> Un policier a-t-il le pouvoir d’interroger un détenu au cours d’une fouille par palpation accessoire à une détention aux fins d’enquête?</w:t>
            </w:r>
          </w:p>
        </w:tc>
      </w:tr>
      <w:tr w:rsidR="003D67E2" w:rsidRPr="006B07D6" w:rsidTr="00523289">
        <w:tc>
          <w:tcPr>
            <w:tcW w:w="5000" w:type="pct"/>
            <w:gridSpan w:val="2"/>
          </w:tcPr>
          <w:p w:rsidR="003D67E2" w:rsidRPr="00CE0CB3" w:rsidRDefault="003D67E2" w:rsidP="00523289">
            <w:pPr>
              <w:rPr>
                <w:sz w:val="20"/>
                <w:szCs w:val="20"/>
                <w:lang w:val="fr-CA"/>
              </w:rPr>
            </w:pPr>
          </w:p>
        </w:tc>
      </w:tr>
      <w:tr w:rsidR="003D67E2" w:rsidRPr="006B07D6" w:rsidTr="00523289">
        <w:tc>
          <w:tcPr>
            <w:tcW w:w="5000" w:type="pct"/>
            <w:gridSpan w:val="2"/>
          </w:tcPr>
          <w:p w:rsidR="003D67E2" w:rsidRPr="00CE0CB3" w:rsidRDefault="003D67E2" w:rsidP="00523289">
            <w:pPr>
              <w:rPr>
                <w:sz w:val="20"/>
                <w:szCs w:val="20"/>
                <w:lang w:val="fr-CA"/>
              </w:rPr>
            </w:pPr>
            <w:r w:rsidRPr="00CE0CB3">
              <w:rPr>
                <w:sz w:val="20"/>
                <w:szCs w:val="20"/>
                <w:lang w:val="fr-CA"/>
              </w:rPr>
              <w:t>Au petit matin, le 11 décembre 2013, le demandeur et ses trois passagers ont été interceptés à bord d’un véhicule. La policière qui menait l’enquête croyait que le groupe était lié à une planque de drogue locale. Les vérifications d’assurances effectuées lors de l’interception ont amené la policière à croire que le véhicule avait été obtenu frauduleusement. Des renforts sont arrivés sur les lieux peu après. La policière a demandé au demandeur et à ses passagers de sortir du véhicule. À leur sortie du véhicule, la policière a observé un renflement du blouson du demandeur. Elle a lui demandé s’il portait quelque chose sur lui et celui-ci a répondu qu’il avait un fusil de chasse. L’arme à feu a été saisie et le demandeur a été mis en état d’arrestation. Le demandeur ne s’est vu offrir l’occasion de parler à un avocat qu’à son arrivée au poste de police environ 40 minutes après le contrôle routier. Le demandeur a finalement été l’objet de huit chefs d’accusation de diverses infractions liées aux armes à feu.</w:t>
            </w:r>
          </w:p>
          <w:p w:rsidR="003D67E2" w:rsidRPr="00CE0CB3" w:rsidRDefault="003D67E2" w:rsidP="00523289">
            <w:pPr>
              <w:rPr>
                <w:sz w:val="20"/>
                <w:szCs w:val="20"/>
                <w:lang w:val="fr-CA"/>
              </w:rPr>
            </w:pPr>
          </w:p>
        </w:tc>
      </w:tr>
    </w:tbl>
    <w:p w:rsidR="00C01FCB" w:rsidRDefault="000036BF" w:rsidP="00782AE4">
      <w:pPr>
        <w:jc w:val="both"/>
        <w:rPr>
          <w:sz w:val="20"/>
          <w:szCs w:val="20"/>
          <w:lang w:val="fr-CA"/>
        </w:rPr>
      </w:pPr>
      <w:r>
        <w:rPr>
          <w:sz w:val="20"/>
          <w:szCs w:val="20"/>
          <w:lang w:val="fr-CA"/>
        </w:rPr>
        <w:pict>
          <v:rect id="_x0000_i1083" style="width:2in;height:1pt" o:hrpct="0" o:hralign="center" o:hrstd="t" o:hrnoshade="t" o:hr="t" fillcolor="black [3213]" stroked="f"/>
        </w:pict>
      </w:r>
    </w:p>
    <w:p w:rsidR="003D67E2" w:rsidRDefault="003D67E2">
      <w:pPr>
        <w:rPr>
          <w:sz w:val="20"/>
          <w:szCs w:val="20"/>
          <w:lang w:val="fr-CA"/>
        </w:rPr>
      </w:pPr>
      <w:r>
        <w:rPr>
          <w:sz w:val="20"/>
          <w:szCs w:val="20"/>
          <w:lang w:val="fr-CA"/>
        </w:rPr>
        <w:br w:type="page"/>
      </w:r>
    </w:p>
    <w:p w:rsidR="00565A40" w:rsidRPr="00D258A4" w:rsidRDefault="00565A40" w:rsidP="00565A40">
      <w:pPr>
        <w:widowControl w:val="0"/>
        <w:ind w:left="720" w:hanging="720"/>
        <w:jc w:val="both"/>
        <w:rPr>
          <w:b/>
          <w:i/>
          <w:sz w:val="20"/>
          <w:szCs w:val="20"/>
        </w:rPr>
      </w:pPr>
      <w:r w:rsidRPr="00D258A4">
        <w:rPr>
          <w:b/>
          <w:sz w:val="20"/>
          <w:szCs w:val="20"/>
        </w:rPr>
        <w:lastRenderedPageBreak/>
        <w:fldChar w:fldCharType="begin"/>
      </w:r>
      <w:r w:rsidRPr="00D258A4">
        <w:rPr>
          <w:b/>
          <w:sz w:val="20"/>
          <w:szCs w:val="20"/>
        </w:rPr>
        <w:instrText xml:space="preserve"> SEQ CHAPTER \h \r 1</w:instrText>
      </w:r>
      <w:r w:rsidRPr="00D258A4">
        <w:rPr>
          <w:b/>
          <w:sz w:val="20"/>
          <w:szCs w:val="20"/>
        </w:rPr>
        <w:fldChar w:fldCharType="end"/>
      </w:r>
      <w:r w:rsidRPr="00D258A4">
        <w:rPr>
          <w:b/>
          <w:sz w:val="20"/>
          <w:szCs w:val="20"/>
        </w:rPr>
        <w:t>37276</w:t>
      </w:r>
      <w:r w:rsidRPr="00D258A4">
        <w:rPr>
          <w:sz w:val="20"/>
          <w:szCs w:val="20"/>
        </w:rPr>
        <w:tab/>
      </w:r>
      <w:r w:rsidRPr="00565A40">
        <w:rPr>
          <w:b/>
          <w:sz w:val="20"/>
          <w:szCs w:val="20"/>
        </w:rPr>
        <w:t>Delta Air Lines Inc. v. Gάbor Lukάcs</w:t>
      </w:r>
    </w:p>
    <w:p w:rsidR="00565A40" w:rsidRPr="00D258A4" w:rsidRDefault="00565A40" w:rsidP="00565A40">
      <w:pPr>
        <w:widowControl w:val="0"/>
        <w:ind w:left="1440" w:hanging="720"/>
        <w:jc w:val="both"/>
        <w:rPr>
          <w:sz w:val="20"/>
          <w:szCs w:val="20"/>
        </w:rPr>
      </w:pPr>
      <w:r w:rsidRPr="00D258A4">
        <w:rPr>
          <w:sz w:val="20"/>
          <w:szCs w:val="20"/>
        </w:rPr>
        <w:t>(FC) (Civil) (By Leave)</w:t>
      </w:r>
    </w:p>
    <w:p w:rsidR="00565A40" w:rsidRPr="00D258A4" w:rsidRDefault="00565A40" w:rsidP="00565A40">
      <w:pPr>
        <w:widowControl w:val="0"/>
        <w:ind w:left="1440" w:hanging="1440"/>
        <w:jc w:val="both"/>
        <w:rPr>
          <w:sz w:val="20"/>
          <w:szCs w:val="20"/>
        </w:rPr>
      </w:pPr>
    </w:p>
    <w:p w:rsidR="00565A40" w:rsidRPr="00D258A4" w:rsidRDefault="00565A40" w:rsidP="00565A40">
      <w:pPr>
        <w:jc w:val="both"/>
        <w:rPr>
          <w:sz w:val="20"/>
          <w:szCs w:val="20"/>
        </w:rPr>
      </w:pPr>
      <w:r w:rsidRPr="00D258A4">
        <w:rPr>
          <w:sz w:val="20"/>
          <w:szCs w:val="20"/>
        </w:rPr>
        <w:t xml:space="preserve">Transportation law - Air transportation - Unreasonable or unduly discriminatory terms or conditions - Large or obese persons - Complaints to the Canadian Transportation Agency - Standing to bring complaint - Was the Federal Court of Appeal correct in finding that the Canadian Transportation Agency may not apply the law of standing in the context of its air travel complaints scheme - Was the Canadian Transportation Agency’s decision not to hear the respondent’s complaint on the basis that he lacked standing reasonable - </w:t>
      </w:r>
      <w:r w:rsidRPr="00D258A4">
        <w:rPr>
          <w:i/>
          <w:sz w:val="20"/>
          <w:szCs w:val="20"/>
        </w:rPr>
        <w:t>Canada Transportation Act</w:t>
      </w:r>
      <w:r w:rsidRPr="00D258A4">
        <w:rPr>
          <w:sz w:val="20"/>
          <w:szCs w:val="20"/>
        </w:rPr>
        <w:t>, S.C. 1996, c. 10.</w:t>
      </w:r>
    </w:p>
    <w:p w:rsidR="00565A40" w:rsidRPr="00D258A4" w:rsidRDefault="00565A40" w:rsidP="00565A40">
      <w:pPr>
        <w:widowControl w:val="0"/>
        <w:ind w:left="1440" w:hanging="1440"/>
        <w:jc w:val="both"/>
        <w:rPr>
          <w:sz w:val="20"/>
          <w:szCs w:val="20"/>
        </w:rPr>
      </w:pPr>
    </w:p>
    <w:p w:rsidR="003D67E2" w:rsidRDefault="00565A40" w:rsidP="00565A40">
      <w:pPr>
        <w:jc w:val="both"/>
        <w:rPr>
          <w:sz w:val="20"/>
          <w:szCs w:val="20"/>
        </w:rPr>
      </w:pPr>
      <w:r w:rsidRPr="00D258A4">
        <w:rPr>
          <w:sz w:val="20"/>
          <w:szCs w:val="20"/>
        </w:rPr>
        <w:t>The respondent, Mr. </w:t>
      </w:r>
      <w:r w:rsidRPr="00D258A4">
        <w:rPr>
          <w:spacing w:val="-1"/>
          <w:sz w:val="20"/>
          <w:szCs w:val="20"/>
        </w:rPr>
        <w:t>Lukács</w:t>
      </w:r>
      <w:r w:rsidRPr="00D258A4">
        <w:rPr>
          <w:sz w:val="20"/>
          <w:szCs w:val="20"/>
        </w:rPr>
        <w:t xml:space="preserve"> filed a complaint with the Canadian Transportation Agency (“Agency”) alleging that some of the appellant Delta Air Lines’ policies with respect to the transportation of “large (obese)” passengers were discriminatory, contrary to r. 111(2) of the </w:t>
      </w:r>
      <w:r w:rsidRPr="00D258A4">
        <w:rPr>
          <w:i/>
          <w:sz w:val="20"/>
          <w:szCs w:val="20"/>
        </w:rPr>
        <w:t>Air Transportation Regulations</w:t>
      </w:r>
      <w:r w:rsidRPr="00D258A4">
        <w:rPr>
          <w:sz w:val="20"/>
          <w:szCs w:val="20"/>
        </w:rPr>
        <w:t xml:space="preserve">, SOR/88-58. The Agency dismissed the complaint on the basis that Mr. </w:t>
      </w:r>
      <w:r w:rsidRPr="00D258A4">
        <w:rPr>
          <w:spacing w:val="-1"/>
          <w:sz w:val="20"/>
          <w:szCs w:val="20"/>
        </w:rPr>
        <w:t>Lukács</w:t>
      </w:r>
      <w:r w:rsidRPr="00D258A4">
        <w:rPr>
          <w:sz w:val="20"/>
          <w:szCs w:val="20"/>
        </w:rPr>
        <w:t xml:space="preserve"> lacked standing to bring the complaint. The Federal Court of Appeal reversed that decision on the basis that the Agency’s decision to refuse to look into Mr. </w:t>
      </w:r>
      <w:r w:rsidRPr="00D258A4">
        <w:rPr>
          <w:spacing w:val="-1"/>
          <w:sz w:val="20"/>
          <w:szCs w:val="20"/>
        </w:rPr>
        <w:t>Lukács</w:t>
      </w:r>
      <w:r w:rsidRPr="00D258A4">
        <w:rPr>
          <w:sz w:val="20"/>
          <w:szCs w:val="20"/>
        </w:rPr>
        <w:t>’ complaint on the sole basis that he did not meet the standing requirements developed by the courts of civil jurisdiction was unreasonable.</w:t>
      </w:r>
    </w:p>
    <w:p w:rsidR="00565A40" w:rsidRDefault="000036BF" w:rsidP="00565A40">
      <w:pPr>
        <w:jc w:val="both"/>
        <w:rPr>
          <w:sz w:val="20"/>
          <w:szCs w:val="20"/>
        </w:rPr>
      </w:pPr>
      <w:r>
        <w:rPr>
          <w:sz w:val="20"/>
          <w:szCs w:val="20"/>
          <w:lang w:val="fr-CA"/>
        </w:rPr>
        <w:pict>
          <v:rect id="_x0000_i1084" style="width:2in;height:1pt" o:hrpct="0" o:hralign="center" o:hrstd="t" o:hrnoshade="t" o:hr="t" fillcolor="black [3213]" stroked="f"/>
        </w:pict>
      </w:r>
    </w:p>
    <w:p w:rsidR="00565A40" w:rsidRDefault="00565A40" w:rsidP="00565A40">
      <w:pPr>
        <w:jc w:val="both"/>
        <w:rPr>
          <w:sz w:val="20"/>
          <w:szCs w:val="20"/>
        </w:rPr>
      </w:pPr>
    </w:p>
    <w:p w:rsidR="00565A40" w:rsidRDefault="00565A40" w:rsidP="00565A40">
      <w:pPr>
        <w:jc w:val="both"/>
        <w:rPr>
          <w:sz w:val="20"/>
          <w:szCs w:val="20"/>
        </w:rPr>
      </w:pPr>
    </w:p>
    <w:p w:rsidR="00565A40" w:rsidRPr="00565A40" w:rsidRDefault="00565A40" w:rsidP="00565A40">
      <w:pPr>
        <w:widowControl w:val="0"/>
        <w:ind w:left="720" w:hanging="720"/>
        <w:jc w:val="both"/>
        <w:rPr>
          <w:b/>
          <w:sz w:val="20"/>
          <w:szCs w:val="20"/>
        </w:rPr>
      </w:pPr>
      <w:r w:rsidRPr="00577AFC">
        <w:rPr>
          <w:b/>
          <w:sz w:val="20"/>
          <w:szCs w:val="20"/>
          <w:lang w:val="fr-CA"/>
        </w:rPr>
        <w:fldChar w:fldCharType="begin"/>
      </w:r>
      <w:r w:rsidRPr="00577AFC">
        <w:rPr>
          <w:b/>
          <w:sz w:val="20"/>
          <w:szCs w:val="20"/>
        </w:rPr>
        <w:instrText xml:space="preserve"> SEQ CHAPTER \h \r 1</w:instrText>
      </w:r>
      <w:r w:rsidRPr="00577AFC">
        <w:rPr>
          <w:b/>
          <w:sz w:val="20"/>
          <w:szCs w:val="20"/>
          <w:lang w:val="fr-CA"/>
        </w:rPr>
        <w:fldChar w:fldCharType="end"/>
      </w:r>
      <w:r w:rsidRPr="00577AFC">
        <w:rPr>
          <w:b/>
          <w:sz w:val="20"/>
          <w:szCs w:val="20"/>
        </w:rPr>
        <w:t>37276</w:t>
      </w:r>
      <w:r w:rsidRPr="00577AFC">
        <w:rPr>
          <w:sz w:val="20"/>
          <w:szCs w:val="20"/>
        </w:rPr>
        <w:tab/>
      </w:r>
      <w:r w:rsidRPr="00565A40">
        <w:rPr>
          <w:b/>
          <w:sz w:val="20"/>
          <w:szCs w:val="20"/>
          <w:lang w:val="en-US"/>
        </w:rPr>
        <w:t>Delta</w:t>
      </w:r>
      <w:r w:rsidRPr="00565A40">
        <w:rPr>
          <w:b/>
          <w:sz w:val="20"/>
          <w:szCs w:val="20"/>
        </w:rPr>
        <w:t xml:space="preserve"> Air Lines Inc. c. Gábor Lukács</w:t>
      </w:r>
    </w:p>
    <w:p w:rsidR="00565A40" w:rsidRPr="00577AFC" w:rsidRDefault="00565A40" w:rsidP="00565A40">
      <w:pPr>
        <w:widowControl w:val="0"/>
        <w:ind w:left="1440" w:hanging="720"/>
        <w:jc w:val="both"/>
        <w:rPr>
          <w:sz w:val="20"/>
          <w:szCs w:val="20"/>
          <w:lang w:val="fr-CA"/>
        </w:rPr>
      </w:pPr>
      <w:r w:rsidRPr="00577AFC">
        <w:rPr>
          <w:sz w:val="20"/>
          <w:szCs w:val="20"/>
          <w:lang w:val="fr-CA"/>
        </w:rPr>
        <w:t>(CF) (Civile) (Sur autorisation)</w:t>
      </w:r>
    </w:p>
    <w:p w:rsidR="00565A40" w:rsidRPr="00577AFC" w:rsidRDefault="00565A40" w:rsidP="00565A40">
      <w:pPr>
        <w:widowControl w:val="0"/>
        <w:ind w:left="1440" w:hanging="1440"/>
        <w:jc w:val="both"/>
        <w:rPr>
          <w:sz w:val="20"/>
          <w:szCs w:val="20"/>
          <w:lang w:val="fr-CA"/>
        </w:rPr>
      </w:pPr>
    </w:p>
    <w:p w:rsidR="00565A40" w:rsidRPr="00577AFC" w:rsidRDefault="00565A40" w:rsidP="00565A40">
      <w:pPr>
        <w:jc w:val="both"/>
        <w:rPr>
          <w:sz w:val="20"/>
          <w:szCs w:val="20"/>
          <w:lang w:val="fr-CA"/>
        </w:rPr>
      </w:pPr>
      <w:r w:rsidRPr="00577AFC">
        <w:rPr>
          <w:sz w:val="20"/>
          <w:szCs w:val="20"/>
          <w:lang w:val="fr-CA"/>
        </w:rPr>
        <w:t xml:space="preserve">Droit des transports - Transport aérien - Conditions déraisonnables ou injustement discriminatoires - Personnes de grande taille ou obèses - Plaintes à l’Office des transports du Canada - Qualité pour présenter une plainte - La Cour d’appel fédérale a-t-elle eu raison de conclure que l’Office des transports du Canada ne pouvait appliquer les règles de droit relatives à la qualité pour agir dans le contexte de son régime de plaintes relatives au transport aérien? - La décision de l’Office des transports du Canada de ne pas entendre la plainte de l’intimé au motif qu’il n’avait pas la qualité pour agir était-elle raisonnable? - </w:t>
      </w:r>
      <w:r w:rsidRPr="00577AFC">
        <w:rPr>
          <w:i/>
          <w:sz w:val="20"/>
          <w:szCs w:val="20"/>
          <w:lang w:val="fr-CA"/>
        </w:rPr>
        <w:t>Loi sur les transports au Canada</w:t>
      </w:r>
      <w:r w:rsidRPr="00577AFC">
        <w:rPr>
          <w:sz w:val="20"/>
          <w:szCs w:val="20"/>
          <w:lang w:val="fr-CA"/>
        </w:rPr>
        <w:t>, L.C. 1996.</w:t>
      </w:r>
    </w:p>
    <w:p w:rsidR="00565A40" w:rsidRPr="00577AFC" w:rsidRDefault="00565A40" w:rsidP="00565A40">
      <w:pPr>
        <w:widowControl w:val="0"/>
        <w:ind w:left="1440" w:hanging="1440"/>
        <w:jc w:val="both"/>
        <w:rPr>
          <w:sz w:val="20"/>
          <w:szCs w:val="20"/>
          <w:lang w:val="fr-CA"/>
        </w:rPr>
      </w:pPr>
    </w:p>
    <w:p w:rsidR="000036BF" w:rsidRDefault="00565A40" w:rsidP="00565A40">
      <w:pPr>
        <w:jc w:val="both"/>
        <w:rPr>
          <w:sz w:val="20"/>
          <w:szCs w:val="20"/>
          <w:lang w:val="fr-CA"/>
        </w:rPr>
      </w:pPr>
      <w:r w:rsidRPr="00577AFC">
        <w:rPr>
          <w:sz w:val="20"/>
          <w:szCs w:val="20"/>
          <w:lang w:val="fr-CA"/>
        </w:rPr>
        <w:t>L’intimé, M. Lukács, a déposé une plainte auprès de l’Office des transports du Canada (« Office ») dans laquelle il fait valoir que certaines politiques de l’appelante Delta Air Lines à l’égard du transport de personnes « de grande taille (obèses) » étaient discriminatoires, ce qui va à l’encontre du par. 111(2) du </w:t>
      </w:r>
      <w:r w:rsidRPr="00577AFC">
        <w:rPr>
          <w:i/>
          <w:iCs/>
          <w:sz w:val="20"/>
          <w:szCs w:val="20"/>
          <w:lang w:val="fr-CA"/>
        </w:rPr>
        <w:t>Règlement sur les transports aériens</w:t>
      </w:r>
      <w:r w:rsidRPr="00577AFC">
        <w:rPr>
          <w:sz w:val="20"/>
          <w:szCs w:val="20"/>
          <w:lang w:val="fr-CA"/>
        </w:rPr>
        <w:t>, DORS/88</w:t>
      </w:r>
      <w:r w:rsidRPr="00577AFC">
        <w:rPr>
          <w:sz w:val="20"/>
          <w:szCs w:val="20"/>
          <w:lang w:val="fr-CA"/>
        </w:rPr>
        <w:noBreakHyphen/>
        <w:t>58. L’Office a rejeté la plainte, concluant que M. Lukács n’avait pas qualité pour présenter la plainte. La Cour d’appel fédérale a infirmé cette décision, concluant que la décision de l’Office de refuser d’examiner la plainte de M. Lukács simplement parce que le plaignant ne satisfaisait pas aux exigences visant la qualité pour agir qui ont été adoptées par les tribunaux de droit privé était déraisonnable.</w:t>
      </w:r>
    </w:p>
    <w:p w:rsidR="00565A40" w:rsidRPr="00577AFC" w:rsidRDefault="00565A40" w:rsidP="00565A40">
      <w:pPr>
        <w:jc w:val="both"/>
        <w:rPr>
          <w:sz w:val="20"/>
          <w:szCs w:val="20"/>
          <w:lang w:val="fr-CA"/>
        </w:rPr>
      </w:pPr>
      <w:r w:rsidRPr="00577AFC">
        <w:rPr>
          <w:sz w:val="20"/>
          <w:szCs w:val="20"/>
          <w:lang w:val="fr-CA"/>
        </w:rPr>
        <w:t xml:space="preserve"> </w:t>
      </w:r>
    </w:p>
    <w:p w:rsidR="00565A40" w:rsidRPr="00565A40" w:rsidRDefault="000036BF" w:rsidP="00565A40">
      <w:pPr>
        <w:jc w:val="both"/>
        <w:rPr>
          <w:sz w:val="20"/>
          <w:szCs w:val="20"/>
          <w:lang w:val="fr-CA"/>
        </w:rPr>
      </w:pPr>
      <w:r>
        <w:rPr>
          <w:sz w:val="20"/>
          <w:szCs w:val="20"/>
          <w:lang w:val="fr-CA"/>
        </w:rPr>
        <w:pict>
          <v:rect id="_x0000_i1085" style="width:2in;height:1pt" o:hrpct="0" o:hralign="center" o:hrstd="t" o:hrnoshade="t" o:hr="t" fillcolor="black [3213]" stroked="f"/>
        </w:pict>
      </w:r>
    </w:p>
    <w:p w:rsidR="00523289" w:rsidRPr="00565A40" w:rsidRDefault="00523289">
      <w:pPr>
        <w:rPr>
          <w:sz w:val="20"/>
          <w:szCs w:val="20"/>
          <w:lang w:val="fr-CA"/>
        </w:rPr>
      </w:pPr>
      <w:r w:rsidRPr="00565A40">
        <w:rPr>
          <w:sz w:val="20"/>
          <w:szCs w:val="20"/>
          <w:lang w:val="fr-CA"/>
        </w:rPr>
        <w:br w:type="page"/>
      </w:r>
    </w:p>
    <w:p w:rsidR="00565A40" w:rsidRPr="00871E2F" w:rsidRDefault="00565A40" w:rsidP="00565A40">
      <w:pPr>
        <w:widowControl w:val="0"/>
        <w:ind w:left="720" w:hanging="720"/>
        <w:jc w:val="both"/>
        <w:rPr>
          <w:b/>
          <w:i/>
          <w:sz w:val="20"/>
          <w:szCs w:val="20"/>
        </w:rPr>
      </w:pPr>
      <w:r w:rsidRPr="00871E2F">
        <w:rPr>
          <w:b/>
          <w:sz w:val="20"/>
          <w:szCs w:val="20"/>
        </w:rPr>
        <w:lastRenderedPageBreak/>
        <w:fldChar w:fldCharType="begin"/>
      </w:r>
      <w:r w:rsidRPr="00871E2F">
        <w:rPr>
          <w:b/>
          <w:sz w:val="20"/>
          <w:szCs w:val="20"/>
        </w:rPr>
        <w:instrText xml:space="preserve"> SEQ CHAPTER \h \r 1</w:instrText>
      </w:r>
      <w:r w:rsidRPr="00871E2F">
        <w:rPr>
          <w:b/>
          <w:sz w:val="20"/>
          <w:szCs w:val="20"/>
        </w:rPr>
        <w:fldChar w:fldCharType="end"/>
      </w:r>
      <w:r w:rsidRPr="00871E2F">
        <w:rPr>
          <w:b/>
          <w:sz w:val="20"/>
          <w:szCs w:val="20"/>
        </w:rPr>
        <w:t>37323</w:t>
      </w:r>
      <w:r w:rsidRPr="00871E2F">
        <w:rPr>
          <w:sz w:val="20"/>
          <w:szCs w:val="20"/>
        </w:rPr>
        <w:tab/>
      </w:r>
      <w:r w:rsidRPr="00565A40">
        <w:rPr>
          <w:b/>
          <w:sz w:val="20"/>
          <w:szCs w:val="20"/>
        </w:rPr>
        <w:t>James Chadwick Rankin, carrying on business as Rankin’s Garage &amp; Sales v. J.J. by his Litigation Guardian, J.A.J., J.A.J., A.J. and C.C.</w:t>
      </w:r>
    </w:p>
    <w:p w:rsidR="00565A40" w:rsidRPr="00871E2F" w:rsidRDefault="00565A40" w:rsidP="00565A40">
      <w:pPr>
        <w:widowControl w:val="0"/>
        <w:ind w:left="1440" w:hanging="720"/>
        <w:jc w:val="both"/>
        <w:rPr>
          <w:sz w:val="20"/>
          <w:szCs w:val="20"/>
        </w:rPr>
      </w:pPr>
      <w:r w:rsidRPr="00871E2F">
        <w:rPr>
          <w:sz w:val="20"/>
          <w:szCs w:val="20"/>
        </w:rPr>
        <w:t>(Ont.) (Civil) (By Leave)</w:t>
      </w:r>
    </w:p>
    <w:p w:rsidR="00565A40" w:rsidRPr="00871E2F" w:rsidRDefault="00565A40" w:rsidP="00565A40">
      <w:pPr>
        <w:widowControl w:val="0"/>
        <w:jc w:val="both"/>
        <w:rPr>
          <w:sz w:val="20"/>
          <w:szCs w:val="20"/>
        </w:rPr>
      </w:pPr>
    </w:p>
    <w:p w:rsidR="00565A40" w:rsidRPr="00871E2F" w:rsidRDefault="00565A40" w:rsidP="00565A40">
      <w:pPr>
        <w:widowControl w:val="0"/>
        <w:jc w:val="both"/>
        <w:rPr>
          <w:sz w:val="20"/>
          <w:szCs w:val="20"/>
        </w:rPr>
      </w:pPr>
      <w:r w:rsidRPr="00871E2F">
        <w:rPr>
          <w:sz w:val="20"/>
          <w:szCs w:val="20"/>
        </w:rPr>
        <w:t>Torts - Negligence - Duty of Care - Motor vehicles - Minors -Teenagers consuming alcohol and marijuana, trespassing on commercial garage lot and stealing car - Single car crash causing catastrophic brain injury to passenger - Whether property owners owe duty of care to trespassers and thieves injured during commission of crime - Whether trespassing teenagers are owed enhanced duty of care by virtue of status as minors - Whether duty of care is negated when teenagers participate in criminal activity</w:t>
      </w:r>
    </w:p>
    <w:p w:rsidR="00565A40" w:rsidRPr="00871E2F" w:rsidRDefault="00565A40" w:rsidP="00565A40">
      <w:pPr>
        <w:widowControl w:val="0"/>
        <w:jc w:val="both"/>
        <w:rPr>
          <w:sz w:val="20"/>
          <w:szCs w:val="20"/>
        </w:rPr>
      </w:pPr>
    </w:p>
    <w:p w:rsidR="00565A40" w:rsidRPr="00871E2F" w:rsidRDefault="00565A40" w:rsidP="00565A40">
      <w:pPr>
        <w:jc w:val="both"/>
        <w:rPr>
          <w:sz w:val="20"/>
          <w:szCs w:val="20"/>
        </w:rPr>
      </w:pPr>
      <w:r w:rsidRPr="00871E2F">
        <w:rPr>
          <w:sz w:val="20"/>
          <w:szCs w:val="20"/>
        </w:rPr>
        <w:t xml:space="preserve">Two teenage boys, C.C. and J.J., under the influence of marijuana and alcohol (some of which was supplied by C.C.’s mother), trespassed on the property of a commercial garage (“Rankin’s Garage &amp; Sales”) owned by the appellant James Chadwick Rankin, and stole an unlocked car in which the keys had been left in the ashtray. The boy driving the car (C.C.) crashed it, leaving the other boy (J.J.) with a catastrophic brain injury. Through his litigation guardian and parents, J.J. sued Mr. Rankin, the driver C.C., and C.C.’s mother (for having supplied some of the alcohol and for having failed to supervise the boys) for negligence, claiming that they all owed J.J. a duty of care. </w:t>
      </w:r>
    </w:p>
    <w:p w:rsidR="00565A40" w:rsidRPr="00871E2F" w:rsidRDefault="00565A40" w:rsidP="00565A40">
      <w:pPr>
        <w:jc w:val="both"/>
        <w:rPr>
          <w:sz w:val="20"/>
          <w:szCs w:val="20"/>
        </w:rPr>
      </w:pPr>
    </w:p>
    <w:p w:rsidR="00565A40" w:rsidRPr="00871E2F" w:rsidRDefault="00565A40" w:rsidP="00565A40">
      <w:pPr>
        <w:jc w:val="both"/>
        <w:rPr>
          <w:sz w:val="20"/>
          <w:szCs w:val="20"/>
        </w:rPr>
      </w:pPr>
      <w:r w:rsidRPr="00871E2F">
        <w:rPr>
          <w:sz w:val="20"/>
          <w:szCs w:val="20"/>
        </w:rPr>
        <w:t>The trial judge found that all defendants (including Mr. Rankin) owed J.J. a duty of care, and instructed the jury accordingly. The jury returned a verdict finding all parties negligent, and J.J. himself contributorily negligent. It apportioned liability as follows: Mr. Rankin 37%; C.C.’s mother 30%; C.C. 23%; and J.J. 10%. The Court of Appeal dismissed Mr. Rankin’s appeal, finding that the trial judge did not err in finding a duty of care and did not err in her instructions to the jury; nor was the jury’s verdict unreasonable.</w:t>
      </w:r>
    </w:p>
    <w:p w:rsidR="00565A40" w:rsidRPr="00871E2F" w:rsidRDefault="00565A40" w:rsidP="00565A40">
      <w:pPr>
        <w:widowControl w:val="0"/>
        <w:jc w:val="both"/>
        <w:rPr>
          <w:sz w:val="20"/>
          <w:szCs w:val="20"/>
        </w:rPr>
      </w:pPr>
    </w:p>
    <w:p w:rsidR="00565A40" w:rsidRPr="00871E2F" w:rsidRDefault="00565A40" w:rsidP="00565A40">
      <w:pPr>
        <w:widowControl w:val="0"/>
        <w:jc w:val="both"/>
        <w:rPr>
          <w:sz w:val="20"/>
          <w:szCs w:val="20"/>
        </w:rPr>
      </w:pPr>
      <w:r w:rsidRPr="00871E2F">
        <w:rPr>
          <w:sz w:val="20"/>
          <w:szCs w:val="20"/>
        </w:rPr>
        <w:t>On June 21, 2017, by Order of Mr. Justice Rowe, the Supreme Court of Canada granted Mr. Rankin’s motion to add C.C. (the boy driving the car) as a respondent to the appeal.</w:t>
      </w:r>
    </w:p>
    <w:p w:rsidR="003D67E2" w:rsidRPr="00523289" w:rsidRDefault="003D67E2" w:rsidP="00782AE4">
      <w:pPr>
        <w:jc w:val="both"/>
        <w:rPr>
          <w:sz w:val="20"/>
          <w:szCs w:val="20"/>
        </w:rPr>
      </w:pPr>
    </w:p>
    <w:p w:rsidR="00523289" w:rsidRPr="00523289" w:rsidRDefault="000036BF" w:rsidP="00782AE4">
      <w:pPr>
        <w:jc w:val="both"/>
        <w:rPr>
          <w:sz w:val="20"/>
          <w:szCs w:val="20"/>
          <w:lang w:val="en-US"/>
        </w:rPr>
      </w:pPr>
      <w:r>
        <w:rPr>
          <w:sz w:val="20"/>
          <w:szCs w:val="20"/>
          <w:lang w:val="fr-CA"/>
        </w:rPr>
        <w:pict>
          <v:rect id="_x0000_i1086" style="width:2in;height:1pt" o:hrpct="0" o:hralign="center" o:hrstd="t" o:hrnoshade="t" o:hr="t" fillcolor="black [3213]" stroked="f"/>
        </w:pict>
      </w:r>
    </w:p>
    <w:p w:rsidR="00523289" w:rsidRDefault="00523289">
      <w:pPr>
        <w:rPr>
          <w:sz w:val="20"/>
          <w:szCs w:val="20"/>
          <w:lang w:val="en-US"/>
        </w:rPr>
      </w:pPr>
    </w:p>
    <w:p w:rsidR="00565A40" w:rsidRDefault="00565A40">
      <w:pPr>
        <w:rPr>
          <w:b/>
          <w:sz w:val="20"/>
          <w:szCs w:val="20"/>
        </w:rPr>
      </w:pPr>
      <w:r>
        <w:rPr>
          <w:b/>
          <w:sz w:val="20"/>
          <w:szCs w:val="20"/>
        </w:rPr>
        <w:br w:type="page"/>
      </w:r>
    </w:p>
    <w:p w:rsidR="00565A40" w:rsidRPr="00A46E04" w:rsidRDefault="00565A40" w:rsidP="00565A40">
      <w:pPr>
        <w:widowControl w:val="0"/>
        <w:ind w:left="720" w:hanging="720"/>
        <w:jc w:val="both"/>
        <w:rPr>
          <w:b/>
          <w:i/>
          <w:sz w:val="20"/>
          <w:szCs w:val="20"/>
          <w:lang w:val="fr-CA"/>
        </w:rPr>
      </w:pPr>
      <w:r w:rsidRPr="00A46E04">
        <w:rPr>
          <w:b/>
          <w:sz w:val="20"/>
          <w:szCs w:val="20"/>
        </w:rPr>
        <w:lastRenderedPageBreak/>
        <w:fldChar w:fldCharType="begin"/>
      </w:r>
      <w:r w:rsidRPr="00A46E04">
        <w:rPr>
          <w:b/>
          <w:sz w:val="20"/>
          <w:szCs w:val="20"/>
          <w:lang w:val="fr-CA"/>
        </w:rPr>
        <w:instrText xml:space="preserve"> SEQ CHAPTER \h \r 1</w:instrText>
      </w:r>
      <w:r w:rsidRPr="00A46E04">
        <w:rPr>
          <w:b/>
          <w:sz w:val="20"/>
          <w:szCs w:val="20"/>
        </w:rPr>
        <w:fldChar w:fldCharType="end"/>
      </w:r>
      <w:r w:rsidRPr="00A46E04">
        <w:rPr>
          <w:b/>
          <w:sz w:val="20"/>
          <w:szCs w:val="20"/>
          <w:lang w:val="fr-CA"/>
        </w:rPr>
        <w:t>37323</w:t>
      </w:r>
      <w:r w:rsidRPr="00A46E04">
        <w:rPr>
          <w:sz w:val="20"/>
          <w:szCs w:val="20"/>
          <w:lang w:val="fr-CA"/>
        </w:rPr>
        <w:tab/>
      </w:r>
      <w:r w:rsidRPr="00565A40">
        <w:rPr>
          <w:b/>
          <w:sz w:val="20"/>
          <w:szCs w:val="20"/>
          <w:lang w:val="fr-CA"/>
        </w:rPr>
        <w:t>James Chadwick Rankin, faisant affaire sous la raison sociale Rankin’s Garage &amp; Sales c. J.J., représenté par son tuteur à l’instance, J.A.J., J.A.J., A.J. et C.C.</w:t>
      </w:r>
    </w:p>
    <w:p w:rsidR="00565A40" w:rsidRPr="00A46E04" w:rsidRDefault="00565A40" w:rsidP="00565A40">
      <w:pPr>
        <w:widowControl w:val="0"/>
        <w:ind w:left="1440" w:hanging="720"/>
        <w:jc w:val="both"/>
        <w:rPr>
          <w:sz w:val="20"/>
          <w:szCs w:val="20"/>
          <w:lang w:val="fr-CA"/>
        </w:rPr>
      </w:pPr>
      <w:r w:rsidRPr="00A46E04">
        <w:rPr>
          <w:sz w:val="20"/>
          <w:szCs w:val="20"/>
          <w:lang w:val="fr-CA"/>
        </w:rPr>
        <w:t>(Ont.) (Civile) (Sur autorisation)</w:t>
      </w:r>
    </w:p>
    <w:p w:rsidR="00565A40" w:rsidRPr="00A46E04" w:rsidRDefault="00565A40" w:rsidP="00565A40">
      <w:pPr>
        <w:widowControl w:val="0"/>
        <w:jc w:val="both"/>
        <w:rPr>
          <w:sz w:val="20"/>
          <w:szCs w:val="20"/>
          <w:lang w:val="fr-CA"/>
        </w:rPr>
      </w:pPr>
    </w:p>
    <w:p w:rsidR="00565A40" w:rsidRPr="00A46E04" w:rsidRDefault="00565A40" w:rsidP="00565A40">
      <w:pPr>
        <w:widowControl w:val="0"/>
        <w:jc w:val="both"/>
        <w:rPr>
          <w:sz w:val="20"/>
          <w:szCs w:val="20"/>
          <w:lang w:val="fr-CA"/>
        </w:rPr>
      </w:pPr>
      <w:r w:rsidRPr="00A46E04">
        <w:rPr>
          <w:sz w:val="20"/>
          <w:szCs w:val="20"/>
          <w:lang w:val="fr-CA"/>
        </w:rPr>
        <w:t>Responsabilité délictuelle - Négligence - Obligation de diligence - Véhicules automobiles - Mineurs - Des adolescents ont consommé de l’alcool et de la marijuana, ils se sont introduits sans autorisation sur le terrain d’un garage commercial et ils ont volé une voiture - Un passager a subi un traumatisme crânien catastrophique lors d’un accident automobile impliquant une seule voiture - Les propriétaires d’un bien ont-ils une obligation de diligence envers des intrus et des voleurs blessés pendant la perpétration d’un crime? - L’obligation de diligence envers les adolescents qui ont commis l’intrusion est-elle plus onéreuse du fait de leur minorité? - L’obligation de diligence est-elle écartée lorsque les adolescents ont participé à une activité criminelle?</w:t>
      </w:r>
    </w:p>
    <w:p w:rsidR="00565A40" w:rsidRPr="00A46E04" w:rsidRDefault="00565A40" w:rsidP="00565A40">
      <w:pPr>
        <w:widowControl w:val="0"/>
        <w:jc w:val="both"/>
        <w:rPr>
          <w:sz w:val="20"/>
          <w:szCs w:val="20"/>
          <w:lang w:val="fr-CA"/>
        </w:rPr>
      </w:pPr>
    </w:p>
    <w:p w:rsidR="00565A40" w:rsidRPr="00A46E04" w:rsidRDefault="00565A40" w:rsidP="00565A40">
      <w:pPr>
        <w:jc w:val="both"/>
        <w:rPr>
          <w:sz w:val="20"/>
          <w:szCs w:val="20"/>
          <w:lang w:val="fr-CA"/>
        </w:rPr>
      </w:pPr>
      <w:r w:rsidRPr="00A46E04">
        <w:rPr>
          <w:sz w:val="20"/>
          <w:szCs w:val="20"/>
          <w:lang w:val="fr-CA"/>
        </w:rPr>
        <w:t xml:space="preserve">Deux adolescents, C.C. et J.J., intoxiqués par la marijuana et l’alcool (dont une partie a été fournie par la mère de C.C.), se sont introduits sans autorisation sur le terrain d’un garage commercial (« Rankin’s Garage &amp; Sales ») appartenant à l’appelant James Chadwick Rankin, et ont volé une voiture déverrouillée dans laquelle les clés avaient été laissées dans le cendrier. L’adolescent qui conduisait la voiture a eu un accident qui a causé un traumatisme crânien catastrophique à l’autre adolescent (J.J.). Par son tuteur à l’instance et ses parents, J.J. a poursuivi M. Rankin, le conducteur C.C. et la mère de C.C. (lui reprochant d’avoir fourni une partie de l’alcool et d’avoir omis de surveiller les adolescents) pour négligence, alléguant qu’ils avaient tous à l’égard de J.J. une obligation de diligence. </w:t>
      </w:r>
    </w:p>
    <w:p w:rsidR="00565A40" w:rsidRPr="00A46E04" w:rsidRDefault="00565A40" w:rsidP="00565A40">
      <w:pPr>
        <w:jc w:val="both"/>
        <w:rPr>
          <w:sz w:val="20"/>
          <w:szCs w:val="20"/>
          <w:lang w:val="fr-CA"/>
        </w:rPr>
      </w:pPr>
    </w:p>
    <w:p w:rsidR="00565A40" w:rsidRPr="00A46E04" w:rsidRDefault="00565A40" w:rsidP="00565A40">
      <w:pPr>
        <w:jc w:val="both"/>
        <w:rPr>
          <w:sz w:val="20"/>
          <w:szCs w:val="20"/>
          <w:lang w:val="fr-CA"/>
        </w:rPr>
      </w:pPr>
      <w:r w:rsidRPr="00A46E04">
        <w:rPr>
          <w:sz w:val="20"/>
          <w:szCs w:val="20"/>
          <w:lang w:val="fr-CA"/>
        </w:rPr>
        <w:t>La juge du procès a conclu que tous les défendeurs (y compris M. Rankin) avaient une obligation de diligence envers J.J. et elle a donné des directives en ce sens au jury. Le jury a rendu un verdict dans lequel il a conclu que toutes les parties avaient été négligentes et que J.J. avait été lui-même négligent. Le jury a réparti la responsabilité comme suit : M. Rankin 37 %, la mère de C.C. 30 %, C.C. 23 % et J.J. 10 %. La Cour d’appel a rejeté l’appel de M. Rankin, concluant que la juge du procès n’avait pas eu tort de conclure à une obligation de diligence, qu’elle n’avait pas commis d’erreur dans ses directives au jury et que le verdict du jury n’était pas déraisonnable.</w:t>
      </w:r>
    </w:p>
    <w:p w:rsidR="00565A40" w:rsidRPr="00A46E04" w:rsidRDefault="00565A40" w:rsidP="00565A40">
      <w:pPr>
        <w:widowControl w:val="0"/>
        <w:jc w:val="both"/>
        <w:rPr>
          <w:sz w:val="20"/>
          <w:szCs w:val="20"/>
          <w:lang w:val="fr-CA"/>
        </w:rPr>
      </w:pPr>
    </w:p>
    <w:p w:rsidR="00565A40" w:rsidRPr="00A46E04" w:rsidRDefault="00565A40" w:rsidP="00565A40">
      <w:pPr>
        <w:widowControl w:val="0"/>
        <w:jc w:val="both"/>
        <w:rPr>
          <w:sz w:val="20"/>
          <w:szCs w:val="20"/>
          <w:lang w:val="fr-CA"/>
        </w:rPr>
      </w:pPr>
      <w:r w:rsidRPr="00A46E04">
        <w:rPr>
          <w:sz w:val="20"/>
          <w:szCs w:val="20"/>
          <w:lang w:val="fr-CA"/>
        </w:rPr>
        <w:t>Le 21 juin 2017, par ordonnance de M. le juge Rowe, la Cour suprême du Canada a accueilli la requête de M. Rankin en vue d’ajouter C.C. (l’adolescent qui conduisait la voiture) comme intimé au pourvoi.</w:t>
      </w:r>
    </w:p>
    <w:p w:rsidR="00523289" w:rsidRPr="00523289" w:rsidRDefault="00523289" w:rsidP="00782AE4">
      <w:pPr>
        <w:jc w:val="both"/>
        <w:rPr>
          <w:sz w:val="20"/>
          <w:szCs w:val="20"/>
          <w:lang w:val="fr-CA"/>
        </w:rPr>
      </w:pPr>
    </w:p>
    <w:p w:rsidR="00523289" w:rsidRPr="00523289" w:rsidRDefault="000036BF" w:rsidP="00782AE4">
      <w:pPr>
        <w:jc w:val="both"/>
        <w:rPr>
          <w:sz w:val="20"/>
          <w:szCs w:val="20"/>
          <w:lang w:val="fr-CA"/>
        </w:rPr>
      </w:pPr>
      <w:r>
        <w:rPr>
          <w:sz w:val="20"/>
          <w:szCs w:val="20"/>
          <w:lang w:val="fr-CA"/>
        </w:rPr>
        <w:pict>
          <v:rect id="_x0000_i1087" style="width:2in;height:1pt" o:hrpct="0" o:hralign="center" o:hrstd="t" o:hrnoshade="t" o:hr="t" fillcolor="black [3213]" stroked="f"/>
        </w:pict>
      </w:r>
    </w:p>
    <w:p w:rsidR="00523289" w:rsidRDefault="00523289">
      <w:pPr>
        <w:rPr>
          <w:sz w:val="20"/>
          <w:szCs w:val="20"/>
          <w:lang w:val="fr-CA"/>
        </w:rPr>
      </w:pPr>
      <w:r>
        <w:rPr>
          <w:sz w:val="20"/>
          <w:szCs w:val="20"/>
          <w:lang w:val="fr-CA"/>
        </w:rPr>
        <w:br w:type="page"/>
      </w:r>
    </w:p>
    <w:p w:rsidR="00972BA9" w:rsidRPr="00311984" w:rsidRDefault="00972BA9" w:rsidP="00972BA9">
      <w:pPr>
        <w:widowControl w:val="0"/>
        <w:ind w:left="720" w:hanging="720"/>
        <w:jc w:val="both"/>
        <w:rPr>
          <w:b/>
          <w:i/>
          <w:sz w:val="20"/>
          <w:szCs w:val="20"/>
        </w:rPr>
      </w:pPr>
      <w:r w:rsidRPr="00311984">
        <w:rPr>
          <w:b/>
          <w:sz w:val="20"/>
          <w:szCs w:val="20"/>
        </w:rPr>
        <w:lastRenderedPageBreak/>
        <w:fldChar w:fldCharType="begin"/>
      </w:r>
      <w:r w:rsidRPr="00311984">
        <w:rPr>
          <w:b/>
          <w:sz w:val="20"/>
          <w:szCs w:val="20"/>
        </w:rPr>
        <w:instrText xml:space="preserve"> SEQ CHAPTER \h \r 1</w:instrText>
      </w:r>
      <w:r w:rsidRPr="00311984">
        <w:rPr>
          <w:b/>
          <w:sz w:val="20"/>
          <w:szCs w:val="20"/>
        </w:rPr>
        <w:fldChar w:fldCharType="end"/>
      </w:r>
      <w:r w:rsidRPr="00311984">
        <w:rPr>
          <w:b/>
          <w:sz w:val="20"/>
          <w:szCs w:val="20"/>
        </w:rPr>
        <w:t>37247</w:t>
      </w:r>
      <w:r w:rsidRPr="00311984">
        <w:rPr>
          <w:sz w:val="20"/>
          <w:szCs w:val="20"/>
        </w:rPr>
        <w:tab/>
      </w:r>
      <w:r w:rsidRPr="00565A40">
        <w:rPr>
          <w:b/>
          <w:sz w:val="20"/>
          <w:szCs w:val="20"/>
        </w:rPr>
        <w:t>Richard Alan Suter v. Her Majesty the Queen</w:t>
      </w:r>
    </w:p>
    <w:p w:rsidR="00972BA9" w:rsidRPr="00311984" w:rsidRDefault="00972BA9" w:rsidP="00972BA9">
      <w:pPr>
        <w:widowControl w:val="0"/>
        <w:ind w:left="720" w:hanging="720"/>
        <w:jc w:val="both"/>
        <w:rPr>
          <w:sz w:val="20"/>
          <w:szCs w:val="20"/>
        </w:rPr>
      </w:pPr>
      <w:r w:rsidRPr="00311984">
        <w:rPr>
          <w:sz w:val="20"/>
          <w:szCs w:val="20"/>
        </w:rPr>
        <w:tab/>
        <w:t>(Alta.) (Criminal) (By Leave)</w:t>
      </w:r>
    </w:p>
    <w:p w:rsidR="00972BA9" w:rsidRPr="00311984" w:rsidRDefault="00972BA9" w:rsidP="00972BA9">
      <w:pPr>
        <w:widowControl w:val="0"/>
        <w:jc w:val="both"/>
        <w:rPr>
          <w:sz w:val="20"/>
          <w:szCs w:val="20"/>
        </w:rPr>
      </w:pPr>
    </w:p>
    <w:p w:rsidR="00972BA9" w:rsidRPr="00311984" w:rsidRDefault="00972BA9" w:rsidP="00972BA9">
      <w:pPr>
        <w:widowControl w:val="0"/>
        <w:jc w:val="both"/>
        <w:rPr>
          <w:sz w:val="20"/>
          <w:szCs w:val="20"/>
        </w:rPr>
      </w:pPr>
      <w:r w:rsidRPr="00311984">
        <w:rPr>
          <w:sz w:val="20"/>
          <w:szCs w:val="20"/>
        </w:rPr>
        <w:t xml:space="preserve">Criminal law - Sentencing - Refusal to provide breath sample following collision causing death - Whether mistake of law made by appellant should be considered a mitigating factor - Whether actions committed by appellant that were unrelated to commission of offense should be considered as aggravating circumstances as term is defined under s. 718.2(a) of </w:t>
      </w:r>
      <w:r w:rsidRPr="00311984">
        <w:rPr>
          <w:i/>
          <w:sz w:val="20"/>
          <w:szCs w:val="20"/>
        </w:rPr>
        <w:t>Criminal Code</w:t>
      </w:r>
      <w:r w:rsidRPr="00311984">
        <w:rPr>
          <w:sz w:val="20"/>
          <w:szCs w:val="20"/>
        </w:rPr>
        <w:t xml:space="preserve"> - Whether severe injuries and public vitriol appellant suffered as victim of vigilante justice should be considered as collateral consequence relevant to determining fitness of sentence - Whether Court of Appeal erred by raising without notice to appellant new grounds of appeal favouring Crown - </w:t>
      </w:r>
      <w:r w:rsidRPr="00311984">
        <w:rPr>
          <w:i/>
          <w:sz w:val="20"/>
          <w:szCs w:val="20"/>
        </w:rPr>
        <w:t>Criminal Code</w:t>
      </w:r>
      <w:r w:rsidRPr="00311984">
        <w:rPr>
          <w:sz w:val="20"/>
          <w:szCs w:val="20"/>
        </w:rPr>
        <w:t>, R.S.C. 1985, c. C-46, s. 255(3.2).</w:t>
      </w:r>
    </w:p>
    <w:p w:rsidR="00972BA9" w:rsidRPr="00311984" w:rsidRDefault="00972BA9" w:rsidP="00972BA9">
      <w:pPr>
        <w:widowControl w:val="0"/>
        <w:jc w:val="both"/>
        <w:rPr>
          <w:sz w:val="20"/>
          <w:szCs w:val="20"/>
        </w:rPr>
      </w:pPr>
    </w:p>
    <w:p w:rsidR="00972BA9" w:rsidRPr="00311984" w:rsidRDefault="00972BA9" w:rsidP="00972BA9">
      <w:pPr>
        <w:widowControl w:val="0"/>
        <w:jc w:val="both"/>
        <w:rPr>
          <w:sz w:val="20"/>
          <w:szCs w:val="20"/>
        </w:rPr>
      </w:pPr>
      <w:r w:rsidRPr="00311984">
        <w:rPr>
          <w:sz w:val="20"/>
          <w:szCs w:val="20"/>
        </w:rPr>
        <w:t xml:space="preserve">Mr. Suter, appellant, pled guilty to the offence of refusing to provide a breath sample following a collision causing death, contrary to s. 255(3.2) of the </w:t>
      </w:r>
      <w:r w:rsidRPr="00311984">
        <w:rPr>
          <w:i/>
          <w:sz w:val="20"/>
          <w:szCs w:val="20"/>
        </w:rPr>
        <w:t>Criminal Code</w:t>
      </w:r>
      <w:r w:rsidRPr="00311984">
        <w:rPr>
          <w:sz w:val="20"/>
          <w:szCs w:val="20"/>
        </w:rPr>
        <w:t>. He struck several people having dinner on a restaurant patio, including a two and a half year old boy who died of his injuries. The case garnered a lot of media attention and spawned vigilantism. Mr. Suter was kidnapped and had his thumb cut off, and his wife was attacked in a shopping mall parking lot. Once arrested and placed in a cell at the police station, Mr. Suter spoke to a lawyer who advised him not to provide a breath sample. He followed that advice. The sentencing judge found as fact that Mr. Suter was not impaired at the time of the collision. He was sentenced to four months of incarceration and to a 30 month driving prohibition. The Court of Appeal allowed the Crown’s appeal and imposed a period of imprisonment of 26 months.</w:t>
      </w:r>
    </w:p>
    <w:p w:rsidR="003D67E2" w:rsidRDefault="003D67E2" w:rsidP="00782AE4">
      <w:pPr>
        <w:jc w:val="both"/>
        <w:rPr>
          <w:sz w:val="20"/>
          <w:szCs w:val="20"/>
        </w:rPr>
      </w:pPr>
    </w:p>
    <w:p w:rsidR="00972BA9" w:rsidRDefault="000036BF" w:rsidP="00782AE4">
      <w:pPr>
        <w:jc w:val="both"/>
        <w:rPr>
          <w:sz w:val="20"/>
          <w:szCs w:val="20"/>
        </w:rPr>
      </w:pPr>
      <w:r>
        <w:rPr>
          <w:sz w:val="20"/>
          <w:szCs w:val="20"/>
          <w:lang w:val="fr-CA"/>
        </w:rPr>
        <w:pict>
          <v:rect id="_x0000_i1088" style="width:2in;height:1pt" o:hrpct="0" o:hralign="center" o:hrstd="t" o:hrnoshade="t" o:hr="t" fillcolor="black [3213]" stroked="f"/>
        </w:pict>
      </w:r>
    </w:p>
    <w:p w:rsidR="00972BA9" w:rsidRDefault="00972BA9" w:rsidP="00782AE4">
      <w:pPr>
        <w:jc w:val="both"/>
        <w:rPr>
          <w:sz w:val="20"/>
          <w:szCs w:val="20"/>
        </w:rPr>
      </w:pPr>
    </w:p>
    <w:p w:rsidR="00972BA9" w:rsidRPr="009F2BD3" w:rsidRDefault="00972BA9" w:rsidP="00972BA9">
      <w:pPr>
        <w:widowControl w:val="0"/>
        <w:ind w:left="720" w:hanging="720"/>
        <w:jc w:val="both"/>
        <w:rPr>
          <w:b/>
          <w:i/>
          <w:sz w:val="20"/>
          <w:szCs w:val="20"/>
          <w:lang w:val="fr-CA"/>
        </w:rPr>
      </w:pPr>
      <w:r w:rsidRPr="009F2BD3">
        <w:rPr>
          <w:b/>
          <w:sz w:val="20"/>
          <w:szCs w:val="20"/>
        </w:rPr>
        <w:fldChar w:fldCharType="begin"/>
      </w:r>
      <w:r w:rsidRPr="009F2BD3">
        <w:rPr>
          <w:b/>
          <w:sz w:val="20"/>
          <w:szCs w:val="20"/>
          <w:lang w:val="fr-CA"/>
        </w:rPr>
        <w:instrText xml:space="preserve"> SEQ CHAPTER \h \r 1</w:instrText>
      </w:r>
      <w:r w:rsidRPr="009F2BD3">
        <w:rPr>
          <w:b/>
          <w:sz w:val="20"/>
          <w:szCs w:val="20"/>
        </w:rPr>
        <w:fldChar w:fldCharType="end"/>
      </w:r>
      <w:r w:rsidRPr="009F2BD3">
        <w:rPr>
          <w:b/>
          <w:sz w:val="20"/>
          <w:szCs w:val="20"/>
          <w:lang w:val="fr-CA"/>
        </w:rPr>
        <w:t>37247</w:t>
      </w:r>
      <w:r w:rsidRPr="00565A40">
        <w:rPr>
          <w:sz w:val="20"/>
          <w:szCs w:val="20"/>
          <w:lang w:val="fr-CA"/>
        </w:rPr>
        <w:tab/>
      </w:r>
      <w:r w:rsidRPr="00565A40">
        <w:rPr>
          <w:b/>
          <w:sz w:val="20"/>
          <w:szCs w:val="20"/>
          <w:lang w:val="fr-CA"/>
        </w:rPr>
        <w:t>Richard Alan Suter c. Sa Majesté la Reine</w:t>
      </w:r>
    </w:p>
    <w:p w:rsidR="00972BA9" w:rsidRPr="009F2BD3" w:rsidRDefault="00972BA9" w:rsidP="00972BA9">
      <w:pPr>
        <w:widowControl w:val="0"/>
        <w:ind w:left="720" w:hanging="720"/>
        <w:jc w:val="both"/>
        <w:rPr>
          <w:sz w:val="20"/>
          <w:szCs w:val="20"/>
          <w:lang w:val="fr-CA"/>
        </w:rPr>
      </w:pPr>
      <w:r w:rsidRPr="009F2BD3">
        <w:rPr>
          <w:sz w:val="20"/>
          <w:szCs w:val="20"/>
          <w:lang w:val="fr-CA"/>
        </w:rPr>
        <w:tab/>
        <w:t>(Alb.) (Criminelle) (Sur autorisation)</w:t>
      </w:r>
    </w:p>
    <w:p w:rsidR="00972BA9" w:rsidRPr="009F2BD3" w:rsidRDefault="00972BA9" w:rsidP="00972BA9">
      <w:pPr>
        <w:widowControl w:val="0"/>
        <w:jc w:val="both"/>
        <w:rPr>
          <w:sz w:val="20"/>
          <w:szCs w:val="20"/>
          <w:lang w:val="fr-CA"/>
        </w:rPr>
      </w:pPr>
    </w:p>
    <w:p w:rsidR="00972BA9" w:rsidRPr="009F2BD3" w:rsidRDefault="00972BA9" w:rsidP="00972BA9">
      <w:pPr>
        <w:widowControl w:val="0"/>
        <w:jc w:val="both"/>
        <w:rPr>
          <w:sz w:val="20"/>
          <w:szCs w:val="20"/>
          <w:lang w:val="fr-CA"/>
        </w:rPr>
      </w:pPr>
      <w:r w:rsidRPr="009F2BD3">
        <w:rPr>
          <w:sz w:val="20"/>
          <w:szCs w:val="20"/>
          <w:lang w:val="fr-CA"/>
        </w:rPr>
        <w:t xml:space="preserve">Droit criminel - Détermination de la peine - Refus de fournir un échantillon d’haleine à la suite d’une collision causant la mort - Une erreur de droit commise par l’appelant doit-elle être considérée comme une circonstance atténuante? - Les gestes commis par l’appelant qui n’étaient pas liés à la perpétration de l’infraction doivent-ils être considérés comme des circonstances aggravantes au sens de l’al. 718.2a) du </w:t>
      </w:r>
      <w:r w:rsidRPr="009F2BD3">
        <w:rPr>
          <w:i/>
          <w:sz w:val="20"/>
          <w:szCs w:val="20"/>
          <w:lang w:val="fr-CA"/>
        </w:rPr>
        <w:t>Code criminel</w:t>
      </w:r>
      <w:r w:rsidRPr="009F2BD3">
        <w:rPr>
          <w:sz w:val="20"/>
          <w:szCs w:val="20"/>
          <w:lang w:val="fr-CA"/>
        </w:rPr>
        <w:t xml:space="preserve">? - Les blessures graves et l’opprobre virulent dont l’appelant a été victime aux mains de justiciers doivent-ils être considérés comme une conséquence indirecte pertinente liée à la justesse de la peine? - La Cour d’appel a-t-elle eu tort de soulever, sans aviser l’appelant, de nouveaux motifs d’appel favorisant le ministère public? - </w:t>
      </w:r>
      <w:r w:rsidRPr="009F2BD3">
        <w:rPr>
          <w:i/>
          <w:sz w:val="20"/>
          <w:szCs w:val="20"/>
          <w:lang w:val="fr-CA"/>
        </w:rPr>
        <w:t>Code criminel</w:t>
      </w:r>
      <w:r w:rsidRPr="009F2BD3">
        <w:rPr>
          <w:sz w:val="20"/>
          <w:szCs w:val="20"/>
          <w:lang w:val="fr-CA"/>
        </w:rPr>
        <w:t>, L.R.C. 1985, ch. C-46, par. 255(3.2).</w:t>
      </w:r>
    </w:p>
    <w:p w:rsidR="00972BA9" w:rsidRPr="009F2BD3" w:rsidRDefault="00972BA9" w:rsidP="00972BA9">
      <w:pPr>
        <w:widowControl w:val="0"/>
        <w:jc w:val="both"/>
        <w:rPr>
          <w:sz w:val="20"/>
          <w:szCs w:val="20"/>
          <w:lang w:val="fr-CA"/>
        </w:rPr>
      </w:pPr>
    </w:p>
    <w:p w:rsidR="00972BA9" w:rsidRPr="009F2BD3" w:rsidRDefault="00972BA9" w:rsidP="00972BA9">
      <w:pPr>
        <w:widowControl w:val="0"/>
        <w:jc w:val="both"/>
        <w:rPr>
          <w:sz w:val="20"/>
          <w:szCs w:val="20"/>
          <w:lang w:val="fr-CA"/>
        </w:rPr>
      </w:pPr>
      <w:r w:rsidRPr="009F2BD3">
        <w:rPr>
          <w:sz w:val="20"/>
          <w:szCs w:val="20"/>
          <w:lang w:val="fr-CA"/>
        </w:rPr>
        <w:t xml:space="preserve">Monsieur Suter, l’appelant, a plaidé coupable de l’infraction d’avoir refusé de fournir un échantillon d’haleine à la suite d’une collision causant la mort, contrairement au par. 255(3.2) du </w:t>
      </w:r>
      <w:r w:rsidRPr="009F2BD3">
        <w:rPr>
          <w:i/>
          <w:sz w:val="20"/>
          <w:szCs w:val="20"/>
          <w:lang w:val="fr-CA"/>
        </w:rPr>
        <w:t>Code criminel</w:t>
      </w:r>
      <w:r w:rsidRPr="009F2BD3">
        <w:rPr>
          <w:sz w:val="20"/>
          <w:szCs w:val="20"/>
          <w:lang w:val="fr-CA"/>
        </w:rPr>
        <w:t>. Il avait frappé plusieurs personnes qui dînaient sur une terrasse de restaurant, y compris un garçonnet de deux ans et demi qui est décédé de ses blessures. L’affaire a attiré beaucoup d’attention médiatique et a engendré le phénomène des justiciers. Monsieur Suter a été enlevé et on lui a tranché le pouce et son épouse a été attaquée dans le stationnement d’un centre commercial. Après avoir été arrêté et placé sous garde dans une cellule au poste de police, M. Suter a parlé à un avocat qui lui a conseillé de ne pas fournir d’échantillon d’haleine. Il a suivi ce conseil. Le juge qui a prononcé la peine a tiré la conclusion de fait que M. Suter n’avait pas eu les facultés affaiblies au moment de la collision. Il a été condamné à une peine de détention de quatre mois et d’une interdiction de conduire de 30 mois. La Cour d’appel a accueilli l’appel du ministère public et imposé une période de détention de 26 mois.</w:t>
      </w:r>
    </w:p>
    <w:p w:rsidR="00972BA9" w:rsidRPr="00972BA9" w:rsidRDefault="00972BA9" w:rsidP="00782AE4">
      <w:pPr>
        <w:jc w:val="both"/>
        <w:rPr>
          <w:sz w:val="20"/>
          <w:szCs w:val="20"/>
          <w:lang w:val="fr-CA"/>
        </w:rPr>
      </w:pPr>
    </w:p>
    <w:p w:rsidR="00523289" w:rsidRPr="00972BA9" w:rsidRDefault="000036BF" w:rsidP="00782AE4">
      <w:pPr>
        <w:jc w:val="both"/>
        <w:rPr>
          <w:sz w:val="20"/>
          <w:szCs w:val="20"/>
          <w:lang w:val="fr-CA"/>
        </w:rPr>
      </w:pPr>
      <w:r>
        <w:rPr>
          <w:sz w:val="20"/>
          <w:szCs w:val="20"/>
          <w:lang w:val="fr-CA"/>
        </w:rPr>
        <w:pict>
          <v:rect id="_x0000_i1089" style="width:2in;height:1pt" o:hrpct="0" o:hralign="center" o:hrstd="t" o:hrnoshade="t" o:hr="t" fillcolor="black [3213]" stroked="f"/>
        </w:pict>
      </w:r>
    </w:p>
    <w:p w:rsidR="00523289" w:rsidRPr="00972BA9" w:rsidRDefault="00523289">
      <w:pPr>
        <w:rPr>
          <w:sz w:val="20"/>
          <w:szCs w:val="20"/>
          <w:lang w:val="fr-CA"/>
        </w:rPr>
      </w:pPr>
      <w:r w:rsidRPr="00972BA9">
        <w:rPr>
          <w:sz w:val="20"/>
          <w:szCs w:val="20"/>
          <w:lang w:val="fr-CA"/>
        </w:rPr>
        <w:br w:type="page"/>
      </w:r>
    </w:p>
    <w:p w:rsidR="00972BA9" w:rsidRPr="00E02E0B" w:rsidRDefault="00972BA9" w:rsidP="00972BA9">
      <w:pPr>
        <w:widowControl w:val="0"/>
        <w:ind w:left="720" w:hanging="720"/>
        <w:jc w:val="both"/>
        <w:rPr>
          <w:b/>
          <w:i/>
          <w:sz w:val="20"/>
          <w:szCs w:val="20"/>
        </w:rPr>
      </w:pPr>
      <w:r w:rsidRPr="00E02E0B">
        <w:rPr>
          <w:sz w:val="20"/>
          <w:szCs w:val="20"/>
        </w:rPr>
        <w:lastRenderedPageBreak/>
        <w:fldChar w:fldCharType="begin"/>
      </w:r>
      <w:r w:rsidRPr="00E02E0B">
        <w:rPr>
          <w:sz w:val="20"/>
          <w:szCs w:val="20"/>
        </w:rPr>
        <w:instrText xml:space="preserve"> SEQ CHAPTER \h \r 1</w:instrText>
      </w:r>
      <w:r w:rsidRPr="00E02E0B">
        <w:rPr>
          <w:sz w:val="20"/>
          <w:szCs w:val="20"/>
        </w:rPr>
        <w:fldChar w:fldCharType="end"/>
      </w:r>
      <w:r w:rsidRPr="00E02E0B">
        <w:rPr>
          <w:rStyle w:val="SCCFileNumberChar"/>
          <w:sz w:val="20"/>
          <w:szCs w:val="20"/>
        </w:rPr>
        <w:t>37233</w:t>
      </w:r>
      <w:r w:rsidRPr="00E02E0B">
        <w:rPr>
          <w:sz w:val="20"/>
          <w:szCs w:val="20"/>
        </w:rPr>
        <w:tab/>
      </w:r>
      <w:r w:rsidRPr="00565A40">
        <w:rPr>
          <w:b/>
          <w:sz w:val="20"/>
          <w:szCs w:val="20"/>
        </w:rPr>
        <w:t>Jeffrey</w:t>
      </w:r>
      <w:r w:rsidRPr="00565A40">
        <w:rPr>
          <w:b/>
          <w:bCs/>
          <w:sz w:val="20"/>
          <w:szCs w:val="20"/>
        </w:rPr>
        <w:t xml:space="preserve"> G. Ewert v. Her Majesty the Queen in Right of Canada (the Commissioner of the Correctional Service of Canada, the Warden of Kent Institution and the Warden of Mission Institution)</w:t>
      </w:r>
    </w:p>
    <w:p w:rsidR="00972BA9" w:rsidRPr="00E02E0B" w:rsidRDefault="00972BA9" w:rsidP="00972BA9">
      <w:pPr>
        <w:widowControl w:val="0"/>
        <w:ind w:left="1440" w:hanging="720"/>
        <w:jc w:val="both"/>
        <w:rPr>
          <w:sz w:val="20"/>
          <w:szCs w:val="20"/>
        </w:rPr>
      </w:pPr>
      <w:r w:rsidRPr="00E02E0B">
        <w:rPr>
          <w:sz w:val="20"/>
          <w:szCs w:val="20"/>
        </w:rPr>
        <w:t>(FC) (Civil) (By Leave)</w:t>
      </w:r>
    </w:p>
    <w:p w:rsidR="00972BA9" w:rsidRPr="00E02E0B" w:rsidRDefault="00972BA9" w:rsidP="00972BA9">
      <w:pPr>
        <w:widowControl w:val="0"/>
        <w:jc w:val="both"/>
        <w:rPr>
          <w:sz w:val="20"/>
          <w:szCs w:val="20"/>
        </w:rPr>
      </w:pPr>
    </w:p>
    <w:p w:rsidR="00972BA9" w:rsidRPr="00E02E0B" w:rsidRDefault="00972BA9" w:rsidP="00972BA9">
      <w:pPr>
        <w:jc w:val="both"/>
        <w:rPr>
          <w:sz w:val="20"/>
          <w:szCs w:val="20"/>
        </w:rPr>
      </w:pPr>
      <w:r w:rsidRPr="00E02E0B">
        <w:rPr>
          <w:i/>
          <w:sz w:val="20"/>
          <w:szCs w:val="20"/>
        </w:rPr>
        <w:t xml:space="preserve">Charter </w:t>
      </w:r>
      <w:r w:rsidRPr="00E02E0B">
        <w:rPr>
          <w:sz w:val="20"/>
          <w:szCs w:val="20"/>
        </w:rPr>
        <w:t xml:space="preserve">- Criminal law - Parole - Rights of prisoners - Appellant is Aboriginal federal inmate who brought action alleging psychological assessment tools related to recidivism and psychopathy are unreliable when administered to Aboriginal offenders, giving rise to statutory and ss. 7 and 15 </w:t>
      </w:r>
      <w:r w:rsidRPr="00E02E0B">
        <w:rPr>
          <w:i/>
          <w:sz w:val="20"/>
          <w:szCs w:val="20"/>
        </w:rPr>
        <w:t xml:space="preserve">Charter </w:t>
      </w:r>
      <w:r w:rsidRPr="00E02E0B">
        <w:rPr>
          <w:sz w:val="20"/>
          <w:szCs w:val="20"/>
        </w:rPr>
        <w:t xml:space="preserve">breaches - Federal Court judge found that use of assessment tools in respect of Aboriginal offenders was contrary to ss. 4(g) and 24(1) of </w:t>
      </w:r>
      <w:r w:rsidRPr="00E02E0B">
        <w:rPr>
          <w:i/>
          <w:sz w:val="20"/>
          <w:szCs w:val="20"/>
        </w:rPr>
        <w:t>Corrections and Conditional Release Act</w:t>
      </w:r>
      <w:r w:rsidRPr="00E02E0B">
        <w:rPr>
          <w:sz w:val="20"/>
          <w:szCs w:val="20"/>
        </w:rPr>
        <w:t xml:space="preserve"> and gave rise to unjustifiable breach of s. 7 of </w:t>
      </w:r>
      <w:r w:rsidRPr="00E02E0B">
        <w:rPr>
          <w:i/>
          <w:sz w:val="20"/>
          <w:szCs w:val="20"/>
        </w:rPr>
        <w:t>Charter</w:t>
      </w:r>
      <w:r w:rsidRPr="00E02E0B">
        <w:rPr>
          <w:sz w:val="20"/>
          <w:szCs w:val="20"/>
        </w:rPr>
        <w:t xml:space="preserve"> due to impact on institutional liberty decisions - Judge issued interim order enjoining Correctional Service of Canada (“CSC”) from using assessment tools in respect of appellant - Federal Court of Appeal allowed CSC’s appeal - Whether CSC’s reliance on test scores produced by assessment tools in respect of Aboriginal offenders infringes s. 7 or 15 of </w:t>
      </w:r>
      <w:r w:rsidRPr="00E02E0B">
        <w:rPr>
          <w:i/>
          <w:sz w:val="20"/>
          <w:szCs w:val="20"/>
        </w:rPr>
        <w:t>Charter</w:t>
      </w:r>
      <w:r w:rsidRPr="00E02E0B">
        <w:rPr>
          <w:sz w:val="20"/>
          <w:szCs w:val="20"/>
        </w:rPr>
        <w:t xml:space="preserve"> - If so, is infringement reasonable limit prescribed by law as can be demonstrably justified in free and democratic society under s. 1 of </w:t>
      </w:r>
      <w:r w:rsidRPr="00E02E0B">
        <w:rPr>
          <w:i/>
          <w:sz w:val="20"/>
          <w:szCs w:val="20"/>
        </w:rPr>
        <w:t>Charter</w:t>
      </w:r>
      <w:r w:rsidRPr="00E02E0B">
        <w:rPr>
          <w:sz w:val="20"/>
          <w:szCs w:val="20"/>
        </w:rPr>
        <w:t xml:space="preserve">? - </w:t>
      </w:r>
      <w:r w:rsidRPr="00E02E0B">
        <w:rPr>
          <w:i/>
          <w:sz w:val="20"/>
          <w:szCs w:val="20"/>
        </w:rPr>
        <w:t>Corrections and Conditional Release Act</w:t>
      </w:r>
      <w:r w:rsidRPr="00E02E0B">
        <w:rPr>
          <w:sz w:val="20"/>
          <w:szCs w:val="20"/>
        </w:rPr>
        <w:t>, SC 1992, c. 20, ss. 4(g) and 24(1).</w:t>
      </w:r>
    </w:p>
    <w:p w:rsidR="00972BA9" w:rsidRPr="00E02E0B" w:rsidRDefault="00972BA9" w:rsidP="00972BA9">
      <w:pPr>
        <w:jc w:val="both"/>
        <w:rPr>
          <w:sz w:val="20"/>
          <w:szCs w:val="20"/>
        </w:rPr>
      </w:pPr>
    </w:p>
    <w:p w:rsidR="00972BA9" w:rsidRPr="00E02E0B" w:rsidRDefault="00972BA9" w:rsidP="00972BA9">
      <w:pPr>
        <w:jc w:val="both"/>
        <w:rPr>
          <w:sz w:val="20"/>
          <w:szCs w:val="20"/>
        </w:rPr>
      </w:pPr>
      <w:r w:rsidRPr="00E02E0B">
        <w:rPr>
          <w:sz w:val="20"/>
          <w:szCs w:val="20"/>
        </w:rPr>
        <w:t xml:space="preserve">The respondent Correctional Service of Canada (“CSC” or Crown) employs certain psychological tests, referred to as assessment tools or actuarial tests, to assess the risk of criminal recidivism and to assess psychopathy in inmates. The appellant, Mr. Jeffrey Ewert, commenced an action in the Federal Court in which he alleged that the assessment tools are unreliable when administered to Aboriginal inmates such as himself and that, in the result, their use violated rights protected by ss. 7 and 15 of the </w:t>
      </w:r>
      <w:r w:rsidRPr="00E02E0B">
        <w:rPr>
          <w:i/>
          <w:sz w:val="20"/>
          <w:szCs w:val="20"/>
        </w:rPr>
        <w:t>Canadian Charter of Rights and Freedoms</w:t>
      </w:r>
      <w:r w:rsidRPr="00E02E0B">
        <w:rPr>
          <w:sz w:val="20"/>
          <w:szCs w:val="20"/>
        </w:rPr>
        <w:t xml:space="preserve">. At trial, he sought injunctive and declaratory relief. A judge of the Federal Court found that the Crown had failed to meet its statutory obligations under the </w:t>
      </w:r>
      <w:r w:rsidRPr="00E02E0B">
        <w:rPr>
          <w:i/>
          <w:sz w:val="20"/>
          <w:szCs w:val="20"/>
        </w:rPr>
        <w:t>Corrections and Conditional Release Act</w:t>
      </w:r>
      <w:r w:rsidRPr="00E02E0B">
        <w:rPr>
          <w:sz w:val="20"/>
          <w:szCs w:val="20"/>
        </w:rPr>
        <w:t xml:space="preserve">, SC 1992, c. 20, and that the use of the assessment tools did violate Mr. Ewert’s s. 7 </w:t>
      </w:r>
      <w:r w:rsidRPr="00E02E0B">
        <w:rPr>
          <w:i/>
          <w:sz w:val="20"/>
          <w:szCs w:val="20"/>
        </w:rPr>
        <w:t>Charter</w:t>
      </w:r>
      <w:r w:rsidRPr="00E02E0B">
        <w:rPr>
          <w:sz w:val="20"/>
          <w:szCs w:val="20"/>
        </w:rPr>
        <w:t xml:space="preserve"> rights. The judge found it unnecessary to consider s. 15 of the </w:t>
      </w:r>
      <w:r w:rsidRPr="00E02E0B">
        <w:rPr>
          <w:i/>
          <w:sz w:val="20"/>
          <w:szCs w:val="20"/>
        </w:rPr>
        <w:t>Charter</w:t>
      </w:r>
      <w:r w:rsidRPr="00E02E0B">
        <w:rPr>
          <w:sz w:val="20"/>
          <w:szCs w:val="20"/>
        </w:rPr>
        <w:t>. The Federal Court of Appeal</w:t>
      </w:r>
      <w:r w:rsidRPr="00E02E0B">
        <w:rPr>
          <w:b/>
          <w:sz w:val="20"/>
          <w:szCs w:val="20"/>
        </w:rPr>
        <w:t xml:space="preserve"> </w:t>
      </w:r>
      <w:r w:rsidRPr="00E02E0B">
        <w:rPr>
          <w:sz w:val="20"/>
          <w:szCs w:val="20"/>
        </w:rPr>
        <w:t xml:space="preserve">allowed the Crown’s appeal. It held that the Federal Court judge erred in law in finding both a breach of the Act and a violation of s. 7 of the </w:t>
      </w:r>
      <w:r w:rsidRPr="00E02E0B">
        <w:rPr>
          <w:i/>
          <w:sz w:val="20"/>
          <w:szCs w:val="20"/>
        </w:rPr>
        <w:t>Charter</w:t>
      </w:r>
      <w:r w:rsidRPr="00E02E0B">
        <w:rPr>
          <w:sz w:val="20"/>
          <w:szCs w:val="20"/>
        </w:rPr>
        <w:t>.</w:t>
      </w:r>
    </w:p>
    <w:p w:rsidR="003D67E2" w:rsidRDefault="003D67E2" w:rsidP="00782AE4">
      <w:pPr>
        <w:jc w:val="both"/>
        <w:rPr>
          <w:sz w:val="20"/>
          <w:szCs w:val="20"/>
        </w:rPr>
      </w:pPr>
    </w:p>
    <w:p w:rsidR="00972BA9" w:rsidRDefault="000036BF" w:rsidP="00782AE4">
      <w:pPr>
        <w:jc w:val="both"/>
        <w:rPr>
          <w:sz w:val="20"/>
          <w:szCs w:val="20"/>
        </w:rPr>
      </w:pPr>
      <w:r>
        <w:rPr>
          <w:sz w:val="20"/>
          <w:szCs w:val="20"/>
          <w:lang w:val="fr-CA"/>
        </w:rPr>
        <w:pict>
          <v:rect id="_x0000_i1090" style="width:2in;height:1pt" o:hrpct="0" o:hralign="center" o:hrstd="t" o:hrnoshade="t" o:hr="t" fillcolor="black [3213]" stroked="f"/>
        </w:pict>
      </w:r>
    </w:p>
    <w:p w:rsidR="00972BA9" w:rsidRDefault="00972BA9" w:rsidP="00782AE4">
      <w:pPr>
        <w:jc w:val="both"/>
        <w:rPr>
          <w:sz w:val="20"/>
          <w:szCs w:val="20"/>
        </w:rPr>
      </w:pPr>
    </w:p>
    <w:p w:rsidR="00972BA9" w:rsidRDefault="00972BA9">
      <w:pPr>
        <w:rPr>
          <w:sz w:val="20"/>
          <w:szCs w:val="20"/>
        </w:rPr>
      </w:pPr>
      <w:r>
        <w:rPr>
          <w:sz w:val="20"/>
          <w:szCs w:val="20"/>
        </w:rPr>
        <w:br w:type="page"/>
      </w:r>
    </w:p>
    <w:p w:rsidR="00972BA9" w:rsidRPr="00565A40" w:rsidRDefault="00972BA9" w:rsidP="00972BA9">
      <w:pPr>
        <w:widowControl w:val="0"/>
        <w:ind w:left="720" w:hanging="720"/>
        <w:jc w:val="both"/>
        <w:rPr>
          <w:b/>
          <w:sz w:val="20"/>
          <w:szCs w:val="20"/>
          <w:lang w:val="fr-CA"/>
        </w:rPr>
      </w:pPr>
      <w:r w:rsidRPr="00C8310E">
        <w:rPr>
          <w:sz w:val="20"/>
          <w:szCs w:val="20"/>
        </w:rPr>
        <w:lastRenderedPageBreak/>
        <w:fldChar w:fldCharType="begin"/>
      </w:r>
      <w:r w:rsidRPr="00C8310E">
        <w:rPr>
          <w:sz w:val="20"/>
          <w:szCs w:val="20"/>
          <w:lang w:val="fr-CA"/>
        </w:rPr>
        <w:instrText xml:space="preserve"> SEQ CHAPTER \h \r 1</w:instrText>
      </w:r>
      <w:r w:rsidRPr="00C8310E">
        <w:rPr>
          <w:sz w:val="20"/>
          <w:szCs w:val="20"/>
        </w:rPr>
        <w:fldChar w:fldCharType="end"/>
      </w:r>
      <w:r w:rsidRPr="00C8310E">
        <w:rPr>
          <w:rStyle w:val="SCCFileNumberChar"/>
          <w:sz w:val="20"/>
          <w:szCs w:val="20"/>
          <w:lang w:val="fr-CA"/>
        </w:rPr>
        <w:t>37233</w:t>
      </w:r>
      <w:r w:rsidRPr="00C8310E">
        <w:rPr>
          <w:sz w:val="20"/>
          <w:szCs w:val="20"/>
          <w:lang w:val="fr-CA"/>
        </w:rPr>
        <w:tab/>
      </w:r>
      <w:r w:rsidRPr="00565A40">
        <w:rPr>
          <w:b/>
          <w:sz w:val="20"/>
          <w:szCs w:val="20"/>
          <w:lang w:val="fr-CA"/>
        </w:rPr>
        <w:t>Jeffrey G. Ewert c. Sa Majesté la Reine du chef du Canada (le commissaire du Service correctionnel du Canada, le directeur de l’établissement de Kent et le directeur de l’établissement de Mission)</w:t>
      </w:r>
    </w:p>
    <w:p w:rsidR="00972BA9" w:rsidRPr="00C8310E" w:rsidRDefault="00972BA9" w:rsidP="00972BA9">
      <w:pPr>
        <w:widowControl w:val="0"/>
        <w:ind w:left="1440" w:hanging="720"/>
        <w:jc w:val="both"/>
        <w:rPr>
          <w:sz w:val="20"/>
          <w:szCs w:val="20"/>
          <w:lang w:val="fr-CA"/>
        </w:rPr>
      </w:pPr>
      <w:r w:rsidRPr="00C8310E">
        <w:rPr>
          <w:sz w:val="20"/>
          <w:szCs w:val="20"/>
          <w:lang w:val="fr-CA"/>
        </w:rPr>
        <w:t>(CF) (Civile) (Sur autorisation)</w:t>
      </w:r>
    </w:p>
    <w:p w:rsidR="00972BA9" w:rsidRPr="00C8310E" w:rsidRDefault="00972BA9" w:rsidP="00972BA9">
      <w:pPr>
        <w:widowControl w:val="0"/>
        <w:jc w:val="both"/>
        <w:rPr>
          <w:sz w:val="20"/>
          <w:szCs w:val="20"/>
          <w:lang w:val="fr-CA"/>
        </w:rPr>
      </w:pPr>
    </w:p>
    <w:p w:rsidR="00972BA9" w:rsidRPr="00C8310E" w:rsidRDefault="00972BA9" w:rsidP="00972BA9">
      <w:pPr>
        <w:jc w:val="both"/>
        <w:rPr>
          <w:sz w:val="20"/>
          <w:szCs w:val="20"/>
          <w:lang w:val="fr-CA"/>
        </w:rPr>
      </w:pPr>
      <w:r w:rsidRPr="00C8310E">
        <w:rPr>
          <w:i/>
          <w:sz w:val="20"/>
          <w:szCs w:val="20"/>
          <w:lang w:val="fr-CA"/>
        </w:rPr>
        <w:t xml:space="preserve">Charte </w:t>
      </w:r>
      <w:r w:rsidRPr="00C8310E">
        <w:rPr>
          <w:sz w:val="20"/>
          <w:szCs w:val="20"/>
          <w:lang w:val="fr-CA"/>
        </w:rPr>
        <w:t xml:space="preserve">- Droit criminel - Libération conditionnelle - Droits des détenus - L’appelant est un détenu autochtone sous responsabilité fédérale qui a intenté une action dans laquelle il allègue que les instruments d’évaluation psychologique liés à la récidive et à la psychopathie ne sont pas fiables lorsqu’ils sont administrés à des délinquants autochtones, donnant lieu à des violations de la loi et des art. 7 et 15 de la </w:t>
      </w:r>
      <w:r w:rsidRPr="00C8310E">
        <w:rPr>
          <w:i/>
          <w:sz w:val="20"/>
          <w:szCs w:val="20"/>
          <w:lang w:val="fr-CA"/>
        </w:rPr>
        <w:t>Charte</w:t>
      </w:r>
      <w:r w:rsidRPr="00C8310E">
        <w:rPr>
          <w:sz w:val="20"/>
          <w:szCs w:val="20"/>
          <w:lang w:val="fr-CA"/>
        </w:rPr>
        <w:t xml:space="preserve"> - Le juge de la Cour fédérale a conclu que l’utilisation d’instruments d’évaluation à l’endroit de délinquants autochtones était contraire à l’al. 4g) et au par. 24(1) de la</w:t>
      </w:r>
      <w:r w:rsidRPr="00C8310E">
        <w:rPr>
          <w:i/>
          <w:sz w:val="20"/>
          <w:szCs w:val="20"/>
          <w:lang w:val="fr-CA"/>
        </w:rPr>
        <w:t xml:space="preserve"> Loi sur le service correctionnel et la mise en liberté sous condition</w:t>
      </w:r>
      <w:r w:rsidRPr="00C8310E">
        <w:rPr>
          <w:sz w:val="20"/>
          <w:szCs w:val="20"/>
          <w:lang w:val="fr-CA"/>
        </w:rPr>
        <w:t xml:space="preserve"> et qu’il donnait lieu à une violation injustifiable de l’art. 7 de la </w:t>
      </w:r>
      <w:r w:rsidRPr="00C8310E">
        <w:rPr>
          <w:i/>
          <w:sz w:val="20"/>
          <w:szCs w:val="20"/>
          <w:lang w:val="fr-CA"/>
        </w:rPr>
        <w:t>Charte</w:t>
      </w:r>
      <w:r w:rsidRPr="00C8310E">
        <w:rPr>
          <w:sz w:val="20"/>
          <w:szCs w:val="20"/>
          <w:lang w:val="fr-CA"/>
        </w:rPr>
        <w:t xml:space="preserve"> en raison de son impact sur les décisions en matière de liberté prises par l’établissement - Le juge a rendu une ordonnance provisoire interdisant au Service correctionnel du Canada (« SCC ») d’utiliser des instruments d’évaluation à l’endroit de l’appelant - La Cour d’appel fédérale a accueilli l’appel du SCC - L’utilisation par le SCS des résultats des tests obtenus au moyen des outils d’évaluation à l’endroit des délinquants autochtones porte-t-elle atteinte à l’art. 7 ou 15 de la </w:t>
      </w:r>
      <w:r w:rsidRPr="00C8310E">
        <w:rPr>
          <w:i/>
          <w:sz w:val="20"/>
          <w:szCs w:val="20"/>
          <w:lang w:val="fr-CA"/>
        </w:rPr>
        <w:t>Charte</w:t>
      </w:r>
      <w:r w:rsidRPr="00C8310E">
        <w:rPr>
          <w:sz w:val="20"/>
          <w:szCs w:val="20"/>
          <w:lang w:val="fr-CA"/>
        </w:rPr>
        <w:t>? - Dans l’affirmative, s’agit</w:t>
      </w:r>
      <w:r w:rsidRPr="00C8310E">
        <w:rPr>
          <w:sz w:val="20"/>
          <w:szCs w:val="20"/>
          <w:lang w:val="fr-CA"/>
        </w:rPr>
        <w:noBreakHyphen/>
        <w:t xml:space="preserve">il d’une atteinte portée par une règle de droit dans des limites qui sont raisonnables et dont la justification peut se démontrer dans le cadre d’une société libre et démocratique suivant l’article premier de la </w:t>
      </w:r>
      <w:r w:rsidRPr="00C8310E">
        <w:rPr>
          <w:i/>
          <w:sz w:val="20"/>
          <w:szCs w:val="20"/>
          <w:lang w:val="fr-CA"/>
        </w:rPr>
        <w:t>Charte</w:t>
      </w:r>
      <w:r w:rsidRPr="00C8310E">
        <w:rPr>
          <w:sz w:val="20"/>
          <w:szCs w:val="20"/>
          <w:lang w:val="fr-CA"/>
        </w:rPr>
        <w:t xml:space="preserve">? - </w:t>
      </w:r>
      <w:r w:rsidRPr="00C8310E">
        <w:rPr>
          <w:i/>
          <w:sz w:val="20"/>
          <w:szCs w:val="20"/>
          <w:lang w:val="fr-CA"/>
        </w:rPr>
        <w:t>Loi sur le service correctionnel et la mise en liberté sous condition</w:t>
      </w:r>
      <w:r w:rsidRPr="00C8310E">
        <w:rPr>
          <w:sz w:val="20"/>
          <w:szCs w:val="20"/>
          <w:lang w:val="fr-CA"/>
        </w:rPr>
        <w:t>, L.C. 1992, ch. 20, al. 4g) et par. 24(1).</w:t>
      </w:r>
    </w:p>
    <w:p w:rsidR="00972BA9" w:rsidRPr="00C8310E" w:rsidRDefault="00972BA9" w:rsidP="00972BA9">
      <w:pPr>
        <w:jc w:val="both"/>
        <w:rPr>
          <w:sz w:val="20"/>
          <w:szCs w:val="20"/>
          <w:lang w:val="fr-CA"/>
        </w:rPr>
      </w:pPr>
    </w:p>
    <w:p w:rsidR="00972BA9" w:rsidRPr="00C8310E" w:rsidRDefault="00972BA9" w:rsidP="00972BA9">
      <w:pPr>
        <w:jc w:val="both"/>
        <w:rPr>
          <w:sz w:val="20"/>
          <w:szCs w:val="20"/>
          <w:lang w:val="fr-CA"/>
        </w:rPr>
      </w:pPr>
      <w:r w:rsidRPr="00C8310E">
        <w:rPr>
          <w:sz w:val="20"/>
          <w:szCs w:val="20"/>
          <w:lang w:val="fr-CA"/>
        </w:rPr>
        <w:t>Le Service correctionnel du Canada intimé (« le SCC » ou « l’État ») emploie certains tests psychologiques, qualifiés d'outils d'évaluation, afin de mesurer le risque de récidive criminelle et d'évaluer la psychopathie chez les détenus. L’appelant, M. Jeffrey Ewert, a intenté une action en Cour fédérale dans laquelle il alléguait que les outils d'évaluation ne sont pas fiables dans le cas de détenus autochtones tels que lui</w:t>
      </w:r>
      <w:r w:rsidRPr="00C8310E">
        <w:rPr>
          <w:sz w:val="20"/>
          <w:szCs w:val="20"/>
          <w:lang w:val="fr-CA"/>
        </w:rPr>
        <w:noBreakHyphen/>
        <w:t>même et que, par conséquent, leur utilisation a enfreint les droits garantis par les art. 7 et 15 de la </w:t>
      </w:r>
      <w:r w:rsidRPr="00C8310E">
        <w:rPr>
          <w:i/>
          <w:iCs/>
          <w:sz w:val="20"/>
          <w:szCs w:val="20"/>
          <w:lang w:val="fr-CA"/>
        </w:rPr>
        <w:t>Charte canadienne des droits et libertés</w:t>
      </w:r>
      <w:r w:rsidRPr="00C8310E">
        <w:rPr>
          <w:sz w:val="20"/>
          <w:szCs w:val="20"/>
          <w:lang w:val="fr-CA"/>
        </w:rPr>
        <w:t>. En première instance, il a demandé une injonction et un jugement déclaratoire. Un juge de la Cour fédérale a conclu que l’État avait omis de remplir les obligations que lui imposait la</w:t>
      </w:r>
      <w:r w:rsidRPr="00C8310E">
        <w:rPr>
          <w:i/>
          <w:sz w:val="20"/>
          <w:szCs w:val="20"/>
          <w:lang w:val="fr-CA"/>
        </w:rPr>
        <w:t xml:space="preserve"> Loi sur le service correctionnel et la mise en liberté sous condition</w:t>
      </w:r>
      <w:r w:rsidRPr="00C8310E">
        <w:rPr>
          <w:sz w:val="20"/>
          <w:szCs w:val="20"/>
          <w:lang w:val="fr-CA"/>
        </w:rPr>
        <w:t>,</w:t>
      </w:r>
      <w:r w:rsidRPr="00C8310E">
        <w:rPr>
          <w:i/>
          <w:sz w:val="20"/>
          <w:szCs w:val="20"/>
          <w:lang w:val="fr-CA"/>
        </w:rPr>
        <w:t xml:space="preserve"> </w:t>
      </w:r>
      <w:r w:rsidRPr="00C8310E">
        <w:rPr>
          <w:sz w:val="20"/>
          <w:szCs w:val="20"/>
          <w:lang w:val="fr-CA"/>
        </w:rPr>
        <w:t xml:space="preserve">L.C. 1992, ch. 20, et que l’utilisation des outils d’évaluation violait effectivement les droits que l’art. 7 de la </w:t>
      </w:r>
      <w:r w:rsidRPr="00C8310E">
        <w:rPr>
          <w:i/>
          <w:sz w:val="20"/>
          <w:szCs w:val="20"/>
          <w:lang w:val="fr-CA"/>
        </w:rPr>
        <w:t>Charte</w:t>
      </w:r>
      <w:r w:rsidRPr="00C8310E">
        <w:rPr>
          <w:sz w:val="20"/>
          <w:szCs w:val="20"/>
          <w:lang w:val="fr-CA"/>
        </w:rPr>
        <w:t xml:space="preserve"> garantit à M. Ewert. Le juge a conclu qu’il était inutile d’examiner l’art. 15 de la </w:t>
      </w:r>
      <w:r w:rsidRPr="00C8310E">
        <w:rPr>
          <w:i/>
          <w:sz w:val="20"/>
          <w:szCs w:val="20"/>
          <w:lang w:val="fr-CA"/>
        </w:rPr>
        <w:t>Charte</w:t>
      </w:r>
      <w:r w:rsidRPr="00C8310E">
        <w:rPr>
          <w:sz w:val="20"/>
          <w:szCs w:val="20"/>
          <w:lang w:val="fr-CA"/>
        </w:rPr>
        <w:t xml:space="preserve">. La Cour d’appel fédérale a accueilli l’appel de l’État. Elle a statué que le juge de la Cour fédérale avait commis une erreur de droit en concluant qu’il y avait eu violation de la loi et violation de l’art. 7 de la </w:t>
      </w:r>
      <w:r w:rsidRPr="00C8310E">
        <w:rPr>
          <w:i/>
          <w:sz w:val="20"/>
          <w:szCs w:val="20"/>
          <w:lang w:val="fr-CA"/>
        </w:rPr>
        <w:t>Charte</w:t>
      </w:r>
      <w:r w:rsidRPr="00C8310E">
        <w:rPr>
          <w:sz w:val="20"/>
          <w:szCs w:val="20"/>
          <w:lang w:val="fr-CA"/>
        </w:rPr>
        <w:t>.</w:t>
      </w:r>
    </w:p>
    <w:p w:rsidR="00972BA9" w:rsidRPr="00972BA9" w:rsidRDefault="00972BA9" w:rsidP="00782AE4">
      <w:pPr>
        <w:jc w:val="both"/>
        <w:rPr>
          <w:sz w:val="20"/>
          <w:szCs w:val="20"/>
          <w:lang w:val="fr-CA"/>
        </w:rPr>
      </w:pPr>
    </w:p>
    <w:p w:rsidR="00523289" w:rsidRPr="00972BA9" w:rsidRDefault="000036BF" w:rsidP="00782AE4">
      <w:pPr>
        <w:jc w:val="both"/>
        <w:rPr>
          <w:sz w:val="20"/>
          <w:szCs w:val="20"/>
          <w:lang w:val="fr-CA"/>
        </w:rPr>
      </w:pPr>
      <w:r>
        <w:rPr>
          <w:sz w:val="20"/>
          <w:szCs w:val="20"/>
          <w:lang w:val="fr-CA"/>
        </w:rPr>
        <w:pict>
          <v:rect id="_x0000_i1091" style="width:2in;height:1pt" o:hrpct="0" o:hralign="center" o:hrstd="t" o:hrnoshade="t" o:hr="t" fillcolor="black [3213]" stroked="f"/>
        </w:pict>
      </w:r>
    </w:p>
    <w:p w:rsidR="00CD52CA" w:rsidRPr="00972BA9" w:rsidRDefault="00CD52CA">
      <w:pPr>
        <w:rPr>
          <w:sz w:val="20"/>
          <w:szCs w:val="20"/>
          <w:lang w:val="fr-CA"/>
        </w:rPr>
      </w:pPr>
      <w:r w:rsidRPr="00972BA9">
        <w:rPr>
          <w:sz w:val="20"/>
          <w:szCs w:val="20"/>
          <w:lang w:val="fr-CA"/>
        </w:rPr>
        <w:br w:type="page"/>
      </w:r>
    </w:p>
    <w:p w:rsidR="00972BA9" w:rsidRPr="00567037" w:rsidRDefault="00972BA9" w:rsidP="00972BA9">
      <w:pPr>
        <w:widowControl w:val="0"/>
        <w:ind w:left="720" w:hanging="720"/>
        <w:jc w:val="both"/>
        <w:rPr>
          <w:b/>
          <w:i/>
          <w:sz w:val="20"/>
          <w:szCs w:val="20"/>
        </w:rPr>
      </w:pPr>
      <w:r w:rsidRPr="00567037">
        <w:rPr>
          <w:b/>
          <w:sz w:val="20"/>
          <w:szCs w:val="20"/>
        </w:rPr>
        <w:lastRenderedPageBreak/>
        <w:fldChar w:fldCharType="begin"/>
      </w:r>
      <w:r w:rsidRPr="00567037">
        <w:rPr>
          <w:b/>
          <w:sz w:val="20"/>
          <w:szCs w:val="20"/>
        </w:rPr>
        <w:instrText xml:space="preserve"> SEQ CHAPTER \h \r 1</w:instrText>
      </w:r>
      <w:r w:rsidRPr="00567037">
        <w:rPr>
          <w:b/>
          <w:sz w:val="20"/>
          <w:szCs w:val="20"/>
        </w:rPr>
        <w:fldChar w:fldCharType="end"/>
      </w:r>
      <w:r w:rsidRPr="00567037">
        <w:rPr>
          <w:b/>
          <w:sz w:val="20"/>
          <w:szCs w:val="20"/>
        </w:rPr>
        <w:t>37461</w:t>
      </w:r>
      <w:r w:rsidRPr="00567037">
        <w:rPr>
          <w:sz w:val="20"/>
          <w:szCs w:val="20"/>
        </w:rPr>
        <w:tab/>
      </w:r>
      <w:bookmarkStart w:id="4" w:name="3"/>
      <w:bookmarkEnd w:id="4"/>
      <w:r w:rsidRPr="00565A40">
        <w:rPr>
          <w:b/>
          <w:sz w:val="20"/>
          <w:szCs w:val="20"/>
        </w:rPr>
        <w:t>Michael Shawn Bourgeois v. Her Majesty the Queen</w:t>
      </w:r>
    </w:p>
    <w:p w:rsidR="00972BA9" w:rsidRPr="00567037" w:rsidRDefault="00972BA9" w:rsidP="00972BA9">
      <w:pPr>
        <w:widowControl w:val="0"/>
        <w:ind w:left="1440" w:hanging="720"/>
        <w:jc w:val="both"/>
        <w:rPr>
          <w:sz w:val="20"/>
          <w:szCs w:val="20"/>
        </w:rPr>
      </w:pPr>
      <w:r w:rsidRPr="00567037">
        <w:rPr>
          <w:sz w:val="20"/>
          <w:szCs w:val="20"/>
        </w:rPr>
        <w:t>(Alta.) (Criminal) (As of Right)</w:t>
      </w:r>
    </w:p>
    <w:p w:rsidR="00972BA9" w:rsidRPr="00567037" w:rsidRDefault="00972BA9" w:rsidP="00972BA9">
      <w:pPr>
        <w:widowControl w:val="0"/>
        <w:jc w:val="both"/>
        <w:rPr>
          <w:sz w:val="20"/>
          <w:szCs w:val="20"/>
        </w:rPr>
      </w:pPr>
    </w:p>
    <w:p w:rsidR="00972BA9" w:rsidRPr="00567037" w:rsidRDefault="00972BA9" w:rsidP="00972BA9">
      <w:pPr>
        <w:jc w:val="both"/>
        <w:rPr>
          <w:sz w:val="20"/>
          <w:szCs w:val="20"/>
        </w:rPr>
      </w:pPr>
      <w:r w:rsidRPr="00567037">
        <w:rPr>
          <w:sz w:val="20"/>
          <w:szCs w:val="20"/>
        </w:rPr>
        <w:t xml:space="preserve">Criminal law - Appeals - Unreasonable verdict - Accused convicted of sexual assault - Whether the flaws, errors and defects in the analysis of the trial judge warrant appellate intervention as an unreasonable verdict pursuant to s. 686(1)(a)(i) of the </w:t>
      </w:r>
      <w:r w:rsidRPr="00567037">
        <w:rPr>
          <w:i/>
          <w:sz w:val="20"/>
          <w:szCs w:val="20"/>
        </w:rPr>
        <w:t>Criminal Code</w:t>
      </w:r>
      <w:r w:rsidRPr="00567037">
        <w:rPr>
          <w:sz w:val="20"/>
          <w:szCs w:val="20"/>
        </w:rPr>
        <w:t>, R.S.C. 1985, c. C-46.</w:t>
      </w:r>
    </w:p>
    <w:p w:rsidR="00972BA9" w:rsidRPr="00567037" w:rsidRDefault="00972BA9" w:rsidP="00972BA9">
      <w:pPr>
        <w:widowControl w:val="0"/>
        <w:jc w:val="both"/>
        <w:rPr>
          <w:sz w:val="20"/>
          <w:szCs w:val="20"/>
        </w:rPr>
      </w:pPr>
    </w:p>
    <w:p w:rsidR="00972BA9" w:rsidRPr="00567037" w:rsidRDefault="00972BA9" w:rsidP="00972BA9">
      <w:pPr>
        <w:widowControl w:val="0"/>
        <w:jc w:val="both"/>
        <w:rPr>
          <w:sz w:val="20"/>
          <w:szCs w:val="20"/>
        </w:rPr>
      </w:pPr>
      <w:r w:rsidRPr="00567037">
        <w:rPr>
          <w:sz w:val="20"/>
          <w:szCs w:val="20"/>
        </w:rPr>
        <w:t>At trial, the appellant was convicted of sexually assaulting the complainant in his truck as he was driving her home. He appealed his conviction, on the grounds that the trial judge erred in his assessment of his credibility and of the credibility of the complainant, that the trial judge erred in law in relying on evidence (out of court statements and text messages) beyond its permissible use, and that the trial judge erred in the application of the principles of proof beyond a reasonable doubt and the presumption of innocence. The majority of the Court of Appeal dismissed the appeal. Berger J.A., dissenting, would have allowed the appeal, quashed the conviction and ordered a new trial. He was of the view that several flaws, errors and defects in the trial judge’s analysis warranted appellate intervention and concluded that upon consideration of the record through the lens of judicial experience while being mindful of the advantage of the trial judge, the verdict was unreasonable.</w:t>
      </w:r>
    </w:p>
    <w:p w:rsidR="00CD52CA" w:rsidRPr="00972BA9" w:rsidRDefault="00CD52CA" w:rsidP="00782AE4">
      <w:pPr>
        <w:jc w:val="both"/>
        <w:rPr>
          <w:sz w:val="20"/>
          <w:szCs w:val="20"/>
        </w:rPr>
      </w:pPr>
    </w:p>
    <w:p w:rsidR="00CD52CA" w:rsidRPr="00972BA9" w:rsidRDefault="000036BF" w:rsidP="00782AE4">
      <w:pPr>
        <w:jc w:val="both"/>
        <w:rPr>
          <w:sz w:val="20"/>
          <w:szCs w:val="20"/>
          <w:lang w:val="en-US"/>
        </w:rPr>
      </w:pPr>
      <w:r>
        <w:rPr>
          <w:sz w:val="20"/>
          <w:szCs w:val="20"/>
          <w:lang w:val="fr-CA"/>
        </w:rPr>
        <w:pict>
          <v:rect id="_x0000_i1092" style="width:2in;height:1pt" o:hrpct="0" o:hralign="center" o:hrstd="t" o:hrnoshade="t" o:hr="t" fillcolor="black [3213]" stroked="f"/>
        </w:pict>
      </w:r>
    </w:p>
    <w:p w:rsidR="00CD52CA" w:rsidRDefault="00CD52CA" w:rsidP="00782AE4">
      <w:pPr>
        <w:jc w:val="both"/>
        <w:rPr>
          <w:sz w:val="20"/>
          <w:szCs w:val="20"/>
          <w:lang w:val="en-US"/>
        </w:rPr>
      </w:pPr>
    </w:p>
    <w:p w:rsidR="00972BA9" w:rsidRPr="00565A40" w:rsidRDefault="00972BA9" w:rsidP="00972BA9">
      <w:pPr>
        <w:widowControl w:val="0"/>
        <w:ind w:left="720" w:hanging="720"/>
        <w:jc w:val="both"/>
        <w:rPr>
          <w:b/>
          <w:sz w:val="20"/>
          <w:szCs w:val="20"/>
          <w:lang w:val="fr-CA"/>
        </w:rPr>
      </w:pPr>
      <w:r w:rsidRPr="00A55436">
        <w:rPr>
          <w:b/>
          <w:sz w:val="20"/>
          <w:szCs w:val="20"/>
        </w:rPr>
        <w:fldChar w:fldCharType="begin"/>
      </w:r>
      <w:r w:rsidRPr="00A55436">
        <w:rPr>
          <w:b/>
          <w:sz w:val="20"/>
          <w:szCs w:val="20"/>
          <w:lang w:val="fr-CA"/>
        </w:rPr>
        <w:instrText xml:space="preserve"> SEQ CHAPTER \h \r 1</w:instrText>
      </w:r>
      <w:r w:rsidRPr="00A55436">
        <w:rPr>
          <w:b/>
          <w:sz w:val="20"/>
          <w:szCs w:val="20"/>
        </w:rPr>
        <w:fldChar w:fldCharType="end"/>
      </w:r>
      <w:r w:rsidRPr="00A55436">
        <w:rPr>
          <w:b/>
          <w:sz w:val="20"/>
          <w:szCs w:val="20"/>
          <w:lang w:val="fr-CA"/>
        </w:rPr>
        <w:t>37461</w:t>
      </w:r>
      <w:r w:rsidRPr="00565A40">
        <w:rPr>
          <w:sz w:val="20"/>
          <w:szCs w:val="20"/>
          <w:lang w:val="fr-CA"/>
        </w:rPr>
        <w:tab/>
      </w:r>
      <w:r w:rsidRPr="00565A40">
        <w:rPr>
          <w:b/>
          <w:sz w:val="20"/>
          <w:szCs w:val="20"/>
          <w:lang w:val="fr-CA"/>
        </w:rPr>
        <w:t>Michael Shawn Bourgeois c. Sa Majesté la Reine</w:t>
      </w:r>
    </w:p>
    <w:p w:rsidR="00972BA9" w:rsidRPr="00A55436" w:rsidRDefault="00972BA9" w:rsidP="00972BA9">
      <w:pPr>
        <w:widowControl w:val="0"/>
        <w:ind w:left="1440" w:hanging="720"/>
        <w:jc w:val="both"/>
        <w:rPr>
          <w:sz w:val="20"/>
          <w:szCs w:val="20"/>
          <w:lang w:val="fr-CA"/>
        </w:rPr>
      </w:pPr>
      <w:r w:rsidRPr="00A55436">
        <w:rPr>
          <w:sz w:val="20"/>
          <w:szCs w:val="20"/>
          <w:lang w:val="fr-CA"/>
        </w:rPr>
        <w:t>(Alb.) (Criminelle) (De plein droit)</w:t>
      </w:r>
    </w:p>
    <w:p w:rsidR="00972BA9" w:rsidRPr="00A55436" w:rsidRDefault="00972BA9" w:rsidP="00972BA9">
      <w:pPr>
        <w:widowControl w:val="0"/>
        <w:jc w:val="both"/>
        <w:rPr>
          <w:sz w:val="20"/>
          <w:szCs w:val="20"/>
          <w:lang w:val="fr-CA"/>
        </w:rPr>
      </w:pPr>
    </w:p>
    <w:p w:rsidR="00972BA9" w:rsidRPr="00A55436" w:rsidRDefault="00972BA9" w:rsidP="00972BA9">
      <w:pPr>
        <w:jc w:val="both"/>
        <w:rPr>
          <w:sz w:val="20"/>
          <w:szCs w:val="20"/>
          <w:lang w:val="fr-CA"/>
        </w:rPr>
      </w:pPr>
      <w:r w:rsidRPr="00A55436">
        <w:rPr>
          <w:sz w:val="20"/>
          <w:szCs w:val="20"/>
          <w:lang w:val="fr-CA"/>
        </w:rPr>
        <w:t xml:space="preserve">Droit criminel - Appels - Verdict déraisonnable - Accusé reconnu coupable d’agression sexuelle - Les lacunes, les erreurs et les vices dans l’analyse du juge de procès justifient-ils une intervention en appel en tant que verdict déraisonnable au sens du sous-al. 686(1)a)(i) du </w:t>
      </w:r>
      <w:r w:rsidRPr="00A55436">
        <w:rPr>
          <w:i/>
          <w:sz w:val="20"/>
          <w:szCs w:val="20"/>
          <w:lang w:val="fr-CA"/>
        </w:rPr>
        <w:t>Code criminel</w:t>
      </w:r>
      <w:r w:rsidRPr="00A55436">
        <w:rPr>
          <w:sz w:val="20"/>
          <w:szCs w:val="20"/>
          <w:lang w:val="fr-CA"/>
        </w:rPr>
        <w:t>, L.R.C. 1985, ch. C-46?</w:t>
      </w:r>
    </w:p>
    <w:p w:rsidR="00972BA9" w:rsidRPr="00A55436" w:rsidRDefault="00972BA9" w:rsidP="00972BA9">
      <w:pPr>
        <w:widowControl w:val="0"/>
        <w:jc w:val="both"/>
        <w:rPr>
          <w:sz w:val="20"/>
          <w:szCs w:val="20"/>
          <w:lang w:val="fr-CA"/>
        </w:rPr>
      </w:pPr>
    </w:p>
    <w:p w:rsidR="00972BA9" w:rsidRPr="00A55436" w:rsidRDefault="00972BA9" w:rsidP="00972BA9">
      <w:pPr>
        <w:widowControl w:val="0"/>
        <w:jc w:val="both"/>
        <w:rPr>
          <w:sz w:val="20"/>
          <w:szCs w:val="20"/>
          <w:lang w:val="fr-CA"/>
        </w:rPr>
      </w:pPr>
      <w:r w:rsidRPr="00A55436">
        <w:rPr>
          <w:sz w:val="20"/>
          <w:szCs w:val="20"/>
          <w:lang w:val="fr-CA"/>
        </w:rPr>
        <w:t>Au procès, l’appelant a été déclaré coupable d’avoir agressé sexuellement la plaignante dans son camion alors qu’il la conduisait chez elle. Il a interjeté appel de sa déclaration de culpabilité pour le motif que le juge du procès avait mal apprécié sa crédibilité et celle de la plaignante, qu’il avait commis une erreur de droit en s’appuyant sur des éléments de preuve (déclarations extrajudiciaires et messages texte) au-delà de l’utilisation qui peut en être faite, et qu’il avait mal appliqué les principes de la preuve hors de tout doute raisonnable et de la présomption d’innocence. Les juges majoritaires de la Cour d’appel ont rejeté l’appel. Le juge Berger, dissident, était d’avis d’accueillir l’appel, de casser la déclaration de culpabilité et d’ordonner la tenue d’un nouveau procès. Selon lui, l’analyse du juge du procès était entachée de plusieurs lacunes, erreurs et vices qui justifiaient l’intervention de la cour d’appel et, après avoir examiné le dossier à la lumière de son expérience tout en étant conscient de l’avantage dont jouit le juge du procès, il a conclu que le verdict était déraisonnable.</w:t>
      </w:r>
    </w:p>
    <w:p w:rsidR="00972BA9" w:rsidRPr="00972BA9" w:rsidRDefault="00972BA9" w:rsidP="00782AE4">
      <w:pPr>
        <w:jc w:val="both"/>
        <w:rPr>
          <w:sz w:val="20"/>
          <w:szCs w:val="20"/>
          <w:lang w:val="fr-CA"/>
        </w:rPr>
      </w:pPr>
    </w:p>
    <w:p w:rsidR="00CD52CA" w:rsidRPr="00972BA9" w:rsidRDefault="000036BF" w:rsidP="00782AE4">
      <w:pPr>
        <w:jc w:val="both"/>
        <w:rPr>
          <w:sz w:val="20"/>
          <w:szCs w:val="20"/>
          <w:lang w:val="fr-CA"/>
        </w:rPr>
      </w:pPr>
      <w:r>
        <w:rPr>
          <w:sz w:val="20"/>
          <w:szCs w:val="20"/>
          <w:lang w:val="fr-CA"/>
        </w:rPr>
        <w:pict>
          <v:rect id="_x0000_i1093" style="width:2in;height:1pt" o:hrpct="0" o:hralign="center" o:hrstd="t" o:hrnoshade="t" o:hr="t" fillcolor="black [3213]" stroked="f"/>
        </w:pict>
      </w:r>
    </w:p>
    <w:p w:rsidR="00523289" w:rsidRPr="00972BA9" w:rsidRDefault="00523289" w:rsidP="00782AE4">
      <w:pPr>
        <w:jc w:val="both"/>
        <w:rPr>
          <w:sz w:val="20"/>
          <w:szCs w:val="20"/>
          <w:lang w:val="fr-CA"/>
        </w:rPr>
      </w:pPr>
    </w:p>
    <w:p w:rsidR="00C01FCB" w:rsidRPr="00972BA9" w:rsidRDefault="00C01FCB" w:rsidP="00782AE4">
      <w:pPr>
        <w:jc w:val="both"/>
        <w:rPr>
          <w:sz w:val="20"/>
          <w:szCs w:val="20"/>
          <w:lang w:val="fr-CA"/>
        </w:rPr>
      </w:pPr>
    </w:p>
    <w:p w:rsidR="005F263E" w:rsidRPr="00972BA9" w:rsidRDefault="005F263E" w:rsidP="00782AE4">
      <w:pPr>
        <w:jc w:val="both"/>
        <w:rPr>
          <w:sz w:val="20"/>
          <w:szCs w:val="20"/>
          <w:lang w:val="fr-CA"/>
        </w:rPr>
        <w:sectPr w:rsidR="005F263E" w:rsidRPr="00972BA9" w:rsidSect="00507366">
          <w:headerReference w:type="default" r:id="rId87"/>
          <w:footerReference w:type="default" r:id="rId88"/>
          <w:headerReference w:type="first" r:id="rId89"/>
          <w:footerReference w:type="first" r:id="rId90"/>
          <w:pgSz w:w="12240" w:h="15840"/>
          <w:pgMar w:top="720" w:right="1183" w:bottom="1080" w:left="1656" w:header="720" w:footer="965" w:gutter="0"/>
          <w:cols w:space="720"/>
          <w:titlePg/>
          <w:docGrid w:linePitch="326"/>
        </w:sectPr>
      </w:pPr>
    </w:p>
    <w:bookmarkStart w:id="5" w:name="QuickMark"/>
    <w:bookmarkEnd w:id="5"/>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w:t>
      </w:r>
      <w:r w:rsidR="007E6F25">
        <w:rPr>
          <w:rFonts w:ascii="Arial" w:hAnsi="Arial"/>
          <w:b/>
          <w:i/>
          <w:sz w:val="36"/>
          <w:szCs w:val="36"/>
        </w:rPr>
        <w:t>7</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4"/>
        <w:gridCol w:w="478"/>
        <w:gridCol w:w="476"/>
        <w:gridCol w:w="475"/>
        <w:gridCol w:w="477"/>
        <w:gridCol w:w="475"/>
        <w:gridCol w:w="481"/>
        <w:gridCol w:w="287"/>
        <w:gridCol w:w="475"/>
        <w:gridCol w:w="477"/>
        <w:gridCol w:w="477"/>
        <w:gridCol w:w="477"/>
        <w:gridCol w:w="477"/>
        <w:gridCol w:w="477"/>
        <w:gridCol w:w="479"/>
        <w:gridCol w:w="293"/>
        <w:gridCol w:w="468"/>
        <w:gridCol w:w="468"/>
        <w:gridCol w:w="475"/>
        <w:gridCol w:w="470"/>
        <w:gridCol w:w="473"/>
        <w:gridCol w:w="473"/>
        <w:gridCol w:w="466"/>
      </w:tblGrid>
      <w:tr w:rsidR="007E6F25" w:rsidRPr="001A011F" w:rsidTr="00B8639C">
        <w:trPr>
          <w:trHeight w:val="178"/>
        </w:trPr>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OCTOBER – OCTOBRE</w:t>
            </w:r>
          </w:p>
        </w:tc>
        <w:tc>
          <w:tcPr>
            <w:tcW w:w="136"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NOVEMBER – NOVEMBRE</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DECEMBER – DÉCEMBRE</w:t>
            </w:r>
          </w:p>
        </w:tc>
      </w:tr>
      <w:tr w:rsidR="007E6F25" w:rsidRPr="00256B02" w:rsidTr="00B8639C">
        <w:trPr>
          <w:trHeight w:val="216"/>
        </w:trPr>
        <w:tc>
          <w:tcPr>
            <w:tcW w:w="225" w:type="pct"/>
            <w:tcBorders>
              <w:top w:val="double" w:sz="6" w:space="0" w:color="auto"/>
              <w:left w:val="double" w:sz="6" w:space="0" w:color="auto"/>
              <w:bottom w:val="single" w:sz="4" w:space="0" w:color="000000" w:themeColor="text1"/>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7" w:type="pct"/>
            <w:tcBorders>
              <w:top w:val="double" w:sz="6" w:space="0" w:color="auto"/>
              <w:bottom w:val="single" w:sz="4" w:space="0" w:color="auto"/>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bottom w:val="single" w:sz="4" w:space="0" w:color="auto"/>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5" w:type="pct"/>
            <w:tcBorders>
              <w:top w:val="double" w:sz="6" w:space="0" w:color="auto"/>
              <w:bottom w:val="single" w:sz="4" w:space="0" w:color="000000" w:themeColor="text1"/>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7" w:type="pct"/>
            <w:tcBorders>
              <w:top w:val="double" w:sz="6" w:space="0" w:color="auto"/>
              <w:right w:val="double" w:sz="6" w:space="0" w:color="auto"/>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6" w:type="pct"/>
            <w:tcBorders>
              <w:top w:val="nil"/>
              <w:left w:val="double" w:sz="6" w:space="0" w:color="auto"/>
              <w:bottom w:val="nil"/>
              <w:right w:val="double" w:sz="6" w:space="0" w:color="auto"/>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6" w:type="pct"/>
            <w:tcBorders>
              <w:top w:val="double" w:sz="6" w:space="0" w:color="auto"/>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6" w:type="pct"/>
            <w:tcBorders>
              <w:top w:val="double" w:sz="6" w:space="0" w:color="auto"/>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W</w:t>
            </w:r>
          </w:p>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tc>
        <w:tc>
          <w:tcPr>
            <w:tcW w:w="226" w:type="pct"/>
            <w:tcBorders>
              <w:top w:val="double" w:sz="6" w:space="0" w:color="auto"/>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J</w:t>
            </w:r>
          </w:p>
        </w:tc>
        <w:tc>
          <w:tcPr>
            <w:tcW w:w="226" w:type="pct"/>
            <w:tcBorders>
              <w:top w:val="double" w:sz="6" w:space="0" w:color="auto"/>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F</w:t>
            </w:r>
          </w:p>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V</w:t>
            </w:r>
          </w:p>
        </w:tc>
        <w:tc>
          <w:tcPr>
            <w:tcW w:w="226" w:type="pct"/>
            <w:tcBorders>
              <w:top w:val="double" w:sz="6" w:space="0" w:color="auto"/>
              <w:right w:val="double" w:sz="6" w:space="0" w:color="auto"/>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tc>
        <w:tc>
          <w:tcPr>
            <w:tcW w:w="139" w:type="pct"/>
            <w:tcBorders>
              <w:top w:val="nil"/>
              <w:left w:val="double" w:sz="6" w:space="0" w:color="auto"/>
              <w:bottom w:val="nil"/>
              <w:right w:val="double" w:sz="6" w:space="0" w:color="auto"/>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p>
        </w:tc>
        <w:tc>
          <w:tcPr>
            <w:tcW w:w="222" w:type="pct"/>
            <w:tcBorders>
              <w:top w:val="double" w:sz="6" w:space="0" w:color="auto"/>
              <w:left w:val="double" w:sz="6" w:space="0" w:color="auto"/>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S</w:t>
            </w:r>
          </w:p>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D</w:t>
            </w:r>
          </w:p>
        </w:tc>
        <w:tc>
          <w:tcPr>
            <w:tcW w:w="222" w:type="pct"/>
            <w:tcBorders>
              <w:top w:val="double" w:sz="6" w:space="0" w:color="auto"/>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M</w:t>
            </w:r>
          </w:p>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L</w:t>
            </w:r>
          </w:p>
        </w:tc>
        <w:tc>
          <w:tcPr>
            <w:tcW w:w="225" w:type="pct"/>
            <w:tcBorders>
              <w:top w:val="double" w:sz="6" w:space="0" w:color="auto"/>
            </w:tcBorders>
            <w:tcMar>
              <w:bottom w:w="43" w:type="dxa"/>
            </w:tcMar>
            <w:vAlign w:val="center"/>
          </w:tcPr>
          <w:p w:rsidR="007E6F25" w:rsidRPr="001A011F" w:rsidRDefault="007E6F25" w:rsidP="00B8639C">
            <w:pPr>
              <w:tabs>
                <w:tab w:val="center" w:pos="5220"/>
                <w:tab w:val="right" w:pos="10440"/>
              </w:tabs>
              <w:jc w:val="center"/>
              <w:rPr>
                <w:rFonts w:ascii="Arial" w:hAnsi="Arial" w:cs="Arial"/>
                <w:b/>
                <w:sz w:val="13"/>
                <w:szCs w:val="13"/>
                <w:lang w:val="fr-FR"/>
              </w:rPr>
            </w:pPr>
            <w:r w:rsidRPr="001A011F">
              <w:rPr>
                <w:rFonts w:ascii="Arial" w:hAnsi="Arial" w:cs="Arial"/>
                <w:b/>
                <w:sz w:val="13"/>
                <w:szCs w:val="13"/>
                <w:lang w:val="fr-FR"/>
              </w:rPr>
              <w:t>T</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4"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4"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1" w:type="pct"/>
            <w:tcBorders>
              <w:top w:val="double" w:sz="6" w:space="0" w:color="auto"/>
              <w:right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B8639C">
        <w:trPr>
          <w:trHeight w:val="346"/>
        </w:trPr>
        <w:tc>
          <w:tcPr>
            <w:tcW w:w="225" w:type="pct"/>
            <w:tcBorders>
              <w:top w:val="single" w:sz="4" w:space="0" w:color="000000" w:themeColor="text1"/>
              <w:left w:val="double" w:sz="6" w:space="0" w:color="auto"/>
              <w:bottom w:val="single" w:sz="4" w:space="0" w:color="000000" w:themeColor="text1"/>
              <w:right w:val="single" w:sz="4"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w:t>
            </w:r>
          </w:p>
        </w:tc>
        <w:tc>
          <w:tcPr>
            <w:tcW w:w="227"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800AD6" w:rsidRDefault="007E6F25" w:rsidP="00B8639C">
            <w:pPr>
              <w:jc w:val="center"/>
              <w:rPr>
                <w:rFonts w:ascii="Arial" w:hAnsi="Arial" w:cs="Arial"/>
                <w:b/>
                <w:sz w:val="13"/>
                <w:szCs w:val="13"/>
              </w:rPr>
            </w:pPr>
          </w:p>
          <w:p w:rsidR="007E6F25" w:rsidRPr="00C33804" w:rsidRDefault="007E6F25" w:rsidP="00B8639C">
            <w:pPr>
              <w:jc w:val="center"/>
              <w:rPr>
                <w:rFonts w:ascii="Arial" w:hAnsi="Arial" w:cs="Arial"/>
                <w:sz w:val="13"/>
                <w:szCs w:val="13"/>
              </w:rPr>
            </w:pPr>
            <w:r>
              <w:rPr>
                <w:rFonts w:ascii="Arial" w:hAnsi="Arial" w:cs="Arial"/>
                <w:sz w:val="13"/>
                <w:szCs w:val="13"/>
              </w:rPr>
              <w:t>2</w:t>
            </w:r>
          </w:p>
        </w:tc>
        <w:tc>
          <w:tcPr>
            <w:tcW w:w="226" w:type="pct"/>
            <w:tcBorders>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6</w:t>
            </w:r>
          </w:p>
        </w:tc>
        <w:tc>
          <w:tcPr>
            <w:tcW w:w="227" w:type="pct"/>
            <w:tcBorders>
              <w:left w:val="single" w:sz="4" w:space="0" w:color="000000" w:themeColor="text1"/>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7</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w:t>
            </w:r>
          </w:p>
        </w:tc>
        <w:tc>
          <w:tcPr>
            <w:tcW w:w="226" w:type="pct"/>
            <w:tcBorders>
              <w:bottom w:val="single" w:sz="4" w:space="0" w:color="auto"/>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222" w:type="pct"/>
            <w:tcMar>
              <w:bottom w:w="43" w:type="dxa"/>
            </w:tcMar>
            <w:vAlign w:val="bottom"/>
          </w:tcPr>
          <w:p w:rsidR="007E6F25" w:rsidRPr="00C33804" w:rsidRDefault="007E6F25" w:rsidP="00B8639C">
            <w:pPr>
              <w:jc w:val="center"/>
              <w:rPr>
                <w:rFonts w:ascii="Arial" w:hAnsi="Arial" w:cs="Arial"/>
                <w:sz w:val="13"/>
                <w:szCs w:val="13"/>
              </w:rPr>
            </w:pPr>
          </w:p>
        </w:tc>
        <w:tc>
          <w:tcPr>
            <w:tcW w:w="225" w:type="pct"/>
            <w:tcMar>
              <w:bottom w:w="43" w:type="dxa"/>
            </w:tcMar>
            <w:vAlign w:val="bottom"/>
          </w:tcPr>
          <w:p w:rsidR="007E6F25" w:rsidRPr="00C33804" w:rsidRDefault="007E6F25" w:rsidP="00B8639C">
            <w:pPr>
              <w:jc w:val="center"/>
              <w:rPr>
                <w:rFonts w:ascii="Arial" w:hAnsi="Arial" w:cs="Arial"/>
                <w:sz w:val="13"/>
                <w:szCs w:val="13"/>
              </w:rPr>
            </w:pPr>
          </w:p>
        </w:tc>
        <w:tc>
          <w:tcPr>
            <w:tcW w:w="223" w:type="pct"/>
            <w:tcMar>
              <w:bottom w:w="43" w:type="dxa"/>
            </w:tcMar>
            <w:vAlign w:val="bottom"/>
          </w:tcPr>
          <w:p w:rsidR="007E6F25" w:rsidRPr="00C33804" w:rsidRDefault="007E6F25" w:rsidP="00B8639C">
            <w:pPr>
              <w:jc w:val="center"/>
              <w:rPr>
                <w:rFonts w:ascii="Arial" w:hAnsi="Arial" w:cs="Arial"/>
                <w:sz w:val="13"/>
                <w:szCs w:val="13"/>
              </w:rPr>
            </w:pPr>
          </w:p>
        </w:tc>
        <w:tc>
          <w:tcPr>
            <w:tcW w:w="224" w:type="pct"/>
            <w:tcMar>
              <w:bottom w:w="43" w:type="dxa"/>
            </w:tcMar>
            <w:vAlign w:val="bottom"/>
          </w:tcPr>
          <w:p w:rsidR="007E6F25" w:rsidRPr="00C33804" w:rsidRDefault="007E6F25" w:rsidP="00B8639C">
            <w:pPr>
              <w:jc w:val="center"/>
              <w:rPr>
                <w:rFonts w:ascii="Arial" w:hAnsi="Arial" w:cs="Arial"/>
                <w:sz w:val="13"/>
                <w:szCs w:val="13"/>
              </w:rPr>
            </w:pPr>
          </w:p>
        </w:tc>
        <w:tc>
          <w:tcPr>
            <w:tcW w:w="224" w:type="pct"/>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w:t>
            </w:r>
          </w:p>
        </w:tc>
        <w:tc>
          <w:tcPr>
            <w:tcW w:w="221" w:type="pct"/>
            <w:tcBorders>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w:t>
            </w:r>
          </w:p>
        </w:tc>
      </w:tr>
      <w:tr w:rsidR="007E6F25" w:rsidRPr="00C33804" w:rsidTr="00B8639C">
        <w:trPr>
          <w:trHeight w:val="346"/>
        </w:trPr>
        <w:tc>
          <w:tcPr>
            <w:tcW w:w="225" w:type="pct"/>
            <w:tcBorders>
              <w:top w:val="single" w:sz="4" w:space="0" w:color="000000" w:themeColor="text1"/>
              <w:left w:val="double" w:sz="6" w:space="0" w:color="auto"/>
              <w:right w:val="double" w:sz="6" w:space="0" w:color="auto"/>
            </w:tcBorders>
            <w:shd w:val="clear" w:color="auto" w:fill="auto"/>
            <w:tcMar>
              <w:bottom w:w="43" w:type="dxa"/>
            </w:tcMar>
            <w:vAlign w:val="bottom"/>
          </w:tcPr>
          <w:p w:rsidR="007E6F25" w:rsidRPr="00CB2402" w:rsidRDefault="007E6F25" w:rsidP="00B8639C">
            <w:pPr>
              <w:jc w:val="center"/>
              <w:rPr>
                <w:rFonts w:ascii="Arial" w:hAnsi="Arial" w:cs="Arial"/>
                <w:sz w:val="13"/>
                <w:szCs w:val="13"/>
              </w:rPr>
            </w:pPr>
            <w:r w:rsidRPr="00CB2402">
              <w:rPr>
                <w:rFonts w:ascii="Arial" w:hAnsi="Arial" w:cs="Arial"/>
                <w:sz w:val="13"/>
                <w:szCs w:val="13"/>
              </w:rPr>
              <w:t>8</w:t>
            </w:r>
          </w:p>
        </w:tc>
        <w:tc>
          <w:tcPr>
            <w:tcW w:w="227"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B8639C">
            <w:pPr>
              <w:jc w:val="center"/>
              <w:rPr>
                <w:rFonts w:ascii="Arial" w:hAnsi="Arial" w:cs="Arial"/>
                <w:b/>
                <w:sz w:val="13"/>
                <w:szCs w:val="13"/>
              </w:rPr>
            </w:pPr>
            <w:r w:rsidRPr="00CB2402">
              <w:rPr>
                <w:rFonts w:ascii="Arial" w:hAnsi="Arial" w:cs="Arial"/>
                <w:b/>
                <w:sz w:val="13"/>
                <w:szCs w:val="13"/>
              </w:rPr>
              <w:t>H</w:t>
            </w:r>
          </w:p>
          <w:p w:rsidR="007E6F25" w:rsidRPr="00CB2402" w:rsidRDefault="007E6F25" w:rsidP="00B8639C">
            <w:pPr>
              <w:jc w:val="center"/>
              <w:rPr>
                <w:rFonts w:ascii="Arial" w:hAnsi="Arial" w:cs="Arial"/>
                <w:sz w:val="13"/>
                <w:szCs w:val="13"/>
              </w:rPr>
            </w:pPr>
            <w:r w:rsidRPr="00CB2402">
              <w:rPr>
                <w:rFonts w:ascii="Arial" w:hAnsi="Arial" w:cs="Arial"/>
                <w:sz w:val="13"/>
                <w:szCs w:val="13"/>
              </w:rPr>
              <w:t>9</w:t>
            </w:r>
          </w:p>
        </w:tc>
        <w:tc>
          <w:tcPr>
            <w:tcW w:w="226" w:type="pct"/>
            <w:tcBorders>
              <w:top w:val="single" w:sz="4" w:space="0" w:color="000000" w:themeColor="text1"/>
              <w:left w:val="double" w:sz="6" w:space="0" w:color="auto"/>
              <w:bottom w:val="single" w:sz="4" w:space="0" w:color="000000" w:themeColor="text1"/>
            </w:tcBorders>
            <w:shd w:val="clear" w:color="auto" w:fill="BFBFBF" w:themeFill="background1" w:themeFillShade="BF"/>
            <w:tcMar>
              <w:bottom w:w="43" w:type="dxa"/>
            </w:tcMar>
            <w:vAlign w:val="bottom"/>
          </w:tcPr>
          <w:p w:rsidR="007E6F25" w:rsidRPr="00CB2402" w:rsidRDefault="007E6F25" w:rsidP="00B8639C">
            <w:pPr>
              <w:jc w:val="center"/>
              <w:rPr>
                <w:rFonts w:ascii="Arial" w:hAnsi="Arial" w:cs="Arial"/>
                <w:sz w:val="13"/>
                <w:szCs w:val="13"/>
              </w:rPr>
            </w:pPr>
            <w:r w:rsidRPr="00CB2402">
              <w:rPr>
                <w:rFonts w:ascii="Arial" w:hAnsi="Arial" w:cs="Arial"/>
                <w:sz w:val="13"/>
                <w:szCs w:val="13"/>
              </w:rPr>
              <w:t>10</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B2402" w:rsidRDefault="007E6F25" w:rsidP="00B8639C">
            <w:pPr>
              <w:jc w:val="center"/>
              <w:rPr>
                <w:rFonts w:ascii="Arial" w:hAnsi="Arial" w:cs="Arial"/>
                <w:sz w:val="13"/>
                <w:szCs w:val="13"/>
              </w:rPr>
            </w:pPr>
            <w:r w:rsidRPr="00CB2402">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13</w:t>
            </w:r>
          </w:p>
        </w:tc>
        <w:tc>
          <w:tcPr>
            <w:tcW w:w="227"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14</w:t>
            </w: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double" w:sz="6" w:space="0" w:color="auto"/>
              <w:right w:val="single" w:sz="4" w:space="0" w:color="auto"/>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b/>
                <w:sz w:val="13"/>
                <w:szCs w:val="13"/>
              </w:rPr>
              <w:t>6</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B2402" w:rsidRDefault="007E6F25" w:rsidP="00B8639C">
            <w:pPr>
              <w:jc w:val="center"/>
              <w:rPr>
                <w:rFonts w:ascii="Arial" w:hAnsi="Arial" w:cs="Arial"/>
                <w:sz w:val="13"/>
                <w:szCs w:val="13"/>
              </w:rPr>
            </w:pPr>
            <w:r w:rsidRPr="00CB2402">
              <w:rPr>
                <w:rFonts w:ascii="Arial" w:hAnsi="Arial" w:cs="Arial"/>
                <w:sz w:val="13"/>
                <w:szCs w:val="13"/>
              </w:rPr>
              <w:t>10</w:t>
            </w:r>
          </w:p>
        </w:tc>
        <w:tc>
          <w:tcPr>
            <w:tcW w:w="226" w:type="pct"/>
            <w:tcBorders>
              <w:top w:val="single" w:sz="4" w:space="0" w:color="auto"/>
              <w:left w:val="single" w:sz="4" w:space="0" w:color="auto"/>
              <w:bottom w:val="single" w:sz="4" w:space="0" w:color="auto"/>
              <w:right w:val="double" w:sz="6" w:space="0" w:color="auto"/>
            </w:tcBorders>
            <w:tcMar>
              <w:bottom w:w="43" w:type="dxa"/>
            </w:tcMar>
            <w:vAlign w:val="bottom"/>
          </w:tcPr>
          <w:p w:rsidR="007E6F25" w:rsidRPr="00CB2402" w:rsidRDefault="007E6F25" w:rsidP="00B8639C">
            <w:pPr>
              <w:jc w:val="center"/>
              <w:rPr>
                <w:rFonts w:ascii="Arial" w:hAnsi="Arial" w:cs="Arial"/>
                <w:sz w:val="13"/>
                <w:szCs w:val="13"/>
              </w:rPr>
            </w:pPr>
            <w:r w:rsidRPr="00CB2402">
              <w:rPr>
                <w:rFonts w:ascii="Arial" w:hAnsi="Arial" w:cs="Arial"/>
                <w:sz w:val="13"/>
                <w:szCs w:val="13"/>
              </w:rPr>
              <w:t>11</w:t>
            </w:r>
          </w:p>
        </w:tc>
        <w:tc>
          <w:tcPr>
            <w:tcW w:w="139" w:type="pct"/>
            <w:tcBorders>
              <w:top w:val="nil"/>
              <w:left w:val="double" w:sz="6" w:space="0" w:color="auto"/>
              <w:bottom w:val="nil"/>
              <w:right w:val="double" w:sz="6" w:space="0" w:color="auto"/>
            </w:tcBorders>
            <w:tcMar>
              <w:bottom w:w="43" w:type="dxa"/>
            </w:tcMar>
            <w:vAlign w:val="bottom"/>
          </w:tcPr>
          <w:p w:rsidR="007E6F25" w:rsidRPr="00CB2402" w:rsidRDefault="007E6F25" w:rsidP="00B8639C">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w:t>
            </w:r>
          </w:p>
        </w:tc>
        <w:tc>
          <w:tcPr>
            <w:tcW w:w="222" w:type="pct"/>
            <w:tcBorders>
              <w:bottom w:val="single" w:sz="4" w:space="0" w:color="auto"/>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4</w:t>
            </w:r>
          </w:p>
        </w:tc>
        <w:tc>
          <w:tcPr>
            <w:tcW w:w="225"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6</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7</w:t>
            </w:r>
          </w:p>
        </w:tc>
        <w:tc>
          <w:tcPr>
            <w:tcW w:w="224"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8</w:t>
            </w:r>
          </w:p>
        </w:tc>
        <w:tc>
          <w:tcPr>
            <w:tcW w:w="221" w:type="pct"/>
            <w:tcBorders>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9</w:t>
            </w:r>
          </w:p>
        </w:tc>
      </w:tr>
      <w:tr w:rsidR="007E6F25" w:rsidRPr="00C33804" w:rsidTr="00B8639C">
        <w:trPr>
          <w:trHeight w:val="346"/>
        </w:trPr>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15</w:t>
            </w:r>
          </w:p>
        </w:tc>
        <w:tc>
          <w:tcPr>
            <w:tcW w:w="227"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20</w:t>
            </w:r>
          </w:p>
        </w:tc>
        <w:tc>
          <w:tcPr>
            <w:tcW w:w="227"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21</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5" w:type="pct"/>
            <w:tcBorders>
              <w:left w:val="double" w:sz="6" w:space="0" w:color="auto"/>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12</w:t>
            </w:r>
          </w:p>
        </w:tc>
        <w:tc>
          <w:tcPr>
            <w:tcW w:w="226"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Default="007E6F25" w:rsidP="00B8639C">
            <w:pPr>
              <w:jc w:val="center"/>
              <w:rPr>
                <w:rFonts w:ascii="Arial" w:hAnsi="Arial" w:cs="Arial"/>
                <w:b/>
                <w:sz w:val="13"/>
                <w:szCs w:val="13"/>
              </w:rPr>
            </w:pPr>
            <w:r>
              <w:rPr>
                <w:rFonts w:ascii="Arial" w:hAnsi="Arial" w:cs="Arial"/>
                <w:b/>
                <w:sz w:val="13"/>
                <w:szCs w:val="13"/>
              </w:rPr>
              <w:t>H</w:t>
            </w:r>
          </w:p>
          <w:p w:rsidR="007E6F25" w:rsidRPr="00C33804" w:rsidRDefault="007E6F25" w:rsidP="00B8639C">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double" w:sz="6" w:space="0" w:color="auto"/>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17</w:t>
            </w:r>
          </w:p>
        </w:tc>
        <w:tc>
          <w:tcPr>
            <w:tcW w:w="226" w:type="pct"/>
            <w:tcBorders>
              <w:top w:val="single" w:sz="4" w:space="0" w:color="auto"/>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18</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1D41E3" w:rsidRDefault="007E6F25" w:rsidP="00B8639C">
            <w:pPr>
              <w:jc w:val="center"/>
              <w:rPr>
                <w:rFonts w:ascii="Arial" w:hAnsi="Arial" w:cs="Arial"/>
                <w:sz w:val="13"/>
                <w:szCs w:val="13"/>
              </w:rPr>
            </w:pPr>
            <w:r w:rsidRPr="001D41E3">
              <w:rPr>
                <w:rFonts w:ascii="Arial" w:hAnsi="Arial" w:cs="Arial"/>
                <w:sz w:val="13"/>
                <w:szCs w:val="13"/>
              </w:rPr>
              <w:t>10</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7E6F25" w:rsidRPr="001D41E3" w:rsidRDefault="007E6F25" w:rsidP="00B8639C">
            <w:pPr>
              <w:jc w:val="center"/>
              <w:rPr>
                <w:rFonts w:ascii="Arial" w:hAnsi="Arial" w:cs="Arial"/>
                <w:sz w:val="13"/>
                <w:szCs w:val="13"/>
              </w:rPr>
            </w:pPr>
            <w:r w:rsidRPr="001D41E3">
              <w:rPr>
                <w:rFonts w:ascii="Arial" w:hAnsi="Arial" w:cs="Arial"/>
                <w:sz w:val="13"/>
                <w:szCs w:val="13"/>
              </w:rPr>
              <w:t>11</w:t>
            </w:r>
          </w:p>
        </w:tc>
        <w:tc>
          <w:tcPr>
            <w:tcW w:w="225"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12</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13</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14</w:t>
            </w:r>
          </w:p>
        </w:tc>
        <w:tc>
          <w:tcPr>
            <w:tcW w:w="224"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15</w:t>
            </w:r>
          </w:p>
        </w:tc>
        <w:tc>
          <w:tcPr>
            <w:tcW w:w="221" w:type="pct"/>
            <w:tcBorders>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16</w:t>
            </w:r>
          </w:p>
        </w:tc>
      </w:tr>
      <w:tr w:rsidR="007E6F25" w:rsidRPr="00C33804" w:rsidTr="00B8639C">
        <w:trPr>
          <w:trHeight w:val="346"/>
        </w:trPr>
        <w:tc>
          <w:tcPr>
            <w:tcW w:w="225" w:type="pct"/>
            <w:tcBorders>
              <w:lef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27</w:t>
            </w:r>
          </w:p>
        </w:tc>
        <w:tc>
          <w:tcPr>
            <w:tcW w:w="227" w:type="pct"/>
            <w:tcBorders>
              <w:right w:val="double" w:sz="6" w:space="0" w:color="auto"/>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28</w:t>
            </w:r>
          </w:p>
        </w:tc>
        <w:tc>
          <w:tcPr>
            <w:tcW w:w="136"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19</w:t>
            </w:r>
          </w:p>
        </w:tc>
        <w:tc>
          <w:tcPr>
            <w:tcW w:w="226" w:type="pct"/>
            <w:tcBorders>
              <w:top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23</w:t>
            </w:r>
          </w:p>
        </w:tc>
        <w:tc>
          <w:tcPr>
            <w:tcW w:w="226" w:type="pct"/>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24</w:t>
            </w:r>
          </w:p>
        </w:tc>
        <w:tc>
          <w:tcPr>
            <w:tcW w:w="226"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25</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18</w:t>
            </w:r>
          </w:p>
        </w:tc>
        <w:tc>
          <w:tcPr>
            <w:tcW w:w="225" w:type="pct"/>
            <w:tcBorders>
              <w:left w:val="single" w:sz="4" w:space="0" w:color="000000" w:themeColor="text1"/>
              <w:bottom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19</w:t>
            </w:r>
          </w:p>
        </w:tc>
        <w:tc>
          <w:tcPr>
            <w:tcW w:w="223"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20</w:t>
            </w:r>
          </w:p>
        </w:tc>
        <w:tc>
          <w:tcPr>
            <w:tcW w:w="224" w:type="pct"/>
            <w:tcBorders>
              <w:bottom w:val="single" w:sz="4" w:space="0" w:color="000000" w:themeColor="text1"/>
              <w:right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22</w:t>
            </w:r>
          </w:p>
        </w:tc>
        <w:tc>
          <w:tcPr>
            <w:tcW w:w="221" w:type="pct"/>
            <w:tcBorders>
              <w:left w:val="single" w:sz="4" w:space="0" w:color="000000" w:themeColor="text1"/>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23</w:t>
            </w:r>
          </w:p>
        </w:tc>
      </w:tr>
      <w:tr w:rsidR="007E6F25" w:rsidRPr="00C33804" w:rsidTr="00B8639C">
        <w:trPr>
          <w:trHeight w:val="346"/>
        </w:trPr>
        <w:tc>
          <w:tcPr>
            <w:tcW w:w="225" w:type="pct"/>
            <w:tcBorders>
              <w:left w:val="double" w:sz="6" w:space="0" w:color="auto"/>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sidRPr="001D41E3">
              <w:rPr>
                <w:rFonts w:ascii="Arial" w:hAnsi="Arial" w:cs="Arial"/>
                <w:sz w:val="13"/>
                <w:szCs w:val="13"/>
              </w:rPr>
              <w:t>30</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31</w:t>
            </w:r>
          </w:p>
        </w:tc>
        <w:tc>
          <w:tcPr>
            <w:tcW w:w="225"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225"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227" w:type="pct"/>
            <w:tcBorders>
              <w:bottom w:val="double" w:sz="6" w:space="0" w:color="auto"/>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double" w:sz="6" w:space="0" w:color="auto"/>
            </w:tcBorders>
            <w:tcMar>
              <w:bottom w:w="43" w:type="dxa"/>
            </w:tcMar>
            <w:vAlign w:val="bottom"/>
          </w:tcPr>
          <w:p w:rsidR="007E6F25" w:rsidRPr="00CB2402" w:rsidRDefault="007E6F25" w:rsidP="00B8639C">
            <w:pPr>
              <w:rPr>
                <w:rFonts w:ascii="Arial" w:hAnsi="Arial" w:cs="Arial"/>
                <w:sz w:val="13"/>
                <w:szCs w:val="13"/>
              </w:rPr>
            </w:pPr>
            <w:r w:rsidRPr="00CB2402">
              <w:rPr>
                <w:rFonts w:ascii="Arial" w:hAnsi="Arial" w:cs="Arial"/>
                <w:sz w:val="13"/>
                <w:szCs w:val="13"/>
              </w:rPr>
              <w:t xml:space="preserve"> 24 /</w:t>
            </w:r>
          </w:p>
          <w:p w:rsidR="007E6F25" w:rsidRPr="00CB2402" w:rsidRDefault="007E6F25" w:rsidP="00B8639C">
            <w:pPr>
              <w:jc w:val="center"/>
              <w:rPr>
                <w:rFonts w:ascii="Arial" w:hAnsi="Arial" w:cs="Arial"/>
                <w:sz w:val="13"/>
                <w:szCs w:val="13"/>
              </w:rPr>
            </w:pPr>
            <w:r w:rsidRPr="00CB2402">
              <w:rPr>
                <w:rFonts w:ascii="Arial" w:hAnsi="Arial" w:cs="Arial"/>
                <w:sz w:val="13"/>
                <w:szCs w:val="13"/>
              </w:rPr>
              <w:t xml:space="preserve">     </w:t>
            </w:r>
            <w:r>
              <w:rPr>
                <w:rFonts w:ascii="Arial" w:hAnsi="Arial" w:cs="Arial"/>
                <w:sz w:val="13"/>
                <w:szCs w:val="13"/>
              </w:rPr>
              <w:t xml:space="preserve"> </w:t>
            </w:r>
            <w:r w:rsidRPr="00CB2402">
              <w:rPr>
                <w:rFonts w:ascii="Arial" w:hAnsi="Arial" w:cs="Arial"/>
                <w:sz w:val="13"/>
                <w:szCs w:val="13"/>
              </w:rPr>
              <w:t>31</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B8639C">
            <w:pPr>
              <w:jc w:val="center"/>
              <w:rPr>
                <w:rFonts w:ascii="Arial" w:hAnsi="Arial" w:cs="Arial"/>
                <w:b/>
                <w:sz w:val="13"/>
                <w:szCs w:val="13"/>
              </w:rPr>
            </w:pPr>
            <w:r w:rsidRPr="00CB2402">
              <w:rPr>
                <w:rFonts w:ascii="Arial" w:hAnsi="Arial" w:cs="Arial"/>
                <w:b/>
                <w:sz w:val="13"/>
                <w:szCs w:val="13"/>
              </w:rPr>
              <w:t>H</w:t>
            </w:r>
          </w:p>
          <w:p w:rsidR="007E6F25" w:rsidRPr="00CB2402" w:rsidRDefault="007E6F25" w:rsidP="00B8639C">
            <w:pPr>
              <w:jc w:val="center"/>
              <w:rPr>
                <w:rFonts w:ascii="Arial" w:hAnsi="Arial" w:cs="Arial"/>
                <w:sz w:val="13"/>
                <w:szCs w:val="13"/>
              </w:rPr>
            </w:pPr>
            <w:r w:rsidRPr="00CB240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CB2402" w:rsidRDefault="007E6F25" w:rsidP="00B8639C">
            <w:pPr>
              <w:jc w:val="center"/>
              <w:rPr>
                <w:rFonts w:ascii="Arial" w:hAnsi="Arial" w:cs="Arial"/>
                <w:b/>
                <w:sz w:val="13"/>
                <w:szCs w:val="13"/>
              </w:rPr>
            </w:pPr>
            <w:r w:rsidRPr="00CB2402">
              <w:rPr>
                <w:rFonts w:ascii="Arial" w:hAnsi="Arial" w:cs="Arial"/>
                <w:b/>
                <w:sz w:val="13"/>
                <w:szCs w:val="13"/>
              </w:rPr>
              <w:t>H</w:t>
            </w:r>
          </w:p>
          <w:p w:rsidR="007E6F25" w:rsidRPr="00CB2402" w:rsidRDefault="007E6F25" w:rsidP="00B8639C">
            <w:pPr>
              <w:jc w:val="center"/>
              <w:rPr>
                <w:rFonts w:ascii="Arial" w:hAnsi="Arial" w:cs="Arial"/>
                <w:sz w:val="13"/>
                <w:szCs w:val="13"/>
              </w:rPr>
            </w:pPr>
            <w:r w:rsidRPr="00CB2402">
              <w:rPr>
                <w:rFonts w:ascii="Arial" w:hAnsi="Arial" w:cs="Arial"/>
                <w:sz w:val="13"/>
                <w:szCs w:val="13"/>
              </w:rPr>
              <w:t>26</w:t>
            </w:r>
          </w:p>
        </w:tc>
        <w:tc>
          <w:tcPr>
            <w:tcW w:w="223" w:type="pct"/>
            <w:tcBorders>
              <w:top w:val="single" w:sz="4" w:space="0" w:color="000000" w:themeColor="text1"/>
              <w:left w:val="double" w:sz="6" w:space="0" w:color="auto"/>
              <w:bottom w:val="double" w:sz="6" w:space="0" w:color="auto"/>
            </w:tcBorders>
            <w:shd w:val="clear" w:color="auto" w:fill="auto"/>
            <w:tcMar>
              <w:bottom w:w="43" w:type="dxa"/>
            </w:tcMar>
            <w:vAlign w:val="bottom"/>
          </w:tcPr>
          <w:p w:rsidR="007E6F25" w:rsidRPr="00CB2402" w:rsidRDefault="007E6F25" w:rsidP="00B8639C">
            <w:pPr>
              <w:jc w:val="center"/>
              <w:rPr>
                <w:rFonts w:ascii="Arial" w:hAnsi="Arial" w:cs="Arial"/>
                <w:sz w:val="13"/>
                <w:szCs w:val="13"/>
              </w:rPr>
            </w:pPr>
            <w:r w:rsidRPr="00CB2402">
              <w:rPr>
                <w:rFonts w:ascii="Arial" w:hAnsi="Arial" w:cs="Arial"/>
                <w:sz w:val="13"/>
                <w:szCs w:val="13"/>
              </w:rPr>
              <w:t>27</w:t>
            </w:r>
          </w:p>
        </w:tc>
        <w:tc>
          <w:tcPr>
            <w:tcW w:w="224" w:type="pct"/>
            <w:tcBorders>
              <w:top w:val="single" w:sz="4" w:space="0" w:color="000000" w:themeColor="text1"/>
              <w:bottom w:val="double" w:sz="6" w:space="0" w:color="auto"/>
              <w:right w:val="single" w:sz="4" w:space="0" w:color="auto"/>
            </w:tcBorders>
            <w:shd w:val="clear" w:color="auto" w:fill="auto"/>
            <w:tcMar>
              <w:bottom w:w="43" w:type="dxa"/>
            </w:tcMar>
            <w:vAlign w:val="bottom"/>
          </w:tcPr>
          <w:p w:rsidR="007E6F25" w:rsidRPr="00CB2402" w:rsidRDefault="007E6F25" w:rsidP="00B8639C">
            <w:pPr>
              <w:jc w:val="center"/>
              <w:rPr>
                <w:rFonts w:ascii="Arial" w:hAnsi="Arial" w:cs="Arial"/>
                <w:sz w:val="13"/>
                <w:szCs w:val="13"/>
              </w:rPr>
            </w:pPr>
            <w:r w:rsidRPr="00CB2402">
              <w:rPr>
                <w:rFonts w:ascii="Arial" w:hAnsi="Arial" w:cs="Arial"/>
                <w:sz w:val="13"/>
                <w:szCs w:val="13"/>
              </w:rPr>
              <w:t>28</w:t>
            </w:r>
          </w:p>
        </w:tc>
        <w:tc>
          <w:tcPr>
            <w:tcW w:w="224"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7E6F25" w:rsidRPr="001D41E3" w:rsidRDefault="007E6F25" w:rsidP="00B8639C">
            <w:pPr>
              <w:jc w:val="center"/>
              <w:rPr>
                <w:rFonts w:ascii="Arial" w:hAnsi="Arial" w:cs="Arial"/>
                <w:sz w:val="13"/>
                <w:szCs w:val="13"/>
              </w:rPr>
            </w:pPr>
            <w:r w:rsidRPr="001D41E3">
              <w:rPr>
                <w:rFonts w:ascii="Arial" w:hAnsi="Arial" w:cs="Arial"/>
                <w:sz w:val="13"/>
                <w:szCs w:val="13"/>
              </w:rPr>
              <w:t>29</w:t>
            </w:r>
          </w:p>
        </w:tc>
        <w:tc>
          <w:tcPr>
            <w:tcW w:w="221" w:type="pct"/>
            <w:tcBorders>
              <w:left w:val="single" w:sz="4" w:space="0" w:color="auto"/>
              <w:bottom w:val="double" w:sz="6" w:space="0" w:color="auto"/>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30</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w:t>
      </w:r>
      <w:r w:rsidR="007E6F25">
        <w:rPr>
          <w:rFonts w:ascii="Arial" w:hAnsi="Arial" w:cs="Arial"/>
          <w:b/>
          <w:i/>
          <w:sz w:val="36"/>
          <w:szCs w:val="36"/>
        </w:rPr>
        <w:t>8</w:t>
      </w:r>
      <w:r w:rsidRPr="00D36093">
        <w:rPr>
          <w:rFonts w:ascii="Arial" w:hAnsi="Arial" w:cs="Arial"/>
          <w:b/>
          <w:i/>
          <w:sz w:val="36"/>
          <w:szCs w:val="36"/>
        </w:rPr>
        <w:t xml:space="preserve"> -</w:t>
      </w:r>
    </w:p>
    <w:tbl>
      <w:tblPr>
        <w:tblStyle w:val="TableGrid"/>
        <w:tblW w:w="5074" w:type="pct"/>
        <w:tblInd w:w="-23" w:type="dxa"/>
        <w:tblLayout w:type="fixed"/>
        <w:tblCellMar>
          <w:top w:w="58" w:type="dxa"/>
          <w:left w:w="29" w:type="dxa"/>
          <w:bottom w:w="58" w:type="dxa"/>
          <w:right w:w="29" w:type="dxa"/>
        </w:tblCellMar>
        <w:tblLook w:val="04A0" w:firstRow="1" w:lastRow="0" w:firstColumn="1" w:lastColumn="0" w:noHBand="0" w:noVBand="1"/>
      </w:tblPr>
      <w:tblGrid>
        <w:gridCol w:w="477"/>
        <w:gridCol w:w="477"/>
        <w:gridCol w:w="479"/>
        <w:gridCol w:w="477"/>
        <w:gridCol w:w="479"/>
        <w:gridCol w:w="477"/>
        <w:gridCol w:w="483"/>
        <w:gridCol w:w="289"/>
        <w:gridCol w:w="475"/>
        <w:gridCol w:w="477"/>
        <w:gridCol w:w="477"/>
        <w:gridCol w:w="477"/>
        <w:gridCol w:w="477"/>
        <w:gridCol w:w="477"/>
        <w:gridCol w:w="479"/>
        <w:gridCol w:w="293"/>
        <w:gridCol w:w="468"/>
        <w:gridCol w:w="468"/>
        <w:gridCol w:w="470"/>
        <w:gridCol w:w="468"/>
        <w:gridCol w:w="470"/>
        <w:gridCol w:w="468"/>
        <w:gridCol w:w="466"/>
      </w:tblGrid>
      <w:tr w:rsidR="007E6F25" w:rsidRPr="00256B02" w:rsidTr="007E6F25">
        <w:trPr>
          <w:trHeight w:val="178"/>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 xml:space="preserve">MARCH </w:t>
            </w:r>
            <w:r>
              <w:rPr>
                <w:rFonts w:ascii="Arial" w:hAnsi="Arial" w:cs="Arial"/>
                <w:b/>
                <w:sz w:val="13"/>
                <w:szCs w:val="13"/>
              </w:rPr>
              <w:t>–</w:t>
            </w:r>
            <w:r w:rsidRPr="00256B02">
              <w:rPr>
                <w:rFonts w:ascii="Arial" w:hAnsi="Arial" w:cs="Arial"/>
                <w:b/>
                <w:sz w:val="13"/>
                <w:szCs w:val="13"/>
              </w:rPr>
              <w:t xml:space="preserve"> MARS</w:t>
            </w:r>
          </w:p>
        </w:tc>
      </w:tr>
      <w:tr w:rsidR="007E6F25" w:rsidRPr="00256B02" w:rsidTr="00B8639C">
        <w:trPr>
          <w:trHeight w:val="216"/>
        </w:trPr>
        <w:tc>
          <w:tcPr>
            <w:tcW w:w="226" w:type="pct"/>
            <w:tcBorders>
              <w:top w:val="double" w:sz="6" w:space="0" w:color="auto"/>
              <w:left w:val="double" w:sz="6" w:space="0" w:color="auto"/>
              <w:bottom w:val="single" w:sz="4" w:space="0" w:color="000000" w:themeColor="text1"/>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bottom w:val="single" w:sz="4"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000000" w:themeColor="text1"/>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B8639C">
        <w:trPr>
          <w:trHeight w:val="346"/>
        </w:trPr>
        <w:tc>
          <w:tcPr>
            <w:tcW w:w="226" w:type="pct"/>
            <w:tcBorders>
              <w:top w:val="single" w:sz="4" w:space="0" w:color="000000" w:themeColor="text1"/>
              <w:left w:val="double" w:sz="6" w:space="0" w:color="auto"/>
              <w:bottom w:val="single" w:sz="4" w:space="0" w:color="000000" w:themeColor="text1"/>
              <w:right w:val="double" w:sz="4"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top w:val="double" w:sz="4" w:space="0" w:color="auto"/>
              <w:left w:val="double" w:sz="4" w:space="0" w:color="auto"/>
              <w:bottom w:val="double" w:sz="4" w:space="0" w:color="auto"/>
              <w:right w:val="double" w:sz="4" w:space="0" w:color="auto"/>
            </w:tcBorders>
            <w:tcMar>
              <w:bottom w:w="43" w:type="dxa"/>
            </w:tcMar>
            <w:vAlign w:val="bottom"/>
          </w:tcPr>
          <w:p w:rsidR="007E6F25" w:rsidRPr="00800AD6" w:rsidRDefault="007E6F25" w:rsidP="00B8639C">
            <w:pPr>
              <w:jc w:val="center"/>
              <w:rPr>
                <w:rFonts w:ascii="Arial" w:hAnsi="Arial" w:cs="Arial"/>
                <w:b/>
                <w:sz w:val="13"/>
                <w:szCs w:val="13"/>
              </w:rPr>
            </w:pPr>
            <w:r w:rsidRPr="00800AD6">
              <w:rPr>
                <w:rFonts w:ascii="Arial" w:hAnsi="Arial" w:cs="Arial"/>
                <w:b/>
                <w:sz w:val="13"/>
                <w:szCs w:val="13"/>
              </w:rPr>
              <w:t>H</w:t>
            </w:r>
          </w:p>
          <w:p w:rsidR="007E6F25" w:rsidRPr="00C33804" w:rsidRDefault="007E6F25" w:rsidP="00B8639C">
            <w:pPr>
              <w:jc w:val="center"/>
              <w:rPr>
                <w:rFonts w:ascii="Arial" w:hAnsi="Arial" w:cs="Arial"/>
                <w:sz w:val="13"/>
                <w:szCs w:val="13"/>
              </w:rPr>
            </w:pPr>
            <w:r>
              <w:rPr>
                <w:rFonts w:ascii="Arial" w:hAnsi="Arial" w:cs="Arial"/>
                <w:sz w:val="13"/>
                <w:szCs w:val="13"/>
              </w:rPr>
              <w:t>1</w:t>
            </w:r>
          </w:p>
        </w:tc>
        <w:tc>
          <w:tcPr>
            <w:tcW w:w="227" w:type="pct"/>
            <w:tcBorders>
              <w:left w:val="doub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w:t>
            </w:r>
          </w:p>
        </w:tc>
        <w:tc>
          <w:tcPr>
            <w:tcW w:w="227"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5</w:t>
            </w:r>
          </w:p>
        </w:tc>
        <w:tc>
          <w:tcPr>
            <w:tcW w:w="228" w:type="pct"/>
            <w:tcBorders>
              <w:left w:val="single" w:sz="4" w:space="0" w:color="000000" w:themeColor="text1"/>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6</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5" w:type="pct"/>
            <w:tcBorders>
              <w:lef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bottom w:val="single" w:sz="4"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bottom w:val="single" w:sz="4" w:space="0" w:color="000000" w:themeColor="text1"/>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w:t>
            </w:r>
          </w:p>
        </w:tc>
        <w:tc>
          <w:tcPr>
            <w:tcW w:w="226" w:type="pct"/>
            <w:tcBorders>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222" w:type="pct"/>
            <w:tcMar>
              <w:bottom w:w="43" w:type="dxa"/>
            </w:tcMar>
            <w:vAlign w:val="bottom"/>
          </w:tcPr>
          <w:p w:rsidR="007E6F25" w:rsidRPr="00C33804" w:rsidRDefault="007E6F25" w:rsidP="00B8639C">
            <w:pPr>
              <w:jc w:val="center"/>
              <w:rPr>
                <w:rFonts w:ascii="Arial" w:hAnsi="Arial" w:cs="Arial"/>
                <w:sz w:val="13"/>
                <w:szCs w:val="13"/>
              </w:rPr>
            </w:pPr>
          </w:p>
        </w:tc>
        <w:tc>
          <w:tcPr>
            <w:tcW w:w="223" w:type="pct"/>
            <w:tcMar>
              <w:bottom w:w="43" w:type="dxa"/>
            </w:tcMar>
            <w:vAlign w:val="bottom"/>
          </w:tcPr>
          <w:p w:rsidR="007E6F25" w:rsidRPr="00C33804" w:rsidRDefault="007E6F25" w:rsidP="00B8639C">
            <w:pPr>
              <w:jc w:val="center"/>
              <w:rPr>
                <w:rFonts w:ascii="Arial" w:hAnsi="Arial" w:cs="Arial"/>
                <w:sz w:val="13"/>
                <w:szCs w:val="13"/>
              </w:rPr>
            </w:pPr>
          </w:p>
        </w:tc>
        <w:tc>
          <w:tcPr>
            <w:tcW w:w="222" w:type="pct"/>
            <w:tcMar>
              <w:bottom w:w="43" w:type="dxa"/>
            </w:tcMar>
            <w:vAlign w:val="bottom"/>
          </w:tcPr>
          <w:p w:rsidR="007E6F25" w:rsidRPr="00C33804" w:rsidRDefault="007E6F25" w:rsidP="00B8639C">
            <w:pPr>
              <w:jc w:val="center"/>
              <w:rPr>
                <w:rFonts w:ascii="Arial" w:hAnsi="Arial" w:cs="Arial"/>
                <w:sz w:val="13"/>
                <w:szCs w:val="13"/>
              </w:rPr>
            </w:pPr>
          </w:p>
        </w:tc>
        <w:tc>
          <w:tcPr>
            <w:tcW w:w="223" w:type="pct"/>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w:t>
            </w:r>
          </w:p>
        </w:tc>
        <w:tc>
          <w:tcPr>
            <w:tcW w:w="222" w:type="pct"/>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w:t>
            </w:r>
          </w:p>
        </w:tc>
        <w:tc>
          <w:tcPr>
            <w:tcW w:w="223" w:type="pct"/>
            <w:tcBorders>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w:t>
            </w:r>
          </w:p>
        </w:tc>
      </w:tr>
      <w:tr w:rsidR="007E6F25" w:rsidRPr="00C33804" w:rsidTr="00B8639C">
        <w:trPr>
          <w:trHeight w:val="346"/>
        </w:trPr>
        <w:tc>
          <w:tcPr>
            <w:tcW w:w="226" w:type="pct"/>
            <w:tcBorders>
              <w:top w:val="single" w:sz="4" w:space="0" w:color="000000" w:themeColor="text1"/>
              <w:lef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7</w:t>
            </w:r>
          </w:p>
        </w:tc>
        <w:tc>
          <w:tcPr>
            <w:tcW w:w="226" w:type="pct"/>
            <w:tcBorders>
              <w:top w:val="doub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8</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9</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10</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12</w:t>
            </w:r>
          </w:p>
        </w:tc>
        <w:tc>
          <w:tcPr>
            <w:tcW w:w="228"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13</w:t>
            </w: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4</w:t>
            </w:r>
          </w:p>
        </w:tc>
        <w:tc>
          <w:tcPr>
            <w:tcW w:w="226"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5</w:t>
            </w:r>
          </w:p>
        </w:tc>
        <w:tc>
          <w:tcPr>
            <w:tcW w:w="226"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9</w:t>
            </w:r>
          </w:p>
        </w:tc>
        <w:tc>
          <w:tcPr>
            <w:tcW w:w="226" w:type="pct"/>
            <w:tcBorders>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10</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4</w:t>
            </w:r>
          </w:p>
        </w:tc>
        <w:tc>
          <w:tcPr>
            <w:tcW w:w="222" w:type="pct"/>
            <w:tcBorders>
              <w:bottom w:val="single" w:sz="4"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5</w:t>
            </w:r>
          </w:p>
        </w:tc>
        <w:tc>
          <w:tcPr>
            <w:tcW w:w="223" w:type="pct"/>
            <w:tcBorders>
              <w:bottom w:val="single" w:sz="4" w:space="0" w:color="000000" w:themeColor="text1"/>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6</w:t>
            </w:r>
          </w:p>
        </w:tc>
        <w:tc>
          <w:tcPr>
            <w:tcW w:w="222" w:type="pct"/>
            <w:tcBorders>
              <w:bottom w:val="single" w:sz="4" w:space="0" w:color="000000" w:themeColor="text1"/>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7</w:t>
            </w:r>
          </w:p>
        </w:tc>
        <w:tc>
          <w:tcPr>
            <w:tcW w:w="223" w:type="pct"/>
            <w:tcBorders>
              <w:bottom w:val="single" w:sz="4" w:space="0" w:color="000000" w:themeColor="text1"/>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8</w:t>
            </w:r>
          </w:p>
        </w:tc>
        <w:tc>
          <w:tcPr>
            <w:tcW w:w="222" w:type="pct"/>
            <w:tcBorders>
              <w:bottom w:val="single" w:sz="4" w:space="0" w:color="000000" w:themeColor="text1"/>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9</w:t>
            </w:r>
          </w:p>
        </w:tc>
        <w:tc>
          <w:tcPr>
            <w:tcW w:w="223" w:type="pct"/>
            <w:tcBorders>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10</w:t>
            </w:r>
          </w:p>
        </w:tc>
      </w:tr>
      <w:tr w:rsidR="007E6F25" w:rsidRPr="00C33804" w:rsidTr="00B8639C">
        <w:trPr>
          <w:trHeight w:val="346"/>
        </w:trPr>
        <w:tc>
          <w:tcPr>
            <w:tcW w:w="226"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15</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17</w:t>
            </w:r>
          </w:p>
        </w:tc>
        <w:tc>
          <w:tcPr>
            <w:tcW w:w="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19</w:t>
            </w:r>
          </w:p>
        </w:tc>
        <w:tc>
          <w:tcPr>
            <w:tcW w:w="228"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20</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15</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16</w:t>
            </w:r>
          </w:p>
        </w:tc>
        <w:tc>
          <w:tcPr>
            <w:tcW w:w="226"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17</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12</w:t>
            </w:r>
          </w:p>
        </w:tc>
        <w:tc>
          <w:tcPr>
            <w:tcW w:w="223" w:type="pct"/>
            <w:tcBorders>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13</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14</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15</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16</w:t>
            </w:r>
          </w:p>
        </w:tc>
        <w:tc>
          <w:tcPr>
            <w:tcW w:w="223" w:type="pct"/>
            <w:tcBorders>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17</w:t>
            </w:r>
          </w:p>
        </w:tc>
      </w:tr>
      <w:tr w:rsidR="007E6F25" w:rsidRPr="00C33804" w:rsidTr="00B8639C">
        <w:trPr>
          <w:trHeight w:val="346"/>
        </w:trPr>
        <w:tc>
          <w:tcPr>
            <w:tcW w:w="226" w:type="pct"/>
            <w:tcBorders>
              <w:lef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21</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22</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23</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24</w:t>
            </w:r>
          </w:p>
        </w:tc>
        <w:tc>
          <w:tcPr>
            <w:tcW w:w="227" w:type="pct"/>
            <w:tcBorders>
              <w:top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26</w:t>
            </w:r>
          </w:p>
        </w:tc>
        <w:tc>
          <w:tcPr>
            <w:tcW w:w="228" w:type="pct"/>
            <w:tcBorders>
              <w:right w:val="double" w:sz="6" w:space="0" w:color="auto"/>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27</w:t>
            </w:r>
          </w:p>
        </w:tc>
        <w:tc>
          <w:tcPr>
            <w:tcW w:w="137" w:type="pct"/>
            <w:tcBorders>
              <w:top w:val="nil"/>
              <w:left w:val="double" w:sz="6" w:space="0" w:color="auto"/>
              <w:bottom w:val="nil"/>
              <w:right w:val="double" w:sz="6" w:space="0" w:color="auto"/>
            </w:tcBorders>
            <w:shd w:val="clear" w:color="auto" w:fill="FFFFFF" w:themeFill="background1"/>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19</w:t>
            </w:r>
          </w:p>
        </w:tc>
        <w:tc>
          <w:tcPr>
            <w:tcW w:w="226" w:type="pct"/>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20</w:t>
            </w:r>
          </w:p>
        </w:tc>
        <w:tc>
          <w:tcPr>
            <w:tcW w:w="226" w:type="pct"/>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21</w:t>
            </w:r>
          </w:p>
        </w:tc>
        <w:tc>
          <w:tcPr>
            <w:tcW w:w="226" w:type="pct"/>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22</w:t>
            </w:r>
          </w:p>
        </w:tc>
        <w:tc>
          <w:tcPr>
            <w:tcW w:w="226" w:type="pct"/>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23</w:t>
            </w:r>
          </w:p>
        </w:tc>
        <w:tc>
          <w:tcPr>
            <w:tcW w:w="226"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24</w:t>
            </w: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19</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20</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21</w:t>
            </w:r>
          </w:p>
        </w:tc>
        <w:tc>
          <w:tcPr>
            <w:tcW w:w="223" w:type="pct"/>
            <w:tcBorders>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23</w:t>
            </w:r>
          </w:p>
        </w:tc>
        <w:tc>
          <w:tcPr>
            <w:tcW w:w="223" w:type="pct"/>
            <w:tcBorders>
              <w:left w:val="single" w:sz="4" w:space="0" w:color="000000" w:themeColor="text1"/>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24</w:t>
            </w:r>
          </w:p>
        </w:tc>
      </w:tr>
      <w:tr w:rsidR="007E6F25" w:rsidRPr="00C33804" w:rsidTr="00B8639C">
        <w:trPr>
          <w:trHeight w:val="346"/>
        </w:trPr>
        <w:tc>
          <w:tcPr>
            <w:tcW w:w="226" w:type="pct"/>
            <w:tcBorders>
              <w:left w:val="double" w:sz="6" w:space="0" w:color="auto"/>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29</w:t>
            </w:r>
          </w:p>
        </w:tc>
        <w:tc>
          <w:tcPr>
            <w:tcW w:w="227"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31</w:t>
            </w:r>
          </w:p>
        </w:tc>
        <w:tc>
          <w:tcPr>
            <w:tcW w:w="227"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228" w:type="pct"/>
            <w:tcBorders>
              <w:bottom w:val="double" w:sz="6" w:space="0" w:color="auto"/>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25</w:t>
            </w:r>
          </w:p>
        </w:tc>
        <w:tc>
          <w:tcPr>
            <w:tcW w:w="226"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26</w:t>
            </w:r>
          </w:p>
        </w:tc>
        <w:tc>
          <w:tcPr>
            <w:tcW w:w="226"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27</w:t>
            </w:r>
          </w:p>
        </w:tc>
        <w:tc>
          <w:tcPr>
            <w:tcW w:w="226"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auto"/>
              <w:right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28</w:t>
            </w:r>
          </w:p>
        </w:tc>
        <w:tc>
          <w:tcPr>
            <w:tcW w:w="223" w:type="pct"/>
            <w:tcBorders>
              <w:top w:val="single" w:sz="4" w:space="0" w:color="000000" w:themeColor="text1"/>
              <w:bottom w:val="double" w:sz="6" w:space="0" w:color="auto"/>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29</w:t>
            </w:r>
          </w:p>
        </w:tc>
        <w:tc>
          <w:tcPr>
            <w:tcW w:w="222"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7E6F25" w:rsidRPr="004A406E" w:rsidRDefault="007E6F25" w:rsidP="00B8639C">
            <w:pPr>
              <w:jc w:val="center"/>
              <w:rPr>
                <w:rFonts w:ascii="Arial" w:hAnsi="Arial" w:cs="Arial"/>
                <w:b/>
                <w:sz w:val="13"/>
                <w:szCs w:val="13"/>
              </w:rPr>
            </w:pPr>
            <w:r w:rsidRPr="004A406E">
              <w:rPr>
                <w:rFonts w:ascii="Arial" w:hAnsi="Arial" w:cs="Arial"/>
                <w:b/>
                <w:sz w:val="13"/>
                <w:szCs w:val="13"/>
              </w:rPr>
              <w:t>H</w:t>
            </w:r>
          </w:p>
          <w:p w:rsidR="007E6F25" w:rsidRPr="00C33804" w:rsidRDefault="007E6F25" w:rsidP="00B8639C">
            <w:pPr>
              <w:jc w:val="center"/>
              <w:rPr>
                <w:rFonts w:ascii="Arial" w:hAnsi="Arial" w:cs="Arial"/>
                <w:sz w:val="13"/>
                <w:szCs w:val="13"/>
              </w:rPr>
            </w:pPr>
            <w:r>
              <w:rPr>
                <w:rFonts w:ascii="Arial" w:hAnsi="Arial" w:cs="Arial"/>
                <w:sz w:val="13"/>
                <w:szCs w:val="13"/>
              </w:rPr>
              <w:t>30</w:t>
            </w:r>
          </w:p>
        </w:tc>
        <w:tc>
          <w:tcPr>
            <w:tcW w:w="223" w:type="pct"/>
            <w:tcBorders>
              <w:left w:val="double" w:sz="6" w:space="0" w:color="auto"/>
              <w:bottom w:val="double" w:sz="6" w:space="0" w:color="auto"/>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31</w:t>
            </w:r>
          </w:p>
        </w:tc>
      </w:tr>
      <w:tr w:rsidR="007E6F25" w:rsidRPr="00256B02" w:rsidTr="007E6F25">
        <w:trPr>
          <w:trHeight w:val="176"/>
        </w:trPr>
        <w:tc>
          <w:tcPr>
            <w:tcW w:w="1587"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7"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p>
        </w:tc>
        <w:tc>
          <w:tcPr>
            <w:tcW w:w="158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39" w:type="pct"/>
            <w:tcBorders>
              <w:top w:val="nil"/>
              <w:left w:val="double" w:sz="6" w:space="0" w:color="auto"/>
              <w:bottom w:val="nil"/>
              <w:right w:val="double" w:sz="6" w:space="0" w:color="auto"/>
            </w:tcBorders>
            <w:tcMar>
              <w:top w:w="43" w:type="dxa"/>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p>
        </w:tc>
        <w:tc>
          <w:tcPr>
            <w:tcW w:w="155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7E6F25" w:rsidRPr="00256B02" w:rsidTr="00B8639C">
        <w:trPr>
          <w:trHeight w:val="216"/>
        </w:trPr>
        <w:tc>
          <w:tcPr>
            <w:tcW w:w="226" w:type="pct"/>
            <w:tcBorders>
              <w:top w:val="double" w:sz="6" w:space="0" w:color="auto"/>
              <w:left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bottom w:val="double" w:sz="4"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7"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7"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bottom w:val="single" w:sz="4"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8" w:type="pct"/>
            <w:tcBorders>
              <w:top w:val="double" w:sz="6" w:space="0" w:color="auto"/>
              <w:right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7" w:type="pct"/>
            <w:tcBorders>
              <w:top w:val="nil"/>
              <w:left w:val="double" w:sz="6" w:space="0" w:color="auto"/>
              <w:bottom w:val="nil"/>
              <w:right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p>
        </w:tc>
        <w:tc>
          <w:tcPr>
            <w:tcW w:w="225" w:type="pct"/>
            <w:tcBorders>
              <w:top w:val="double" w:sz="6" w:space="0" w:color="auto"/>
              <w:left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6"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6"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6"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6" w:type="pct"/>
            <w:tcBorders>
              <w:top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6" w:type="pct"/>
            <w:tcBorders>
              <w:top w:val="double" w:sz="6" w:space="0" w:color="auto"/>
              <w:right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9" w:type="pct"/>
            <w:tcBorders>
              <w:top w:val="nil"/>
              <w:left w:val="double" w:sz="6" w:space="0" w:color="auto"/>
              <w:bottom w:val="nil"/>
              <w:right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3" w:type="pct"/>
            <w:tcBorders>
              <w:top w:val="double" w:sz="6" w:space="0" w:color="auto"/>
            </w:tcBorders>
            <w:shd w:val="clear" w:color="auto" w:fill="FFFFFF" w:themeFill="background1"/>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22" w:type="pct"/>
            <w:tcBorders>
              <w:top w:val="double" w:sz="6" w:space="0" w:color="auto"/>
            </w:tcBorders>
            <w:shd w:val="clear" w:color="auto" w:fill="FFFFFF" w:themeFill="background1"/>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3" w:type="pct"/>
            <w:tcBorders>
              <w:top w:val="double" w:sz="6" w:space="0" w:color="auto"/>
              <w:right w:val="double" w:sz="6" w:space="0" w:color="auto"/>
            </w:tcBorders>
            <w:tcMar>
              <w:bottom w:w="43" w:type="dxa"/>
            </w:tcMar>
            <w:vAlign w:val="center"/>
          </w:tcPr>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7E6F25" w:rsidRPr="00256B02" w:rsidRDefault="007E6F25" w:rsidP="00B8639C">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7E6F25" w:rsidRPr="00C33804" w:rsidTr="00B8639C">
        <w:trPr>
          <w:trHeight w:val="346"/>
        </w:trPr>
        <w:tc>
          <w:tcPr>
            <w:tcW w:w="226" w:type="pct"/>
            <w:tcBorders>
              <w:left w:val="double" w:sz="6" w:space="0" w:color="auto"/>
              <w:right w:val="double" w:sz="4"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w:t>
            </w:r>
          </w:p>
        </w:tc>
        <w:tc>
          <w:tcPr>
            <w:tcW w:w="226" w:type="pct"/>
            <w:tcBorders>
              <w:top w:val="double" w:sz="4" w:space="0" w:color="auto"/>
              <w:left w:val="double" w:sz="4" w:space="0" w:color="auto"/>
              <w:bottom w:val="double" w:sz="4" w:space="0" w:color="auto"/>
              <w:right w:val="double" w:sz="4" w:space="0" w:color="auto"/>
            </w:tcBorders>
            <w:shd w:val="clear" w:color="auto" w:fill="auto"/>
            <w:tcMar>
              <w:bottom w:w="43" w:type="dxa"/>
            </w:tcMar>
            <w:vAlign w:val="bottom"/>
          </w:tcPr>
          <w:p w:rsidR="007E6F25" w:rsidRPr="00800AD6" w:rsidRDefault="007E6F25" w:rsidP="00B8639C">
            <w:pPr>
              <w:jc w:val="center"/>
              <w:rPr>
                <w:rFonts w:ascii="Arial" w:hAnsi="Arial" w:cs="Arial"/>
                <w:b/>
                <w:sz w:val="13"/>
                <w:szCs w:val="13"/>
              </w:rPr>
            </w:pPr>
            <w:r w:rsidRPr="00800AD6">
              <w:rPr>
                <w:rFonts w:ascii="Arial" w:hAnsi="Arial" w:cs="Arial"/>
                <w:b/>
                <w:sz w:val="13"/>
                <w:szCs w:val="13"/>
              </w:rPr>
              <w:t>H</w:t>
            </w:r>
          </w:p>
          <w:p w:rsidR="007E6F25" w:rsidRPr="00C33804" w:rsidRDefault="007E6F25" w:rsidP="00B8639C">
            <w:pPr>
              <w:jc w:val="center"/>
              <w:rPr>
                <w:rFonts w:ascii="Arial" w:hAnsi="Arial" w:cs="Arial"/>
                <w:sz w:val="13"/>
                <w:szCs w:val="13"/>
              </w:rPr>
            </w:pPr>
            <w:r>
              <w:rPr>
                <w:rFonts w:ascii="Arial" w:hAnsi="Arial" w:cs="Arial"/>
                <w:sz w:val="13"/>
                <w:szCs w:val="13"/>
              </w:rPr>
              <w:t>2</w:t>
            </w:r>
          </w:p>
        </w:tc>
        <w:tc>
          <w:tcPr>
            <w:tcW w:w="227" w:type="pct"/>
            <w:tcBorders>
              <w:left w:val="double" w:sz="4" w:space="0" w:color="auto"/>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4</w:t>
            </w:r>
          </w:p>
        </w:tc>
        <w:tc>
          <w:tcPr>
            <w:tcW w:w="227" w:type="pct"/>
            <w:tcBorders>
              <w:bottom w:val="single" w:sz="4" w:space="0" w:color="000000" w:themeColor="text1"/>
              <w:right w:val="single" w:sz="4"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6</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7</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4</w:t>
            </w:r>
          </w:p>
        </w:tc>
        <w:tc>
          <w:tcPr>
            <w:tcW w:w="226"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5</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p>
        </w:tc>
        <w:tc>
          <w:tcPr>
            <w:tcW w:w="222" w:type="pct"/>
            <w:tcBorders>
              <w:bottom w:val="single" w:sz="4" w:space="0" w:color="auto"/>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w:t>
            </w:r>
          </w:p>
        </w:tc>
        <w:tc>
          <w:tcPr>
            <w:tcW w:w="223"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w:t>
            </w:r>
          </w:p>
        </w:tc>
      </w:tr>
      <w:tr w:rsidR="007E6F25" w:rsidRPr="00C33804" w:rsidTr="00B8639C">
        <w:trPr>
          <w:trHeight w:val="346"/>
        </w:trPr>
        <w:tc>
          <w:tcPr>
            <w:tcW w:w="226" w:type="pct"/>
            <w:tcBorders>
              <w:left w:val="double" w:sz="6" w:space="0" w:color="auto"/>
              <w:right w:val="single" w:sz="4"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8</w:t>
            </w:r>
          </w:p>
        </w:tc>
        <w:tc>
          <w:tcPr>
            <w:tcW w:w="226" w:type="pct"/>
            <w:tcBorders>
              <w:top w:val="double" w:sz="4" w:space="0" w:color="auto"/>
              <w:left w:val="single" w:sz="4" w:space="0" w:color="auto"/>
              <w:bottom w:val="single" w:sz="4" w:space="0" w:color="auto"/>
              <w:right w:val="single" w:sz="4" w:space="0" w:color="auto"/>
            </w:tcBorders>
            <w:shd w:val="clear" w:color="auto" w:fill="auto"/>
            <w:tcMar>
              <w:bottom w:w="43" w:type="dxa"/>
            </w:tcMar>
            <w:vAlign w:val="bottom"/>
          </w:tcPr>
          <w:p w:rsidR="007E6F25" w:rsidRDefault="007E6F25" w:rsidP="00B8639C">
            <w:pPr>
              <w:jc w:val="center"/>
              <w:rPr>
                <w:rFonts w:ascii="Arial" w:hAnsi="Arial" w:cs="Arial"/>
                <w:sz w:val="13"/>
                <w:szCs w:val="13"/>
              </w:rPr>
            </w:pPr>
          </w:p>
          <w:p w:rsidR="007E6F25" w:rsidRPr="00C33804" w:rsidRDefault="007E6F25" w:rsidP="00B8639C">
            <w:pPr>
              <w:jc w:val="center"/>
              <w:rPr>
                <w:rFonts w:ascii="Arial" w:hAnsi="Arial" w:cs="Arial"/>
                <w:sz w:val="13"/>
                <w:szCs w:val="13"/>
              </w:rPr>
            </w:pPr>
            <w:r>
              <w:rPr>
                <w:rFonts w:ascii="Arial" w:hAnsi="Arial" w:cs="Arial"/>
                <w:sz w:val="13"/>
                <w:szCs w:val="13"/>
              </w:rPr>
              <w:t>9</w:t>
            </w:r>
          </w:p>
        </w:tc>
        <w:tc>
          <w:tcPr>
            <w:tcW w:w="227" w:type="pct"/>
            <w:tcBorders>
              <w:left w:val="single" w:sz="4" w:space="0" w:color="auto"/>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11</w:t>
            </w:r>
          </w:p>
        </w:tc>
        <w:tc>
          <w:tcPr>
            <w:tcW w:w="227"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12</w:t>
            </w:r>
          </w:p>
        </w:tc>
        <w:tc>
          <w:tcPr>
            <w:tcW w:w="226" w:type="pct"/>
            <w:tcBorders>
              <w:top w:val="single" w:sz="4" w:space="0" w:color="auto"/>
              <w:bottom w:val="single" w:sz="4"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13</w:t>
            </w:r>
          </w:p>
        </w:tc>
        <w:tc>
          <w:tcPr>
            <w:tcW w:w="228"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14</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5" w:type="pct"/>
            <w:tcBorders>
              <w:lef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6</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7</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8</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9</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10</w:t>
            </w:r>
          </w:p>
        </w:tc>
        <w:tc>
          <w:tcPr>
            <w:tcW w:w="226" w:type="pct"/>
            <w:tcBorders>
              <w:bottom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11</w:t>
            </w:r>
          </w:p>
        </w:tc>
        <w:tc>
          <w:tcPr>
            <w:tcW w:w="226"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12</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w:t>
            </w:r>
          </w:p>
        </w:tc>
        <w:tc>
          <w:tcPr>
            <w:tcW w:w="222"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4</w:t>
            </w:r>
          </w:p>
        </w:tc>
        <w:tc>
          <w:tcPr>
            <w:tcW w:w="223" w:type="pct"/>
            <w:tcBorders>
              <w:left w:val="single" w:sz="4" w:space="0" w:color="auto"/>
              <w:bottom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5</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6</w:t>
            </w:r>
          </w:p>
        </w:tc>
        <w:tc>
          <w:tcPr>
            <w:tcW w:w="223"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7</w:t>
            </w:r>
          </w:p>
        </w:tc>
        <w:tc>
          <w:tcPr>
            <w:tcW w:w="222" w:type="pct"/>
            <w:tcBorders>
              <w:bottom w:val="single" w:sz="4" w:space="0" w:color="000000" w:themeColor="text1"/>
            </w:tcBorders>
            <w:shd w:val="clear" w:color="auto" w:fill="FFFFFF" w:themeFill="background1"/>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8</w:t>
            </w:r>
          </w:p>
        </w:tc>
        <w:tc>
          <w:tcPr>
            <w:tcW w:w="223"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9</w:t>
            </w:r>
          </w:p>
        </w:tc>
      </w:tr>
      <w:tr w:rsidR="007E6F25" w:rsidRPr="00C33804" w:rsidTr="00B8639C">
        <w:trPr>
          <w:trHeight w:val="346"/>
        </w:trPr>
        <w:tc>
          <w:tcPr>
            <w:tcW w:w="226"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15</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16</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17</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18</w:t>
            </w:r>
          </w:p>
        </w:tc>
        <w:tc>
          <w:tcPr>
            <w:tcW w:w="227" w:type="pct"/>
            <w:tcBorders>
              <w:top w:val="single" w:sz="4" w:space="0" w:color="000000" w:themeColor="text1"/>
              <w:bottom w:val="single" w:sz="4" w:space="0" w:color="000000" w:themeColor="text1"/>
              <w:right w:val="single" w:sz="4" w:space="0" w:color="auto"/>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19</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20</w:t>
            </w:r>
          </w:p>
        </w:tc>
        <w:tc>
          <w:tcPr>
            <w:tcW w:w="228" w:type="pct"/>
            <w:tcBorders>
              <w:left w:val="single" w:sz="4" w:space="0" w:color="auto"/>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21</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5"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13</w:t>
            </w:r>
          </w:p>
        </w:tc>
        <w:tc>
          <w:tcPr>
            <w:tcW w:w="226"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14</w:t>
            </w:r>
          </w:p>
        </w:tc>
        <w:tc>
          <w:tcPr>
            <w:tcW w:w="226"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15</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16</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17</w:t>
            </w:r>
          </w:p>
        </w:tc>
        <w:tc>
          <w:tcPr>
            <w:tcW w:w="226"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18</w:t>
            </w:r>
          </w:p>
        </w:tc>
        <w:tc>
          <w:tcPr>
            <w:tcW w:w="226"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19</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11</w:t>
            </w:r>
          </w:p>
        </w:tc>
        <w:tc>
          <w:tcPr>
            <w:tcW w:w="223" w:type="pct"/>
            <w:tcBorders>
              <w:left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12</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13</w:t>
            </w:r>
          </w:p>
        </w:tc>
        <w:tc>
          <w:tcPr>
            <w:tcW w:w="223"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14</w:t>
            </w:r>
          </w:p>
        </w:tc>
        <w:tc>
          <w:tcPr>
            <w:tcW w:w="222" w:type="pct"/>
            <w:tcBorders>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15</w:t>
            </w:r>
          </w:p>
        </w:tc>
        <w:tc>
          <w:tcPr>
            <w:tcW w:w="223"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16</w:t>
            </w:r>
          </w:p>
        </w:tc>
      </w:tr>
      <w:tr w:rsidR="007E6F25" w:rsidRPr="00C33804" w:rsidTr="00B8639C">
        <w:trPr>
          <w:trHeight w:val="346"/>
        </w:trPr>
        <w:tc>
          <w:tcPr>
            <w:tcW w:w="226"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22</w:t>
            </w:r>
          </w:p>
        </w:tc>
        <w:tc>
          <w:tcPr>
            <w:tcW w:w="22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23</w:t>
            </w:r>
          </w:p>
        </w:tc>
        <w:tc>
          <w:tcPr>
            <w:tcW w:w="227" w:type="pct"/>
            <w:tcBorders>
              <w:top w:val="single" w:sz="4" w:space="0" w:color="000000" w:themeColor="text1"/>
              <w:left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24</w:t>
            </w:r>
          </w:p>
        </w:tc>
        <w:tc>
          <w:tcPr>
            <w:tcW w:w="226"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25</w:t>
            </w:r>
          </w:p>
        </w:tc>
        <w:tc>
          <w:tcPr>
            <w:tcW w:w="227" w:type="pct"/>
            <w:tcBorders>
              <w:top w:val="single" w:sz="4" w:space="0" w:color="000000" w:themeColor="text1"/>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26</w:t>
            </w:r>
          </w:p>
        </w:tc>
        <w:tc>
          <w:tcPr>
            <w:tcW w:w="226" w:type="pct"/>
            <w:tcBorders>
              <w:top w:val="single" w:sz="4" w:space="0" w:color="auto"/>
              <w:bottom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27</w:t>
            </w:r>
          </w:p>
        </w:tc>
        <w:tc>
          <w:tcPr>
            <w:tcW w:w="228"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28</w:t>
            </w:r>
          </w:p>
        </w:tc>
        <w:tc>
          <w:tcPr>
            <w:tcW w:w="137"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5" w:type="pct"/>
            <w:tcBorders>
              <w:left w:val="double" w:sz="6" w:space="0" w:color="auto"/>
              <w:right w:val="double" w:sz="4"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20</w:t>
            </w:r>
          </w:p>
        </w:tc>
        <w:tc>
          <w:tcPr>
            <w:tcW w:w="226" w:type="pct"/>
            <w:tcBorders>
              <w:top w:val="double" w:sz="4" w:space="0" w:color="auto"/>
              <w:left w:val="double" w:sz="4" w:space="0" w:color="auto"/>
              <w:bottom w:val="double" w:sz="4" w:space="0" w:color="auto"/>
              <w:right w:val="double" w:sz="4" w:space="0" w:color="auto"/>
            </w:tcBorders>
            <w:shd w:val="clear" w:color="auto" w:fill="FFFFFF" w:themeFill="background1"/>
            <w:tcMar>
              <w:bottom w:w="43" w:type="dxa"/>
            </w:tcMar>
            <w:vAlign w:val="bottom"/>
          </w:tcPr>
          <w:p w:rsidR="007E6F25" w:rsidRPr="00800AD6" w:rsidRDefault="007E6F25" w:rsidP="00B8639C">
            <w:pPr>
              <w:jc w:val="center"/>
              <w:rPr>
                <w:rFonts w:ascii="Arial" w:hAnsi="Arial" w:cs="Arial"/>
                <w:b/>
                <w:sz w:val="13"/>
                <w:szCs w:val="13"/>
              </w:rPr>
            </w:pPr>
            <w:r w:rsidRPr="00800AD6">
              <w:rPr>
                <w:rFonts w:ascii="Arial" w:hAnsi="Arial" w:cs="Arial"/>
                <w:b/>
                <w:sz w:val="13"/>
                <w:szCs w:val="13"/>
              </w:rPr>
              <w:t>H</w:t>
            </w:r>
          </w:p>
          <w:p w:rsidR="007E6F25" w:rsidRPr="00C33804" w:rsidRDefault="007E6F25" w:rsidP="00B8639C">
            <w:pPr>
              <w:jc w:val="center"/>
              <w:rPr>
                <w:rFonts w:ascii="Arial" w:hAnsi="Arial" w:cs="Arial"/>
                <w:sz w:val="13"/>
                <w:szCs w:val="13"/>
              </w:rPr>
            </w:pPr>
            <w:r>
              <w:rPr>
                <w:rFonts w:ascii="Arial" w:hAnsi="Arial" w:cs="Arial"/>
                <w:sz w:val="13"/>
                <w:szCs w:val="13"/>
              </w:rPr>
              <w:t>21</w:t>
            </w:r>
          </w:p>
        </w:tc>
        <w:tc>
          <w:tcPr>
            <w:tcW w:w="226" w:type="pct"/>
            <w:tcBorders>
              <w:left w:val="double" w:sz="4" w:space="0" w:color="auto"/>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22</w:t>
            </w:r>
          </w:p>
        </w:tc>
        <w:tc>
          <w:tcPr>
            <w:tcW w:w="226" w:type="pct"/>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23</w:t>
            </w:r>
          </w:p>
        </w:tc>
        <w:tc>
          <w:tcPr>
            <w:tcW w:w="226" w:type="pct"/>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24</w:t>
            </w:r>
          </w:p>
        </w:tc>
        <w:tc>
          <w:tcPr>
            <w:tcW w:w="226" w:type="pct"/>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25</w:t>
            </w:r>
          </w:p>
        </w:tc>
        <w:tc>
          <w:tcPr>
            <w:tcW w:w="226"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26</w:t>
            </w:r>
          </w:p>
        </w:tc>
        <w:tc>
          <w:tcPr>
            <w:tcW w:w="139" w:type="pct"/>
            <w:tcBorders>
              <w:top w:val="nil"/>
              <w:left w:val="double" w:sz="6" w:space="0" w:color="auto"/>
              <w:bottom w:val="nil"/>
              <w:right w:val="double" w:sz="6" w:space="0" w:color="auto"/>
            </w:tcBorders>
            <w:shd w:val="clear" w:color="auto" w:fill="auto"/>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tcBorders>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18</w:t>
            </w:r>
          </w:p>
        </w:tc>
        <w:tc>
          <w:tcPr>
            <w:tcW w:w="223" w:type="pct"/>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19</w:t>
            </w:r>
          </w:p>
        </w:tc>
        <w:tc>
          <w:tcPr>
            <w:tcW w:w="222" w:type="pct"/>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20</w:t>
            </w:r>
          </w:p>
        </w:tc>
        <w:tc>
          <w:tcPr>
            <w:tcW w:w="223" w:type="pct"/>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21</w:t>
            </w:r>
          </w:p>
        </w:tc>
        <w:tc>
          <w:tcPr>
            <w:tcW w:w="222" w:type="pct"/>
            <w:shd w:val="clear" w:color="auto" w:fill="BFBFBF" w:themeFill="background1" w:themeFillShade="BF"/>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22</w:t>
            </w:r>
          </w:p>
        </w:tc>
        <w:tc>
          <w:tcPr>
            <w:tcW w:w="223" w:type="pct"/>
            <w:tcBorders>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23</w:t>
            </w:r>
          </w:p>
        </w:tc>
      </w:tr>
      <w:tr w:rsidR="007E6F25" w:rsidRPr="00C33804" w:rsidTr="00B8639C">
        <w:trPr>
          <w:trHeight w:val="346"/>
        </w:trPr>
        <w:tc>
          <w:tcPr>
            <w:tcW w:w="226" w:type="pct"/>
            <w:tcBorders>
              <w:top w:val="single" w:sz="4" w:space="0" w:color="000000" w:themeColor="text1"/>
              <w:left w:val="double" w:sz="6" w:space="0" w:color="auto"/>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29</w:t>
            </w:r>
          </w:p>
        </w:tc>
        <w:tc>
          <w:tcPr>
            <w:tcW w:w="226" w:type="pct"/>
            <w:tcBorders>
              <w:top w:val="single" w:sz="4" w:space="0" w:color="auto"/>
              <w:bottom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30</w:t>
            </w: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B8639C">
            <w:pPr>
              <w:rPr>
                <w:rFonts w:ascii="Arial" w:hAnsi="Arial" w:cs="Arial"/>
                <w:sz w:val="13"/>
                <w:szCs w:val="13"/>
              </w:rPr>
            </w:pPr>
          </w:p>
        </w:tc>
        <w:tc>
          <w:tcPr>
            <w:tcW w:w="227"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top w:val="single" w:sz="4" w:space="0" w:color="000000" w:themeColor="text1"/>
              <w:bottom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p>
        </w:tc>
        <w:tc>
          <w:tcPr>
            <w:tcW w:w="228" w:type="pct"/>
            <w:tcBorders>
              <w:bottom w:val="double" w:sz="6" w:space="0" w:color="auto"/>
              <w:right w:val="double" w:sz="6" w:space="0" w:color="auto"/>
            </w:tcBorders>
            <w:shd w:val="clear" w:color="auto" w:fill="auto"/>
            <w:tcMar>
              <w:bottom w:w="43" w:type="dxa"/>
            </w:tcMar>
            <w:vAlign w:val="bottom"/>
          </w:tcPr>
          <w:p w:rsidR="007E6F25" w:rsidRPr="00C33804" w:rsidRDefault="007E6F25" w:rsidP="00B8639C">
            <w:pPr>
              <w:jc w:val="center"/>
              <w:rPr>
                <w:rFonts w:ascii="Arial" w:hAnsi="Arial" w:cs="Arial"/>
                <w:sz w:val="13"/>
                <w:szCs w:val="13"/>
              </w:rPr>
            </w:pPr>
          </w:p>
        </w:tc>
        <w:tc>
          <w:tcPr>
            <w:tcW w:w="137"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5" w:type="pct"/>
            <w:tcBorders>
              <w:left w:val="double" w:sz="6" w:space="0" w:color="auto"/>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27</w:t>
            </w:r>
          </w:p>
        </w:tc>
        <w:tc>
          <w:tcPr>
            <w:tcW w:w="226" w:type="pct"/>
            <w:tcBorders>
              <w:top w:val="double" w:sz="4" w:space="0" w:color="auto"/>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28</w:t>
            </w:r>
          </w:p>
        </w:tc>
        <w:tc>
          <w:tcPr>
            <w:tcW w:w="226"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29</w:t>
            </w:r>
          </w:p>
        </w:tc>
        <w:tc>
          <w:tcPr>
            <w:tcW w:w="226"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30</w:t>
            </w:r>
          </w:p>
        </w:tc>
        <w:tc>
          <w:tcPr>
            <w:tcW w:w="226"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31</w:t>
            </w:r>
          </w:p>
        </w:tc>
        <w:tc>
          <w:tcPr>
            <w:tcW w:w="226"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226" w:type="pct"/>
            <w:tcBorders>
              <w:bottom w:val="double" w:sz="6" w:space="0" w:color="auto"/>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p>
        </w:tc>
        <w:tc>
          <w:tcPr>
            <w:tcW w:w="139" w:type="pct"/>
            <w:tcBorders>
              <w:top w:val="nil"/>
              <w:left w:val="double" w:sz="6" w:space="0" w:color="auto"/>
              <w:bottom w:val="nil"/>
              <w:right w:val="double" w:sz="6" w:space="0" w:color="auto"/>
            </w:tcBorders>
            <w:tcMar>
              <w:bottom w:w="43" w:type="dxa"/>
            </w:tcMar>
            <w:vAlign w:val="bottom"/>
          </w:tcPr>
          <w:p w:rsidR="007E6F25" w:rsidRPr="00C33804" w:rsidRDefault="007E6F25" w:rsidP="00B8639C">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24</w:t>
            </w:r>
          </w:p>
        </w:tc>
        <w:tc>
          <w:tcPr>
            <w:tcW w:w="222"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26</w:t>
            </w:r>
          </w:p>
        </w:tc>
        <w:tc>
          <w:tcPr>
            <w:tcW w:w="222"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27</w:t>
            </w:r>
          </w:p>
        </w:tc>
        <w:tc>
          <w:tcPr>
            <w:tcW w:w="223"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28</w:t>
            </w:r>
          </w:p>
        </w:tc>
        <w:tc>
          <w:tcPr>
            <w:tcW w:w="222" w:type="pct"/>
            <w:tcBorders>
              <w:bottom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29</w:t>
            </w:r>
          </w:p>
        </w:tc>
        <w:tc>
          <w:tcPr>
            <w:tcW w:w="223" w:type="pct"/>
            <w:tcBorders>
              <w:bottom w:val="double" w:sz="6" w:space="0" w:color="auto"/>
              <w:right w:val="double" w:sz="6" w:space="0" w:color="auto"/>
            </w:tcBorders>
            <w:tcMar>
              <w:bottom w:w="43" w:type="dxa"/>
            </w:tcMar>
            <w:vAlign w:val="bottom"/>
          </w:tcPr>
          <w:p w:rsidR="007E6F25" w:rsidRPr="00C33804" w:rsidRDefault="007E6F25" w:rsidP="00B8639C">
            <w:pPr>
              <w:jc w:val="center"/>
              <w:rPr>
                <w:rFonts w:ascii="Arial" w:hAnsi="Arial" w:cs="Arial"/>
                <w:sz w:val="13"/>
                <w:szCs w:val="13"/>
              </w:rPr>
            </w:pPr>
            <w:r>
              <w:rPr>
                <w:rFonts w:ascii="Arial" w:hAnsi="Arial" w:cs="Arial"/>
                <w:sz w:val="13"/>
                <w:szCs w:val="13"/>
              </w:rPr>
              <w:t>30</w:t>
            </w: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sidR="007E6F25">
              <w:rPr>
                <w:rFonts w:ascii="Arial" w:hAnsi="Arial"/>
                <w:b/>
                <w:sz w:val="16"/>
                <w:lang w:val="fr-CA"/>
              </w:rPr>
              <w:t>8</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7E6F25"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2</w:t>
            </w:r>
            <w:r w:rsidR="0013595D" w:rsidRPr="002E0C7E">
              <w:rPr>
                <w:rFonts w:ascii="Arial" w:hAnsi="Arial"/>
                <w:b/>
                <w:sz w:val="16"/>
              </w:rPr>
              <w:t xml:space="preserve">    holidays during sitting days</w:t>
            </w:r>
            <w:r w:rsidR="0013595D">
              <w:rPr>
                <w:rFonts w:ascii="Arial" w:hAnsi="Arial"/>
                <w:b/>
                <w:sz w:val="16"/>
              </w:rPr>
              <w:t xml:space="preserve"> </w:t>
            </w:r>
            <w:r w:rsidR="0013595D" w:rsidRPr="002E0C7E">
              <w:rPr>
                <w:rFonts w:ascii="Arial" w:hAnsi="Arial"/>
                <w:b/>
                <w:sz w:val="16"/>
              </w:rPr>
              <w:t>/ jours fériés durant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507366">
      <w:headerReference w:type="default" r:id="rId91"/>
      <w:footerReference w:type="default" r:id="rId92"/>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7D6" w:rsidRDefault="006B07D6" w:rsidP="00A87207">
      <w:r>
        <w:separator/>
      </w:r>
    </w:p>
  </w:endnote>
  <w:endnote w:type="continuationSeparator" w:id="0">
    <w:p w:rsidR="006B07D6" w:rsidRDefault="006B07D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rsidP="00A87207">
    <w:pPr>
      <w:pStyle w:val="Footer"/>
    </w:pPr>
    <w:r>
      <w:pict>
        <v:rect id="_x0000_i1033" style="width:480.95pt;height:1pt" o:hralign="center" o:hrstd="t" o:hrnoshade="t" o:hr="t" fillcolor="black [3213]" stroked="f"/>
      </w:pict>
    </w:r>
  </w:p>
  <w:p w:rsidR="006B07D6" w:rsidRPr="00B7374B" w:rsidRDefault="006B07D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90CA8">
      <w:rPr>
        <w:noProof/>
        <w:szCs w:val="24"/>
      </w:rPr>
      <w:t>1298</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rsidP="00EB2B90">
    <w:pPr>
      <w:tabs>
        <w:tab w:val="center" w:pos="4680"/>
      </w:tabs>
    </w:pPr>
    <w:r>
      <w:pict>
        <v:rect id="_x0000_i1067" style="width:480.95pt;height:1pt" o:hralign="center" o:hrstd="t" o:hrnoshade="t" o:hr="t" fillcolor="black [3213]" stroked="f"/>
      </w:pict>
    </w:r>
  </w:p>
  <w:p w:rsidR="006B07D6" w:rsidRPr="0031432F" w:rsidRDefault="006B07D6" w:rsidP="00EB2B90">
    <w:pPr>
      <w:tabs>
        <w:tab w:val="center" w:pos="4680"/>
      </w:tabs>
    </w:pPr>
    <w:r>
      <w:tab/>
      <w:t xml:space="preserve">- </w:t>
    </w:r>
    <w:r>
      <w:fldChar w:fldCharType="begin"/>
    </w:r>
    <w:r>
      <w:instrText xml:space="preserve"> PAGE   \* MERGEFORMAT </w:instrText>
    </w:r>
    <w:r>
      <w:fldChar w:fldCharType="separate"/>
    </w:r>
    <w:r w:rsidR="00990CA8">
      <w:rPr>
        <w:noProof/>
      </w:rPr>
      <w:t>1324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07D6"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07D6" w:rsidRDefault="006B07D6">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6B07D6" w:rsidRDefault="006B07D6"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pStyle w:val="Footer"/>
      <w:rPr>
        <w:lang w:val="fr-CA"/>
      </w:rPr>
    </w:pPr>
    <w:r>
      <w:rPr>
        <w:lang w:val="fr-CA"/>
      </w:rPr>
      <w:pict>
        <v:rect id="_x0000_i1070" style="width:480.95pt;height:1pt" o:hralign="center" o:hrstd="t" o:hrnoshade="t" o:hr="t" fillcolor="black [3213]" stroked="f"/>
      </w:pict>
    </w:r>
  </w:p>
  <w:p w:rsidR="006B07D6" w:rsidRDefault="006B07D6" w:rsidP="00EB2B90">
    <w:pPr>
      <w:tabs>
        <w:tab w:val="center" w:pos="4680"/>
      </w:tabs>
    </w:pPr>
    <w:r>
      <w:tab/>
      <w:t xml:space="preserve">- </w:t>
    </w:r>
    <w:r>
      <w:fldChar w:fldCharType="begin"/>
    </w:r>
    <w:r>
      <w:instrText xml:space="preserve"> PAGE   \* MERGEFORMAT </w:instrText>
    </w:r>
    <w:r>
      <w:fldChar w:fldCharType="separate"/>
    </w:r>
    <w:r w:rsidR="00990CA8">
      <w:rPr>
        <w:noProof/>
      </w:rPr>
      <w:t>1327</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07D6"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07D6" w:rsidRDefault="006B07D6">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rsidP="00732DB7">
    <w:r>
      <w:pict>
        <v:rect id="_x0000_i1072" style="width:480.95pt;height:1pt" o:hralign="center" o:hrstd="t" o:hrnoshade="t" o:hr="t" fillcolor="black" stroked="f"/>
      </w:pict>
    </w:r>
  </w:p>
  <w:p w:rsidR="006B07D6" w:rsidRDefault="006B07D6">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pStyle w:val="Footer"/>
    </w:pPr>
    <w:r>
      <w:pict>
        <v:rect id="_x0000_i1073" style="width:480.95pt;height:1pt" o:hralign="center" o:hrstd="t" o:hrnoshade="t" o:hr="t" fillcolor="black [3213]" stroked="f"/>
      </w:pict>
    </w:r>
  </w:p>
  <w:p w:rsidR="006B07D6" w:rsidRPr="003C2C0F" w:rsidRDefault="006B07D6" w:rsidP="00697C62">
    <w:pPr>
      <w:tabs>
        <w:tab w:val="center" w:pos="4680"/>
      </w:tabs>
    </w:pPr>
    <w:r>
      <w:tab/>
      <w:t xml:space="preserve">- </w:t>
    </w:r>
    <w:r>
      <w:fldChar w:fldCharType="begin"/>
    </w:r>
    <w:r>
      <w:instrText xml:space="preserve"> PAGE   \* MERGEFORMAT </w:instrText>
    </w:r>
    <w:r>
      <w:fldChar w:fldCharType="separate"/>
    </w:r>
    <w:r w:rsidR="00990CA8">
      <w:rPr>
        <w:noProof/>
      </w:rPr>
      <w:t>1328</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6B07D6" w:rsidRDefault="006B07D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6B07D6" w:rsidRDefault="006B07D6">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rsidP="0022323B">
    <w:r>
      <w:pict>
        <v:rect id="_x0000_i1076" style="width:480.95pt;height:1pt" o:hralign="center" o:hrstd="t" o:hrnoshade="t" o:hr="t" fillcolor="black [3213]" stroked="f"/>
      </w:pict>
    </w:r>
  </w:p>
  <w:p w:rsidR="006B07D6" w:rsidRDefault="006B07D6">
    <w:pPr>
      <w:tabs>
        <w:tab w:val="center" w:pos="4740"/>
      </w:tabs>
      <w:spacing w:line="0" w:lineRule="atLeast"/>
    </w:pPr>
    <w:r>
      <w:tab/>
      <w:t xml:space="preserve">- </w:t>
    </w:r>
    <w:r>
      <w:fldChar w:fldCharType="begin"/>
    </w:r>
    <w:r>
      <w:instrText xml:space="preserve"> PAGE   \* MERGEFORMAT </w:instrText>
    </w:r>
    <w:r>
      <w:fldChar w:fldCharType="separate"/>
    </w:r>
    <w:r>
      <w:rPr>
        <w:noProof/>
      </w:rPr>
      <w:t>542</w:t>
    </w:r>
    <w:r>
      <w:rPr>
        <w:noProof/>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rsidP="0022323B">
    <w:r>
      <w:pict>
        <v:rect id="_x0000_i1077" style="width:480.95pt;height:1pt" o:hralign="center" o:hrstd="t" o:hrnoshade="t" o:hr="t" fillcolor="black [3213]" stroked="f"/>
      </w:pict>
    </w:r>
  </w:p>
  <w:p w:rsidR="006B07D6" w:rsidRDefault="006B07D6" w:rsidP="0022323B">
    <w:pPr>
      <w:tabs>
        <w:tab w:val="center" w:pos="4740"/>
      </w:tabs>
      <w:spacing w:line="0" w:lineRule="atLeast"/>
    </w:pPr>
    <w:r>
      <w:tab/>
      <w:t xml:space="preserve">- </w:t>
    </w:r>
    <w:r>
      <w:fldChar w:fldCharType="begin"/>
    </w:r>
    <w:r>
      <w:instrText xml:space="preserve"> PAGE   \* MERGEFORMAT </w:instrText>
    </w:r>
    <w:r>
      <w:fldChar w:fldCharType="separate"/>
    </w:r>
    <w:r w:rsidR="00990CA8">
      <w:rPr>
        <w:noProof/>
      </w:rPr>
      <w:t>1329</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rsidP="00755F22">
    <w:pPr>
      <w:tabs>
        <w:tab w:val="left" w:pos="-1440"/>
        <w:tab w:val="left" w:pos="-720"/>
      </w:tabs>
    </w:pPr>
    <w:r>
      <w:pict>
        <v:rect id="_x0000_i1034" style="width:480.95pt;height:1pt" o:hralign="center" o:hrstd="t" o:hrnoshade="t" o:hr="t" fillcolor="black [3213]" stroked="f"/>
      </w:pict>
    </w:r>
  </w:p>
  <w:p w:rsidR="006B07D6" w:rsidRPr="00954D22" w:rsidRDefault="006B07D6"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990CA8">
      <w:rPr>
        <w:noProof/>
        <w:szCs w:val="24"/>
      </w:rPr>
      <w:t>1297</w:t>
    </w:r>
    <w:r>
      <w:rPr>
        <w:szCs w:val="24"/>
      </w:rPr>
      <w:fldChar w:fldCharType="end"/>
    </w:r>
    <w:r w:rsidRPr="00954D22">
      <w:rPr>
        <w:szCs w:val="24"/>
      </w:rPr>
      <w:t xml:space="preserve"> -</w:t>
    </w:r>
  </w:p>
  <w:p w:rsidR="006B07D6" w:rsidRDefault="006B07D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rsidP="0022323B">
    <w:r>
      <w:pict>
        <v:rect id="_x0000_i1080" style="width:480.95pt;height:1pt" o:hralign="center" o:hrstd="t" o:hrnoshade="t" o:hr="t" fillcolor="black [3213]" stroked="f"/>
      </w:pict>
    </w:r>
  </w:p>
  <w:p w:rsidR="006B07D6" w:rsidRDefault="006B07D6">
    <w:pPr>
      <w:tabs>
        <w:tab w:val="center" w:pos="4740"/>
      </w:tabs>
      <w:spacing w:line="0" w:lineRule="atLeast"/>
    </w:pPr>
    <w:r>
      <w:tab/>
      <w:t xml:space="preserve">- </w:t>
    </w:r>
    <w:r>
      <w:fldChar w:fldCharType="begin"/>
    </w:r>
    <w:r>
      <w:instrText xml:space="preserve"> PAGE   \* MERGEFORMAT </w:instrText>
    </w:r>
    <w:r>
      <w:fldChar w:fldCharType="separate"/>
    </w:r>
    <w:r w:rsidR="00990CA8">
      <w:rPr>
        <w:noProof/>
      </w:rPr>
      <w:t>1338</w:t>
    </w:r>
    <w:r>
      <w:rPr>
        <w:noProof/>
      </w:rP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rsidP="0022323B">
    <w:r>
      <w:pict>
        <v:rect id="_x0000_i1081" style="width:480.95pt;height:1pt" o:hralign="center" o:hrstd="t" o:hrnoshade="t" o:hr="t" fillcolor="black [3213]" stroked="f"/>
      </w:pict>
    </w:r>
  </w:p>
  <w:p w:rsidR="006B07D6" w:rsidRDefault="006B07D6" w:rsidP="0022323B">
    <w:pPr>
      <w:tabs>
        <w:tab w:val="center" w:pos="4740"/>
      </w:tabs>
      <w:spacing w:line="0" w:lineRule="atLeast"/>
    </w:pPr>
    <w:r>
      <w:tab/>
      <w:t xml:space="preserve">- </w:t>
    </w:r>
    <w:r>
      <w:fldChar w:fldCharType="begin"/>
    </w:r>
    <w:r>
      <w:instrText xml:space="preserve"> PAGE   \* MERGEFORMAT </w:instrText>
    </w:r>
    <w:r>
      <w:fldChar w:fldCharType="separate"/>
    </w:r>
    <w:r w:rsidR="00990CA8">
      <w:rPr>
        <w:noProof/>
      </w:rPr>
      <w:t>1330</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Pr="00924065" w:rsidRDefault="006B07D6"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rsidP="00A87207">
    <w:pPr>
      <w:pStyle w:val="Footer"/>
    </w:pPr>
    <w:r>
      <w:pict>
        <v:rect id="_x0000_i1036" style="width:480.95pt;height:1pt" o:hralign="center" o:hrstd="t" o:hrnoshade="t" o:hr="t" fillcolor="black [3213]" stroked="f"/>
      </w:pict>
    </w:r>
  </w:p>
  <w:p w:rsidR="006B07D6" w:rsidRPr="00B7374B" w:rsidRDefault="006B07D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6B07D6" w:rsidRPr="00954D22" w:rsidRDefault="006B07D6"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990CA8">
      <w:rPr>
        <w:noProof/>
        <w:szCs w:val="24"/>
      </w:rPr>
      <w:t>1299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B07D6"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07D6" w:rsidRDefault="006B07D6">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2" style="width:480.95pt;height:1pt" o:hralign="center" o:hrstd="t" o:hrnoshade="t" o:hr="t" fillcolor="black [3213]" stroked="f"/>
      </w:pict>
    </w:r>
  </w:p>
  <w:p w:rsidR="006B07D6" w:rsidRPr="0009648D" w:rsidRDefault="006B07D6" w:rsidP="00ED7E83">
    <w:pPr>
      <w:tabs>
        <w:tab w:val="center" w:pos="4680"/>
      </w:tabs>
    </w:pPr>
    <w:r>
      <w:tab/>
    </w:r>
    <w:r w:rsidRPr="0009648D">
      <w:t xml:space="preserve">- </w:t>
    </w:r>
    <w:r>
      <w:fldChar w:fldCharType="begin"/>
    </w:r>
    <w:r>
      <w:instrText xml:space="preserve"> PAGE   \* MERGEFORMAT </w:instrText>
    </w:r>
    <w:r>
      <w:fldChar w:fldCharType="separate"/>
    </w:r>
    <w:r w:rsidR="00990CA8">
      <w:rPr>
        <w:noProof/>
      </w:rPr>
      <w:t>1315</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pStyle w:val="Footer"/>
      <w:rPr>
        <w:lang w:val="fr-CA"/>
      </w:rPr>
    </w:pPr>
    <w:r>
      <w:rPr>
        <w:lang w:val="fr-CA"/>
      </w:rPr>
      <w:pict>
        <v:rect id="_x0000_i1063" style="width:480.95pt;height:1pt" o:hralign="center" o:hrstd="t" o:hrnoshade="t" o:hr="t" fillcolor="black [3213]" stroked="f"/>
      </w:pict>
    </w:r>
  </w:p>
  <w:p w:rsidR="006B07D6" w:rsidRDefault="006B07D6" w:rsidP="00245129">
    <w:pPr>
      <w:tabs>
        <w:tab w:val="center" w:pos="4680"/>
      </w:tabs>
    </w:pPr>
    <w:r>
      <w:tab/>
    </w:r>
    <w:r w:rsidRPr="0009648D">
      <w:t xml:space="preserve">- </w:t>
    </w:r>
    <w:r>
      <w:fldChar w:fldCharType="begin"/>
    </w:r>
    <w:r>
      <w:instrText xml:space="preserve"> PAGE   \* MERGEFORMAT </w:instrText>
    </w:r>
    <w:r>
      <w:fldChar w:fldCharType="separate"/>
    </w:r>
    <w:r w:rsidR="00990CA8">
      <w:rPr>
        <w:noProof/>
      </w:rPr>
      <w:t>1300</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07D6"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07D6" w:rsidRDefault="006B07D6">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rsidP="00755F22">
    <w:pPr>
      <w:tabs>
        <w:tab w:val="left" w:pos="-1440"/>
        <w:tab w:val="left" w:pos="-720"/>
      </w:tabs>
    </w:pPr>
    <w:r>
      <w:pict>
        <v:rect id="_x0000_i1066" style="width:480.95pt;height:1pt" o:hralign="center" o:hrstd="t" o:hrnoshade="t" o:hr="t" fillcolor="black [3213]" stroked="f"/>
      </w:pict>
    </w:r>
  </w:p>
  <w:p w:rsidR="006B07D6" w:rsidRDefault="006B07D6" w:rsidP="00EB2B90">
    <w:pPr>
      <w:tabs>
        <w:tab w:val="center" w:pos="4680"/>
      </w:tabs>
    </w:pPr>
    <w:r>
      <w:tab/>
      <w:t xml:space="preserve">- </w:t>
    </w:r>
    <w:r>
      <w:fldChar w:fldCharType="begin"/>
    </w:r>
    <w:r>
      <w:instrText xml:space="preserve"> PAGE   \* MERGEFORMAT </w:instrText>
    </w:r>
    <w:r>
      <w:fldChar w:fldCharType="separate"/>
    </w:r>
    <w:r w:rsidR="00990CA8">
      <w:rPr>
        <w:noProof/>
      </w:rPr>
      <w:t>1326</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7D6" w:rsidRDefault="006B07D6" w:rsidP="00A87207">
      <w:r>
        <w:separator/>
      </w:r>
    </w:p>
  </w:footnote>
  <w:footnote w:type="continuationSeparator" w:id="0">
    <w:p w:rsidR="006B07D6" w:rsidRDefault="006B07D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B07D6" w:rsidRPr="0044776A" w:rsidTr="00245129">
      <w:tc>
        <w:tcPr>
          <w:tcW w:w="4290" w:type="dxa"/>
          <w:tcMar>
            <w:left w:w="0" w:type="dxa"/>
            <w:right w:w="0" w:type="dxa"/>
          </w:tcMar>
        </w:tcPr>
        <w:p w:rsidR="006B07D6" w:rsidRPr="0044776A" w:rsidRDefault="006B07D6"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6B07D6" w:rsidRPr="0044776A" w:rsidRDefault="006B07D6" w:rsidP="002E2327">
          <w:pPr>
            <w:keepNext/>
            <w:keepLines/>
            <w:tabs>
              <w:tab w:val="left" w:pos="-1440"/>
              <w:tab w:val="left" w:pos="-720"/>
            </w:tabs>
            <w:jc w:val="center"/>
            <w:rPr>
              <w:sz w:val="20"/>
              <w:szCs w:val="20"/>
            </w:rPr>
          </w:pPr>
        </w:p>
        <w:p w:rsidR="006B07D6" w:rsidRPr="0044776A" w:rsidRDefault="006B07D6" w:rsidP="002E2327">
          <w:pPr>
            <w:keepNext/>
            <w:keepLines/>
            <w:tabs>
              <w:tab w:val="left" w:pos="-1440"/>
              <w:tab w:val="left" w:pos="-720"/>
            </w:tabs>
            <w:jc w:val="center"/>
            <w:rPr>
              <w:sz w:val="20"/>
              <w:szCs w:val="20"/>
            </w:rPr>
          </w:pPr>
        </w:p>
        <w:p w:rsidR="006B07D6" w:rsidRPr="0044776A" w:rsidRDefault="006B07D6" w:rsidP="002E2327">
          <w:pPr>
            <w:keepNext/>
            <w:keepLines/>
            <w:tabs>
              <w:tab w:val="left" w:pos="-1440"/>
              <w:tab w:val="left" w:pos="-720"/>
            </w:tabs>
            <w:jc w:val="center"/>
            <w:rPr>
              <w:sz w:val="20"/>
              <w:szCs w:val="20"/>
            </w:rPr>
          </w:pPr>
        </w:p>
      </w:tc>
      <w:tc>
        <w:tcPr>
          <w:tcW w:w="4320" w:type="dxa"/>
          <w:tcMar>
            <w:left w:w="0" w:type="dxa"/>
            <w:right w:w="0" w:type="dxa"/>
          </w:tcMar>
        </w:tcPr>
        <w:p w:rsidR="006B07D6" w:rsidRPr="0044776A" w:rsidRDefault="006B07D6" w:rsidP="002E2327">
          <w:pPr>
            <w:keepLines/>
            <w:rPr>
              <w:sz w:val="20"/>
              <w:szCs w:val="20"/>
              <w:lang w:val="fr-CA"/>
            </w:rPr>
          </w:pPr>
          <w:r w:rsidRPr="0044776A">
            <w:rPr>
              <w:sz w:val="20"/>
              <w:szCs w:val="20"/>
              <w:lang w:val="fr-CA"/>
            </w:rPr>
            <w:t>DEMANDES D'AUTORISATION D'APPEL DÉPOSÉES</w:t>
          </w:r>
        </w:p>
      </w:tc>
    </w:tr>
  </w:tbl>
  <w:p w:rsidR="006B07D6" w:rsidRDefault="006B07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B07D6" w:rsidRPr="006B07D6">
      <w:tc>
        <w:tcPr>
          <w:tcW w:w="4200" w:type="dxa"/>
          <w:tcMar>
            <w:left w:w="0" w:type="dxa"/>
            <w:right w:w="0" w:type="dxa"/>
          </w:tcMar>
        </w:tcPr>
        <w:p w:rsidR="006B07D6" w:rsidRDefault="006B07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6B07D6" w:rsidRDefault="006B07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B07D6" w:rsidRPr="00B01A03" w:rsidRDefault="006B07D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6B07D6" w:rsidRPr="00B01A03"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B07D6" w:rsidRPr="00B01A03"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6B07D6" w:rsidRPr="006B07D6" w:rsidTr="00245129">
      <w:tc>
        <w:tcPr>
          <w:tcW w:w="4200" w:type="dxa"/>
          <w:tcMar>
            <w:left w:w="0" w:type="dxa"/>
            <w:right w:w="0" w:type="dxa"/>
          </w:tcMar>
        </w:tcPr>
        <w:p w:rsidR="006B07D6" w:rsidRPr="00F40249" w:rsidRDefault="006B07D6"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6B07D6" w:rsidRDefault="006B07D6" w:rsidP="00102926">
          <w:pPr>
            <w:keepNext/>
            <w:keepLines/>
            <w:tabs>
              <w:tab w:val="left" w:pos="-1440"/>
              <w:tab w:val="left" w:pos="-720"/>
            </w:tabs>
            <w:jc w:val="center"/>
            <w:rPr>
              <w:sz w:val="20"/>
              <w:szCs w:val="20"/>
            </w:rPr>
          </w:pPr>
        </w:p>
        <w:p w:rsidR="006B07D6" w:rsidRDefault="006B07D6" w:rsidP="00102926">
          <w:pPr>
            <w:keepNext/>
            <w:keepLines/>
            <w:tabs>
              <w:tab w:val="left" w:pos="-1440"/>
              <w:tab w:val="left" w:pos="-720"/>
            </w:tabs>
            <w:jc w:val="center"/>
            <w:rPr>
              <w:sz w:val="20"/>
              <w:szCs w:val="20"/>
            </w:rPr>
          </w:pPr>
        </w:p>
        <w:p w:rsidR="006B07D6" w:rsidRPr="00F40249" w:rsidRDefault="006B07D6" w:rsidP="00102926">
          <w:pPr>
            <w:keepNext/>
            <w:keepLines/>
            <w:tabs>
              <w:tab w:val="left" w:pos="-1440"/>
              <w:tab w:val="left" w:pos="-720"/>
            </w:tabs>
            <w:jc w:val="center"/>
            <w:rPr>
              <w:sz w:val="20"/>
              <w:szCs w:val="20"/>
            </w:rPr>
          </w:pPr>
        </w:p>
      </w:tc>
      <w:tc>
        <w:tcPr>
          <w:tcW w:w="4230" w:type="dxa"/>
          <w:tcMar>
            <w:left w:w="0" w:type="dxa"/>
            <w:right w:w="0" w:type="dxa"/>
          </w:tcMar>
        </w:tcPr>
        <w:p w:rsidR="006B07D6" w:rsidRPr="00F40249" w:rsidRDefault="006B07D6"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6B07D6" w:rsidRPr="00B01A03" w:rsidRDefault="006B07D6"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B07D6" w:rsidRPr="006B07D6">
      <w:tc>
        <w:tcPr>
          <w:tcW w:w="4200" w:type="dxa"/>
          <w:tcMar>
            <w:left w:w="0" w:type="dxa"/>
            <w:right w:w="0" w:type="dxa"/>
          </w:tcMar>
        </w:tcPr>
        <w:p w:rsidR="006B07D6" w:rsidRDefault="006B07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6B07D6" w:rsidRDefault="006B07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6B07D6" w:rsidRDefault="006B07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6B07D6" w:rsidRPr="003C2C0F" w:rsidRDefault="006B07D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6B07D6" w:rsidRPr="003C2C0F"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6B07D6" w:rsidRPr="003C2C0F"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B07D6" w:rsidRPr="006B07D6" w:rsidTr="00245129">
      <w:tc>
        <w:tcPr>
          <w:tcW w:w="4200" w:type="dxa"/>
          <w:tcMar>
            <w:left w:w="0" w:type="dxa"/>
            <w:right w:w="0" w:type="dxa"/>
          </w:tcMar>
        </w:tcPr>
        <w:p w:rsidR="006B07D6" w:rsidRPr="00FF6EEC" w:rsidRDefault="006B07D6" w:rsidP="00FF6EEC">
          <w:pPr>
            <w:rPr>
              <w:sz w:val="20"/>
              <w:szCs w:val="20"/>
            </w:rPr>
          </w:pPr>
          <w:r w:rsidRPr="00FF6EEC">
            <w:rPr>
              <w:sz w:val="20"/>
              <w:szCs w:val="20"/>
            </w:rPr>
            <w:t>PRONOUNCEMENTS OF APPEALS RESERVED</w:t>
          </w:r>
        </w:p>
      </w:tc>
      <w:tc>
        <w:tcPr>
          <w:tcW w:w="1200" w:type="dxa"/>
          <w:tcMar>
            <w:left w:w="0" w:type="dxa"/>
            <w:right w:w="0" w:type="dxa"/>
          </w:tcMar>
        </w:tcPr>
        <w:p w:rsidR="006B07D6" w:rsidRPr="00FF6EEC" w:rsidRDefault="006B07D6" w:rsidP="00FF6EEC">
          <w:pPr>
            <w:jc w:val="center"/>
            <w:rPr>
              <w:sz w:val="20"/>
              <w:szCs w:val="20"/>
            </w:rPr>
          </w:pPr>
        </w:p>
        <w:p w:rsidR="006B07D6" w:rsidRPr="00FF6EEC" w:rsidRDefault="006B07D6" w:rsidP="00FF6EEC">
          <w:pPr>
            <w:jc w:val="center"/>
            <w:rPr>
              <w:sz w:val="20"/>
              <w:szCs w:val="20"/>
            </w:rPr>
          </w:pPr>
        </w:p>
        <w:p w:rsidR="006B07D6" w:rsidRPr="00FF6EEC" w:rsidRDefault="006B07D6" w:rsidP="00FF6EEC">
          <w:pPr>
            <w:jc w:val="center"/>
            <w:rPr>
              <w:sz w:val="20"/>
              <w:szCs w:val="20"/>
            </w:rPr>
          </w:pPr>
        </w:p>
      </w:tc>
      <w:tc>
        <w:tcPr>
          <w:tcW w:w="4080" w:type="dxa"/>
          <w:tcMar>
            <w:left w:w="0" w:type="dxa"/>
            <w:right w:w="0" w:type="dxa"/>
          </w:tcMar>
        </w:tcPr>
        <w:p w:rsidR="006B07D6" w:rsidRPr="00FF6EEC" w:rsidRDefault="006B07D6" w:rsidP="00FF6EEC">
          <w:pPr>
            <w:rPr>
              <w:sz w:val="20"/>
              <w:szCs w:val="20"/>
              <w:lang w:val="fr-CA"/>
            </w:rPr>
          </w:pPr>
          <w:r w:rsidRPr="00FF6EEC">
            <w:rPr>
              <w:sz w:val="20"/>
              <w:szCs w:val="20"/>
              <w:lang w:val="fr-CA"/>
            </w:rPr>
            <w:t>JUGEMENTS RENDUS SUR LES APPELS EN DÉLIBÉRÉ</w:t>
          </w:r>
        </w:p>
      </w:tc>
    </w:tr>
  </w:tbl>
  <w:p w:rsidR="006B07D6" w:rsidRPr="003C2C0F" w:rsidRDefault="006B07D6"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B07D6">
      <w:tc>
        <w:tcPr>
          <w:tcW w:w="4200" w:type="dxa"/>
          <w:tcMar>
            <w:left w:w="0" w:type="dxa"/>
            <w:right w:w="0" w:type="dxa"/>
          </w:tcMar>
        </w:tcPr>
        <w:p w:rsidR="006B07D6" w:rsidRDefault="006B07D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6B07D6" w:rsidRDefault="006B07D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6B07D6" w:rsidRDefault="006B07D6">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6B07D6" w:rsidRDefault="006B07D6">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6B07D6" w:rsidRDefault="006B07D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6B07D6" w:rsidRDefault="006B07D6">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B07D6" w:rsidRPr="00C50A5C" w:rsidTr="00245129">
      <w:tc>
        <w:tcPr>
          <w:tcW w:w="4200" w:type="dxa"/>
          <w:tcMar>
            <w:left w:w="0" w:type="dxa"/>
            <w:right w:w="0" w:type="dxa"/>
          </w:tcMar>
        </w:tcPr>
        <w:p w:rsidR="006B07D6" w:rsidRPr="00C50A5C" w:rsidRDefault="006B07D6"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6B07D6" w:rsidRPr="00C50A5C" w:rsidRDefault="006B07D6"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6B07D6" w:rsidRPr="00C50A5C" w:rsidRDefault="006B07D6"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6B07D6" w:rsidRPr="00C50A5C" w:rsidRDefault="006B07D6"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6B07D6" w:rsidRDefault="006B07D6"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B07D6" w:rsidRPr="005F263E" w:rsidTr="00245129">
      <w:tc>
        <w:tcPr>
          <w:tcW w:w="4200" w:type="dxa"/>
          <w:tcMar>
            <w:left w:w="0" w:type="dxa"/>
            <w:right w:w="0" w:type="dxa"/>
          </w:tcMar>
        </w:tcPr>
        <w:p w:rsidR="006B07D6" w:rsidRPr="005F263E" w:rsidRDefault="006B07D6"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6B07D6" w:rsidRPr="005F263E" w:rsidRDefault="006B07D6" w:rsidP="00245129">
          <w:pPr>
            <w:keepNext/>
            <w:keepLines/>
            <w:tabs>
              <w:tab w:val="left" w:pos="-1440"/>
              <w:tab w:val="left" w:pos="-720"/>
            </w:tabs>
            <w:jc w:val="center"/>
            <w:rPr>
              <w:sz w:val="20"/>
              <w:szCs w:val="20"/>
            </w:rPr>
          </w:pPr>
        </w:p>
        <w:p w:rsidR="006B07D6" w:rsidRPr="005F263E" w:rsidRDefault="006B07D6" w:rsidP="00245129">
          <w:pPr>
            <w:keepNext/>
            <w:keepLines/>
            <w:tabs>
              <w:tab w:val="left" w:pos="-1440"/>
              <w:tab w:val="left" w:pos="-720"/>
            </w:tabs>
            <w:jc w:val="center"/>
            <w:rPr>
              <w:sz w:val="20"/>
              <w:szCs w:val="20"/>
            </w:rPr>
          </w:pPr>
        </w:p>
      </w:tc>
      <w:tc>
        <w:tcPr>
          <w:tcW w:w="4080" w:type="dxa"/>
          <w:tcMar>
            <w:left w:w="0" w:type="dxa"/>
            <w:right w:w="0" w:type="dxa"/>
          </w:tcMar>
        </w:tcPr>
        <w:p w:rsidR="006B07D6" w:rsidRPr="005F263E" w:rsidRDefault="006B07D6" w:rsidP="00245129">
          <w:pPr>
            <w:keepLines/>
            <w:tabs>
              <w:tab w:val="left" w:pos="-1440"/>
              <w:tab w:val="left" w:pos="-720"/>
            </w:tabs>
            <w:rPr>
              <w:sz w:val="20"/>
              <w:szCs w:val="20"/>
            </w:rPr>
          </w:pPr>
          <w:r w:rsidRPr="005F263E">
            <w:rPr>
              <w:sz w:val="20"/>
              <w:szCs w:val="20"/>
            </w:rPr>
            <w:t>RÉSUMÉS DES AFFAIRES</w:t>
          </w:r>
        </w:p>
      </w:tc>
    </w:tr>
  </w:tbl>
  <w:p w:rsidR="006B07D6" w:rsidRDefault="006B07D6" w:rsidP="005F263E"/>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B07D6" w:rsidRPr="006B07D6" w:rsidTr="00245129">
      <w:tc>
        <w:tcPr>
          <w:tcW w:w="4200" w:type="dxa"/>
          <w:tcMar>
            <w:left w:w="0" w:type="dxa"/>
            <w:right w:w="0" w:type="dxa"/>
          </w:tcMar>
        </w:tcPr>
        <w:p w:rsidR="006B07D6" w:rsidRPr="0044776A" w:rsidRDefault="006B07D6" w:rsidP="0044776A">
          <w:pPr>
            <w:keepNext/>
            <w:keepLines/>
            <w:widowControl w:val="0"/>
            <w:rPr>
              <w:sz w:val="20"/>
              <w:szCs w:val="20"/>
            </w:rPr>
          </w:pPr>
          <w:r>
            <w:rPr>
              <w:sz w:val="20"/>
              <w:szCs w:val="20"/>
            </w:rPr>
            <w:t>APPLICATIONS FOR LEAVE</w:t>
          </w:r>
        </w:p>
        <w:p w:rsidR="006B07D6" w:rsidRPr="0044776A" w:rsidRDefault="006B07D6"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6B07D6" w:rsidRPr="0044776A" w:rsidRDefault="006B07D6" w:rsidP="0044776A">
          <w:pPr>
            <w:keepNext/>
            <w:keepLines/>
            <w:widowControl w:val="0"/>
            <w:jc w:val="center"/>
            <w:rPr>
              <w:sz w:val="20"/>
              <w:szCs w:val="20"/>
            </w:rPr>
          </w:pPr>
        </w:p>
        <w:p w:rsidR="006B07D6" w:rsidRPr="0044776A" w:rsidRDefault="006B07D6" w:rsidP="0044776A">
          <w:pPr>
            <w:keepNext/>
            <w:keepLines/>
            <w:widowControl w:val="0"/>
            <w:jc w:val="center"/>
            <w:rPr>
              <w:sz w:val="20"/>
              <w:szCs w:val="20"/>
            </w:rPr>
          </w:pPr>
        </w:p>
        <w:p w:rsidR="006B07D6" w:rsidRPr="0044776A" w:rsidRDefault="006B07D6" w:rsidP="0044776A">
          <w:pPr>
            <w:keepNext/>
            <w:keepLines/>
            <w:widowControl w:val="0"/>
            <w:jc w:val="center"/>
            <w:rPr>
              <w:sz w:val="20"/>
              <w:szCs w:val="20"/>
            </w:rPr>
          </w:pPr>
        </w:p>
      </w:tc>
      <w:tc>
        <w:tcPr>
          <w:tcW w:w="4080" w:type="dxa"/>
          <w:tcMar>
            <w:left w:w="0" w:type="dxa"/>
            <w:right w:w="0" w:type="dxa"/>
          </w:tcMar>
        </w:tcPr>
        <w:p w:rsidR="006B07D6" w:rsidRPr="0044776A" w:rsidRDefault="006B07D6" w:rsidP="0044776A">
          <w:pPr>
            <w:keepLines/>
            <w:widowControl w:val="0"/>
            <w:rPr>
              <w:sz w:val="20"/>
              <w:szCs w:val="20"/>
              <w:lang w:val="fr-CA"/>
            </w:rPr>
          </w:pPr>
          <w:r w:rsidRPr="0044776A">
            <w:rPr>
              <w:sz w:val="20"/>
              <w:szCs w:val="20"/>
              <w:lang w:val="fr-CA"/>
            </w:rPr>
            <w:t>DEMANDES SOUMISES À LA COUR DEPUIS LA DERNIÈRE PARUTION</w:t>
          </w:r>
        </w:p>
        <w:p w:rsidR="006B07D6" w:rsidRPr="0044776A" w:rsidRDefault="006B07D6" w:rsidP="0044776A">
          <w:pPr>
            <w:widowControl w:val="0"/>
            <w:rPr>
              <w:sz w:val="20"/>
              <w:szCs w:val="20"/>
              <w:lang w:val="fr-CA"/>
            </w:rPr>
          </w:pPr>
        </w:p>
      </w:tc>
    </w:tr>
  </w:tbl>
  <w:p w:rsidR="006B07D6" w:rsidRPr="002E2327" w:rsidRDefault="006B07D6">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B07D6" w:rsidRPr="006B07D6">
      <w:tc>
        <w:tcPr>
          <w:tcW w:w="4200" w:type="dxa"/>
          <w:tcMar>
            <w:left w:w="0" w:type="dxa"/>
            <w:right w:w="0" w:type="dxa"/>
          </w:tcMar>
        </w:tcPr>
        <w:p w:rsidR="006B07D6" w:rsidRDefault="006B07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B07D6" w:rsidRDefault="006B07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B07D6" w:rsidRDefault="006B07D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B07D6" w:rsidRPr="00FF6BA5" w:rsidRDefault="006B07D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B07D6" w:rsidRPr="00FF6BA5"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B07D6" w:rsidRPr="00FF6BA5"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B07D6" w:rsidRPr="00FF6BA5"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B07D6" w:rsidRPr="006B07D6" w:rsidTr="00245129">
      <w:tc>
        <w:tcPr>
          <w:tcW w:w="4200" w:type="dxa"/>
          <w:tcMar>
            <w:left w:w="0" w:type="dxa"/>
            <w:right w:w="0" w:type="dxa"/>
          </w:tcMar>
        </w:tcPr>
        <w:p w:rsidR="006B07D6" w:rsidRPr="00755F22" w:rsidRDefault="006B07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6B07D6" w:rsidRPr="00755F22" w:rsidRDefault="006B07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6B07D6" w:rsidRPr="00755F22" w:rsidRDefault="006B07D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B07D6" w:rsidRPr="00755F22" w:rsidRDefault="006B07D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B07D6" w:rsidRPr="00755F22" w:rsidRDefault="006B07D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B07D6" w:rsidRPr="00755F22" w:rsidRDefault="006B07D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6B07D6" w:rsidRPr="00FF6BA5" w:rsidRDefault="006B07D6"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7D6" w:rsidRDefault="006B07D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B07D6">
      <w:tc>
        <w:tcPr>
          <w:tcW w:w="4230" w:type="dxa"/>
          <w:tcMar>
            <w:left w:w="0" w:type="dxa"/>
            <w:right w:w="0" w:type="dxa"/>
          </w:tcMar>
        </w:tcPr>
        <w:p w:rsidR="006B07D6" w:rsidRDefault="006B07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B07D6" w:rsidRDefault="006B07D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B07D6" w:rsidRDefault="006B07D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B07D6">
      <w:trPr>
        <w:gridAfter w:val="2"/>
        <w:wAfter w:w="5250" w:type="dxa"/>
      </w:trPr>
      <w:tc>
        <w:tcPr>
          <w:tcW w:w="4230" w:type="dxa"/>
          <w:tcMar>
            <w:left w:w="0" w:type="dxa"/>
            <w:right w:w="0" w:type="dxa"/>
          </w:tcMar>
        </w:tcPr>
        <w:p w:rsidR="006B07D6"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B07D6" w:rsidRDefault="006B07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B07D6" w:rsidRPr="00755F22" w:rsidTr="00245129">
      <w:tc>
        <w:tcPr>
          <w:tcW w:w="4230" w:type="dxa"/>
          <w:tcMar>
            <w:left w:w="0" w:type="dxa"/>
            <w:right w:w="0" w:type="dxa"/>
          </w:tcMar>
        </w:tcPr>
        <w:p w:rsidR="006B07D6" w:rsidRPr="00755F22" w:rsidRDefault="006B07D6" w:rsidP="00831CA9">
          <w:pPr>
            <w:keepNext/>
            <w:keepLines/>
            <w:rPr>
              <w:sz w:val="20"/>
              <w:szCs w:val="20"/>
            </w:rPr>
          </w:pPr>
          <w:r w:rsidRPr="00755F22">
            <w:rPr>
              <w:sz w:val="20"/>
              <w:szCs w:val="20"/>
            </w:rPr>
            <w:t>MOTIONS</w:t>
          </w:r>
        </w:p>
      </w:tc>
      <w:tc>
        <w:tcPr>
          <w:tcW w:w="1170" w:type="dxa"/>
          <w:tcMar>
            <w:left w:w="0" w:type="dxa"/>
            <w:right w:w="0" w:type="dxa"/>
          </w:tcMar>
        </w:tcPr>
        <w:p w:rsidR="006B07D6" w:rsidRPr="00755F22" w:rsidRDefault="006B07D6" w:rsidP="00831CA9">
          <w:pPr>
            <w:keepLines/>
            <w:jc w:val="center"/>
            <w:rPr>
              <w:sz w:val="20"/>
              <w:szCs w:val="20"/>
            </w:rPr>
          </w:pPr>
        </w:p>
        <w:p w:rsidR="006B07D6" w:rsidRPr="00755F22" w:rsidRDefault="006B07D6" w:rsidP="00831CA9">
          <w:pPr>
            <w:keepLines/>
            <w:tabs>
              <w:tab w:val="left" w:pos="-1440"/>
              <w:tab w:val="left" w:pos="-720"/>
            </w:tabs>
            <w:jc w:val="center"/>
            <w:rPr>
              <w:sz w:val="20"/>
              <w:szCs w:val="20"/>
            </w:rPr>
          </w:pPr>
        </w:p>
      </w:tc>
      <w:tc>
        <w:tcPr>
          <w:tcW w:w="4080" w:type="dxa"/>
          <w:tcMar>
            <w:left w:w="0" w:type="dxa"/>
            <w:right w:w="0" w:type="dxa"/>
          </w:tcMar>
        </w:tcPr>
        <w:p w:rsidR="006B07D6" w:rsidRPr="00BA6468" w:rsidRDefault="006B07D6" w:rsidP="00BA6468">
          <w:pPr>
            <w:keepLines/>
            <w:rPr>
              <w:sz w:val="20"/>
              <w:szCs w:val="20"/>
              <w:lang w:val="fr-CA"/>
            </w:rPr>
          </w:pPr>
          <w:r w:rsidRPr="00BA6468">
            <w:rPr>
              <w:sz w:val="20"/>
              <w:szCs w:val="20"/>
              <w:lang w:val="fr-CA"/>
            </w:rPr>
            <w:t>REQUÊTES</w:t>
          </w:r>
        </w:p>
      </w:tc>
    </w:tr>
  </w:tbl>
  <w:p w:rsidR="006B07D6" w:rsidRDefault="006B07D6"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C004A"/>
    <w:multiLevelType w:val="hybridMultilevel"/>
    <w:tmpl w:val="EBC6AAFA"/>
    <w:lvl w:ilvl="0" w:tplc="11BE1AF8">
      <w:start w:val="5"/>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5"/>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12"/>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6"/>
  </w:num>
  <w:num w:numId="18">
    <w:abstractNumId w:val="10"/>
  </w:num>
  <w:num w:numId="19">
    <w:abstractNumId w:val="4"/>
  </w:num>
  <w:num w:numId="20">
    <w:abstractNumId w:val="2"/>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rawingGridHorizontalSpacing w:val="120"/>
  <w:displayHorizontalDrawingGridEvery w:val="2"/>
  <w:characterSpacingControl w:val="doNotCompress"/>
  <w:hdrShapeDefaults>
    <o:shapedefaults v:ext="edit" spidmax="14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B9"/>
    <w:rsid w:val="00002704"/>
    <w:rsid w:val="000036BF"/>
    <w:rsid w:val="00020DC3"/>
    <w:rsid w:val="0003223B"/>
    <w:rsid w:val="000327B2"/>
    <w:rsid w:val="0004528B"/>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64E6D"/>
    <w:rsid w:val="00183454"/>
    <w:rsid w:val="001B157C"/>
    <w:rsid w:val="001B4006"/>
    <w:rsid w:val="001B5C23"/>
    <w:rsid w:val="001B7340"/>
    <w:rsid w:val="001D0D5F"/>
    <w:rsid w:val="001D6B8C"/>
    <w:rsid w:val="001F1F83"/>
    <w:rsid w:val="001F40DF"/>
    <w:rsid w:val="001F43F8"/>
    <w:rsid w:val="001F6B2D"/>
    <w:rsid w:val="002021A9"/>
    <w:rsid w:val="002139A7"/>
    <w:rsid w:val="00215F7C"/>
    <w:rsid w:val="0022323B"/>
    <w:rsid w:val="0022378B"/>
    <w:rsid w:val="002410B8"/>
    <w:rsid w:val="00242AEE"/>
    <w:rsid w:val="00245129"/>
    <w:rsid w:val="00245879"/>
    <w:rsid w:val="00253236"/>
    <w:rsid w:val="00267FD5"/>
    <w:rsid w:val="00274D34"/>
    <w:rsid w:val="00283ED8"/>
    <w:rsid w:val="002868D0"/>
    <w:rsid w:val="002A008C"/>
    <w:rsid w:val="002A27D1"/>
    <w:rsid w:val="002A4AFA"/>
    <w:rsid w:val="002B516C"/>
    <w:rsid w:val="002D72EB"/>
    <w:rsid w:val="002E2327"/>
    <w:rsid w:val="002E3583"/>
    <w:rsid w:val="002E5576"/>
    <w:rsid w:val="0030050B"/>
    <w:rsid w:val="00331B52"/>
    <w:rsid w:val="003359D3"/>
    <w:rsid w:val="0034787A"/>
    <w:rsid w:val="00355967"/>
    <w:rsid w:val="00382C47"/>
    <w:rsid w:val="00382DD9"/>
    <w:rsid w:val="00384384"/>
    <w:rsid w:val="003866AE"/>
    <w:rsid w:val="00395A4E"/>
    <w:rsid w:val="003B3977"/>
    <w:rsid w:val="003D67E2"/>
    <w:rsid w:val="003E1D4C"/>
    <w:rsid w:val="004137A0"/>
    <w:rsid w:val="00422D9A"/>
    <w:rsid w:val="00432989"/>
    <w:rsid w:val="00434508"/>
    <w:rsid w:val="00435232"/>
    <w:rsid w:val="00440E24"/>
    <w:rsid w:val="0044776A"/>
    <w:rsid w:val="00460AFC"/>
    <w:rsid w:val="00464E78"/>
    <w:rsid w:val="0047471F"/>
    <w:rsid w:val="004B195E"/>
    <w:rsid w:val="004B66B4"/>
    <w:rsid w:val="004B7F60"/>
    <w:rsid w:val="004C1AAC"/>
    <w:rsid w:val="004D5A60"/>
    <w:rsid w:val="004E04AC"/>
    <w:rsid w:val="004E1E0A"/>
    <w:rsid w:val="004F090E"/>
    <w:rsid w:val="00501F3C"/>
    <w:rsid w:val="00507366"/>
    <w:rsid w:val="0052229C"/>
    <w:rsid w:val="00523289"/>
    <w:rsid w:val="00527CC7"/>
    <w:rsid w:val="0056248C"/>
    <w:rsid w:val="00565A40"/>
    <w:rsid w:val="00571CA4"/>
    <w:rsid w:val="00582136"/>
    <w:rsid w:val="00587456"/>
    <w:rsid w:val="005C6840"/>
    <w:rsid w:val="005F1ED8"/>
    <w:rsid w:val="005F263E"/>
    <w:rsid w:val="00600252"/>
    <w:rsid w:val="0060166B"/>
    <w:rsid w:val="00612A40"/>
    <w:rsid w:val="0062714A"/>
    <w:rsid w:val="00646A9C"/>
    <w:rsid w:val="00675479"/>
    <w:rsid w:val="00680709"/>
    <w:rsid w:val="00681F61"/>
    <w:rsid w:val="00696BF9"/>
    <w:rsid w:val="00697C62"/>
    <w:rsid w:val="006A329B"/>
    <w:rsid w:val="006A5035"/>
    <w:rsid w:val="006A7EB8"/>
    <w:rsid w:val="006B07D6"/>
    <w:rsid w:val="006B6926"/>
    <w:rsid w:val="006C3F47"/>
    <w:rsid w:val="006C5F7A"/>
    <w:rsid w:val="006E06AF"/>
    <w:rsid w:val="006F350F"/>
    <w:rsid w:val="007020C4"/>
    <w:rsid w:val="00732DB7"/>
    <w:rsid w:val="0074238B"/>
    <w:rsid w:val="00745B82"/>
    <w:rsid w:val="00745EF7"/>
    <w:rsid w:val="00755F22"/>
    <w:rsid w:val="00762008"/>
    <w:rsid w:val="0076331E"/>
    <w:rsid w:val="00766E4A"/>
    <w:rsid w:val="007820CE"/>
    <w:rsid w:val="00782AE4"/>
    <w:rsid w:val="0079724F"/>
    <w:rsid w:val="007A3EAE"/>
    <w:rsid w:val="007C04FC"/>
    <w:rsid w:val="007C3DB0"/>
    <w:rsid w:val="007C47C2"/>
    <w:rsid w:val="007D00B9"/>
    <w:rsid w:val="007D3E0F"/>
    <w:rsid w:val="007E4282"/>
    <w:rsid w:val="007E6F25"/>
    <w:rsid w:val="007F105B"/>
    <w:rsid w:val="007F387B"/>
    <w:rsid w:val="00802863"/>
    <w:rsid w:val="008112A9"/>
    <w:rsid w:val="0081473A"/>
    <w:rsid w:val="00815B3C"/>
    <w:rsid w:val="0081610A"/>
    <w:rsid w:val="0082783A"/>
    <w:rsid w:val="00831CA9"/>
    <w:rsid w:val="00850E1F"/>
    <w:rsid w:val="0085476B"/>
    <w:rsid w:val="0086340B"/>
    <w:rsid w:val="00875849"/>
    <w:rsid w:val="008902B1"/>
    <w:rsid w:val="00890FEB"/>
    <w:rsid w:val="00895E7E"/>
    <w:rsid w:val="008A5C1A"/>
    <w:rsid w:val="008D292F"/>
    <w:rsid w:val="008E03DC"/>
    <w:rsid w:val="00902E51"/>
    <w:rsid w:val="00924065"/>
    <w:rsid w:val="00930D68"/>
    <w:rsid w:val="00932756"/>
    <w:rsid w:val="00932DB4"/>
    <w:rsid w:val="00941A4B"/>
    <w:rsid w:val="00946242"/>
    <w:rsid w:val="0095096B"/>
    <w:rsid w:val="00970CD3"/>
    <w:rsid w:val="009723FA"/>
    <w:rsid w:val="00972BA9"/>
    <w:rsid w:val="0098212C"/>
    <w:rsid w:val="00984546"/>
    <w:rsid w:val="00990CA8"/>
    <w:rsid w:val="00996510"/>
    <w:rsid w:val="009C1033"/>
    <w:rsid w:val="009D1F15"/>
    <w:rsid w:val="009D555E"/>
    <w:rsid w:val="009F3024"/>
    <w:rsid w:val="009F39BA"/>
    <w:rsid w:val="00A0355E"/>
    <w:rsid w:val="00A375D1"/>
    <w:rsid w:val="00A51D10"/>
    <w:rsid w:val="00A52A83"/>
    <w:rsid w:val="00A608ED"/>
    <w:rsid w:val="00A6552C"/>
    <w:rsid w:val="00A87207"/>
    <w:rsid w:val="00A935AA"/>
    <w:rsid w:val="00A956D3"/>
    <w:rsid w:val="00AB2201"/>
    <w:rsid w:val="00AD1D34"/>
    <w:rsid w:val="00AD3259"/>
    <w:rsid w:val="00AE636F"/>
    <w:rsid w:val="00AF1715"/>
    <w:rsid w:val="00AF3904"/>
    <w:rsid w:val="00B0072F"/>
    <w:rsid w:val="00B010C0"/>
    <w:rsid w:val="00B323A4"/>
    <w:rsid w:val="00B4740D"/>
    <w:rsid w:val="00B52C08"/>
    <w:rsid w:val="00B61629"/>
    <w:rsid w:val="00B6560C"/>
    <w:rsid w:val="00B7374B"/>
    <w:rsid w:val="00B8639C"/>
    <w:rsid w:val="00B90DC0"/>
    <w:rsid w:val="00BA116A"/>
    <w:rsid w:val="00BA5582"/>
    <w:rsid w:val="00BA6468"/>
    <w:rsid w:val="00BB1CED"/>
    <w:rsid w:val="00BB1D44"/>
    <w:rsid w:val="00BB738C"/>
    <w:rsid w:val="00BD06DA"/>
    <w:rsid w:val="00BD4217"/>
    <w:rsid w:val="00BF25F3"/>
    <w:rsid w:val="00C01FCB"/>
    <w:rsid w:val="00C1697B"/>
    <w:rsid w:val="00C21644"/>
    <w:rsid w:val="00C21CB5"/>
    <w:rsid w:val="00C46376"/>
    <w:rsid w:val="00C50A5C"/>
    <w:rsid w:val="00C50FDF"/>
    <w:rsid w:val="00C63381"/>
    <w:rsid w:val="00C661B7"/>
    <w:rsid w:val="00C73D06"/>
    <w:rsid w:val="00C73E1B"/>
    <w:rsid w:val="00C7556C"/>
    <w:rsid w:val="00C759B4"/>
    <w:rsid w:val="00C77713"/>
    <w:rsid w:val="00C85BB7"/>
    <w:rsid w:val="00CA2DEA"/>
    <w:rsid w:val="00CB3520"/>
    <w:rsid w:val="00CB43D5"/>
    <w:rsid w:val="00CC4D84"/>
    <w:rsid w:val="00CD52CA"/>
    <w:rsid w:val="00CE198A"/>
    <w:rsid w:val="00CF08C8"/>
    <w:rsid w:val="00D004FC"/>
    <w:rsid w:val="00D64901"/>
    <w:rsid w:val="00D76BDF"/>
    <w:rsid w:val="00D818B6"/>
    <w:rsid w:val="00D862C1"/>
    <w:rsid w:val="00D93B50"/>
    <w:rsid w:val="00D94028"/>
    <w:rsid w:val="00D94670"/>
    <w:rsid w:val="00DA46F6"/>
    <w:rsid w:val="00DA756F"/>
    <w:rsid w:val="00DD0B49"/>
    <w:rsid w:val="00DD48FF"/>
    <w:rsid w:val="00DE0502"/>
    <w:rsid w:val="00DE349D"/>
    <w:rsid w:val="00E06DFA"/>
    <w:rsid w:val="00E111AB"/>
    <w:rsid w:val="00E20A0A"/>
    <w:rsid w:val="00E240C2"/>
    <w:rsid w:val="00E356C7"/>
    <w:rsid w:val="00E414CA"/>
    <w:rsid w:val="00E41A5A"/>
    <w:rsid w:val="00E45FE4"/>
    <w:rsid w:val="00E64FA7"/>
    <w:rsid w:val="00E75CFD"/>
    <w:rsid w:val="00E770CB"/>
    <w:rsid w:val="00E8544A"/>
    <w:rsid w:val="00E903A1"/>
    <w:rsid w:val="00E90421"/>
    <w:rsid w:val="00E940EB"/>
    <w:rsid w:val="00E942C2"/>
    <w:rsid w:val="00E9703F"/>
    <w:rsid w:val="00EB2B90"/>
    <w:rsid w:val="00ED7E83"/>
    <w:rsid w:val="00EE091F"/>
    <w:rsid w:val="00EE5A48"/>
    <w:rsid w:val="00EF2E8B"/>
    <w:rsid w:val="00EF4B63"/>
    <w:rsid w:val="00F0068D"/>
    <w:rsid w:val="00F0576D"/>
    <w:rsid w:val="00F14E6D"/>
    <w:rsid w:val="00F15EA8"/>
    <w:rsid w:val="00F16C8D"/>
    <w:rsid w:val="00F26C61"/>
    <w:rsid w:val="00F33CCE"/>
    <w:rsid w:val="00F40249"/>
    <w:rsid w:val="00F526C8"/>
    <w:rsid w:val="00F655AF"/>
    <w:rsid w:val="00F761A3"/>
    <w:rsid w:val="00F9185B"/>
    <w:rsid w:val="00F9272D"/>
    <w:rsid w:val="00F9518C"/>
    <w:rsid w:val="00FA316E"/>
    <w:rsid w:val="00FA3373"/>
    <w:rsid w:val="00FA59EF"/>
    <w:rsid w:val="00FA688A"/>
    <w:rsid w:val="00FB19A2"/>
    <w:rsid w:val="00FB4A2E"/>
    <w:rsid w:val="00FE4AE1"/>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qFormat/>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styleId="BalloonText">
    <w:name w:val="Balloon Text"/>
    <w:basedOn w:val="Normal"/>
    <w:link w:val="BalloonTextChar"/>
    <w:uiPriority w:val="99"/>
    <w:semiHidden/>
    <w:unhideWhenUsed/>
    <w:rsid w:val="002237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78B"/>
    <w:rPr>
      <w:rFonts w:ascii="Segoe UI" w:hAnsi="Segoe UI" w:cs="Segoe UI"/>
      <w:sz w:val="18"/>
      <w:szCs w:val="18"/>
      <w:lang w:val="en-CA"/>
    </w:rPr>
  </w:style>
  <w:style w:type="paragraph" w:customStyle="1" w:styleId="SCCBanSummary">
    <w:name w:val="SCC.BanSummary"/>
    <w:basedOn w:val="Normal"/>
    <w:next w:val="Normal"/>
    <w:link w:val="SCCBanSummaryChar"/>
    <w:rsid w:val="00B0072F"/>
    <w:pPr>
      <w:jc w:val="both"/>
    </w:pPr>
    <w:rPr>
      <w:rFonts w:eastAsia="Calibri" w:cs="Times New Roman"/>
      <w:smallCaps/>
    </w:rPr>
  </w:style>
  <w:style w:type="character" w:customStyle="1" w:styleId="SCCBanSummaryChar">
    <w:name w:val="SCC.BanSummary Char"/>
    <w:basedOn w:val="DefaultParagraphFont"/>
    <w:link w:val="SCCBanSummary"/>
    <w:rsid w:val="00B0072F"/>
    <w:rPr>
      <w:rFonts w:eastAsia="Calibri" w:cs="Times New Roman"/>
      <w:smallCaps/>
      <w:lang w:val="en-CA"/>
    </w:rPr>
  </w:style>
  <w:style w:type="paragraph" w:styleId="NoSpacing">
    <w:name w:val="No Spacing"/>
    <w:uiPriority w:val="1"/>
    <w:qFormat/>
    <w:rsid w:val="00B0072F"/>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B0072F"/>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B0072F"/>
    <w:rPr>
      <w:rFonts w:eastAsia="Calibri" w:cs="Times New Roman"/>
      <w:szCs w:val="24"/>
      <w:lang w:val="en-CA"/>
    </w:rPr>
  </w:style>
  <w:style w:type="character" w:customStyle="1" w:styleId="DocumentMapChar">
    <w:name w:val="Document Map Char"/>
    <w:basedOn w:val="DefaultParagraphFont"/>
    <w:link w:val="DocumentMap"/>
    <w:uiPriority w:val="99"/>
    <w:semiHidden/>
    <w:rsid w:val="00B0072F"/>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B0072F"/>
    <w:rPr>
      <w:rFonts w:ascii="Tahoma" w:eastAsia="Times New Roman" w:hAnsi="Tahoma" w:cs="Tahoma"/>
      <w:sz w:val="16"/>
      <w:szCs w:val="16"/>
      <w:lang w:val="en-US"/>
    </w:rPr>
  </w:style>
  <w:style w:type="paragraph" w:customStyle="1" w:styleId="Style268435469">
    <w:name w:val="Style268435469"/>
    <w:rsid w:val="00B0072F"/>
    <w:pPr>
      <w:autoSpaceDE w:val="0"/>
      <w:autoSpaceDN w:val="0"/>
      <w:adjustRightInd w:val="0"/>
    </w:pPr>
    <w:rPr>
      <w:rFonts w:ascii="Arial" w:eastAsia="Calibri" w:hAnsi="Arial" w:cs="Arial"/>
      <w:szCs w:val="24"/>
      <w:lang w:val="en-CA"/>
    </w:rPr>
  </w:style>
  <w:style w:type="character" w:customStyle="1" w:styleId="PlainTextChar">
    <w:name w:val="Plain Text Char"/>
    <w:basedOn w:val="DefaultParagraphFont"/>
    <w:link w:val="PlainText"/>
    <w:uiPriority w:val="99"/>
    <w:semiHidden/>
    <w:rsid w:val="00B0072F"/>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B0072F"/>
    <w:rPr>
      <w:rFonts w:ascii="Consolas" w:eastAsia="Times New Roman" w:hAnsi="Consolas" w:cs="Times New Roman"/>
      <w:sz w:val="21"/>
      <w:szCs w:val="21"/>
      <w:lang w:val="en-US"/>
    </w:rPr>
  </w:style>
  <w:style w:type="paragraph" w:styleId="CommentText">
    <w:name w:val="annotation text"/>
    <w:basedOn w:val="Normal"/>
    <w:link w:val="CommentTextChar"/>
    <w:uiPriority w:val="99"/>
    <w:semiHidden/>
    <w:unhideWhenUsed/>
    <w:rsid w:val="00B0072F"/>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B0072F"/>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B0072F"/>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0072F"/>
    <w:rPr>
      <w:b/>
      <w:bCs/>
    </w:rPr>
  </w:style>
  <w:style w:type="paragraph" w:customStyle="1" w:styleId="felskynumbering121">
    <w:name w:val="felskynumbering121"/>
    <w:basedOn w:val="Normal"/>
    <w:rsid w:val="00B0072F"/>
    <w:pPr>
      <w:spacing w:before="120" w:after="120"/>
    </w:pPr>
    <w:rPr>
      <w:rFonts w:eastAsia="Times New Roman" w:cs="Times New Roman"/>
      <w:szCs w:val="24"/>
      <w:lang w:val="en-US"/>
    </w:rPr>
  </w:style>
  <w:style w:type="paragraph" w:customStyle="1" w:styleId="aparanumbering1">
    <w:name w:val="aparanumbering1"/>
    <w:basedOn w:val="Normal"/>
    <w:rsid w:val="00B0072F"/>
    <w:pPr>
      <w:spacing w:before="120" w:after="120"/>
      <w:jc w:val="both"/>
    </w:pPr>
    <w:rPr>
      <w:rFonts w:ascii="Arial" w:eastAsia="Times New Roman" w:hAnsi="Arial" w:cs="Arial"/>
      <w:sz w:val="26"/>
      <w:szCs w:val="26"/>
      <w:lang w:val="en-US"/>
    </w:rPr>
  </w:style>
  <w:style w:type="table" w:customStyle="1" w:styleId="TableGrid8">
    <w:name w:val="Table Grid8"/>
    <w:basedOn w:val="TableNormal"/>
    <w:next w:val="TableGrid"/>
    <w:uiPriority w:val="59"/>
    <w:rsid w:val="00395A4E"/>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AppellantInfoCoram">
    <w:name w:val="SCC.AppellantInfo.Coram"/>
    <w:basedOn w:val="Normal"/>
    <w:next w:val="Normal"/>
    <w:link w:val="SCCAppellantInfoCoramChar"/>
    <w:rsid w:val="0060166B"/>
    <w:rPr>
      <w:b/>
      <w:szCs w:val="24"/>
    </w:rPr>
  </w:style>
  <w:style w:type="character" w:customStyle="1" w:styleId="SCCAppellantInfoCoramChar">
    <w:name w:val="SCC.AppellantInfo.Coram Char"/>
    <w:basedOn w:val="DefaultParagraphFont"/>
    <w:link w:val="SCCAppellantInfoCoram"/>
    <w:rsid w:val="0060166B"/>
    <w:rPr>
      <w:b/>
      <w:szCs w:val="24"/>
      <w:lang w:val="en-CA"/>
    </w:rPr>
  </w:style>
  <w:style w:type="character" w:customStyle="1" w:styleId="SCCLsocSubfileSeparatorChar">
    <w:name w:val="SCC.Lsoc.SubfileSeparator Char"/>
    <w:basedOn w:val="DefaultParagraphFont"/>
    <w:link w:val="SCCLsocSubfileSeparator"/>
    <w:locked/>
    <w:rsid w:val="00972BA9"/>
    <w:rPr>
      <w:b/>
      <w:szCs w:val="24"/>
      <w:lang w:val="fr-CA"/>
    </w:rPr>
  </w:style>
  <w:style w:type="paragraph" w:customStyle="1" w:styleId="SCCLsocSubfileSeparator">
    <w:name w:val="SCC.Lsoc.SubfileSeparator"/>
    <w:basedOn w:val="Normal"/>
    <w:next w:val="Normal"/>
    <w:link w:val="SCCLsocSubfileSeparatorChar"/>
    <w:rsid w:val="00972BA9"/>
    <w:pPr>
      <w:jc w:val="both"/>
    </w:pPr>
    <w:rPr>
      <w:b/>
      <w:szCs w:val="24"/>
      <w:lang w:val="fr-CA"/>
    </w:rPr>
  </w:style>
  <w:style w:type="paragraph" w:customStyle="1" w:styleId="SCCSsoc">
    <w:name w:val="SCC.Ssoc"/>
    <w:basedOn w:val="Normal"/>
    <w:next w:val="Normal"/>
    <w:link w:val="SCCSsocChar"/>
    <w:rsid w:val="007020C4"/>
    <w:rPr>
      <w:i/>
      <w:sz w:val="20"/>
      <w:szCs w:val="20"/>
    </w:rPr>
  </w:style>
  <w:style w:type="character" w:customStyle="1" w:styleId="SCCSsocChar">
    <w:name w:val="SCC.Ssoc Char"/>
    <w:basedOn w:val="DefaultParagraphFont"/>
    <w:link w:val="SCCSsoc"/>
    <w:rsid w:val="007020C4"/>
    <w:rPr>
      <w:i/>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canlii.ca/t/h2zb1" TargetMode="External"/><Relationship Id="rId26" Type="http://schemas.openxmlformats.org/officeDocument/2006/relationships/hyperlink" Target="http://canlii.ca/t/gnc99" TargetMode="External"/><Relationship Id="rId39" Type="http://schemas.openxmlformats.org/officeDocument/2006/relationships/hyperlink" Target="http://canlii.ca/t/h2sxl" TargetMode="External"/><Relationship Id="rId21" Type="http://schemas.openxmlformats.org/officeDocument/2006/relationships/hyperlink" Target="https://www.canlii.org/fr/qc/qcca/doc/2017/2017qcca465/2017qcca465.pdf" TargetMode="External"/><Relationship Id="rId34" Type="http://schemas.openxmlformats.org/officeDocument/2006/relationships/hyperlink" Target="https://www.canlii.org/en/ca/fct/doc/2015/2015fc1108/2015fc1108.html?autocompleteStr=2015%20FC%201108&amp;autocompletePos=1" TargetMode="External"/><Relationship Id="rId42" Type="http://schemas.openxmlformats.org/officeDocument/2006/relationships/hyperlink" Target="http://canlii.ca/t/gt8xj" TargetMode="External"/><Relationship Id="rId47" Type="http://schemas.openxmlformats.org/officeDocument/2006/relationships/hyperlink" Target="https://www.canlii.org/en/ab/abca/doc/2017/2017abca96/2017abca96.html?resultIndex=1" TargetMode="External"/><Relationship Id="rId50" Type="http://schemas.openxmlformats.org/officeDocument/2006/relationships/header" Target="header5.xml"/><Relationship Id="rId55" Type="http://schemas.openxmlformats.org/officeDocument/2006/relationships/footer" Target="footer7.xml"/><Relationship Id="rId63" Type="http://schemas.openxmlformats.org/officeDocument/2006/relationships/header" Target="header12.xml"/><Relationship Id="rId68" Type="http://schemas.openxmlformats.org/officeDocument/2006/relationships/header" Target="header14.xml"/><Relationship Id="rId76" Type="http://schemas.openxmlformats.org/officeDocument/2006/relationships/hyperlink" Target="http://www.scc-csc.ca/case-dossier/info/sum-som-eng.aspx?cas=37276" TargetMode="External"/><Relationship Id="rId84" Type="http://schemas.openxmlformats.org/officeDocument/2006/relationships/footer" Target="footer18.xml"/><Relationship Id="rId89" Type="http://schemas.openxmlformats.org/officeDocument/2006/relationships/header" Target="header21.xml"/><Relationship Id="rId7" Type="http://schemas.openxmlformats.org/officeDocument/2006/relationships/image" Target="media/image1.wmf"/><Relationship Id="rId71" Type="http://schemas.openxmlformats.org/officeDocument/2006/relationships/footer" Target="footer15.xml"/><Relationship Id="rId92" Type="http://schemas.openxmlformats.org/officeDocument/2006/relationships/footer" Target="footer22.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fr/qc/qcca/doc/2017/2017qcca470/2017qcca470.pdf" TargetMode="External"/><Relationship Id="rId11" Type="http://schemas.openxmlformats.org/officeDocument/2006/relationships/footer" Target="footer1.xml"/><Relationship Id="rId24" Type="http://schemas.openxmlformats.org/officeDocument/2006/relationships/hyperlink" Target="http://canlii.ca/t/gnc99" TargetMode="External"/><Relationship Id="rId32" Type="http://schemas.openxmlformats.org/officeDocument/2006/relationships/hyperlink" Target="https://www.canlii.org/en/sk/skca/doc/2005/2005skca44/2005skca44.html?resultIndex=1" TargetMode="External"/><Relationship Id="rId37" Type="http://schemas.openxmlformats.org/officeDocument/2006/relationships/hyperlink" Target="https://www.canlii.org/en/ca/fca/doc/2017/2017fca47/2017fca47.html?autocompleteStr=2017%20FCA%2047&amp;autocompletePos=1" TargetMode="External"/><Relationship Id="rId40" Type="http://schemas.openxmlformats.org/officeDocument/2006/relationships/hyperlink" Target="http://canlii.ca/t/gk98m" TargetMode="External"/><Relationship Id="rId45" Type="http://schemas.openxmlformats.org/officeDocument/2006/relationships/hyperlink" Target="http://canlii.ca/t/h0rd5" TargetMode="External"/><Relationship Id="rId53" Type="http://schemas.openxmlformats.org/officeDocument/2006/relationships/footer" Target="footer6.xml"/><Relationship Id="rId58" Type="http://schemas.openxmlformats.org/officeDocument/2006/relationships/footer" Target="footer8.xml"/><Relationship Id="rId66" Type="http://schemas.openxmlformats.org/officeDocument/2006/relationships/header" Target="header13.xml"/><Relationship Id="rId74" Type="http://schemas.openxmlformats.org/officeDocument/2006/relationships/hyperlink" Target="http://www.scc-csc.ca/case-dossier/info/sum-som-fra.aspx?cas=37184" TargetMode="External"/><Relationship Id="rId79" Type="http://schemas.openxmlformats.org/officeDocument/2006/relationships/hyperlink" Target="http://www.scc-csc.ca/case-dossier/info/sum-som-eng.aspx?cas=37233" TargetMode="External"/><Relationship Id="rId87" Type="http://schemas.openxmlformats.org/officeDocument/2006/relationships/header" Target="header20.xml"/><Relationship Id="rId5" Type="http://schemas.openxmlformats.org/officeDocument/2006/relationships/footnotes" Target="footnotes.xml"/><Relationship Id="rId61" Type="http://schemas.openxmlformats.org/officeDocument/2006/relationships/footer" Target="footer10.xml"/><Relationship Id="rId82" Type="http://schemas.openxmlformats.org/officeDocument/2006/relationships/header" Target="header18.xml"/><Relationship Id="rId90" Type="http://schemas.openxmlformats.org/officeDocument/2006/relationships/footer" Target="footer21.xml"/><Relationship Id="rId19" Type="http://schemas.openxmlformats.org/officeDocument/2006/relationships/hyperlink" Target="http://canlii.ca/t/h2zb1" TargetMode="External"/><Relationship Id="rId14" Type="http://schemas.openxmlformats.org/officeDocument/2006/relationships/header" Target="header3.xml"/><Relationship Id="rId22" Type="http://schemas.openxmlformats.org/officeDocument/2006/relationships/hyperlink" Target="https://www.canlii.org/fr/qc/qccs/doc/2015/2015qccs5099/2015qccs5099.pdf" TargetMode="External"/><Relationship Id="rId27" Type="http://schemas.openxmlformats.org/officeDocument/2006/relationships/hyperlink" Target="http://canlii.ca/t/h2swc" TargetMode="External"/><Relationship Id="rId30" Type="http://schemas.openxmlformats.org/officeDocument/2006/relationships/hyperlink" Target="https://www.canlii.org/fr/qc/qccs/doc/2016/2016qccs7/2016qccs7.pdf" TargetMode="External"/><Relationship Id="rId35" Type="http://schemas.openxmlformats.org/officeDocument/2006/relationships/hyperlink" Target="https://www.canlii.org/en/ca/fca/doc/2017/2017fca47/2017fca47.html?autocompleteStr=2017%20FCA%2047&amp;autocompletePos=1" TargetMode="External"/><Relationship Id="rId43" Type="http://schemas.openxmlformats.org/officeDocument/2006/relationships/hyperlink" Target="http://canlii.ca/t/h0rd5" TargetMode="External"/><Relationship Id="rId48" Type="http://schemas.openxmlformats.org/officeDocument/2006/relationships/hyperlink" Target="https://www.canlii.org/en/ab/abqb/doc/2016/2016abqb260/2016abqb260.html?autocompleteStr=2016%20ABQB%20260&amp;autocompletePos=1" TargetMode="External"/><Relationship Id="rId56" Type="http://schemas.openxmlformats.org/officeDocument/2006/relationships/header" Target="header8.xml"/><Relationship Id="rId64" Type="http://schemas.openxmlformats.org/officeDocument/2006/relationships/footer" Target="footer11.xml"/><Relationship Id="rId69" Type="http://schemas.openxmlformats.org/officeDocument/2006/relationships/header" Target="header15.xml"/><Relationship Id="rId77" Type="http://schemas.openxmlformats.org/officeDocument/2006/relationships/hyperlink" Target="http://www.scc-csc.ca/case-dossier/info/sum-som-eng.aspx?cas=37323" TargetMode="External"/><Relationship Id="rId8" Type="http://schemas.openxmlformats.org/officeDocument/2006/relationships/hyperlink" Target="http://www.scc-csc.ca" TargetMode="External"/><Relationship Id="rId51" Type="http://schemas.openxmlformats.org/officeDocument/2006/relationships/header" Target="header6.xml"/><Relationship Id="rId72" Type="http://schemas.openxmlformats.org/officeDocument/2006/relationships/header" Target="header16.xml"/><Relationship Id="rId80" Type="http://schemas.openxmlformats.org/officeDocument/2006/relationships/hyperlink" Target="http://www.scc-csc.ca/case-dossier/info/sum-som-eng.aspx?cas=37461" TargetMode="External"/><Relationship Id="rId85" Type="http://schemas.openxmlformats.org/officeDocument/2006/relationships/header" Target="header19.xm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canlii.ca/t/h2swc" TargetMode="External"/><Relationship Id="rId33" Type="http://schemas.openxmlformats.org/officeDocument/2006/relationships/hyperlink" Target="https://www.canlii.org/en/sk/skca/doc/2005/2005skca44/2005skca44.html?resultIndex=1" TargetMode="External"/><Relationship Id="rId38" Type="http://schemas.openxmlformats.org/officeDocument/2006/relationships/hyperlink" Target="http://canlii.ca/t/gk98m" TargetMode="External"/><Relationship Id="rId46" Type="http://schemas.openxmlformats.org/officeDocument/2006/relationships/hyperlink" Target="https://www.canlii.org/en/ab/abqb/doc/2016/2016abqb260/2016abqb260.html?autocompleteStr=2016%20ABQB%20260&amp;autocompletePos=1" TargetMode="External"/><Relationship Id="rId59" Type="http://schemas.openxmlformats.org/officeDocument/2006/relationships/footer" Target="footer9.xml"/><Relationship Id="rId67" Type="http://schemas.openxmlformats.org/officeDocument/2006/relationships/footer" Target="footer13.xml"/><Relationship Id="rId20" Type="http://schemas.openxmlformats.org/officeDocument/2006/relationships/hyperlink" Target="https://www.canlii.org/fr/qc/qccs/doc/2015/2015qccs5099/2015qccs5099.pdf" TargetMode="External"/><Relationship Id="rId41" Type="http://schemas.openxmlformats.org/officeDocument/2006/relationships/hyperlink" Target="http://canlii.ca/t/h2sxl" TargetMode="External"/><Relationship Id="rId54" Type="http://schemas.openxmlformats.org/officeDocument/2006/relationships/header" Target="header7.xml"/><Relationship Id="rId62" Type="http://schemas.openxmlformats.org/officeDocument/2006/relationships/header" Target="header11.xml"/><Relationship Id="rId70" Type="http://schemas.openxmlformats.org/officeDocument/2006/relationships/footer" Target="footer14.xml"/><Relationship Id="rId75" Type="http://schemas.openxmlformats.org/officeDocument/2006/relationships/hyperlink" Target="http://www.scc-csc.ca/case-dossier/info/sum-som-eng.aspx?cas=37514" TargetMode="External"/><Relationship Id="rId83" Type="http://schemas.openxmlformats.org/officeDocument/2006/relationships/footer" Target="footer17.xml"/><Relationship Id="rId88" Type="http://schemas.openxmlformats.org/officeDocument/2006/relationships/footer" Target="footer20.xml"/><Relationship Id="rId9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canlii.org/fr/qc/qcca/doc/2017/2017qcca465/2017qcca465.pdf" TargetMode="External"/><Relationship Id="rId28" Type="http://schemas.openxmlformats.org/officeDocument/2006/relationships/hyperlink" Target="https://www.canlii.org/fr/qc/qccs/doc/2016/2016qccs7/2016qccs7.pdf" TargetMode="External"/><Relationship Id="rId36" Type="http://schemas.openxmlformats.org/officeDocument/2006/relationships/hyperlink" Target="https://www.canlii.org/fr/ca/cfpi/doc/2015/2015cf1108/2015cf1108.html" TargetMode="External"/><Relationship Id="rId49" Type="http://schemas.openxmlformats.org/officeDocument/2006/relationships/hyperlink" Target="https://www.canlii.org/en/ab/abca/doc/2017/2017abca96/2017abca96.html?resultIndex=1" TargetMode="External"/><Relationship Id="rId57" Type="http://schemas.openxmlformats.org/officeDocument/2006/relationships/header" Target="header9.xml"/><Relationship Id="rId10" Type="http://schemas.openxmlformats.org/officeDocument/2006/relationships/header" Target="header1.xml"/><Relationship Id="rId31" Type="http://schemas.openxmlformats.org/officeDocument/2006/relationships/hyperlink" Target="https://www.canlii.org/fr/qc/qcca/doc/2017/2017qcca470/2017qcca470.pdf" TargetMode="External"/><Relationship Id="rId44" Type="http://schemas.openxmlformats.org/officeDocument/2006/relationships/hyperlink" Target="http://canlii.ca/t/gt8xj" TargetMode="External"/><Relationship Id="rId52" Type="http://schemas.openxmlformats.org/officeDocument/2006/relationships/footer" Target="footer5.xml"/><Relationship Id="rId60" Type="http://schemas.openxmlformats.org/officeDocument/2006/relationships/header" Target="header10.xml"/><Relationship Id="rId65" Type="http://schemas.openxmlformats.org/officeDocument/2006/relationships/footer" Target="footer12.xml"/><Relationship Id="rId73" Type="http://schemas.openxmlformats.org/officeDocument/2006/relationships/footer" Target="footer16.xml"/><Relationship Id="rId78" Type="http://schemas.openxmlformats.org/officeDocument/2006/relationships/hyperlink" Target="http://www.scc-csc.ca/case-dossier/info/sum-som-eng.aspx?cas=37247" TargetMode="External"/><Relationship Id="rId81" Type="http://schemas.openxmlformats.org/officeDocument/2006/relationships/header" Target="header17.xml"/><Relationship Id="rId86" Type="http://schemas.openxmlformats.org/officeDocument/2006/relationships/footer" Target="footer19.xm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45</Pages>
  <Words>17658</Words>
  <Characters>100651</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2017-09-18T13:21:00Z</dcterms:created>
  <dcterms:modified xsi:type="dcterms:W3CDTF">2017-09-25T18:01:00Z</dcterms:modified>
</cp:coreProperties>
</file>