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964D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964D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964D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964D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964D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964D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964D5"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13894"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15</w:t>
      </w:r>
      <w:r w:rsidR="00440E24" w:rsidRPr="00675479">
        <w:rPr>
          <w:lang w:val="fr-CA"/>
        </w:rPr>
        <w:t>, 201</w:t>
      </w:r>
      <w:r w:rsidR="00E8544A">
        <w:rPr>
          <w:lang w:val="fr-CA"/>
        </w:rPr>
        <w:t>7</w:t>
      </w:r>
      <w:r w:rsidR="00F0068D" w:rsidRPr="00675479">
        <w:rPr>
          <w:lang w:val="fr-CA"/>
        </w:rPr>
        <w:tab/>
      </w:r>
      <w:r>
        <w:rPr>
          <w:lang w:val="fr-CA"/>
        </w:rPr>
        <w:t>1731</w:t>
      </w:r>
      <w:r w:rsidR="00F0068D" w:rsidRPr="00675479">
        <w:rPr>
          <w:lang w:val="fr-CA"/>
        </w:rPr>
        <w:t xml:space="preserve"> - </w:t>
      </w:r>
      <w:r w:rsidR="00013745">
        <w:rPr>
          <w:lang w:val="fr-CA"/>
        </w:rPr>
        <w:t>1786</w:t>
      </w:r>
      <w:r w:rsidR="00440E24" w:rsidRPr="00675479">
        <w:rPr>
          <w:lang w:val="fr-CA"/>
        </w:rPr>
        <w:tab/>
      </w:r>
      <w:r w:rsidR="00440E24" w:rsidRPr="002E2327">
        <w:rPr>
          <w:lang w:val="fr-CA"/>
        </w:rPr>
        <w:t>Le</w:t>
      </w:r>
      <w:r w:rsidR="00C73D06">
        <w:rPr>
          <w:lang w:val="fr-CA"/>
        </w:rPr>
        <w:t xml:space="preserve"> </w:t>
      </w:r>
      <w:r>
        <w:rPr>
          <w:lang w:val="fr-CA"/>
        </w:rPr>
        <w:t>15 décembre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013745">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013745">
              <w:rPr>
                <w:rFonts w:cs="Times New Roman"/>
                <w:sz w:val="20"/>
                <w:szCs w:val="20"/>
              </w:rPr>
              <w:t>1731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13745" w:rsidP="0095096B">
            <w:pPr>
              <w:jc w:val="center"/>
              <w:rPr>
                <w:rFonts w:cs="Times New Roman"/>
                <w:sz w:val="20"/>
                <w:szCs w:val="20"/>
              </w:rPr>
            </w:pPr>
            <w:r>
              <w:rPr>
                <w:rFonts w:cs="Times New Roman"/>
                <w:sz w:val="20"/>
                <w:szCs w:val="20"/>
              </w:rPr>
              <w:t>1732</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AA6530" w:rsidRDefault="00AA6530" w:rsidP="0095096B">
            <w:pPr>
              <w:jc w:val="center"/>
              <w:rPr>
                <w:rFonts w:cs="Times New Roman"/>
                <w:sz w:val="20"/>
                <w:szCs w:val="20"/>
              </w:rPr>
            </w:pPr>
            <w:r>
              <w:rPr>
                <w:rFonts w:cs="Times New Roman"/>
                <w:sz w:val="20"/>
                <w:szCs w:val="20"/>
              </w:rPr>
              <w:t>1733 - 1734</w:t>
            </w:r>
          </w:p>
          <w:p w:rsidR="00AA6530" w:rsidRPr="002E2327" w:rsidRDefault="00AA6530" w:rsidP="0095096B">
            <w:pPr>
              <w:jc w:val="center"/>
              <w:rPr>
                <w:rFonts w:cs="Times New Roman"/>
                <w:sz w:val="20"/>
                <w:szCs w:val="20"/>
              </w:rPr>
            </w:pPr>
          </w:p>
          <w:p w:rsidR="0095096B" w:rsidRPr="002E2327" w:rsidRDefault="00013745" w:rsidP="0095096B">
            <w:pPr>
              <w:jc w:val="center"/>
              <w:rPr>
                <w:rFonts w:cs="Times New Roman"/>
                <w:sz w:val="20"/>
                <w:szCs w:val="20"/>
              </w:rPr>
            </w:pPr>
            <w:r>
              <w:rPr>
                <w:rFonts w:cs="Times New Roman"/>
                <w:sz w:val="20"/>
                <w:szCs w:val="20"/>
              </w:rPr>
              <w:t>173</w:t>
            </w:r>
            <w:r w:rsidR="00AA6530">
              <w:rPr>
                <w:rFonts w:cs="Times New Roman"/>
                <w:sz w:val="20"/>
                <w:szCs w:val="20"/>
              </w:rPr>
              <w:t>5</w:t>
            </w:r>
            <w:r>
              <w:rPr>
                <w:rFonts w:cs="Times New Roman"/>
                <w:sz w:val="20"/>
                <w:szCs w:val="20"/>
              </w:rPr>
              <w:t xml:space="preserve"> - 1768</w:t>
            </w:r>
          </w:p>
          <w:p w:rsidR="0095096B" w:rsidRDefault="0095096B" w:rsidP="0095096B">
            <w:pPr>
              <w:jc w:val="center"/>
              <w:rPr>
                <w:rFonts w:cs="Times New Roman"/>
                <w:sz w:val="20"/>
                <w:szCs w:val="20"/>
              </w:rPr>
            </w:pPr>
          </w:p>
          <w:p w:rsidR="00AA6530" w:rsidRPr="002E2327" w:rsidRDefault="00AA6530" w:rsidP="0095096B">
            <w:pPr>
              <w:jc w:val="center"/>
              <w:rPr>
                <w:rFonts w:cs="Times New Roman"/>
                <w:sz w:val="20"/>
                <w:szCs w:val="20"/>
              </w:rPr>
            </w:pPr>
          </w:p>
          <w:p w:rsidR="0095096B" w:rsidRPr="002E2327" w:rsidRDefault="00013745" w:rsidP="0095096B">
            <w:pPr>
              <w:jc w:val="center"/>
              <w:rPr>
                <w:rFonts w:cs="Times New Roman"/>
                <w:sz w:val="20"/>
                <w:szCs w:val="20"/>
              </w:rPr>
            </w:pPr>
            <w:r>
              <w:rPr>
                <w:rFonts w:cs="Times New Roman"/>
                <w:sz w:val="20"/>
                <w:szCs w:val="20"/>
              </w:rPr>
              <w:t>1769 - 1771</w:t>
            </w:r>
          </w:p>
          <w:p w:rsidR="00013745" w:rsidRDefault="00013745" w:rsidP="0095096B">
            <w:pPr>
              <w:jc w:val="center"/>
              <w:rPr>
                <w:rFonts w:cs="Times New Roman"/>
                <w:sz w:val="20"/>
                <w:szCs w:val="20"/>
              </w:rPr>
            </w:pPr>
          </w:p>
          <w:p w:rsidR="0095096B" w:rsidRPr="002E2327" w:rsidRDefault="00AA6530" w:rsidP="0095096B">
            <w:pPr>
              <w:jc w:val="center"/>
              <w:rPr>
                <w:rFonts w:cs="Times New Roman"/>
                <w:sz w:val="20"/>
                <w:szCs w:val="20"/>
              </w:rPr>
            </w:pPr>
            <w:r>
              <w:rPr>
                <w:rFonts w:cs="Times New Roman"/>
                <w:sz w:val="20"/>
                <w:szCs w:val="20"/>
              </w:rPr>
              <w:t>1772</w:t>
            </w:r>
          </w:p>
          <w:p w:rsidR="0095096B" w:rsidRDefault="0095096B" w:rsidP="0095096B">
            <w:pPr>
              <w:jc w:val="center"/>
              <w:rPr>
                <w:rFonts w:cs="Times New Roman"/>
                <w:sz w:val="20"/>
                <w:szCs w:val="20"/>
              </w:rPr>
            </w:pPr>
          </w:p>
          <w:p w:rsidR="00AA6530" w:rsidRPr="002E2327" w:rsidRDefault="00AA6530" w:rsidP="0095096B">
            <w:pPr>
              <w:jc w:val="center"/>
              <w:rPr>
                <w:rFonts w:cs="Times New Roman"/>
                <w:sz w:val="20"/>
                <w:szCs w:val="20"/>
              </w:rPr>
            </w:pPr>
          </w:p>
          <w:p w:rsidR="0095096B" w:rsidRPr="002E2327" w:rsidRDefault="00AA6530" w:rsidP="0095096B">
            <w:pPr>
              <w:jc w:val="center"/>
              <w:rPr>
                <w:rFonts w:cs="Times New Roman"/>
                <w:sz w:val="20"/>
                <w:szCs w:val="20"/>
              </w:rPr>
            </w:pPr>
            <w:r>
              <w:rPr>
                <w:rFonts w:cs="Times New Roman"/>
                <w:sz w:val="20"/>
                <w:szCs w:val="20"/>
              </w:rPr>
              <w:t>1773</w:t>
            </w:r>
          </w:p>
          <w:p w:rsidR="0095096B" w:rsidRDefault="0095096B" w:rsidP="0095096B">
            <w:pPr>
              <w:jc w:val="center"/>
              <w:rPr>
                <w:rFonts w:cs="Times New Roman"/>
                <w:sz w:val="20"/>
                <w:szCs w:val="20"/>
              </w:rPr>
            </w:pPr>
          </w:p>
          <w:p w:rsidR="00013745" w:rsidRPr="002E2327" w:rsidRDefault="00013745" w:rsidP="0095096B">
            <w:pPr>
              <w:jc w:val="center"/>
              <w:rPr>
                <w:rFonts w:cs="Times New Roman"/>
                <w:sz w:val="20"/>
                <w:szCs w:val="20"/>
              </w:rPr>
            </w:pPr>
          </w:p>
          <w:p w:rsidR="0095096B" w:rsidRPr="002E2327" w:rsidRDefault="00AA6530" w:rsidP="0095096B">
            <w:pPr>
              <w:jc w:val="center"/>
              <w:rPr>
                <w:rFonts w:cs="Times New Roman"/>
                <w:sz w:val="20"/>
                <w:szCs w:val="20"/>
              </w:rPr>
            </w:pPr>
            <w:r>
              <w:rPr>
                <w:rFonts w:cs="Times New Roman"/>
                <w:sz w:val="20"/>
                <w:szCs w:val="20"/>
              </w:rPr>
              <w:t xml:space="preserve">1774 </w:t>
            </w:r>
            <w:r w:rsidR="0095096B" w:rsidRPr="002E2327">
              <w:rPr>
                <w:rFonts w:cs="Times New Roman"/>
                <w:sz w:val="20"/>
                <w:szCs w:val="20"/>
              </w:rPr>
              <w:t>-</w:t>
            </w:r>
            <w:r>
              <w:rPr>
                <w:rFonts w:cs="Times New Roman"/>
                <w:sz w:val="20"/>
                <w:szCs w:val="20"/>
              </w:rPr>
              <w:t xml:space="preserve"> 1786</w:t>
            </w:r>
          </w:p>
          <w:p w:rsidR="0095096B" w:rsidRDefault="0095096B" w:rsidP="0095096B">
            <w:pPr>
              <w:jc w:val="center"/>
              <w:rPr>
                <w:rFonts w:cs="Times New Roman"/>
                <w:sz w:val="20"/>
                <w:szCs w:val="20"/>
              </w:rPr>
            </w:pPr>
          </w:p>
          <w:p w:rsidR="00A87207" w:rsidRPr="002E2327" w:rsidRDefault="00A87207" w:rsidP="00013745">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013745">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964D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37A86" w:rsidTr="003B3977">
        <w:tc>
          <w:tcPr>
            <w:tcW w:w="4320" w:type="dxa"/>
            <w:shd w:val="clear" w:color="auto" w:fill="auto"/>
          </w:tcPr>
          <w:p w:rsidR="00813894" w:rsidRDefault="00DD0BCE" w:rsidP="005F1ED8">
            <w:pPr>
              <w:rPr>
                <w:b/>
                <w:sz w:val="20"/>
                <w:szCs w:val="20"/>
                <w:lang w:val="fr-CA"/>
              </w:rPr>
            </w:pPr>
            <w:r>
              <w:rPr>
                <w:b/>
                <w:sz w:val="20"/>
                <w:szCs w:val="20"/>
                <w:lang w:val="fr-CA"/>
              </w:rPr>
              <w:t>L’O</w:t>
            </w:r>
            <w:r w:rsidRPr="00DD0BCE">
              <w:rPr>
                <w:b/>
                <w:sz w:val="20"/>
                <w:szCs w:val="20"/>
                <w:lang w:val="fr-CA"/>
              </w:rPr>
              <w:t>ratoire Saint-Joseph du Mont-Royal</w:t>
            </w:r>
            <w:r>
              <w:rPr>
                <w:b/>
                <w:sz w:val="20"/>
                <w:szCs w:val="20"/>
                <w:lang w:val="fr-CA"/>
              </w:rPr>
              <w:t xml:space="preserve"> </w:t>
            </w:r>
          </w:p>
          <w:p w:rsidR="00DD0BCE" w:rsidRDefault="00DD0BCE" w:rsidP="005F1ED8">
            <w:pPr>
              <w:rPr>
                <w:sz w:val="20"/>
                <w:szCs w:val="20"/>
                <w:lang w:val="fr-CA"/>
              </w:rPr>
            </w:pPr>
            <w:r>
              <w:rPr>
                <w:b/>
                <w:sz w:val="20"/>
                <w:szCs w:val="20"/>
                <w:lang w:val="fr-CA"/>
              </w:rPr>
              <w:tab/>
            </w:r>
            <w:r>
              <w:rPr>
                <w:sz w:val="20"/>
                <w:szCs w:val="20"/>
                <w:lang w:val="fr-CA"/>
              </w:rPr>
              <w:t>Marc Beauchemin</w:t>
            </w:r>
          </w:p>
          <w:p w:rsidR="00DD0BCE" w:rsidRDefault="00DD0BCE" w:rsidP="005F1ED8">
            <w:pPr>
              <w:rPr>
                <w:sz w:val="20"/>
                <w:szCs w:val="20"/>
                <w:lang w:val="fr-CA"/>
              </w:rPr>
            </w:pPr>
            <w:r>
              <w:rPr>
                <w:sz w:val="20"/>
                <w:szCs w:val="20"/>
                <w:lang w:val="fr-CA"/>
              </w:rPr>
              <w:tab/>
              <w:t xml:space="preserve">De </w:t>
            </w:r>
            <w:proofErr w:type="spellStart"/>
            <w:r>
              <w:rPr>
                <w:sz w:val="20"/>
                <w:szCs w:val="20"/>
                <w:lang w:val="fr-CA"/>
              </w:rPr>
              <w:t>Grandpré</w:t>
            </w:r>
            <w:proofErr w:type="spellEnd"/>
            <w:r>
              <w:rPr>
                <w:sz w:val="20"/>
                <w:szCs w:val="20"/>
                <w:lang w:val="fr-CA"/>
              </w:rPr>
              <w:t xml:space="preserve"> </w:t>
            </w:r>
            <w:proofErr w:type="spellStart"/>
            <w:r>
              <w:rPr>
                <w:sz w:val="20"/>
                <w:szCs w:val="20"/>
                <w:lang w:val="fr-CA"/>
              </w:rPr>
              <w:t>Chait</w:t>
            </w:r>
            <w:proofErr w:type="spellEnd"/>
            <w:r>
              <w:rPr>
                <w:sz w:val="20"/>
                <w:szCs w:val="20"/>
                <w:lang w:val="fr-CA"/>
              </w:rPr>
              <w:t xml:space="preserve"> </w:t>
            </w:r>
            <w:proofErr w:type="spellStart"/>
            <w:r>
              <w:rPr>
                <w:sz w:val="20"/>
                <w:szCs w:val="20"/>
                <w:lang w:val="fr-CA"/>
              </w:rPr>
              <w:t>s.e.n.c.r.l</w:t>
            </w:r>
            <w:proofErr w:type="spellEnd"/>
            <w:r>
              <w:rPr>
                <w:sz w:val="20"/>
                <w:szCs w:val="20"/>
                <w:lang w:val="fr-CA"/>
              </w:rPr>
              <w:t>.</w:t>
            </w:r>
          </w:p>
          <w:p w:rsidR="00DD0BCE" w:rsidRDefault="00DD0BCE" w:rsidP="005F1ED8">
            <w:pPr>
              <w:rPr>
                <w:sz w:val="20"/>
                <w:szCs w:val="20"/>
                <w:lang w:val="fr-CA"/>
              </w:rPr>
            </w:pPr>
          </w:p>
          <w:p w:rsidR="00DD0BCE" w:rsidRDefault="00DD0BCE" w:rsidP="005F1ED8">
            <w:pPr>
              <w:rPr>
                <w:sz w:val="20"/>
                <w:szCs w:val="20"/>
                <w:lang w:val="fr-CA"/>
              </w:rPr>
            </w:pPr>
            <w:r>
              <w:rPr>
                <w:sz w:val="20"/>
                <w:szCs w:val="20"/>
                <w:lang w:val="fr-CA"/>
              </w:rPr>
              <w:tab/>
              <w:t>c. (37855)</w:t>
            </w:r>
          </w:p>
          <w:p w:rsidR="00DD0BCE" w:rsidRDefault="00DD0BCE" w:rsidP="005F1ED8">
            <w:pPr>
              <w:rPr>
                <w:sz w:val="20"/>
                <w:szCs w:val="20"/>
                <w:lang w:val="fr-CA"/>
              </w:rPr>
            </w:pPr>
          </w:p>
          <w:p w:rsidR="00DD0BCE" w:rsidRDefault="00DD0BCE" w:rsidP="005F1ED8">
            <w:pPr>
              <w:rPr>
                <w:b/>
                <w:sz w:val="20"/>
                <w:szCs w:val="20"/>
                <w:lang w:val="fr-CA"/>
              </w:rPr>
            </w:pPr>
            <w:r>
              <w:rPr>
                <w:b/>
                <w:sz w:val="20"/>
                <w:szCs w:val="20"/>
                <w:lang w:val="fr-CA"/>
              </w:rPr>
              <w:t>J.J. (</w:t>
            </w:r>
            <w:proofErr w:type="spellStart"/>
            <w:r>
              <w:rPr>
                <w:b/>
                <w:sz w:val="20"/>
                <w:szCs w:val="20"/>
                <w:lang w:val="fr-CA"/>
              </w:rPr>
              <w:t>Qc</w:t>
            </w:r>
            <w:proofErr w:type="spellEnd"/>
            <w:r>
              <w:rPr>
                <w:b/>
                <w:sz w:val="20"/>
                <w:szCs w:val="20"/>
                <w:lang w:val="fr-CA"/>
              </w:rPr>
              <w:t>)</w:t>
            </w:r>
          </w:p>
          <w:p w:rsidR="00DD0BCE" w:rsidRDefault="00DD0BCE" w:rsidP="005F1ED8">
            <w:pPr>
              <w:rPr>
                <w:sz w:val="20"/>
                <w:szCs w:val="20"/>
                <w:lang w:val="fr-CA"/>
              </w:rPr>
            </w:pPr>
            <w:r>
              <w:rPr>
                <w:sz w:val="20"/>
                <w:szCs w:val="20"/>
                <w:lang w:val="fr-CA"/>
              </w:rPr>
              <w:tab/>
              <w:t>Alain Arsenault</w:t>
            </w:r>
          </w:p>
          <w:p w:rsidR="00DD0BCE" w:rsidRDefault="00DD0BCE" w:rsidP="005F1ED8">
            <w:pPr>
              <w:rPr>
                <w:sz w:val="20"/>
                <w:szCs w:val="20"/>
                <w:lang w:val="fr-CA"/>
              </w:rPr>
            </w:pPr>
            <w:r>
              <w:rPr>
                <w:sz w:val="20"/>
                <w:szCs w:val="20"/>
                <w:lang w:val="fr-CA"/>
              </w:rPr>
              <w:tab/>
              <w:t>Arsenault &amp; Lemieux</w:t>
            </w:r>
          </w:p>
          <w:p w:rsidR="00DD0BCE" w:rsidRDefault="00DD0BCE" w:rsidP="005F1ED8">
            <w:pPr>
              <w:rPr>
                <w:sz w:val="20"/>
                <w:szCs w:val="20"/>
                <w:lang w:val="fr-CA"/>
              </w:rPr>
            </w:pPr>
          </w:p>
          <w:p w:rsidR="00DD0BCE" w:rsidRDefault="00DD0BCE" w:rsidP="00DD0BCE">
            <w:pPr>
              <w:rPr>
                <w:sz w:val="20"/>
                <w:szCs w:val="20"/>
                <w:lang w:val="fr-CA"/>
              </w:rPr>
            </w:pPr>
            <w:r w:rsidRPr="00DD0BCE">
              <w:rPr>
                <w:sz w:val="20"/>
                <w:szCs w:val="20"/>
                <w:lang w:val="fr-CA"/>
              </w:rPr>
              <w:t>-</w:t>
            </w:r>
            <w:r>
              <w:rPr>
                <w:sz w:val="20"/>
                <w:szCs w:val="20"/>
                <w:lang w:val="fr-CA"/>
              </w:rPr>
              <w:t xml:space="preserve"> e</w:t>
            </w:r>
            <w:r w:rsidRPr="00DD0BCE">
              <w:rPr>
                <w:sz w:val="20"/>
                <w:szCs w:val="20"/>
                <w:lang w:val="fr-CA"/>
              </w:rPr>
              <w:t>t entr</w:t>
            </w:r>
            <w:r>
              <w:rPr>
                <w:sz w:val="20"/>
                <w:szCs w:val="20"/>
                <w:lang w:val="fr-CA"/>
              </w:rPr>
              <w:t xml:space="preserve">e - </w:t>
            </w:r>
          </w:p>
          <w:p w:rsidR="00DD0BCE" w:rsidRDefault="00DD0BCE" w:rsidP="00DD0BCE">
            <w:pPr>
              <w:rPr>
                <w:sz w:val="20"/>
                <w:szCs w:val="20"/>
                <w:lang w:val="fr-CA"/>
              </w:rPr>
            </w:pPr>
          </w:p>
          <w:p w:rsidR="00DD0BCE" w:rsidRDefault="00DD0BCE" w:rsidP="00DD0BCE">
            <w:pPr>
              <w:rPr>
                <w:b/>
                <w:sz w:val="20"/>
                <w:szCs w:val="20"/>
                <w:lang w:val="fr-CA"/>
              </w:rPr>
            </w:pPr>
            <w:r>
              <w:rPr>
                <w:b/>
                <w:sz w:val="20"/>
                <w:szCs w:val="20"/>
                <w:lang w:val="fr-CA"/>
              </w:rPr>
              <w:t>La Province canadienne de la Congrégation de Sainte-Croix</w:t>
            </w:r>
          </w:p>
          <w:p w:rsidR="00DD0BCE" w:rsidRPr="00237A86" w:rsidRDefault="00DD0BCE" w:rsidP="00DD0BCE">
            <w:pPr>
              <w:rPr>
                <w:sz w:val="20"/>
                <w:szCs w:val="20"/>
                <w:lang w:val="en-US"/>
              </w:rPr>
            </w:pPr>
            <w:r>
              <w:rPr>
                <w:b/>
                <w:sz w:val="20"/>
                <w:szCs w:val="20"/>
                <w:lang w:val="fr-CA"/>
              </w:rPr>
              <w:tab/>
            </w:r>
            <w:proofErr w:type="spellStart"/>
            <w:r w:rsidRPr="00237A86">
              <w:rPr>
                <w:sz w:val="20"/>
                <w:szCs w:val="20"/>
                <w:lang w:val="en-US"/>
              </w:rPr>
              <w:t>Éric</w:t>
            </w:r>
            <w:proofErr w:type="spellEnd"/>
            <w:r w:rsidRPr="00237A86">
              <w:rPr>
                <w:sz w:val="20"/>
                <w:szCs w:val="20"/>
                <w:lang w:val="en-US"/>
              </w:rPr>
              <w:t xml:space="preserve"> Simard</w:t>
            </w:r>
          </w:p>
          <w:p w:rsidR="00DD0BCE" w:rsidRPr="00237A86" w:rsidRDefault="00DD0BCE" w:rsidP="00DD0BCE">
            <w:pPr>
              <w:rPr>
                <w:sz w:val="20"/>
                <w:szCs w:val="20"/>
                <w:lang w:val="en-US"/>
              </w:rPr>
            </w:pPr>
            <w:r w:rsidRPr="00237A86">
              <w:rPr>
                <w:sz w:val="20"/>
                <w:szCs w:val="20"/>
                <w:lang w:val="en-US"/>
              </w:rPr>
              <w:tab/>
              <w:t xml:space="preserve">Fasken </w:t>
            </w:r>
            <w:r w:rsidR="00F964D5">
              <w:rPr>
                <w:sz w:val="20"/>
                <w:szCs w:val="20"/>
                <w:lang w:val="en-US"/>
              </w:rPr>
              <w:t>M</w:t>
            </w:r>
            <w:r w:rsidRPr="00237A86">
              <w:rPr>
                <w:sz w:val="20"/>
                <w:szCs w:val="20"/>
                <w:lang w:val="en-US"/>
              </w:rPr>
              <w:t xml:space="preserve">artineau </w:t>
            </w:r>
            <w:proofErr w:type="spellStart"/>
            <w:r w:rsidRPr="00237A86">
              <w:rPr>
                <w:sz w:val="20"/>
                <w:szCs w:val="20"/>
                <w:lang w:val="en-US"/>
              </w:rPr>
              <w:t>DuMoulin</w:t>
            </w:r>
            <w:proofErr w:type="spellEnd"/>
            <w:r w:rsidRPr="00237A86">
              <w:rPr>
                <w:sz w:val="20"/>
                <w:szCs w:val="20"/>
                <w:lang w:val="en-US"/>
              </w:rPr>
              <w:t xml:space="preserve"> LLP</w:t>
            </w:r>
          </w:p>
          <w:p w:rsidR="00DD0BCE" w:rsidRPr="00237A86" w:rsidRDefault="00DD0BCE" w:rsidP="00DD0BCE">
            <w:pPr>
              <w:rPr>
                <w:sz w:val="20"/>
                <w:szCs w:val="20"/>
                <w:lang w:val="en-US"/>
              </w:rPr>
            </w:pPr>
          </w:p>
          <w:p w:rsidR="00DD0BCE" w:rsidRDefault="00DD0BCE" w:rsidP="00DD0BCE">
            <w:pPr>
              <w:rPr>
                <w:sz w:val="20"/>
                <w:szCs w:val="20"/>
                <w:lang w:val="fr-CA"/>
              </w:rPr>
            </w:pPr>
            <w:r w:rsidRPr="00237A86">
              <w:rPr>
                <w:sz w:val="20"/>
                <w:szCs w:val="20"/>
                <w:lang w:val="en-US"/>
              </w:rPr>
              <w:tab/>
            </w:r>
            <w:r>
              <w:rPr>
                <w:sz w:val="20"/>
                <w:szCs w:val="20"/>
                <w:lang w:val="fr-CA"/>
              </w:rPr>
              <w:t>c. (37855)</w:t>
            </w:r>
          </w:p>
          <w:p w:rsidR="00DD0BCE" w:rsidRDefault="00DD0BCE" w:rsidP="00DD0BCE">
            <w:pPr>
              <w:rPr>
                <w:sz w:val="20"/>
                <w:szCs w:val="20"/>
                <w:lang w:val="fr-CA"/>
              </w:rPr>
            </w:pPr>
          </w:p>
          <w:p w:rsidR="00DD0BCE" w:rsidRDefault="00DD0BCE" w:rsidP="00DD0BCE">
            <w:pPr>
              <w:rPr>
                <w:b/>
                <w:sz w:val="20"/>
                <w:szCs w:val="20"/>
                <w:lang w:val="fr-CA"/>
              </w:rPr>
            </w:pPr>
            <w:r>
              <w:rPr>
                <w:b/>
                <w:sz w:val="20"/>
                <w:szCs w:val="20"/>
                <w:lang w:val="fr-CA"/>
              </w:rPr>
              <w:t>J.J. (</w:t>
            </w:r>
            <w:proofErr w:type="spellStart"/>
            <w:r>
              <w:rPr>
                <w:b/>
                <w:sz w:val="20"/>
                <w:szCs w:val="20"/>
                <w:lang w:val="fr-CA"/>
              </w:rPr>
              <w:t>Qc</w:t>
            </w:r>
            <w:proofErr w:type="spellEnd"/>
            <w:r>
              <w:rPr>
                <w:b/>
                <w:sz w:val="20"/>
                <w:szCs w:val="20"/>
                <w:lang w:val="fr-CA"/>
              </w:rPr>
              <w:t>)</w:t>
            </w:r>
          </w:p>
          <w:p w:rsidR="00DD0BCE" w:rsidRDefault="00DD0BCE" w:rsidP="00DD0BCE">
            <w:pPr>
              <w:rPr>
                <w:sz w:val="20"/>
                <w:szCs w:val="20"/>
                <w:lang w:val="fr-CA"/>
              </w:rPr>
            </w:pPr>
            <w:r>
              <w:rPr>
                <w:sz w:val="20"/>
                <w:szCs w:val="20"/>
                <w:lang w:val="fr-CA"/>
              </w:rPr>
              <w:tab/>
              <w:t>Alain Arsenault</w:t>
            </w:r>
          </w:p>
          <w:p w:rsidR="00DD0BCE" w:rsidRDefault="00DD0BCE" w:rsidP="00DD0BCE">
            <w:pPr>
              <w:rPr>
                <w:sz w:val="20"/>
                <w:szCs w:val="20"/>
                <w:lang w:val="fr-CA"/>
              </w:rPr>
            </w:pPr>
            <w:r>
              <w:rPr>
                <w:sz w:val="20"/>
                <w:szCs w:val="20"/>
                <w:lang w:val="fr-CA"/>
              </w:rPr>
              <w:tab/>
              <w:t>Arsenault &amp; Lemieux</w:t>
            </w:r>
          </w:p>
          <w:p w:rsidR="00813894" w:rsidRPr="00DD0BCE" w:rsidRDefault="00813894" w:rsidP="005F1ED8">
            <w:pPr>
              <w:rPr>
                <w:b/>
                <w:sz w:val="20"/>
                <w:szCs w:val="20"/>
                <w:lang w:val="fr-CA"/>
              </w:rPr>
            </w:pPr>
          </w:p>
          <w:p w:rsidR="00813894" w:rsidRPr="00DD0BCE" w:rsidRDefault="00DD0BCE" w:rsidP="005F1ED8">
            <w:pPr>
              <w:rPr>
                <w:b/>
                <w:sz w:val="20"/>
                <w:szCs w:val="20"/>
                <w:lang w:val="fr-CA"/>
              </w:rPr>
            </w:pPr>
            <w:r>
              <w:rPr>
                <w:sz w:val="20"/>
                <w:szCs w:val="20"/>
                <w:lang w:val="fr-CA"/>
              </w:rPr>
              <w:t>DATE DE PRODUCTION : 24.11.2017</w:t>
            </w:r>
          </w:p>
          <w:p w:rsidR="00C21644" w:rsidRPr="00A935AA" w:rsidRDefault="00F964D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4A61F1" w:rsidRDefault="00237A86" w:rsidP="00813894">
            <w:pPr>
              <w:rPr>
                <w:b/>
                <w:sz w:val="20"/>
                <w:szCs w:val="20"/>
                <w:lang w:val="en-US"/>
              </w:rPr>
            </w:pPr>
            <w:r w:rsidRPr="004A61F1">
              <w:rPr>
                <w:b/>
                <w:sz w:val="20"/>
                <w:szCs w:val="20"/>
                <w:lang w:val="en-US"/>
              </w:rPr>
              <w:t>City of Dieppe</w:t>
            </w:r>
          </w:p>
          <w:p w:rsidR="00237A86" w:rsidRPr="004A61F1" w:rsidRDefault="00237A86" w:rsidP="00813894">
            <w:pPr>
              <w:rPr>
                <w:sz w:val="20"/>
                <w:szCs w:val="20"/>
                <w:lang w:val="en-US"/>
              </w:rPr>
            </w:pPr>
            <w:r w:rsidRPr="004A61F1">
              <w:rPr>
                <w:b/>
                <w:sz w:val="20"/>
                <w:szCs w:val="20"/>
                <w:lang w:val="en-US"/>
              </w:rPr>
              <w:tab/>
            </w:r>
            <w:r w:rsidRPr="004A61F1">
              <w:rPr>
                <w:sz w:val="20"/>
                <w:szCs w:val="20"/>
                <w:lang w:val="en-US"/>
              </w:rPr>
              <w:t>Paul Landry</w:t>
            </w:r>
          </w:p>
          <w:p w:rsidR="00237A86" w:rsidRPr="004A61F1" w:rsidRDefault="00237A86" w:rsidP="00813894">
            <w:pPr>
              <w:rPr>
                <w:sz w:val="20"/>
                <w:szCs w:val="20"/>
                <w:lang w:val="en-US"/>
              </w:rPr>
            </w:pPr>
            <w:r w:rsidRPr="004A61F1">
              <w:rPr>
                <w:sz w:val="20"/>
                <w:szCs w:val="20"/>
                <w:lang w:val="en-US"/>
              </w:rPr>
              <w:tab/>
              <w:t>McIntyre Finn</w:t>
            </w:r>
          </w:p>
          <w:p w:rsidR="00237A86" w:rsidRPr="004A61F1" w:rsidRDefault="00237A86" w:rsidP="00813894">
            <w:pPr>
              <w:rPr>
                <w:sz w:val="20"/>
                <w:szCs w:val="20"/>
                <w:lang w:val="en-US"/>
              </w:rPr>
            </w:pPr>
          </w:p>
          <w:p w:rsidR="00237A86" w:rsidRDefault="00237A86" w:rsidP="00813894">
            <w:pPr>
              <w:rPr>
                <w:sz w:val="20"/>
                <w:szCs w:val="20"/>
                <w:lang w:val="fr-CA"/>
              </w:rPr>
            </w:pPr>
            <w:r w:rsidRPr="004A61F1">
              <w:rPr>
                <w:sz w:val="20"/>
                <w:szCs w:val="20"/>
                <w:lang w:val="en-US"/>
              </w:rPr>
              <w:tab/>
            </w:r>
            <w:r>
              <w:rPr>
                <w:sz w:val="20"/>
                <w:szCs w:val="20"/>
                <w:lang w:val="fr-CA"/>
              </w:rPr>
              <w:t>v. (37856)</w:t>
            </w:r>
          </w:p>
          <w:p w:rsidR="00237A86" w:rsidRDefault="00237A86" w:rsidP="00813894">
            <w:pPr>
              <w:rPr>
                <w:sz w:val="20"/>
                <w:szCs w:val="20"/>
                <w:lang w:val="fr-CA"/>
              </w:rPr>
            </w:pPr>
          </w:p>
          <w:p w:rsidR="00237A86" w:rsidRDefault="00237A86" w:rsidP="00813894">
            <w:pPr>
              <w:rPr>
                <w:b/>
                <w:sz w:val="20"/>
                <w:szCs w:val="20"/>
                <w:lang w:val="fr-CA"/>
              </w:rPr>
            </w:pPr>
            <w:proofErr w:type="spellStart"/>
            <w:r>
              <w:rPr>
                <w:b/>
                <w:sz w:val="20"/>
                <w:szCs w:val="20"/>
                <w:lang w:val="fr-CA"/>
              </w:rPr>
              <w:t>Noron</w:t>
            </w:r>
            <w:proofErr w:type="spellEnd"/>
            <w:r>
              <w:rPr>
                <w:b/>
                <w:sz w:val="20"/>
                <w:szCs w:val="20"/>
                <w:lang w:val="fr-CA"/>
              </w:rPr>
              <w:t xml:space="preserve"> Inc. (N.B.)</w:t>
            </w:r>
          </w:p>
          <w:p w:rsidR="00237A86" w:rsidRDefault="00237A86" w:rsidP="00813894">
            <w:pPr>
              <w:rPr>
                <w:sz w:val="20"/>
                <w:szCs w:val="20"/>
                <w:lang w:val="fr-CA"/>
              </w:rPr>
            </w:pPr>
            <w:r>
              <w:rPr>
                <w:sz w:val="20"/>
                <w:szCs w:val="20"/>
                <w:lang w:val="fr-CA"/>
              </w:rPr>
              <w:tab/>
              <w:t>Marie-Claude Bélanger-Richard, Q.C.</w:t>
            </w:r>
          </w:p>
          <w:p w:rsidR="00237A86" w:rsidRDefault="00237A86" w:rsidP="00813894">
            <w:pPr>
              <w:rPr>
                <w:sz w:val="20"/>
                <w:szCs w:val="20"/>
                <w:lang w:val="fr-CA"/>
              </w:rPr>
            </w:pPr>
            <w:r>
              <w:rPr>
                <w:sz w:val="20"/>
                <w:szCs w:val="20"/>
                <w:lang w:val="fr-CA"/>
              </w:rPr>
              <w:tab/>
              <w:t xml:space="preserve">Stewart </w:t>
            </w:r>
            <w:proofErr w:type="spellStart"/>
            <w:r>
              <w:rPr>
                <w:sz w:val="20"/>
                <w:szCs w:val="20"/>
                <w:lang w:val="fr-CA"/>
              </w:rPr>
              <w:t>McKelvey</w:t>
            </w:r>
            <w:proofErr w:type="spellEnd"/>
          </w:p>
          <w:p w:rsidR="00237A86" w:rsidRDefault="00237A86" w:rsidP="00813894">
            <w:pPr>
              <w:rPr>
                <w:sz w:val="20"/>
                <w:szCs w:val="20"/>
                <w:lang w:val="fr-CA"/>
              </w:rPr>
            </w:pPr>
          </w:p>
          <w:p w:rsidR="00237A86" w:rsidRDefault="00237A86" w:rsidP="00813894">
            <w:pPr>
              <w:rPr>
                <w:sz w:val="20"/>
                <w:szCs w:val="20"/>
                <w:lang w:val="fr-CA"/>
              </w:rPr>
            </w:pPr>
            <w:r>
              <w:rPr>
                <w:sz w:val="20"/>
                <w:szCs w:val="20"/>
                <w:lang w:val="fr-CA"/>
              </w:rPr>
              <w:t>FILING DATE : 20.11.2017</w:t>
            </w:r>
          </w:p>
          <w:p w:rsidR="00237A86" w:rsidRDefault="00F964D5" w:rsidP="00813894">
            <w:pPr>
              <w:rPr>
                <w:sz w:val="20"/>
                <w:szCs w:val="20"/>
                <w:lang w:val="fr-CA"/>
              </w:rPr>
            </w:pPr>
            <w:r>
              <w:rPr>
                <w:sz w:val="20"/>
                <w:szCs w:val="20"/>
                <w:lang w:val="fr-CA"/>
              </w:rPr>
              <w:pict>
                <v:rect id="_x0000_i1026" style="width:108pt;height:1pt" o:hrpct="0" o:hralign="center" o:hrstd="t" o:hrnoshade="t" o:hr="t" fillcolor="black [3213]" stroked="f"/>
              </w:pict>
            </w:r>
          </w:p>
          <w:p w:rsidR="00237A86" w:rsidRDefault="00237A86" w:rsidP="00237A86">
            <w:pPr>
              <w:rPr>
                <w:sz w:val="20"/>
                <w:szCs w:val="20"/>
                <w:lang w:val="fr-CA"/>
              </w:rPr>
            </w:pPr>
          </w:p>
          <w:p w:rsidR="00237A86" w:rsidRPr="004A61F1" w:rsidRDefault="00237A86" w:rsidP="00237A86">
            <w:pPr>
              <w:rPr>
                <w:b/>
                <w:sz w:val="20"/>
                <w:szCs w:val="20"/>
                <w:lang w:val="en-US"/>
              </w:rPr>
            </w:pPr>
            <w:r w:rsidRPr="004A61F1">
              <w:rPr>
                <w:b/>
                <w:sz w:val="20"/>
                <w:szCs w:val="20"/>
                <w:lang w:val="en-US"/>
              </w:rPr>
              <w:t>L.B.</w:t>
            </w:r>
          </w:p>
          <w:p w:rsidR="00237A86" w:rsidRPr="004A61F1" w:rsidRDefault="00237A86" w:rsidP="00237A86">
            <w:pPr>
              <w:rPr>
                <w:sz w:val="20"/>
                <w:szCs w:val="20"/>
                <w:lang w:val="en-US"/>
              </w:rPr>
            </w:pPr>
            <w:r w:rsidRPr="004A61F1">
              <w:rPr>
                <w:b/>
                <w:sz w:val="20"/>
                <w:szCs w:val="20"/>
                <w:lang w:val="en-US"/>
              </w:rPr>
              <w:tab/>
            </w:r>
            <w:r w:rsidRPr="004A61F1">
              <w:rPr>
                <w:sz w:val="20"/>
                <w:szCs w:val="20"/>
                <w:lang w:val="en-US"/>
              </w:rPr>
              <w:t>David Baker</w:t>
            </w:r>
          </w:p>
          <w:p w:rsidR="00237A86" w:rsidRPr="004A61F1" w:rsidRDefault="00237A86" w:rsidP="00237A86">
            <w:pPr>
              <w:rPr>
                <w:sz w:val="20"/>
                <w:szCs w:val="20"/>
                <w:lang w:val="en-US"/>
              </w:rPr>
            </w:pPr>
            <w:r w:rsidRPr="004A61F1">
              <w:rPr>
                <w:sz w:val="20"/>
                <w:szCs w:val="20"/>
                <w:lang w:val="en-US"/>
              </w:rPr>
              <w:tab/>
            </w:r>
            <w:proofErr w:type="spellStart"/>
            <w:r w:rsidRPr="004A61F1">
              <w:rPr>
                <w:sz w:val="20"/>
                <w:szCs w:val="20"/>
                <w:lang w:val="en-US"/>
              </w:rPr>
              <w:t>Bakerlaw</w:t>
            </w:r>
            <w:proofErr w:type="spellEnd"/>
          </w:p>
          <w:p w:rsidR="00237A86" w:rsidRPr="004A61F1" w:rsidRDefault="00237A86" w:rsidP="00237A86">
            <w:pPr>
              <w:rPr>
                <w:sz w:val="20"/>
                <w:szCs w:val="20"/>
                <w:lang w:val="en-US"/>
              </w:rPr>
            </w:pPr>
          </w:p>
          <w:p w:rsidR="00237A86" w:rsidRPr="004A61F1" w:rsidRDefault="00237A86" w:rsidP="00237A86">
            <w:pPr>
              <w:rPr>
                <w:sz w:val="20"/>
                <w:szCs w:val="20"/>
                <w:lang w:val="en-US"/>
              </w:rPr>
            </w:pPr>
            <w:r w:rsidRPr="004A61F1">
              <w:rPr>
                <w:sz w:val="20"/>
                <w:szCs w:val="20"/>
                <w:lang w:val="en-US"/>
              </w:rPr>
              <w:tab/>
              <w:t>v. (37857)</w:t>
            </w:r>
          </w:p>
          <w:p w:rsidR="00237A86" w:rsidRPr="004A61F1" w:rsidRDefault="00237A86" w:rsidP="00237A86">
            <w:pPr>
              <w:rPr>
                <w:sz w:val="20"/>
                <w:szCs w:val="20"/>
                <w:lang w:val="en-US"/>
              </w:rPr>
            </w:pPr>
          </w:p>
          <w:p w:rsidR="00237A86" w:rsidRDefault="00237A86" w:rsidP="00237A86">
            <w:pPr>
              <w:rPr>
                <w:b/>
                <w:sz w:val="20"/>
                <w:szCs w:val="20"/>
                <w:lang w:val="en-US"/>
              </w:rPr>
            </w:pPr>
            <w:r w:rsidRPr="00237A86">
              <w:rPr>
                <w:b/>
                <w:sz w:val="20"/>
                <w:szCs w:val="20"/>
                <w:lang w:val="en-US"/>
              </w:rPr>
              <w:t xml:space="preserve">Toronto District School Board et al. </w:t>
            </w:r>
            <w:r>
              <w:rPr>
                <w:b/>
                <w:sz w:val="20"/>
                <w:szCs w:val="20"/>
                <w:lang w:val="en-US"/>
              </w:rPr>
              <w:t>(Ont.)</w:t>
            </w:r>
          </w:p>
          <w:p w:rsidR="00237A86" w:rsidRDefault="00237A86" w:rsidP="00237A86">
            <w:pPr>
              <w:rPr>
                <w:sz w:val="20"/>
                <w:szCs w:val="20"/>
                <w:lang w:val="en-US"/>
              </w:rPr>
            </w:pPr>
            <w:r>
              <w:rPr>
                <w:sz w:val="20"/>
                <w:szCs w:val="20"/>
                <w:lang w:val="en-US"/>
              </w:rPr>
              <w:tab/>
              <w:t>Patrick Cotter</w:t>
            </w:r>
          </w:p>
          <w:p w:rsidR="00237A86" w:rsidRDefault="00237A86" w:rsidP="00237A86">
            <w:pPr>
              <w:ind w:left="720" w:hanging="720"/>
              <w:rPr>
                <w:sz w:val="20"/>
                <w:szCs w:val="20"/>
                <w:lang w:val="en-US"/>
              </w:rPr>
            </w:pPr>
            <w:r>
              <w:rPr>
                <w:sz w:val="20"/>
                <w:szCs w:val="20"/>
                <w:lang w:val="en-US"/>
              </w:rPr>
              <w:tab/>
              <w:t xml:space="preserve">Toronto </w:t>
            </w:r>
            <w:proofErr w:type="spellStart"/>
            <w:r>
              <w:rPr>
                <w:sz w:val="20"/>
                <w:szCs w:val="20"/>
                <w:lang w:val="en-US"/>
              </w:rPr>
              <w:t>Disctrict</w:t>
            </w:r>
            <w:proofErr w:type="spellEnd"/>
            <w:r>
              <w:rPr>
                <w:sz w:val="20"/>
                <w:szCs w:val="20"/>
                <w:lang w:val="en-US"/>
              </w:rPr>
              <w:t xml:space="preserve"> School Board</w:t>
            </w:r>
          </w:p>
          <w:p w:rsidR="00237A86" w:rsidRDefault="00237A86" w:rsidP="00237A86">
            <w:pPr>
              <w:ind w:left="720" w:hanging="720"/>
              <w:rPr>
                <w:sz w:val="20"/>
                <w:szCs w:val="20"/>
                <w:lang w:val="en-US"/>
              </w:rPr>
            </w:pPr>
          </w:p>
          <w:p w:rsidR="00237A86" w:rsidRDefault="00237A86" w:rsidP="00237A86">
            <w:pPr>
              <w:ind w:left="720" w:hanging="720"/>
              <w:rPr>
                <w:sz w:val="20"/>
                <w:szCs w:val="20"/>
                <w:lang w:val="en-US"/>
              </w:rPr>
            </w:pPr>
            <w:r>
              <w:rPr>
                <w:sz w:val="20"/>
                <w:szCs w:val="20"/>
                <w:lang w:val="en-US"/>
              </w:rPr>
              <w:t xml:space="preserve">FILING DATE: </w:t>
            </w:r>
            <w:r w:rsidR="00F964D5">
              <w:rPr>
                <w:sz w:val="20"/>
                <w:szCs w:val="20"/>
                <w:lang w:val="en-US"/>
              </w:rPr>
              <w:t>2017.11.27</w:t>
            </w:r>
          </w:p>
          <w:p w:rsidR="00237A86" w:rsidRDefault="00F964D5" w:rsidP="00237A86">
            <w:pPr>
              <w:ind w:left="720" w:hanging="720"/>
              <w:rPr>
                <w:sz w:val="20"/>
                <w:szCs w:val="20"/>
                <w:lang w:val="en-US"/>
              </w:rPr>
            </w:pPr>
            <w:r>
              <w:rPr>
                <w:sz w:val="20"/>
                <w:szCs w:val="20"/>
                <w:lang w:val="fr-CA"/>
              </w:rPr>
              <w:pict>
                <v:rect id="_x0000_i1027" style="width:108pt;height:1pt" o:hrpct="0" o:hralign="center" o:hrstd="t" o:hrnoshade="t" o:hr="t" fillcolor="black [3213]" stroked="f"/>
              </w:pict>
            </w:r>
          </w:p>
          <w:p w:rsidR="00237A86" w:rsidRPr="00237A86" w:rsidRDefault="00237A86" w:rsidP="00237A86">
            <w:pPr>
              <w:ind w:left="720" w:hanging="720"/>
              <w:rPr>
                <w:sz w:val="20"/>
                <w:szCs w:val="20"/>
                <w:lang w:val="en-US"/>
              </w:rPr>
            </w:pPr>
          </w:p>
        </w:tc>
      </w:tr>
      <w:tr w:rsidR="00C21644" w:rsidRPr="00237A86" w:rsidTr="003B3977">
        <w:tc>
          <w:tcPr>
            <w:tcW w:w="4320" w:type="dxa"/>
            <w:shd w:val="clear" w:color="auto" w:fill="auto"/>
          </w:tcPr>
          <w:p w:rsidR="00C21644" w:rsidRDefault="00237A86" w:rsidP="003B3977">
            <w:pPr>
              <w:rPr>
                <w:b/>
                <w:sz w:val="20"/>
                <w:szCs w:val="20"/>
                <w:lang w:val="en-US"/>
              </w:rPr>
            </w:pPr>
            <w:r>
              <w:rPr>
                <w:b/>
                <w:sz w:val="20"/>
                <w:szCs w:val="20"/>
                <w:lang w:val="en-US"/>
              </w:rPr>
              <w:t>Sobeys West Inc. and Sobeys Capital Incorporated</w:t>
            </w:r>
          </w:p>
          <w:p w:rsidR="00237A86" w:rsidRDefault="00237A86" w:rsidP="003B3977">
            <w:pPr>
              <w:rPr>
                <w:sz w:val="20"/>
                <w:szCs w:val="20"/>
                <w:lang w:val="en-US"/>
              </w:rPr>
            </w:pPr>
            <w:r>
              <w:rPr>
                <w:b/>
                <w:sz w:val="20"/>
                <w:szCs w:val="20"/>
                <w:lang w:val="en-US"/>
              </w:rPr>
              <w:tab/>
            </w:r>
            <w:r>
              <w:rPr>
                <w:sz w:val="20"/>
                <w:szCs w:val="20"/>
                <w:lang w:val="en-US"/>
              </w:rPr>
              <w:t>Peter A. Gall</w:t>
            </w:r>
          </w:p>
          <w:p w:rsidR="00237A86" w:rsidRDefault="00237A86" w:rsidP="003B3977">
            <w:pPr>
              <w:rPr>
                <w:sz w:val="20"/>
                <w:szCs w:val="20"/>
                <w:lang w:val="en-US"/>
              </w:rPr>
            </w:pPr>
            <w:r>
              <w:rPr>
                <w:sz w:val="20"/>
                <w:szCs w:val="20"/>
                <w:lang w:val="en-US"/>
              </w:rPr>
              <w:tab/>
              <w:t xml:space="preserve">Gall </w:t>
            </w:r>
            <w:proofErr w:type="spellStart"/>
            <w:r>
              <w:rPr>
                <w:sz w:val="20"/>
                <w:szCs w:val="20"/>
                <w:lang w:val="en-US"/>
              </w:rPr>
              <w:t>Legge</w:t>
            </w:r>
            <w:proofErr w:type="spellEnd"/>
            <w:r>
              <w:rPr>
                <w:sz w:val="20"/>
                <w:szCs w:val="20"/>
                <w:lang w:val="en-US"/>
              </w:rPr>
              <w:t xml:space="preserve"> Grant </w:t>
            </w:r>
            <w:proofErr w:type="spellStart"/>
            <w:r>
              <w:rPr>
                <w:sz w:val="20"/>
                <w:szCs w:val="20"/>
                <w:lang w:val="en-US"/>
              </w:rPr>
              <w:t>Zwack</w:t>
            </w:r>
            <w:proofErr w:type="spellEnd"/>
            <w:r>
              <w:rPr>
                <w:sz w:val="20"/>
                <w:szCs w:val="20"/>
                <w:lang w:val="en-US"/>
              </w:rPr>
              <w:t xml:space="preserve"> LLP</w:t>
            </w:r>
          </w:p>
          <w:p w:rsidR="00237A86" w:rsidRDefault="00237A86" w:rsidP="003B3977">
            <w:pPr>
              <w:rPr>
                <w:sz w:val="20"/>
                <w:szCs w:val="20"/>
                <w:lang w:val="en-US"/>
              </w:rPr>
            </w:pPr>
          </w:p>
          <w:p w:rsidR="00237A86" w:rsidRDefault="00237A86" w:rsidP="003B3977">
            <w:pPr>
              <w:rPr>
                <w:sz w:val="20"/>
                <w:szCs w:val="20"/>
                <w:lang w:val="en-US"/>
              </w:rPr>
            </w:pPr>
            <w:r>
              <w:rPr>
                <w:sz w:val="20"/>
                <w:szCs w:val="20"/>
                <w:lang w:val="en-US"/>
              </w:rPr>
              <w:tab/>
              <w:t>v. (37864)</w:t>
            </w:r>
          </w:p>
          <w:p w:rsidR="00237A86" w:rsidRDefault="00237A86" w:rsidP="003B3977">
            <w:pPr>
              <w:rPr>
                <w:sz w:val="20"/>
                <w:szCs w:val="20"/>
                <w:lang w:val="en-US"/>
              </w:rPr>
            </w:pPr>
          </w:p>
          <w:p w:rsidR="00237A86" w:rsidRDefault="00237A86" w:rsidP="003B3977">
            <w:pPr>
              <w:rPr>
                <w:b/>
                <w:sz w:val="20"/>
                <w:szCs w:val="20"/>
                <w:lang w:val="en-US"/>
              </w:rPr>
            </w:pPr>
            <w:r>
              <w:rPr>
                <w:b/>
                <w:sz w:val="20"/>
                <w:szCs w:val="20"/>
                <w:lang w:val="en-US"/>
              </w:rPr>
              <w:t>Alberta College of Pharmacists (Alta.)</w:t>
            </w:r>
          </w:p>
          <w:p w:rsidR="00237A86" w:rsidRDefault="00237A86" w:rsidP="003B3977">
            <w:pPr>
              <w:rPr>
                <w:sz w:val="20"/>
                <w:szCs w:val="20"/>
                <w:lang w:val="en-US"/>
              </w:rPr>
            </w:pPr>
            <w:r>
              <w:rPr>
                <w:b/>
                <w:sz w:val="20"/>
                <w:szCs w:val="20"/>
                <w:lang w:val="en-US"/>
              </w:rPr>
              <w:tab/>
            </w:r>
            <w:r>
              <w:rPr>
                <w:sz w:val="20"/>
                <w:szCs w:val="20"/>
                <w:lang w:val="en-US"/>
              </w:rPr>
              <w:t>William W. Shores, Q.C.</w:t>
            </w:r>
          </w:p>
          <w:p w:rsidR="00237A86" w:rsidRDefault="00237A86" w:rsidP="003B3977">
            <w:pPr>
              <w:rPr>
                <w:sz w:val="20"/>
                <w:szCs w:val="20"/>
                <w:lang w:val="en-US"/>
              </w:rPr>
            </w:pPr>
            <w:r>
              <w:rPr>
                <w:sz w:val="20"/>
                <w:szCs w:val="20"/>
                <w:lang w:val="en-US"/>
              </w:rPr>
              <w:tab/>
              <w:t>Shores Jardine</w:t>
            </w:r>
          </w:p>
          <w:p w:rsidR="00237A86" w:rsidRDefault="00237A86" w:rsidP="003B3977">
            <w:pPr>
              <w:rPr>
                <w:sz w:val="20"/>
                <w:szCs w:val="20"/>
                <w:lang w:val="en-US"/>
              </w:rPr>
            </w:pPr>
          </w:p>
          <w:p w:rsidR="00237A86" w:rsidRDefault="00237A86" w:rsidP="003B3977">
            <w:pPr>
              <w:rPr>
                <w:sz w:val="20"/>
                <w:szCs w:val="20"/>
                <w:lang w:val="en-US"/>
              </w:rPr>
            </w:pPr>
            <w:r>
              <w:rPr>
                <w:sz w:val="20"/>
                <w:szCs w:val="20"/>
                <w:lang w:val="en-US"/>
              </w:rPr>
              <w:t>FILING DATE: 21.11.2017</w:t>
            </w:r>
          </w:p>
          <w:p w:rsidR="00237A86" w:rsidRDefault="00F964D5" w:rsidP="003B3977">
            <w:pPr>
              <w:rPr>
                <w:sz w:val="20"/>
                <w:szCs w:val="20"/>
                <w:lang w:val="fr-CA"/>
              </w:rPr>
            </w:pPr>
            <w:r>
              <w:rPr>
                <w:sz w:val="20"/>
                <w:szCs w:val="20"/>
                <w:lang w:val="fr-CA"/>
              </w:rPr>
              <w:pict>
                <v:rect id="_x0000_i1028" style="width:108pt;height:1pt" o:hrpct="0" o:hralign="center" o:hrstd="t" o:hrnoshade="t" o:hr="t" fillcolor="black [3213]" stroked="f"/>
              </w:pict>
            </w:r>
          </w:p>
          <w:p w:rsidR="00237A86" w:rsidRPr="00237A86" w:rsidRDefault="00237A86" w:rsidP="003B3977">
            <w:pPr>
              <w:rPr>
                <w:b/>
                <w:sz w:val="20"/>
                <w:szCs w:val="20"/>
                <w:lang w:val="en-US"/>
              </w:rPr>
            </w:pPr>
          </w:p>
        </w:tc>
        <w:tc>
          <w:tcPr>
            <w:tcW w:w="1181" w:type="dxa"/>
            <w:shd w:val="clear" w:color="auto" w:fill="auto"/>
          </w:tcPr>
          <w:p w:rsidR="00C21644" w:rsidRPr="00237A86" w:rsidRDefault="00C21644" w:rsidP="00242AEE">
            <w:pPr>
              <w:jc w:val="center"/>
              <w:rPr>
                <w:sz w:val="20"/>
                <w:szCs w:val="20"/>
                <w:lang w:val="en-US"/>
              </w:rPr>
            </w:pPr>
          </w:p>
        </w:tc>
        <w:tc>
          <w:tcPr>
            <w:tcW w:w="4320" w:type="dxa"/>
            <w:shd w:val="clear" w:color="auto" w:fill="auto"/>
          </w:tcPr>
          <w:p w:rsidR="00C21644" w:rsidRDefault="00237A86" w:rsidP="00813894">
            <w:pPr>
              <w:rPr>
                <w:b/>
                <w:sz w:val="20"/>
                <w:szCs w:val="20"/>
                <w:lang w:val="en-US"/>
              </w:rPr>
            </w:pPr>
            <w:r>
              <w:rPr>
                <w:b/>
                <w:sz w:val="20"/>
                <w:szCs w:val="20"/>
                <w:lang w:val="en-US"/>
              </w:rPr>
              <w:t>R.S.</w:t>
            </w:r>
          </w:p>
          <w:p w:rsidR="00237A86" w:rsidRDefault="00237A86" w:rsidP="00813894">
            <w:pPr>
              <w:rPr>
                <w:sz w:val="20"/>
                <w:szCs w:val="20"/>
                <w:lang w:val="en-US"/>
              </w:rPr>
            </w:pPr>
            <w:r>
              <w:rPr>
                <w:b/>
                <w:sz w:val="20"/>
                <w:szCs w:val="20"/>
                <w:lang w:val="en-US"/>
              </w:rPr>
              <w:tab/>
            </w:r>
            <w:r>
              <w:rPr>
                <w:sz w:val="20"/>
                <w:szCs w:val="20"/>
                <w:lang w:val="en-US"/>
              </w:rPr>
              <w:t>Luc Giroux</w:t>
            </w:r>
          </w:p>
          <w:p w:rsidR="00237A86" w:rsidRDefault="00237A86" w:rsidP="00813894">
            <w:pPr>
              <w:rPr>
                <w:sz w:val="20"/>
                <w:szCs w:val="20"/>
                <w:lang w:val="en-US"/>
              </w:rPr>
            </w:pPr>
            <w:r>
              <w:rPr>
                <w:sz w:val="20"/>
                <w:szCs w:val="20"/>
                <w:lang w:val="en-US"/>
              </w:rPr>
              <w:tab/>
            </w:r>
            <w:proofErr w:type="spellStart"/>
            <w:r>
              <w:rPr>
                <w:sz w:val="20"/>
                <w:szCs w:val="20"/>
                <w:lang w:val="en-US"/>
              </w:rPr>
              <w:t>Dentons</w:t>
            </w:r>
            <w:proofErr w:type="spellEnd"/>
            <w:r>
              <w:rPr>
                <w:sz w:val="20"/>
                <w:szCs w:val="20"/>
                <w:lang w:val="en-US"/>
              </w:rPr>
              <w:t xml:space="preserve"> Canada </w:t>
            </w:r>
            <w:proofErr w:type="spellStart"/>
            <w:r>
              <w:rPr>
                <w:sz w:val="20"/>
                <w:szCs w:val="20"/>
                <w:lang w:val="en-US"/>
              </w:rPr>
              <w:t>s.e.n.c.r.l</w:t>
            </w:r>
            <w:proofErr w:type="spellEnd"/>
            <w:r>
              <w:rPr>
                <w:sz w:val="20"/>
                <w:szCs w:val="20"/>
                <w:lang w:val="en-US"/>
              </w:rPr>
              <w:t>.</w:t>
            </w:r>
          </w:p>
          <w:p w:rsidR="00237A86" w:rsidRDefault="00237A86" w:rsidP="00813894">
            <w:pPr>
              <w:rPr>
                <w:sz w:val="20"/>
                <w:szCs w:val="20"/>
                <w:lang w:val="en-US"/>
              </w:rPr>
            </w:pPr>
          </w:p>
          <w:p w:rsidR="00237A86" w:rsidRDefault="00237A86" w:rsidP="00813894">
            <w:pPr>
              <w:rPr>
                <w:sz w:val="20"/>
                <w:szCs w:val="20"/>
                <w:lang w:val="en-US"/>
              </w:rPr>
            </w:pPr>
            <w:r>
              <w:rPr>
                <w:sz w:val="20"/>
                <w:szCs w:val="20"/>
                <w:lang w:val="en-US"/>
              </w:rPr>
              <w:tab/>
              <w:t>c. (37861)</w:t>
            </w:r>
          </w:p>
          <w:p w:rsidR="00237A86" w:rsidRDefault="00237A86" w:rsidP="00813894">
            <w:pPr>
              <w:rPr>
                <w:sz w:val="20"/>
                <w:szCs w:val="20"/>
                <w:lang w:val="en-US"/>
              </w:rPr>
            </w:pPr>
          </w:p>
          <w:p w:rsidR="00237A86" w:rsidRDefault="00237A86" w:rsidP="00813894">
            <w:pPr>
              <w:rPr>
                <w:b/>
                <w:sz w:val="20"/>
                <w:szCs w:val="20"/>
                <w:lang w:val="en-US"/>
              </w:rPr>
            </w:pPr>
            <w:r>
              <w:rPr>
                <w:b/>
                <w:sz w:val="20"/>
                <w:szCs w:val="20"/>
                <w:lang w:val="en-US"/>
              </w:rPr>
              <w:t>P.R. (Qc)</w:t>
            </w:r>
          </w:p>
          <w:p w:rsidR="00237A86" w:rsidRDefault="00237A86" w:rsidP="00813894">
            <w:pPr>
              <w:rPr>
                <w:sz w:val="20"/>
                <w:szCs w:val="20"/>
                <w:lang w:val="en-US"/>
              </w:rPr>
            </w:pPr>
            <w:r>
              <w:rPr>
                <w:sz w:val="20"/>
                <w:szCs w:val="20"/>
                <w:lang w:val="en-US"/>
              </w:rPr>
              <w:tab/>
              <w:t>Pascale Nolin</w:t>
            </w:r>
          </w:p>
          <w:p w:rsidR="00237A86" w:rsidRDefault="00237A86" w:rsidP="00813894">
            <w:pPr>
              <w:rPr>
                <w:sz w:val="20"/>
                <w:szCs w:val="20"/>
                <w:lang w:val="en-US"/>
              </w:rPr>
            </w:pPr>
            <w:r>
              <w:rPr>
                <w:sz w:val="20"/>
                <w:szCs w:val="20"/>
                <w:lang w:val="en-US"/>
              </w:rPr>
              <w:tab/>
              <w:t>Robinson Sheppard Shapiro</w:t>
            </w:r>
          </w:p>
          <w:p w:rsidR="00237A86" w:rsidRDefault="00237A86" w:rsidP="00813894">
            <w:pPr>
              <w:rPr>
                <w:sz w:val="20"/>
                <w:szCs w:val="20"/>
                <w:lang w:val="en-US"/>
              </w:rPr>
            </w:pPr>
          </w:p>
          <w:p w:rsidR="00237A86" w:rsidRDefault="00237A86" w:rsidP="00813894">
            <w:pPr>
              <w:rPr>
                <w:sz w:val="20"/>
                <w:szCs w:val="20"/>
                <w:lang w:val="en-US"/>
              </w:rPr>
            </w:pPr>
            <w:r>
              <w:rPr>
                <w:sz w:val="20"/>
                <w:szCs w:val="20"/>
                <w:lang w:val="en-US"/>
              </w:rPr>
              <w:t>DATE DE PRODUCTION: 28.11.2017</w:t>
            </w:r>
          </w:p>
          <w:p w:rsidR="00237A86" w:rsidRPr="00237A86" w:rsidRDefault="00F964D5" w:rsidP="00813894">
            <w:pPr>
              <w:rPr>
                <w:sz w:val="20"/>
                <w:szCs w:val="20"/>
                <w:lang w:val="en-US"/>
              </w:rPr>
            </w:pPr>
            <w:r>
              <w:rPr>
                <w:sz w:val="20"/>
                <w:szCs w:val="20"/>
                <w:lang w:val="fr-CA"/>
              </w:rPr>
              <w:pict>
                <v:rect id="_x0000_i1029" style="width:108pt;height:1pt" o:hrpct="0" o:hralign="center" o:hrstd="t" o:hrnoshade="t" o:hr="t" fillcolor="black [3213]" stroked="f"/>
              </w:pict>
            </w:r>
          </w:p>
        </w:tc>
      </w:tr>
      <w:tr w:rsidR="00C21644" w:rsidRPr="00237A86" w:rsidTr="003B3977">
        <w:tc>
          <w:tcPr>
            <w:tcW w:w="4320" w:type="dxa"/>
            <w:shd w:val="clear" w:color="auto" w:fill="auto"/>
          </w:tcPr>
          <w:p w:rsidR="00C21644" w:rsidRDefault="00237A86" w:rsidP="005F1ED8">
            <w:pPr>
              <w:rPr>
                <w:b/>
                <w:sz w:val="20"/>
                <w:szCs w:val="20"/>
                <w:lang w:val="en-US"/>
              </w:rPr>
            </w:pPr>
            <w:r>
              <w:rPr>
                <w:b/>
                <w:sz w:val="20"/>
                <w:szCs w:val="20"/>
                <w:lang w:val="en-US"/>
              </w:rPr>
              <w:t xml:space="preserve">Victor </w:t>
            </w:r>
            <w:proofErr w:type="spellStart"/>
            <w:r>
              <w:rPr>
                <w:b/>
                <w:sz w:val="20"/>
                <w:szCs w:val="20"/>
                <w:lang w:val="en-US"/>
              </w:rPr>
              <w:t>Nnabuogor</w:t>
            </w:r>
            <w:proofErr w:type="spellEnd"/>
          </w:p>
          <w:p w:rsidR="00237A86" w:rsidRDefault="00237A86" w:rsidP="005F1ED8">
            <w:pPr>
              <w:rPr>
                <w:sz w:val="20"/>
                <w:szCs w:val="20"/>
                <w:lang w:val="en-US"/>
              </w:rPr>
            </w:pPr>
            <w:r>
              <w:rPr>
                <w:b/>
                <w:sz w:val="20"/>
                <w:szCs w:val="20"/>
                <w:lang w:val="en-US"/>
              </w:rPr>
              <w:tab/>
            </w:r>
            <w:r>
              <w:rPr>
                <w:sz w:val="20"/>
                <w:szCs w:val="20"/>
                <w:lang w:val="en-US"/>
              </w:rPr>
              <w:t xml:space="preserve">Richard </w:t>
            </w:r>
            <w:proofErr w:type="spellStart"/>
            <w:r>
              <w:rPr>
                <w:sz w:val="20"/>
                <w:szCs w:val="20"/>
                <w:lang w:val="en-US"/>
              </w:rPr>
              <w:t>Litkowski</w:t>
            </w:r>
            <w:proofErr w:type="spellEnd"/>
          </w:p>
          <w:p w:rsidR="00237A86" w:rsidRDefault="00237A86" w:rsidP="005F1ED8">
            <w:pPr>
              <w:rPr>
                <w:sz w:val="20"/>
                <w:szCs w:val="20"/>
                <w:lang w:val="en-US"/>
              </w:rPr>
            </w:pPr>
            <w:r>
              <w:rPr>
                <w:sz w:val="20"/>
                <w:szCs w:val="20"/>
                <w:lang w:val="en-US"/>
              </w:rPr>
              <w:tab/>
              <w:t>Hicks Adams LLP</w:t>
            </w:r>
          </w:p>
          <w:p w:rsidR="00237A86" w:rsidRDefault="00237A86" w:rsidP="005F1ED8">
            <w:pPr>
              <w:rPr>
                <w:sz w:val="20"/>
                <w:szCs w:val="20"/>
                <w:lang w:val="en-US"/>
              </w:rPr>
            </w:pPr>
          </w:p>
          <w:p w:rsidR="00237A86" w:rsidRDefault="00237A86" w:rsidP="005F1ED8">
            <w:pPr>
              <w:rPr>
                <w:sz w:val="20"/>
                <w:szCs w:val="20"/>
                <w:lang w:val="en-US"/>
              </w:rPr>
            </w:pPr>
            <w:r>
              <w:rPr>
                <w:sz w:val="20"/>
                <w:szCs w:val="20"/>
                <w:lang w:val="en-US"/>
              </w:rPr>
              <w:tab/>
              <w:t>v. (37868)</w:t>
            </w:r>
          </w:p>
          <w:p w:rsidR="00237A86" w:rsidRDefault="00237A86" w:rsidP="005F1ED8">
            <w:pPr>
              <w:rPr>
                <w:sz w:val="20"/>
                <w:szCs w:val="20"/>
                <w:lang w:val="en-US"/>
              </w:rPr>
            </w:pPr>
          </w:p>
          <w:p w:rsidR="00237A86" w:rsidRDefault="00237A86" w:rsidP="005F1ED8">
            <w:pPr>
              <w:rPr>
                <w:b/>
                <w:sz w:val="20"/>
                <w:szCs w:val="20"/>
                <w:lang w:val="en-US"/>
              </w:rPr>
            </w:pPr>
            <w:r>
              <w:rPr>
                <w:b/>
                <w:sz w:val="20"/>
                <w:szCs w:val="20"/>
                <w:lang w:val="en-US"/>
              </w:rPr>
              <w:t>Her Majesty the Queen (Ont.)</w:t>
            </w:r>
          </w:p>
          <w:p w:rsidR="00237A86" w:rsidRDefault="00237A86" w:rsidP="005F1ED8">
            <w:pPr>
              <w:rPr>
                <w:sz w:val="20"/>
                <w:szCs w:val="20"/>
                <w:lang w:val="en-US"/>
              </w:rPr>
            </w:pPr>
            <w:r>
              <w:rPr>
                <w:sz w:val="20"/>
                <w:szCs w:val="20"/>
                <w:lang w:val="en-US"/>
              </w:rPr>
              <w:tab/>
            </w:r>
            <w:proofErr w:type="spellStart"/>
            <w:r>
              <w:rPr>
                <w:sz w:val="20"/>
                <w:szCs w:val="20"/>
                <w:lang w:val="en-US"/>
              </w:rPr>
              <w:t>Andreea</w:t>
            </w:r>
            <w:proofErr w:type="spellEnd"/>
            <w:r>
              <w:rPr>
                <w:sz w:val="20"/>
                <w:szCs w:val="20"/>
                <w:lang w:val="en-US"/>
              </w:rPr>
              <w:t xml:space="preserve"> </w:t>
            </w:r>
            <w:proofErr w:type="spellStart"/>
            <w:r>
              <w:rPr>
                <w:sz w:val="20"/>
                <w:szCs w:val="20"/>
                <w:lang w:val="en-US"/>
              </w:rPr>
              <w:t>Baiasu</w:t>
            </w:r>
            <w:proofErr w:type="spellEnd"/>
          </w:p>
          <w:p w:rsidR="00237A86" w:rsidRDefault="00237A86" w:rsidP="005F1ED8">
            <w:pPr>
              <w:rPr>
                <w:sz w:val="20"/>
                <w:szCs w:val="20"/>
                <w:lang w:val="en-US"/>
              </w:rPr>
            </w:pPr>
            <w:r>
              <w:rPr>
                <w:sz w:val="20"/>
                <w:szCs w:val="20"/>
                <w:lang w:val="en-US"/>
              </w:rPr>
              <w:tab/>
              <w:t>A.G. of Ontario</w:t>
            </w:r>
          </w:p>
          <w:p w:rsidR="00237A86" w:rsidRDefault="00237A86" w:rsidP="005F1ED8">
            <w:pPr>
              <w:rPr>
                <w:sz w:val="20"/>
                <w:szCs w:val="20"/>
                <w:lang w:val="en-US"/>
              </w:rPr>
            </w:pPr>
          </w:p>
          <w:p w:rsidR="00237A86" w:rsidRDefault="00237A86" w:rsidP="005F1ED8">
            <w:pPr>
              <w:rPr>
                <w:sz w:val="20"/>
                <w:szCs w:val="20"/>
                <w:lang w:val="en-US"/>
              </w:rPr>
            </w:pPr>
            <w:r>
              <w:rPr>
                <w:sz w:val="20"/>
                <w:szCs w:val="20"/>
                <w:lang w:val="en-US"/>
              </w:rPr>
              <w:t>FILING DATE: 01.12.2017</w:t>
            </w:r>
          </w:p>
          <w:p w:rsidR="00237A86" w:rsidRPr="00237A86" w:rsidRDefault="00F964D5" w:rsidP="005F1ED8">
            <w:pPr>
              <w:rPr>
                <w:sz w:val="20"/>
                <w:szCs w:val="20"/>
                <w:lang w:val="fr-CA"/>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C21644" w:rsidRPr="00237A86" w:rsidRDefault="00C21644" w:rsidP="00242AEE">
            <w:pPr>
              <w:jc w:val="center"/>
              <w:rPr>
                <w:sz w:val="20"/>
                <w:szCs w:val="20"/>
                <w:lang w:val="en-US"/>
              </w:rPr>
            </w:pPr>
          </w:p>
        </w:tc>
        <w:tc>
          <w:tcPr>
            <w:tcW w:w="4320" w:type="dxa"/>
            <w:shd w:val="clear" w:color="auto" w:fill="auto"/>
          </w:tcPr>
          <w:p w:rsidR="00C21644" w:rsidRPr="00237A86" w:rsidRDefault="00C21644" w:rsidP="005F1ED8">
            <w:pPr>
              <w:rPr>
                <w:sz w:val="20"/>
                <w:szCs w:val="20"/>
                <w:lang w:val="en-US"/>
              </w:rPr>
            </w:pPr>
          </w:p>
        </w:tc>
      </w:tr>
    </w:tbl>
    <w:p w:rsidR="00242AEE" w:rsidRPr="00237A86" w:rsidRDefault="00242AEE" w:rsidP="0095096B">
      <w:pPr>
        <w:tabs>
          <w:tab w:val="right" w:pos="9360"/>
        </w:tabs>
        <w:rPr>
          <w:sz w:val="20"/>
          <w:szCs w:val="20"/>
          <w:lang w:val="en-US"/>
        </w:rPr>
        <w:sectPr w:rsidR="00242AEE" w:rsidRPr="00237A86" w:rsidSect="00283811">
          <w:headerReference w:type="default" r:id="rId11"/>
          <w:footerReference w:type="default" r:id="rId12"/>
          <w:headerReference w:type="first" r:id="rId13"/>
          <w:footerReference w:type="first" r:id="rId14"/>
          <w:pgSz w:w="12240" w:h="15840"/>
          <w:pgMar w:top="720" w:right="965" w:bottom="1080" w:left="1656" w:header="706" w:footer="706" w:gutter="0"/>
          <w:pgNumType w:start="173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964D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4569C" w:rsidRPr="004A61F1" w:rsidRDefault="0024569C" w:rsidP="00CB3520">
      <w:pPr>
        <w:widowControl w:val="0"/>
        <w:rPr>
          <w:b/>
          <w:sz w:val="20"/>
          <w:szCs w:val="20"/>
          <w:lang w:val="fr-CA"/>
        </w:rPr>
      </w:pPr>
    </w:p>
    <w:p w:rsidR="00CB3520" w:rsidRPr="00C50A5C" w:rsidRDefault="0024569C" w:rsidP="00CB3520">
      <w:pPr>
        <w:widowControl w:val="0"/>
        <w:rPr>
          <w:b/>
          <w:sz w:val="20"/>
          <w:szCs w:val="20"/>
        </w:rPr>
      </w:pPr>
      <w:r>
        <w:rPr>
          <w:b/>
          <w:sz w:val="20"/>
          <w:szCs w:val="20"/>
        </w:rPr>
        <w:t>DECEMBER 11</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11 DÉCEMBRE</w:t>
      </w:r>
      <w:r w:rsidR="00CB3520" w:rsidRPr="00C50A5C">
        <w:rPr>
          <w:b/>
          <w:sz w:val="20"/>
          <w:szCs w:val="20"/>
        </w:rPr>
        <w:t xml:space="preserve"> 201</w:t>
      </w:r>
      <w:r w:rsidR="00E8544A">
        <w:rPr>
          <w:b/>
          <w:sz w:val="20"/>
          <w:szCs w:val="20"/>
        </w:rPr>
        <w:t>7</w:t>
      </w:r>
    </w:p>
    <w:p w:rsidR="00C661B7" w:rsidRDefault="00C661B7" w:rsidP="0024569C">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37A86" w:rsidRPr="00F964D5" w:rsidTr="00237A86">
        <w:trPr>
          <w:cantSplit/>
        </w:trPr>
        <w:tc>
          <w:tcPr>
            <w:tcW w:w="508" w:type="dxa"/>
          </w:tcPr>
          <w:p w:rsidR="00237A86" w:rsidRPr="001E7558" w:rsidRDefault="00237A86" w:rsidP="00237A86">
            <w:pPr>
              <w:rPr>
                <w:sz w:val="20"/>
                <w:szCs w:val="20"/>
                <w:lang w:val="fr-CA"/>
              </w:rPr>
            </w:pPr>
          </w:p>
        </w:tc>
        <w:tc>
          <w:tcPr>
            <w:tcW w:w="810" w:type="dxa"/>
          </w:tcPr>
          <w:p w:rsidR="00237A86" w:rsidRPr="001E7558" w:rsidRDefault="00237A86" w:rsidP="00237A86">
            <w:pPr>
              <w:rPr>
                <w:sz w:val="20"/>
                <w:szCs w:val="20"/>
                <w:lang w:val="fr-CA"/>
              </w:rPr>
            </w:pPr>
          </w:p>
        </w:tc>
        <w:tc>
          <w:tcPr>
            <w:tcW w:w="8258" w:type="dxa"/>
            <w:gridSpan w:val="3"/>
          </w:tcPr>
          <w:p w:rsidR="00237A86" w:rsidRDefault="00237A86" w:rsidP="00237A86">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Côté</w:t>
            </w:r>
            <w:proofErr w:type="spellEnd"/>
            <w:r>
              <w:rPr>
                <w:b/>
                <w:bCs/>
                <w:sz w:val="20"/>
                <w:szCs w:val="20"/>
              </w:rPr>
              <w:t xml:space="preserve"> and Brown JJ.</w:t>
            </w:r>
          </w:p>
          <w:p w:rsidR="00237A86" w:rsidRDefault="00237A86" w:rsidP="00237A86">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Côté et Brown</w:t>
            </w:r>
          </w:p>
          <w:p w:rsidR="00237A86" w:rsidRPr="00237A86" w:rsidRDefault="00237A86" w:rsidP="00237A86">
            <w:pPr>
              <w:rPr>
                <w:sz w:val="20"/>
                <w:szCs w:val="20"/>
                <w:lang w:val="fr-CA"/>
              </w:rPr>
            </w:pP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1.</w:t>
            </w:r>
          </w:p>
        </w:tc>
        <w:tc>
          <w:tcPr>
            <w:tcW w:w="810" w:type="dxa"/>
          </w:tcPr>
          <w:p w:rsidR="00237A86" w:rsidRPr="001E7558" w:rsidRDefault="00237A86" w:rsidP="00237A86">
            <w:pPr>
              <w:rPr>
                <w:sz w:val="20"/>
                <w:szCs w:val="20"/>
              </w:rPr>
            </w:pPr>
            <w:r w:rsidRPr="001E7558">
              <w:rPr>
                <w:sz w:val="20"/>
                <w:szCs w:val="20"/>
              </w:rPr>
              <w:t>37713</w:t>
            </w:r>
          </w:p>
        </w:tc>
        <w:tc>
          <w:tcPr>
            <w:tcW w:w="4050" w:type="dxa"/>
          </w:tcPr>
          <w:p w:rsidR="00237A86" w:rsidRPr="001E7558" w:rsidRDefault="00237A86" w:rsidP="00237A86">
            <w:pPr>
              <w:pStyle w:val="SCCAppellantInfoAppellantInfo"/>
              <w:rPr>
                <w:sz w:val="20"/>
                <w:szCs w:val="20"/>
                <w:lang w:val="fr-CA"/>
              </w:rPr>
            </w:pPr>
            <w:r w:rsidRPr="001E7558">
              <w:rPr>
                <w:sz w:val="20"/>
                <w:szCs w:val="20"/>
                <w:lang w:val="fr-CA"/>
              </w:rPr>
              <w:t>Mario Godbout</w:t>
            </w:r>
          </w:p>
          <w:p w:rsidR="00237A86" w:rsidRPr="001E7558" w:rsidRDefault="00237A86" w:rsidP="00237A86">
            <w:pPr>
              <w:pStyle w:val="SCCAppellantInfoAppellantInfo"/>
              <w:rPr>
                <w:sz w:val="20"/>
                <w:szCs w:val="20"/>
                <w:lang w:val="fr-CA"/>
              </w:rPr>
            </w:pPr>
            <w:r w:rsidRPr="001E7558">
              <w:rPr>
                <w:sz w:val="20"/>
                <w:szCs w:val="20"/>
                <w:lang w:val="fr-CA"/>
              </w:rPr>
              <w:t>(</w:t>
            </w:r>
            <w:proofErr w:type="spellStart"/>
            <w:r w:rsidRPr="001E7558">
              <w:rPr>
                <w:sz w:val="20"/>
                <w:szCs w:val="20"/>
                <w:lang w:val="fr-CA"/>
              </w:rPr>
              <w:t>Qc</w:t>
            </w:r>
            <w:proofErr w:type="spellEnd"/>
            <w:r w:rsidRPr="001E7558">
              <w:rPr>
                <w:sz w:val="20"/>
                <w:szCs w:val="20"/>
                <w:lang w:val="fr-CA"/>
              </w:rPr>
              <w:t>) (Criminelle) (Autorisation)</w:t>
            </w:r>
          </w:p>
        </w:tc>
        <w:tc>
          <w:tcPr>
            <w:tcW w:w="360" w:type="dxa"/>
          </w:tcPr>
          <w:p w:rsidR="00237A86" w:rsidRPr="001E7558" w:rsidRDefault="00237A86" w:rsidP="00237A86">
            <w:pPr>
              <w:rPr>
                <w:sz w:val="20"/>
                <w:szCs w:val="20"/>
              </w:rPr>
            </w:pPr>
            <w:r w:rsidRPr="001E7558">
              <w:rPr>
                <w:sz w:val="20"/>
                <w:szCs w:val="20"/>
              </w:rPr>
              <w:t>c.</w:t>
            </w:r>
          </w:p>
        </w:tc>
        <w:tc>
          <w:tcPr>
            <w:tcW w:w="3848" w:type="dxa"/>
          </w:tcPr>
          <w:p w:rsidR="00237A86" w:rsidRPr="001E7558" w:rsidRDefault="00237A86" w:rsidP="00237A86">
            <w:pPr>
              <w:pStyle w:val="SCCAppellantInfoAppellantInfo"/>
              <w:rPr>
                <w:sz w:val="20"/>
                <w:szCs w:val="20"/>
              </w:rPr>
            </w:pPr>
            <w:r w:rsidRPr="001E7558">
              <w:rPr>
                <w:sz w:val="20"/>
                <w:szCs w:val="20"/>
              </w:rPr>
              <w:t xml:space="preserve">Sa </w:t>
            </w:r>
            <w:proofErr w:type="spellStart"/>
            <w:r w:rsidRPr="001E7558">
              <w:rPr>
                <w:sz w:val="20"/>
                <w:szCs w:val="20"/>
              </w:rPr>
              <w:t>Majesté</w:t>
            </w:r>
            <w:proofErr w:type="spellEnd"/>
            <w:r w:rsidRPr="001E7558">
              <w:rPr>
                <w:sz w:val="20"/>
                <w:szCs w:val="20"/>
              </w:rPr>
              <w:t xml:space="preserve"> la </w:t>
            </w:r>
            <w:proofErr w:type="spellStart"/>
            <w:r w:rsidRPr="001E7558">
              <w:rPr>
                <w:sz w:val="20"/>
                <w:szCs w:val="20"/>
              </w:rPr>
              <w:t>Reine</w:t>
            </w:r>
            <w:proofErr w:type="spellEnd"/>
          </w:p>
        </w:tc>
      </w:tr>
      <w:tr w:rsidR="00237A86" w:rsidRPr="00F964D5" w:rsidTr="00237A86">
        <w:trPr>
          <w:cantSplit/>
        </w:trPr>
        <w:tc>
          <w:tcPr>
            <w:tcW w:w="508" w:type="dxa"/>
          </w:tcPr>
          <w:p w:rsidR="00237A86" w:rsidRPr="001E7558" w:rsidRDefault="00237A86" w:rsidP="00237A86">
            <w:pPr>
              <w:rPr>
                <w:sz w:val="20"/>
                <w:szCs w:val="20"/>
              </w:rPr>
            </w:pPr>
            <w:r w:rsidRPr="001E7558">
              <w:rPr>
                <w:sz w:val="20"/>
                <w:szCs w:val="20"/>
              </w:rPr>
              <w:t>2.</w:t>
            </w:r>
          </w:p>
        </w:tc>
        <w:tc>
          <w:tcPr>
            <w:tcW w:w="810" w:type="dxa"/>
          </w:tcPr>
          <w:p w:rsidR="00237A86" w:rsidRPr="001E7558" w:rsidRDefault="00237A86" w:rsidP="00237A86">
            <w:pPr>
              <w:rPr>
                <w:sz w:val="20"/>
                <w:szCs w:val="20"/>
              </w:rPr>
            </w:pPr>
            <w:r w:rsidRPr="001E7558">
              <w:rPr>
                <w:sz w:val="20"/>
                <w:szCs w:val="20"/>
              </w:rPr>
              <w:t>37749</w:t>
            </w:r>
          </w:p>
        </w:tc>
        <w:tc>
          <w:tcPr>
            <w:tcW w:w="4050" w:type="dxa"/>
          </w:tcPr>
          <w:p w:rsidR="00237A86" w:rsidRPr="001E7558" w:rsidRDefault="00237A86" w:rsidP="00237A86">
            <w:pPr>
              <w:pStyle w:val="SCCAppellantInfoAppellantInfo"/>
              <w:rPr>
                <w:sz w:val="20"/>
                <w:szCs w:val="20"/>
                <w:lang w:val="fr-CA"/>
              </w:rPr>
            </w:pPr>
            <w:r w:rsidRPr="001E7558">
              <w:rPr>
                <w:sz w:val="20"/>
                <w:szCs w:val="20"/>
                <w:lang w:val="fr-CA"/>
              </w:rPr>
              <w:t>Ramzi Daniel</w:t>
            </w:r>
          </w:p>
          <w:p w:rsidR="00237A86" w:rsidRPr="001E7558" w:rsidRDefault="00237A86" w:rsidP="00237A86">
            <w:pPr>
              <w:pStyle w:val="SCCAppellantInfoAppellantInfo"/>
              <w:rPr>
                <w:sz w:val="20"/>
                <w:szCs w:val="20"/>
                <w:lang w:val="fr-CA"/>
              </w:rPr>
            </w:pPr>
            <w:r w:rsidRPr="001E7558">
              <w:rPr>
                <w:sz w:val="20"/>
                <w:szCs w:val="20"/>
                <w:lang w:val="fr-CA"/>
              </w:rPr>
              <w:t>(</w:t>
            </w:r>
            <w:proofErr w:type="spellStart"/>
            <w:r w:rsidRPr="001E7558">
              <w:rPr>
                <w:sz w:val="20"/>
                <w:szCs w:val="20"/>
                <w:lang w:val="fr-CA"/>
              </w:rPr>
              <w:t>Qc</w:t>
            </w:r>
            <w:proofErr w:type="spellEnd"/>
            <w:r w:rsidRPr="001E7558">
              <w:rPr>
                <w:sz w:val="20"/>
                <w:szCs w:val="20"/>
                <w:lang w:val="fr-CA"/>
              </w:rPr>
              <w:t>) (Civile) (Autorisation)</w:t>
            </w:r>
          </w:p>
        </w:tc>
        <w:tc>
          <w:tcPr>
            <w:tcW w:w="360" w:type="dxa"/>
          </w:tcPr>
          <w:p w:rsidR="00237A86" w:rsidRPr="001E7558" w:rsidRDefault="00237A86" w:rsidP="00237A86">
            <w:pPr>
              <w:rPr>
                <w:sz w:val="20"/>
                <w:szCs w:val="20"/>
              </w:rPr>
            </w:pPr>
            <w:r w:rsidRPr="001E7558">
              <w:rPr>
                <w:sz w:val="20"/>
                <w:szCs w:val="20"/>
              </w:rPr>
              <w:t>c.</w:t>
            </w:r>
          </w:p>
        </w:tc>
        <w:tc>
          <w:tcPr>
            <w:tcW w:w="3848" w:type="dxa"/>
          </w:tcPr>
          <w:p w:rsidR="00237A86" w:rsidRPr="001E7558" w:rsidRDefault="00237A86" w:rsidP="00237A86">
            <w:pPr>
              <w:pStyle w:val="SCCAppellantInfoAppellantInfo"/>
              <w:rPr>
                <w:sz w:val="20"/>
                <w:szCs w:val="20"/>
                <w:lang w:val="fr-CA"/>
              </w:rPr>
            </w:pPr>
            <w:r w:rsidRPr="001E7558">
              <w:rPr>
                <w:sz w:val="20"/>
                <w:szCs w:val="20"/>
                <w:lang w:val="fr-CA"/>
              </w:rPr>
              <w:t>Ville de Mont-Saint-Hilaire, et al.</w:t>
            </w: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3.</w:t>
            </w:r>
          </w:p>
        </w:tc>
        <w:tc>
          <w:tcPr>
            <w:tcW w:w="810" w:type="dxa"/>
          </w:tcPr>
          <w:p w:rsidR="00237A86" w:rsidRPr="001E7558" w:rsidRDefault="00237A86" w:rsidP="00237A86">
            <w:pPr>
              <w:rPr>
                <w:sz w:val="20"/>
                <w:szCs w:val="20"/>
              </w:rPr>
            </w:pPr>
            <w:r w:rsidRPr="001E7558">
              <w:rPr>
                <w:sz w:val="20"/>
                <w:szCs w:val="20"/>
              </w:rPr>
              <w:t>37682</w:t>
            </w:r>
          </w:p>
        </w:tc>
        <w:tc>
          <w:tcPr>
            <w:tcW w:w="4050" w:type="dxa"/>
          </w:tcPr>
          <w:p w:rsidR="00237A86" w:rsidRPr="001E7558" w:rsidRDefault="00237A86" w:rsidP="00237A86">
            <w:pPr>
              <w:pStyle w:val="SCCAppellantInfoAppellantInfo"/>
              <w:rPr>
                <w:sz w:val="20"/>
                <w:szCs w:val="20"/>
              </w:rPr>
            </w:pPr>
            <w:r w:rsidRPr="001E7558">
              <w:rPr>
                <w:sz w:val="20"/>
                <w:szCs w:val="20"/>
              </w:rPr>
              <w:t xml:space="preserve">St. Clair </w:t>
            </w:r>
            <w:proofErr w:type="spellStart"/>
            <w:r w:rsidRPr="001E7558">
              <w:rPr>
                <w:sz w:val="20"/>
                <w:szCs w:val="20"/>
              </w:rPr>
              <w:t>Pennyfeather</w:t>
            </w:r>
            <w:proofErr w:type="spellEnd"/>
          </w:p>
          <w:p w:rsidR="00237A86" w:rsidRPr="001E7558" w:rsidRDefault="00237A86" w:rsidP="00237A86">
            <w:pPr>
              <w:pStyle w:val="SCCAppellantInfoAppellantInfo"/>
              <w:rPr>
                <w:sz w:val="20"/>
                <w:szCs w:val="20"/>
              </w:rPr>
            </w:pPr>
            <w:r w:rsidRPr="001E7558">
              <w:rPr>
                <w:sz w:val="20"/>
                <w:szCs w:val="20"/>
              </w:rPr>
              <w:t>(Ont.) (Civil) (By Leave)</w:t>
            </w:r>
          </w:p>
          <w:p w:rsidR="00237A86" w:rsidRPr="001E7558" w:rsidRDefault="00237A86" w:rsidP="00237A86">
            <w:pPr>
              <w:rPr>
                <w:sz w:val="20"/>
                <w:szCs w:val="20"/>
              </w:rPr>
            </w:pP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proofErr w:type="spellStart"/>
            <w:r w:rsidRPr="001E7558">
              <w:rPr>
                <w:sz w:val="20"/>
                <w:szCs w:val="20"/>
              </w:rPr>
              <w:t>Timminco</w:t>
            </w:r>
            <w:proofErr w:type="spellEnd"/>
            <w:r w:rsidRPr="001E7558">
              <w:rPr>
                <w:sz w:val="20"/>
                <w:szCs w:val="20"/>
              </w:rPr>
              <w:t xml:space="preserve"> Limited, et al.</w:t>
            </w:r>
          </w:p>
        </w:tc>
      </w:tr>
      <w:tr w:rsidR="0024569C" w:rsidRPr="00F964D5" w:rsidTr="00A15212">
        <w:trPr>
          <w:cantSplit/>
        </w:trPr>
        <w:tc>
          <w:tcPr>
            <w:tcW w:w="508" w:type="dxa"/>
          </w:tcPr>
          <w:p w:rsidR="0024569C" w:rsidRPr="001E7558" w:rsidRDefault="0024569C" w:rsidP="00237A86">
            <w:pPr>
              <w:rPr>
                <w:sz w:val="20"/>
                <w:szCs w:val="20"/>
              </w:rPr>
            </w:pPr>
          </w:p>
        </w:tc>
        <w:tc>
          <w:tcPr>
            <w:tcW w:w="810" w:type="dxa"/>
          </w:tcPr>
          <w:p w:rsidR="0024569C" w:rsidRPr="001E7558" w:rsidRDefault="0024569C" w:rsidP="00237A86">
            <w:pPr>
              <w:rPr>
                <w:sz w:val="20"/>
                <w:szCs w:val="20"/>
              </w:rPr>
            </w:pPr>
          </w:p>
        </w:tc>
        <w:tc>
          <w:tcPr>
            <w:tcW w:w="8258" w:type="dxa"/>
            <w:gridSpan w:val="3"/>
          </w:tcPr>
          <w:p w:rsidR="0024569C" w:rsidRDefault="0024569C" w:rsidP="0024569C">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24569C" w:rsidRDefault="0024569C" w:rsidP="0024569C">
            <w:pPr>
              <w:jc w:val="center"/>
              <w:rPr>
                <w:b/>
                <w:bCs/>
                <w:sz w:val="20"/>
                <w:szCs w:val="20"/>
                <w:lang w:val="fr-CA"/>
              </w:rPr>
            </w:pPr>
            <w:r>
              <w:rPr>
                <w:b/>
                <w:bCs/>
                <w:sz w:val="20"/>
                <w:szCs w:val="20"/>
                <w:lang w:val="fr-CA"/>
              </w:rPr>
              <w:t>Les juges Abella, Gascon et Rowe</w:t>
            </w:r>
          </w:p>
          <w:p w:rsidR="0024569C" w:rsidRPr="0024569C" w:rsidRDefault="0024569C" w:rsidP="00237A86">
            <w:pPr>
              <w:rPr>
                <w:sz w:val="20"/>
                <w:szCs w:val="20"/>
                <w:lang w:val="fr-CA"/>
              </w:rPr>
            </w:pP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4.</w:t>
            </w:r>
          </w:p>
        </w:tc>
        <w:tc>
          <w:tcPr>
            <w:tcW w:w="810" w:type="dxa"/>
          </w:tcPr>
          <w:p w:rsidR="00237A86" w:rsidRPr="001E7558" w:rsidRDefault="00237A86" w:rsidP="00237A86">
            <w:pPr>
              <w:rPr>
                <w:sz w:val="20"/>
                <w:szCs w:val="20"/>
              </w:rPr>
            </w:pPr>
            <w:r w:rsidRPr="001E7558">
              <w:rPr>
                <w:sz w:val="20"/>
                <w:szCs w:val="20"/>
              </w:rPr>
              <w:t>37648</w:t>
            </w:r>
          </w:p>
        </w:tc>
        <w:tc>
          <w:tcPr>
            <w:tcW w:w="4050" w:type="dxa"/>
          </w:tcPr>
          <w:p w:rsidR="00237A86" w:rsidRPr="001E7558" w:rsidRDefault="00237A86" w:rsidP="00237A86">
            <w:pPr>
              <w:pStyle w:val="SCCAppellantInfoAppellantInfo"/>
              <w:rPr>
                <w:sz w:val="20"/>
                <w:szCs w:val="20"/>
              </w:rPr>
            </w:pPr>
            <w:proofErr w:type="spellStart"/>
            <w:r w:rsidRPr="001E7558">
              <w:rPr>
                <w:sz w:val="20"/>
                <w:szCs w:val="20"/>
              </w:rPr>
              <w:t>Manoucher</w:t>
            </w:r>
            <w:proofErr w:type="spellEnd"/>
            <w:r w:rsidRPr="001E7558">
              <w:rPr>
                <w:sz w:val="20"/>
                <w:szCs w:val="20"/>
              </w:rPr>
              <w:t xml:space="preserve"> </w:t>
            </w:r>
            <w:proofErr w:type="spellStart"/>
            <w:r w:rsidRPr="001E7558">
              <w:rPr>
                <w:sz w:val="20"/>
                <w:szCs w:val="20"/>
              </w:rPr>
              <w:t>Baradaran</w:t>
            </w:r>
            <w:proofErr w:type="spellEnd"/>
          </w:p>
          <w:p w:rsidR="00237A86" w:rsidRPr="001E7558" w:rsidRDefault="00237A86" w:rsidP="00237A86">
            <w:pPr>
              <w:pStyle w:val="SCCAppellantInfoAppellantInfo"/>
              <w:rPr>
                <w:sz w:val="20"/>
                <w:szCs w:val="20"/>
              </w:rPr>
            </w:pPr>
            <w:r w:rsidRPr="001E7558">
              <w:rPr>
                <w:sz w:val="20"/>
                <w:szCs w:val="20"/>
              </w:rPr>
              <w:t>(Ont.)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r w:rsidRPr="001E7558">
              <w:rPr>
                <w:sz w:val="20"/>
                <w:szCs w:val="20"/>
              </w:rPr>
              <w:t>Her Majesty the Queen in Right of the Province of Ontario, et al.</w:t>
            </w:r>
          </w:p>
        </w:tc>
      </w:tr>
      <w:tr w:rsidR="00237A86" w:rsidRPr="00F964D5" w:rsidTr="00237A86">
        <w:trPr>
          <w:cantSplit/>
        </w:trPr>
        <w:tc>
          <w:tcPr>
            <w:tcW w:w="508" w:type="dxa"/>
          </w:tcPr>
          <w:p w:rsidR="00237A86" w:rsidRPr="001E7558" w:rsidRDefault="00237A86" w:rsidP="00237A86">
            <w:pPr>
              <w:rPr>
                <w:sz w:val="20"/>
                <w:szCs w:val="20"/>
              </w:rPr>
            </w:pPr>
            <w:r w:rsidRPr="001E7558">
              <w:rPr>
                <w:sz w:val="20"/>
                <w:szCs w:val="20"/>
              </w:rPr>
              <w:t>5.</w:t>
            </w:r>
          </w:p>
        </w:tc>
        <w:tc>
          <w:tcPr>
            <w:tcW w:w="810" w:type="dxa"/>
          </w:tcPr>
          <w:p w:rsidR="00237A86" w:rsidRPr="001E7558" w:rsidRDefault="00237A86" w:rsidP="00237A86">
            <w:pPr>
              <w:rPr>
                <w:sz w:val="20"/>
                <w:szCs w:val="20"/>
              </w:rPr>
            </w:pPr>
            <w:r w:rsidRPr="001E7558">
              <w:rPr>
                <w:sz w:val="20"/>
                <w:szCs w:val="20"/>
              </w:rPr>
              <w:t>37721</w:t>
            </w:r>
          </w:p>
        </w:tc>
        <w:tc>
          <w:tcPr>
            <w:tcW w:w="4050" w:type="dxa"/>
          </w:tcPr>
          <w:p w:rsidR="00237A86" w:rsidRPr="001E7558" w:rsidRDefault="00237A86" w:rsidP="00237A86">
            <w:pPr>
              <w:pStyle w:val="SCCAppellantInfoAppellantInfo"/>
              <w:rPr>
                <w:sz w:val="20"/>
                <w:szCs w:val="20"/>
                <w:lang w:val="fr-CA"/>
              </w:rPr>
            </w:pPr>
            <w:r w:rsidRPr="001E7558">
              <w:rPr>
                <w:sz w:val="20"/>
                <w:szCs w:val="20"/>
                <w:lang w:val="fr-CA"/>
              </w:rPr>
              <w:t xml:space="preserve">Gilles </w:t>
            </w:r>
            <w:proofErr w:type="spellStart"/>
            <w:r w:rsidRPr="001E7558">
              <w:rPr>
                <w:sz w:val="20"/>
                <w:szCs w:val="20"/>
                <w:lang w:val="fr-CA"/>
              </w:rPr>
              <w:t>Coulombe</w:t>
            </w:r>
            <w:proofErr w:type="spellEnd"/>
          </w:p>
          <w:p w:rsidR="00237A86" w:rsidRPr="001E7558" w:rsidRDefault="00237A86" w:rsidP="00237A86">
            <w:pPr>
              <w:pStyle w:val="SCCAppellantInfoAppellantInfo"/>
              <w:rPr>
                <w:sz w:val="20"/>
                <w:szCs w:val="20"/>
                <w:lang w:val="fr-CA"/>
              </w:rPr>
            </w:pPr>
            <w:r w:rsidRPr="001E7558">
              <w:rPr>
                <w:sz w:val="20"/>
                <w:szCs w:val="20"/>
                <w:lang w:val="fr-CA"/>
              </w:rPr>
              <w:t>(</w:t>
            </w:r>
            <w:proofErr w:type="spellStart"/>
            <w:r w:rsidRPr="001E7558">
              <w:rPr>
                <w:sz w:val="20"/>
                <w:szCs w:val="20"/>
                <w:lang w:val="fr-CA"/>
              </w:rPr>
              <w:t>Qc</w:t>
            </w:r>
            <w:proofErr w:type="spellEnd"/>
            <w:r w:rsidRPr="001E7558">
              <w:rPr>
                <w:sz w:val="20"/>
                <w:szCs w:val="20"/>
                <w:lang w:val="fr-CA"/>
              </w:rPr>
              <w:t>) (Civile) (Autorisation)</w:t>
            </w:r>
          </w:p>
        </w:tc>
        <w:tc>
          <w:tcPr>
            <w:tcW w:w="360" w:type="dxa"/>
          </w:tcPr>
          <w:p w:rsidR="00237A86" w:rsidRPr="001E7558" w:rsidRDefault="00237A86" w:rsidP="00237A86">
            <w:pPr>
              <w:rPr>
                <w:sz w:val="20"/>
                <w:szCs w:val="20"/>
              </w:rPr>
            </w:pPr>
            <w:r w:rsidRPr="001E7558">
              <w:rPr>
                <w:sz w:val="20"/>
                <w:szCs w:val="20"/>
              </w:rPr>
              <w:t>c.</w:t>
            </w:r>
          </w:p>
        </w:tc>
        <w:tc>
          <w:tcPr>
            <w:tcW w:w="3848" w:type="dxa"/>
          </w:tcPr>
          <w:p w:rsidR="00237A86" w:rsidRPr="001E7558" w:rsidRDefault="00237A86" w:rsidP="00237A86">
            <w:pPr>
              <w:pStyle w:val="SCCAppellantInfoAppellantInfo"/>
              <w:rPr>
                <w:sz w:val="20"/>
                <w:szCs w:val="20"/>
                <w:lang w:val="fr-CA"/>
              </w:rPr>
            </w:pPr>
            <w:r w:rsidRPr="001E7558">
              <w:rPr>
                <w:sz w:val="20"/>
                <w:szCs w:val="20"/>
                <w:lang w:val="fr-CA"/>
              </w:rPr>
              <w:t>L'Agence du revenu du Québec</w:t>
            </w: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6.</w:t>
            </w:r>
          </w:p>
        </w:tc>
        <w:tc>
          <w:tcPr>
            <w:tcW w:w="810" w:type="dxa"/>
          </w:tcPr>
          <w:p w:rsidR="00237A86" w:rsidRPr="001E7558" w:rsidRDefault="00237A86" w:rsidP="00237A86">
            <w:pPr>
              <w:rPr>
                <w:sz w:val="20"/>
                <w:szCs w:val="20"/>
              </w:rPr>
            </w:pPr>
            <w:r w:rsidRPr="001E7558">
              <w:rPr>
                <w:sz w:val="20"/>
                <w:szCs w:val="20"/>
              </w:rPr>
              <w:t>37705</w:t>
            </w:r>
          </w:p>
        </w:tc>
        <w:tc>
          <w:tcPr>
            <w:tcW w:w="4050" w:type="dxa"/>
          </w:tcPr>
          <w:p w:rsidR="00237A86" w:rsidRPr="001E7558" w:rsidRDefault="00237A86" w:rsidP="00237A86">
            <w:pPr>
              <w:pStyle w:val="SCCAppellantInfoAppellantInfo"/>
              <w:rPr>
                <w:sz w:val="20"/>
                <w:szCs w:val="20"/>
              </w:rPr>
            </w:pPr>
            <w:r w:rsidRPr="001E7558">
              <w:rPr>
                <w:sz w:val="20"/>
                <w:szCs w:val="20"/>
              </w:rPr>
              <w:t xml:space="preserve">Alex </w:t>
            </w:r>
            <w:proofErr w:type="spellStart"/>
            <w:r w:rsidRPr="001E7558">
              <w:rPr>
                <w:sz w:val="20"/>
                <w:szCs w:val="20"/>
              </w:rPr>
              <w:t>Gilmor</w:t>
            </w:r>
            <w:proofErr w:type="spellEnd"/>
            <w:r w:rsidRPr="001E7558">
              <w:rPr>
                <w:sz w:val="20"/>
                <w:szCs w:val="20"/>
              </w:rPr>
              <w:t>, et al.</w:t>
            </w:r>
          </w:p>
          <w:p w:rsidR="00237A86" w:rsidRPr="001E7558" w:rsidRDefault="00237A86" w:rsidP="00237A86">
            <w:pPr>
              <w:pStyle w:val="SCCAppellantInfoAppellantInfo"/>
              <w:rPr>
                <w:sz w:val="20"/>
                <w:szCs w:val="20"/>
              </w:rPr>
            </w:pPr>
            <w:r w:rsidRPr="001E7558">
              <w:rPr>
                <w:sz w:val="20"/>
                <w:szCs w:val="20"/>
              </w:rPr>
              <w:t>(Ont.)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proofErr w:type="spellStart"/>
            <w:r w:rsidRPr="001E7558">
              <w:rPr>
                <w:sz w:val="20"/>
                <w:szCs w:val="20"/>
              </w:rPr>
              <w:t>Nottawasaga</w:t>
            </w:r>
            <w:proofErr w:type="spellEnd"/>
            <w:r w:rsidRPr="001E7558">
              <w:rPr>
                <w:sz w:val="20"/>
                <w:szCs w:val="20"/>
              </w:rPr>
              <w:t xml:space="preserve"> Valley Conservation Authority, et al.</w:t>
            </w: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7.</w:t>
            </w:r>
          </w:p>
        </w:tc>
        <w:tc>
          <w:tcPr>
            <w:tcW w:w="810" w:type="dxa"/>
          </w:tcPr>
          <w:p w:rsidR="00237A86" w:rsidRPr="001E7558" w:rsidRDefault="00237A86" w:rsidP="00237A86">
            <w:pPr>
              <w:rPr>
                <w:sz w:val="20"/>
                <w:szCs w:val="20"/>
              </w:rPr>
            </w:pPr>
            <w:r w:rsidRPr="001E7558">
              <w:rPr>
                <w:sz w:val="20"/>
                <w:szCs w:val="20"/>
              </w:rPr>
              <w:t>37711</w:t>
            </w:r>
          </w:p>
        </w:tc>
        <w:tc>
          <w:tcPr>
            <w:tcW w:w="4050" w:type="dxa"/>
          </w:tcPr>
          <w:p w:rsidR="00237A86" w:rsidRPr="001E7558" w:rsidRDefault="00237A86" w:rsidP="00237A86">
            <w:pPr>
              <w:pStyle w:val="SCCAppellantInfoAppellantInfo"/>
              <w:rPr>
                <w:sz w:val="20"/>
                <w:szCs w:val="20"/>
              </w:rPr>
            </w:pPr>
            <w:proofErr w:type="spellStart"/>
            <w:r w:rsidRPr="001E7558">
              <w:rPr>
                <w:sz w:val="20"/>
                <w:szCs w:val="20"/>
              </w:rPr>
              <w:t>Ritlyn</w:t>
            </w:r>
            <w:proofErr w:type="spellEnd"/>
            <w:r w:rsidRPr="001E7558">
              <w:rPr>
                <w:sz w:val="20"/>
                <w:szCs w:val="20"/>
              </w:rPr>
              <w:t xml:space="preserve"> Investments Limited</w:t>
            </w:r>
          </w:p>
          <w:p w:rsidR="00237A86" w:rsidRPr="001E7558" w:rsidRDefault="00237A86" w:rsidP="00237A86">
            <w:pPr>
              <w:pStyle w:val="SCCAppellantInfoAppellantInfo"/>
              <w:rPr>
                <w:sz w:val="20"/>
                <w:szCs w:val="20"/>
              </w:rPr>
            </w:pPr>
            <w:r w:rsidRPr="001E7558">
              <w:rPr>
                <w:sz w:val="20"/>
                <w:szCs w:val="20"/>
              </w:rPr>
              <w:t>(Ont.)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r w:rsidRPr="001E7558">
              <w:rPr>
                <w:sz w:val="20"/>
                <w:szCs w:val="20"/>
              </w:rPr>
              <w:t>Estate of Armand Letestu, deceased, by its Litigation Administrator, Christopher Letestu</w:t>
            </w:r>
          </w:p>
          <w:p w:rsidR="00237A86" w:rsidRPr="001E7558" w:rsidRDefault="00237A86" w:rsidP="00237A86">
            <w:pPr>
              <w:rPr>
                <w:sz w:val="20"/>
                <w:szCs w:val="20"/>
              </w:rPr>
            </w:pPr>
          </w:p>
        </w:tc>
      </w:tr>
      <w:tr w:rsidR="0024569C" w:rsidRPr="00F964D5" w:rsidTr="00A15212">
        <w:trPr>
          <w:cantSplit/>
        </w:trPr>
        <w:tc>
          <w:tcPr>
            <w:tcW w:w="508" w:type="dxa"/>
          </w:tcPr>
          <w:p w:rsidR="0024569C" w:rsidRPr="001E7558" w:rsidRDefault="0024569C" w:rsidP="00237A86">
            <w:pPr>
              <w:rPr>
                <w:sz w:val="20"/>
                <w:szCs w:val="20"/>
              </w:rPr>
            </w:pPr>
          </w:p>
        </w:tc>
        <w:tc>
          <w:tcPr>
            <w:tcW w:w="810" w:type="dxa"/>
          </w:tcPr>
          <w:p w:rsidR="0024569C" w:rsidRPr="001E7558" w:rsidRDefault="0024569C" w:rsidP="00237A86">
            <w:pPr>
              <w:rPr>
                <w:sz w:val="20"/>
                <w:szCs w:val="20"/>
              </w:rPr>
            </w:pPr>
          </w:p>
        </w:tc>
        <w:tc>
          <w:tcPr>
            <w:tcW w:w="8258" w:type="dxa"/>
            <w:gridSpan w:val="3"/>
          </w:tcPr>
          <w:p w:rsidR="0024569C" w:rsidRDefault="0024569C" w:rsidP="0024569C">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Wagner JJ.</w:t>
            </w:r>
          </w:p>
          <w:p w:rsidR="0024569C" w:rsidRDefault="0024569C" w:rsidP="0024569C">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Wagner</w:t>
            </w:r>
          </w:p>
          <w:p w:rsidR="0024569C" w:rsidRPr="0024569C" w:rsidRDefault="0024569C" w:rsidP="0024569C">
            <w:pPr>
              <w:jc w:val="center"/>
              <w:rPr>
                <w:sz w:val="20"/>
                <w:szCs w:val="20"/>
                <w:lang w:val="fr-CA"/>
              </w:rPr>
            </w:pP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8.</w:t>
            </w:r>
          </w:p>
        </w:tc>
        <w:tc>
          <w:tcPr>
            <w:tcW w:w="810" w:type="dxa"/>
          </w:tcPr>
          <w:p w:rsidR="00237A86" w:rsidRPr="001E7558" w:rsidRDefault="00237A86" w:rsidP="00237A86">
            <w:pPr>
              <w:rPr>
                <w:sz w:val="20"/>
                <w:szCs w:val="20"/>
              </w:rPr>
            </w:pPr>
            <w:r w:rsidRPr="001E7558">
              <w:rPr>
                <w:sz w:val="20"/>
                <w:szCs w:val="20"/>
              </w:rPr>
              <w:t>37743</w:t>
            </w:r>
          </w:p>
        </w:tc>
        <w:tc>
          <w:tcPr>
            <w:tcW w:w="4050" w:type="dxa"/>
          </w:tcPr>
          <w:p w:rsidR="00237A86" w:rsidRPr="001E7558" w:rsidRDefault="00237A86" w:rsidP="00237A86">
            <w:pPr>
              <w:pStyle w:val="SCCAppellantInfoAppellantInfo"/>
              <w:rPr>
                <w:sz w:val="20"/>
                <w:szCs w:val="20"/>
              </w:rPr>
            </w:pPr>
            <w:r w:rsidRPr="001E7558">
              <w:rPr>
                <w:sz w:val="20"/>
                <w:szCs w:val="20"/>
              </w:rPr>
              <w:t xml:space="preserve">George </w:t>
            </w:r>
            <w:proofErr w:type="spellStart"/>
            <w:r w:rsidRPr="001E7558">
              <w:rPr>
                <w:sz w:val="20"/>
                <w:szCs w:val="20"/>
              </w:rPr>
              <w:t>Giannaris</w:t>
            </w:r>
            <w:proofErr w:type="spellEnd"/>
          </w:p>
          <w:p w:rsidR="00237A86" w:rsidRPr="001E7558" w:rsidRDefault="00237A86" w:rsidP="00237A86">
            <w:pPr>
              <w:pStyle w:val="SCCAppellantInfoAppellantInfo"/>
              <w:rPr>
                <w:sz w:val="20"/>
                <w:szCs w:val="20"/>
              </w:rPr>
            </w:pPr>
            <w:r w:rsidRPr="001E7558">
              <w:rPr>
                <w:sz w:val="20"/>
                <w:szCs w:val="20"/>
              </w:rPr>
              <w:t>(Ont.)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r w:rsidRPr="001E7558">
              <w:rPr>
                <w:sz w:val="20"/>
                <w:szCs w:val="20"/>
              </w:rPr>
              <w:t>City of Toronto (Revenue Services)</w:t>
            </w: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9.</w:t>
            </w:r>
          </w:p>
        </w:tc>
        <w:tc>
          <w:tcPr>
            <w:tcW w:w="810" w:type="dxa"/>
          </w:tcPr>
          <w:p w:rsidR="00237A86" w:rsidRPr="001E7558" w:rsidRDefault="00237A86" w:rsidP="00237A86">
            <w:pPr>
              <w:rPr>
                <w:sz w:val="20"/>
                <w:szCs w:val="20"/>
              </w:rPr>
            </w:pPr>
            <w:r w:rsidRPr="001E7558">
              <w:rPr>
                <w:sz w:val="20"/>
                <w:szCs w:val="20"/>
              </w:rPr>
              <w:t>37710</w:t>
            </w:r>
          </w:p>
        </w:tc>
        <w:tc>
          <w:tcPr>
            <w:tcW w:w="4050" w:type="dxa"/>
          </w:tcPr>
          <w:p w:rsidR="00237A86" w:rsidRPr="001E7558" w:rsidRDefault="00237A86" w:rsidP="00237A86">
            <w:pPr>
              <w:pStyle w:val="SCCAppellantInfoAppellantInfo"/>
              <w:rPr>
                <w:sz w:val="20"/>
                <w:szCs w:val="20"/>
              </w:rPr>
            </w:pPr>
            <w:r w:rsidRPr="001E7558">
              <w:rPr>
                <w:sz w:val="20"/>
                <w:szCs w:val="20"/>
              </w:rPr>
              <w:t>Paul Ritchie</w:t>
            </w:r>
          </w:p>
          <w:p w:rsidR="00237A86" w:rsidRPr="001E7558" w:rsidRDefault="00237A86" w:rsidP="00237A86">
            <w:pPr>
              <w:pStyle w:val="SCCAppellantInfoAppellantInfo"/>
              <w:rPr>
                <w:sz w:val="20"/>
                <w:szCs w:val="20"/>
              </w:rPr>
            </w:pPr>
            <w:r w:rsidRPr="001E7558">
              <w:rPr>
                <w:sz w:val="20"/>
                <w:szCs w:val="20"/>
              </w:rPr>
              <w:t>(FC)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r w:rsidRPr="001E7558">
              <w:rPr>
                <w:sz w:val="20"/>
                <w:szCs w:val="20"/>
              </w:rPr>
              <w:t>Attorney General of Canada</w:t>
            </w:r>
          </w:p>
        </w:tc>
      </w:tr>
      <w:tr w:rsidR="00237A86" w:rsidRPr="001E7558" w:rsidTr="00237A86">
        <w:trPr>
          <w:cantSplit/>
        </w:trPr>
        <w:tc>
          <w:tcPr>
            <w:tcW w:w="508" w:type="dxa"/>
          </w:tcPr>
          <w:p w:rsidR="00237A86" w:rsidRPr="001E7558" w:rsidRDefault="00237A86" w:rsidP="00237A86">
            <w:pPr>
              <w:rPr>
                <w:sz w:val="20"/>
                <w:szCs w:val="20"/>
              </w:rPr>
            </w:pPr>
            <w:r w:rsidRPr="001E7558">
              <w:rPr>
                <w:sz w:val="20"/>
                <w:szCs w:val="20"/>
              </w:rPr>
              <w:t>10.</w:t>
            </w:r>
          </w:p>
        </w:tc>
        <w:tc>
          <w:tcPr>
            <w:tcW w:w="810" w:type="dxa"/>
          </w:tcPr>
          <w:p w:rsidR="00237A86" w:rsidRPr="001E7558" w:rsidRDefault="00237A86" w:rsidP="00237A86">
            <w:pPr>
              <w:rPr>
                <w:sz w:val="20"/>
                <w:szCs w:val="20"/>
              </w:rPr>
            </w:pPr>
            <w:r w:rsidRPr="001E7558">
              <w:rPr>
                <w:sz w:val="20"/>
                <w:szCs w:val="20"/>
              </w:rPr>
              <w:t>37654</w:t>
            </w:r>
          </w:p>
        </w:tc>
        <w:tc>
          <w:tcPr>
            <w:tcW w:w="4050" w:type="dxa"/>
          </w:tcPr>
          <w:p w:rsidR="00237A86" w:rsidRPr="001E7558" w:rsidRDefault="00237A86" w:rsidP="00237A86">
            <w:pPr>
              <w:pStyle w:val="SCCAppellantInfoAppellantInfo"/>
              <w:rPr>
                <w:sz w:val="20"/>
                <w:szCs w:val="20"/>
              </w:rPr>
            </w:pPr>
            <w:r w:rsidRPr="001E7558">
              <w:rPr>
                <w:sz w:val="20"/>
                <w:szCs w:val="20"/>
              </w:rPr>
              <w:t>Joan Abernethy</w:t>
            </w:r>
          </w:p>
          <w:p w:rsidR="00237A86" w:rsidRPr="001E7558" w:rsidRDefault="00237A86" w:rsidP="00237A86">
            <w:pPr>
              <w:pStyle w:val="SCCAppellantInfoAppellantInfo"/>
              <w:rPr>
                <w:sz w:val="20"/>
                <w:szCs w:val="20"/>
              </w:rPr>
            </w:pPr>
            <w:r w:rsidRPr="001E7558">
              <w:rPr>
                <w:sz w:val="20"/>
                <w:szCs w:val="20"/>
              </w:rPr>
              <w:t>(Ont.) (Civil) (By Leave)</w:t>
            </w:r>
          </w:p>
        </w:tc>
        <w:tc>
          <w:tcPr>
            <w:tcW w:w="360" w:type="dxa"/>
          </w:tcPr>
          <w:p w:rsidR="00237A86" w:rsidRPr="001E7558" w:rsidRDefault="00237A86" w:rsidP="00237A86">
            <w:pPr>
              <w:rPr>
                <w:sz w:val="20"/>
                <w:szCs w:val="20"/>
              </w:rPr>
            </w:pPr>
            <w:r w:rsidRPr="001E7558">
              <w:rPr>
                <w:sz w:val="20"/>
                <w:szCs w:val="20"/>
              </w:rPr>
              <w:t>v.</w:t>
            </w:r>
          </w:p>
        </w:tc>
        <w:tc>
          <w:tcPr>
            <w:tcW w:w="3848" w:type="dxa"/>
          </w:tcPr>
          <w:p w:rsidR="00237A86" w:rsidRPr="001E7558" w:rsidRDefault="00237A86" w:rsidP="00237A86">
            <w:pPr>
              <w:pStyle w:val="SCCAppellantInfoAppellantInfo"/>
              <w:rPr>
                <w:sz w:val="20"/>
                <w:szCs w:val="20"/>
              </w:rPr>
            </w:pPr>
            <w:r w:rsidRPr="001E7558">
              <w:rPr>
                <w:sz w:val="20"/>
                <w:szCs w:val="20"/>
              </w:rPr>
              <w:t xml:space="preserve">Her Majesty the Queen in Right of Ontario as Represented by Crown Attorneys (Justice) James A. Ramsay, Ron Davidson, Jennifer Broderick and Lucas O'Neill, Kathryn (Kathy) </w:t>
            </w:r>
            <w:proofErr w:type="spellStart"/>
            <w:r w:rsidRPr="001E7558">
              <w:rPr>
                <w:sz w:val="20"/>
                <w:szCs w:val="20"/>
              </w:rPr>
              <w:t>Rippey</w:t>
            </w:r>
            <w:proofErr w:type="spellEnd"/>
            <w:r w:rsidRPr="001E7558">
              <w:rPr>
                <w:sz w:val="20"/>
                <w:szCs w:val="20"/>
              </w:rPr>
              <w:t xml:space="preserve"> and Gerry </w:t>
            </w:r>
            <w:proofErr w:type="spellStart"/>
            <w:r w:rsidRPr="001E7558">
              <w:rPr>
                <w:sz w:val="20"/>
                <w:szCs w:val="20"/>
              </w:rPr>
              <w:t>McNeilly</w:t>
            </w:r>
            <w:proofErr w:type="spellEnd"/>
            <w:r w:rsidRPr="001E7558">
              <w:rPr>
                <w:sz w:val="20"/>
                <w:szCs w:val="20"/>
              </w:rPr>
              <w:t>, et al.</w:t>
            </w:r>
          </w:p>
        </w:tc>
      </w:tr>
    </w:tbl>
    <w:p w:rsidR="00C661B7" w:rsidRPr="00237A86" w:rsidRDefault="00C661B7" w:rsidP="002E2327">
      <w:pPr>
        <w:widowControl w:val="0"/>
        <w:rPr>
          <w:sz w:val="20"/>
          <w:szCs w:val="20"/>
          <w:lang w:val="en-US"/>
        </w:rPr>
      </w:pPr>
    </w:p>
    <w:p w:rsidR="00762008" w:rsidRPr="00237A86" w:rsidRDefault="00762008" w:rsidP="002E2327">
      <w:pPr>
        <w:widowControl w:val="0"/>
        <w:rPr>
          <w:sz w:val="20"/>
          <w:szCs w:val="20"/>
          <w:lang w:val="en-US"/>
        </w:rPr>
      </w:pPr>
    </w:p>
    <w:p w:rsidR="002E2327" w:rsidRDefault="00F964D5"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F10177" w:rsidRPr="00C50A5C" w:rsidRDefault="00F10177" w:rsidP="00F10177">
      <w:pPr>
        <w:widowControl w:val="0"/>
        <w:rPr>
          <w:sz w:val="20"/>
          <w:szCs w:val="20"/>
        </w:rPr>
      </w:pPr>
    </w:p>
    <w:p w:rsidR="00F10177" w:rsidRPr="00C50A5C" w:rsidRDefault="00F10177" w:rsidP="00F10177">
      <w:pPr>
        <w:widowControl w:val="0"/>
        <w:spacing w:line="0" w:lineRule="atLeast"/>
        <w:rPr>
          <w:sz w:val="20"/>
          <w:szCs w:val="20"/>
        </w:rPr>
        <w:sectPr w:rsidR="00F10177"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F27BA" w:rsidRPr="001D0D5F" w:rsidTr="004A61F1">
        <w:tc>
          <w:tcPr>
            <w:tcW w:w="4200" w:type="dxa"/>
            <w:shd w:val="clear" w:color="auto" w:fill="auto"/>
            <w:tcMar>
              <w:left w:w="0" w:type="dxa"/>
              <w:right w:w="0" w:type="dxa"/>
            </w:tcMar>
          </w:tcPr>
          <w:p w:rsidR="000F27BA" w:rsidRPr="001D0D5F" w:rsidRDefault="000F27BA" w:rsidP="004A61F1">
            <w:pPr>
              <w:keepNext/>
              <w:keepLines/>
              <w:jc w:val="both"/>
              <w:rPr>
                <w:b/>
                <w:szCs w:val="24"/>
              </w:rPr>
            </w:pPr>
            <w:r w:rsidRPr="001D0D5F">
              <w:rPr>
                <w:b/>
                <w:szCs w:val="24"/>
              </w:rPr>
              <w:lastRenderedPageBreak/>
              <w:t>ORAL HEARING ORDERED</w:t>
            </w:r>
          </w:p>
        </w:tc>
        <w:tc>
          <w:tcPr>
            <w:tcW w:w="1200" w:type="dxa"/>
            <w:shd w:val="clear" w:color="auto" w:fill="auto"/>
            <w:tcMar>
              <w:left w:w="0" w:type="dxa"/>
              <w:right w:w="0" w:type="dxa"/>
            </w:tcMar>
          </w:tcPr>
          <w:p w:rsidR="000F27BA" w:rsidRPr="001D0D5F" w:rsidRDefault="000F27BA" w:rsidP="004A61F1">
            <w:pPr>
              <w:keepNext/>
              <w:keepLines/>
              <w:jc w:val="center"/>
              <w:rPr>
                <w:b/>
                <w:szCs w:val="24"/>
              </w:rPr>
            </w:pPr>
          </w:p>
          <w:p w:rsidR="000F27BA" w:rsidRPr="001D0D5F" w:rsidRDefault="000F27BA" w:rsidP="004A61F1">
            <w:pPr>
              <w:keepNext/>
              <w:keepLines/>
              <w:jc w:val="center"/>
              <w:rPr>
                <w:b/>
                <w:szCs w:val="24"/>
              </w:rPr>
            </w:pPr>
          </w:p>
        </w:tc>
        <w:tc>
          <w:tcPr>
            <w:tcW w:w="4230" w:type="dxa"/>
            <w:shd w:val="clear" w:color="auto" w:fill="auto"/>
            <w:tcMar>
              <w:left w:w="0" w:type="dxa"/>
              <w:right w:w="0" w:type="dxa"/>
            </w:tcMar>
          </w:tcPr>
          <w:p w:rsidR="000F27BA" w:rsidRPr="00BA6468" w:rsidRDefault="000F27BA" w:rsidP="004A61F1">
            <w:pPr>
              <w:keepLines/>
              <w:rPr>
                <w:szCs w:val="24"/>
                <w:lang w:val="fr-CA"/>
              </w:rPr>
            </w:pPr>
            <w:r w:rsidRPr="00BA6468">
              <w:rPr>
                <w:b/>
                <w:szCs w:val="24"/>
                <w:lang w:val="fr-CA"/>
              </w:rPr>
              <w:t>AUDIENCE ORDONNÉE</w:t>
            </w:r>
            <w:r w:rsidRPr="00BA6468">
              <w:rPr>
                <w:szCs w:val="24"/>
                <w:lang w:val="fr-CA"/>
              </w:rPr>
              <w:t xml:space="preserve"> </w:t>
            </w:r>
          </w:p>
        </w:tc>
      </w:tr>
    </w:tbl>
    <w:p w:rsidR="000F27BA" w:rsidRDefault="000F27BA" w:rsidP="000F27BA">
      <w:pPr>
        <w:rPr>
          <w:b/>
          <w:sz w:val="20"/>
          <w:szCs w:val="20"/>
        </w:rPr>
      </w:pPr>
    </w:p>
    <w:p w:rsidR="000F27BA" w:rsidRDefault="000F27BA" w:rsidP="000F27BA">
      <w:pPr>
        <w:rPr>
          <w:b/>
          <w:sz w:val="20"/>
          <w:szCs w:val="20"/>
          <w:lang w:val="fr-CA"/>
        </w:rPr>
      </w:pPr>
      <w:r>
        <w:rPr>
          <w:b/>
          <w:sz w:val="20"/>
          <w:szCs w:val="20"/>
          <w:lang w:val="fr-CA"/>
        </w:rPr>
        <w:t>DECEMBER 14</w:t>
      </w:r>
      <w:r w:rsidRPr="005F2D90">
        <w:rPr>
          <w:b/>
          <w:sz w:val="20"/>
          <w:szCs w:val="20"/>
          <w:lang w:val="fr-CA"/>
        </w:rPr>
        <w:t>, 201</w:t>
      </w:r>
      <w:r>
        <w:rPr>
          <w:b/>
          <w:sz w:val="20"/>
          <w:szCs w:val="20"/>
          <w:lang w:val="fr-CA"/>
        </w:rPr>
        <w:t>7</w:t>
      </w:r>
      <w:r w:rsidRPr="005F2D90">
        <w:rPr>
          <w:b/>
          <w:sz w:val="20"/>
          <w:szCs w:val="20"/>
          <w:lang w:val="fr-CA"/>
        </w:rPr>
        <w:t xml:space="preserve"> / LE </w:t>
      </w:r>
      <w:r>
        <w:rPr>
          <w:b/>
          <w:sz w:val="20"/>
          <w:szCs w:val="20"/>
          <w:lang w:val="fr-CA"/>
        </w:rPr>
        <w:t>14 DÉCEMBRE 2017</w:t>
      </w:r>
    </w:p>
    <w:p w:rsidR="000F27BA" w:rsidRDefault="000F27BA" w:rsidP="000F27BA">
      <w:pPr>
        <w:rPr>
          <w:b/>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0F27BA" w:rsidRPr="00CD6D96" w:rsidTr="004A61F1">
        <w:trPr>
          <w:gridAfter w:val="1"/>
          <w:wAfter w:w="48" w:type="pct"/>
        </w:trPr>
        <w:tc>
          <w:tcPr>
            <w:tcW w:w="538" w:type="pct"/>
          </w:tcPr>
          <w:p w:rsidR="000F27BA" w:rsidRPr="00CD6D96" w:rsidRDefault="000F27BA" w:rsidP="004A61F1">
            <w:pPr>
              <w:jc w:val="both"/>
              <w:rPr>
                <w:sz w:val="20"/>
                <w:szCs w:val="20"/>
              </w:rPr>
            </w:pPr>
            <w:r w:rsidRPr="00CD6D96">
              <w:rPr>
                <w:rStyle w:val="SCCFileNumberChar"/>
                <w:sz w:val="20"/>
                <w:szCs w:val="20"/>
              </w:rPr>
              <w:t>37779</w:t>
            </w:r>
          </w:p>
        </w:tc>
        <w:tc>
          <w:tcPr>
            <w:tcW w:w="4414" w:type="pct"/>
            <w:gridSpan w:val="3"/>
          </w:tcPr>
          <w:p w:rsidR="000F27BA" w:rsidRPr="00CD6D96" w:rsidRDefault="000F27BA" w:rsidP="004A61F1">
            <w:pPr>
              <w:pStyle w:val="SCCLsocParty"/>
              <w:jc w:val="both"/>
              <w:rPr>
                <w:b/>
                <w:sz w:val="20"/>
                <w:szCs w:val="20"/>
                <w:lang w:val="en-CA"/>
              </w:rPr>
            </w:pPr>
            <w:r w:rsidRPr="00CD6D96">
              <w:rPr>
                <w:b/>
                <w:sz w:val="20"/>
                <w:szCs w:val="20"/>
                <w:lang w:val="en-CA"/>
              </w:rPr>
              <w:t xml:space="preserve">Michel </w:t>
            </w:r>
            <w:proofErr w:type="spellStart"/>
            <w:r w:rsidRPr="00CD6D96">
              <w:rPr>
                <w:b/>
                <w:sz w:val="20"/>
                <w:szCs w:val="20"/>
                <w:lang w:val="en-CA"/>
              </w:rPr>
              <w:t>Ledoux</w:t>
            </w:r>
            <w:proofErr w:type="spellEnd"/>
            <w:r w:rsidRPr="00CD6D96">
              <w:rPr>
                <w:b/>
                <w:sz w:val="20"/>
                <w:szCs w:val="20"/>
                <w:lang w:val="en-CA"/>
              </w:rPr>
              <w:t xml:space="preserve"> v. Her Majesty the Queen</w:t>
            </w:r>
          </w:p>
          <w:p w:rsidR="000F27BA" w:rsidRPr="00CD6D96" w:rsidRDefault="000F27BA" w:rsidP="004A61F1">
            <w:pPr>
              <w:jc w:val="both"/>
              <w:rPr>
                <w:sz w:val="20"/>
                <w:szCs w:val="20"/>
              </w:rPr>
            </w:pPr>
            <w:r w:rsidRPr="00CD6D96">
              <w:rPr>
                <w:sz w:val="20"/>
                <w:szCs w:val="20"/>
              </w:rPr>
              <w:t>(Que.) (Criminal) (By Leave)</w:t>
            </w:r>
          </w:p>
        </w:tc>
      </w:tr>
      <w:tr w:rsidR="000F27BA" w:rsidRPr="00CD6D96" w:rsidTr="004A61F1">
        <w:trPr>
          <w:gridAfter w:val="1"/>
          <w:wAfter w:w="48" w:type="pct"/>
        </w:trPr>
        <w:tc>
          <w:tcPr>
            <w:tcW w:w="538" w:type="pct"/>
          </w:tcPr>
          <w:p w:rsidR="000F27BA" w:rsidRPr="00CD6D96" w:rsidRDefault="000F27BA" w:rsidP="004A61F1">
            <w:pPr>
              <w:jc w:val="both"/>
              <w:rPr>
                <w:rStyle w:val="SCCFileNumberChar"/>
                <w:sz w:val="20"/>
                <w:szCs w:val="20"/>
              </w:rPr>
            </w:pPr>
            <w:r>
              <w:rPr>
                <w:rStyle w:val="SCCFileNumberChar"/>
                <w:sz w:val="20"/>
                <w:szCs w:val="20"/>
              </w:rPr>
              <w:t>Coram:</w:t>
            </w:r>
          </w:p>
        </w:tc>
        <w:tc>
          <w:tcPr>
            <w:tcW w:w="4414" w:type="pct"/>
            <w:gridSpan w:val="3"/>
          </w:tcPr>
          <w:p w:rsidR="000F27BA" w:rsidRDefault="000F27BA" w:rsidP="004A61F1">
            <w:pPr>
              <w:pStyle w:val="SCCLsocParty"/>
              <w:jc w:val="both"/>
              <w:rPr>
                <w:sz w:val="20"/>
                <w:szCs w:val="20"/>
                <w:lang w:val="en-CA"/>
              </w:rPr>
            </w:pPr>
            <w:proofErr w:type="spellStart"/>
            <w:r w:rsidRPr="00632B25">
              <w:rPr>
                <w:sz w:val="20"/>
                <w:szCs w:val="20"/>
                <w:lang w:val="en-CA"/>
              </w:rPr>
              <w:t>McLachlin</w:t>
            </w:r>
            <w:proofErr w:type="spellEnd"/>
            <w:r w:rsidRPr="00632B25">
              <w:rPr>
                <w:sz w:val="20"/>
                <w:szCs w:val="20"/>
                <w:lang w:val="en-CA"/>
              </w:rPr>
              <w:t xml:space="preserve"> C.J. and </w:t>
            </w:r>
            <w:proofErr w:type="spellStart"/>
            <w:r w:rsidRPr="00632B25">
              <w:rPr>
                <w:sz w:val="20"/>
                <w:szCs w:val="20"/>
                <w:lang w:val="en-CA"/>
              </w:rPr>
              <w:t>Abella</w:t>
            </w:r>
            <w:proofErr w:type="spellEnd"/>
            <w:r w:rsidRPr="00632B25">
              <w:rPr>
                <w:sz w:val="20"/>
                <w:szCs w:val="20"/>
                <w:lang w:val="en-CA"/>
              </w:rPr>
              <w:t xml:space="preserve">, </w:t>
            </w:r>
            <w:proofErr w:type="spellStart"/>
            <w:r w:rsidRPr="00632B25">
              <w:rPr>
                <w:sz w:val="20"/>
                <w:szCs w:val="20"/>
                <w:lang w:val="en-CA"/>
              </w:rPr>
              <w:t>Moldaver</w:t>
            </w:r>
            <w:proofErr w:type="spellEnd"/>
            <w:r w:rsidRPr="00632B25">
              <w:rPr>
                <w:sz w:val="20"/>
                <w:szCs w:val="20"/>
                <w:lang w:val="en-CA"/>
              </w:rPr>
              <w:t xml:space="preserve">, </w:t>
            </w:r>
            <w:proofErr w:type="spellStart"/>
            <w:r w:rsidRPr="00632B25">
              <w:rPr>
                <w:sz w:val="20"/>
                <w:szCs w:val="20"/>
                <w:lang w:val="en-CA"/>
              </w:rPr>
              <w:t>Karakatsanis</w:t>
            </w:r>
            <w:proofErr w:type="spellEnd"/>
            <w:r w:rsidRPr="00632B25">
              <w:rPr>
                <w:sz w:val="20"/>
                <w:szCs w:val="20"/>
                <w:lang w:val="en-CA"/>
              </w:rPr>
              <w:t xml:space="preserve">, Wagner, </w:t>
            </w:r>
            <w:proofErr w:type="spellStart"/>
            <w:r w:rsidRPr="00632B25">
              <w:rPr>
                <w:sz w:val="20"/>
                <w:szCs w:val="20"/>
                <w:lang w:val="en-CA"/>
              </w:rPr>
              <w:t>Gascon</w:t>
            </w:r>
            <w:proofErr w:type="spellEnd"/>
            <w:r w:rsidRPr="00632B25">
              <w:rPr>
                <w:sz w:val="20"/>
                <w:szCs w:val="20"/>
                <w:lang w:val="en-CA"/>
              </w:rPr>
              <w:t xml:space="preserve">, </w:t>
            </w:r>
            <w:proofErr w:type="spellStart"/>
            <w:r w:rsidRPr="00632B25">
              <w:rPr>
                <w:sz w:val="20"/>
                <w:szCs w:val="20"/>
                <w:lang w:val="en-CA"/>
              </w:rPr>
              <w:t>Côté</w:t>
            </w:r>
            <w:proofErr w:type="spellEnd"/>
            <w:r w:rsidRPr="00632B25">
              <w:rPr>
                <w:sz w:val="20"/>
                <w:szCs w:val="20"/>
                <w:lang w:val="en-CA"/>
              </w:rPr>
              <w:t>, Brown and Rowe JJ.</w:t>
            </w:r>
          </w:p>
          <w:p w:rsidR="000F27BA" w:rsidRPr="00F10177" w:rsidRDefault="000F27BA" w:rsidP="004A61F1"/>
        </w:tc>
      </w:tr>
      <w:tr w:rsidR="000F27BA" w:rsidRPr="00CD6D96" w:rsidTr="004A61F1">
        <w:trPr>
          <w:gridAfter w:val="1"/>
          <w:wAfter w:w="48" w:type="pct"/>
        </w:trPr>
        <w:tc>
          <w:tcPr>
            <w:tcW w:w="4952" w:type="pct"/>
            <w:gridSpan w:val="4"/>
          </w:tcPr>
          <w:p w:rsidR="000F27BA" w:rsidRDefault="000F27BA" w:rsidP="004A61F1">
            <w:pPr>
              <w:pStyle w:val="SCCLsocParty"/>
              <w:jc w:val="both"/>
              <w:rPr>
                <w:sz w:val="20"/>
                <w:szCs w:val="20"/>
                <w:lang w:val="en-CA"/>
              </w:rPr>
            </w:pPr>
            <w:r w:rsidRPr="00632B25">
              <w:rPr>
                <w:sz w:val="20"/>
                <w:szCs w:val="20"/>
                <w:lang w:val="en-CA"/>
              </w:rPr>
              <w:t xml:space="preserve">An oral hearing of the application for leave to appeal is ordered in accordance with s. 43(1.2) of the </w:t>
            </w:r>
            <w:r w:rsidRPr="00632B25">
              <w:rPr>
                <w:i/>
                <w:sz w:val="20"/>
                <w:szCs w:val="20"/>
                <w:lang w:val="en-CA"/>
              </w:rPr>
              <w:t>Supreme Court Act</w:t>
            </w:r>
            <w:r w:rsidRPr="00632B25">
              <w:rPr>
                <w:sz w:val="20"/>
                <w:szCs w:val="20"/>
                <w:lang w:val="en-CA"/>
              </w:rPr>
              <w:t>, R.S.C., 1985, c. S-26.  The hearing date will be fixed by the Registrar.</w:t>
            </w:r>
          </w:p>
          <w:p w:rsidR="000F27BA" w:rsidRPr="00F10177" w:rsidRDefault="000F27BA" w:rsidP="004A61F1"/>
        </w:tc>
      </w:tr>
      <w:tr w:rsidR="000F27BA" w:rsidRPr="00CD6D96" w:rsidTr="004A61F1">
        <w:trPr>
          <w:gridAfter w:val="1"/>
          <w:wAfter w:w="48" w:type="pct"/>
        </w:trPr>
        <w:tc>
          <w:tcPr>
            <w:tcW w:w="4952" w:type="pct"/>
            <w:gridSpan w:val="4"/>
          </w:tcPr>
          <w:p w:rsidR="000F27BA" w:rsidRPr="00CD6D96" w:rsidRDefault="000F27BA" w:rsidP="004A61F1">
            <w:pPr>
              <w:jc w:val="both"/>
              <w:rPr>
                <w:sz w:val="20"/>
                <w:szCs w:val="20"/>
              </w:rPr>
            </w:pPr>
            <w:r w:rsidRPr="00CD6D96">
              <w:rPr>
                <w:sz w:val="20"/>
                <w:szCs w:val="20"/>
              </w:rPr>
              <w:t xml:space="preserve">Criminal law — </w:t>
            </w:r>
            <w:r w:rsidRPr="00CD6D96">
              <w:rPr>
                <w:color w:val="000000"/>
                <w:sz w:val="20"/>
                <w:szCs w:val="20"/>
              </w:rPr>
              <w:t>Interception of private communications</w:t>
            </w:r>
            <w:r w:rsidRPr="00CD6D96">
              <w:rPr>
                <w:sz w:val="20"/>
                <w:szCs w:val="20"/>
              </w:rPr>
              <w:t xml:space="preserve"> — Director of police force wiretapping certain rooms in police station in response to being harassed — Self</w:t>
            </w:r>
            <w:r w:rsidRPr="00CD6D96">
              <w:rPr>
                <w:sz w:val="20"/>
                <w:szCs w:val="20"/>
              </w:rPr>
              <w:noBreakHyphen/>
              <w:t>defence — Whether Court of Appeal erred in concluding that defence raised by applicant was defence of mistake of law, not mistake of fact — Whether Court of Appeal erred in concluding that trial judge had erred in law by leaving self</w:t>
            </w:r>
            <w:r w:rsidRPr="00CD6D96">
              <w:rPr>
                <w:sz w:val="20"/>
                <w:szCs w:val="20"/>
              </w:rPr>
              <w:noBreakHyphen/>
              <w:t>defence to jury.</w:t>
            </w:r>
          </w:p>
        </w:tc>
      </w:tr>
      <w:tr w:rsidR="000F27BA" w:rsidRPr="00CD6D96" w:rsidTr="004A61F1">
        <w:trPr>
          <w:gridAfter w:val="1"/>
          <w:wAfter w:w="48" w:type="pct"/>
        </w:trPr>
        <w:tc>
          <w:tcPr>
            <w:tcW w:w="4952" w:type="pct"/>
            <w:gridSpan w:val="4"/>
          </w:tcPr>
          <w:p w:rsidR="000F27BA" w:rsidRPr="00CD6D96" w:rsidRDefault="000F27BA" w:rsidP="004A61F1">
            <w:pPr>
              <w:jc w:val="both"/>
              <w:rPr>
                <w:sz w:val="20"/>
                <w:szCs w:val="20"/>
              </w:rPr>
            </w:pPr>
          </w:p>
        </w:tc>
      </w:tr>
      <w:tr w:rsidR="000F27BA" w:rsidRPr="00CD6D96" w:rsidTr="004A61F1">
        <w:trPr>
          <w:gridAfter w:val="1"/>
          <w:wAfter w:w="48" w:type="pct"/>
        </w:trPr>
        <w:tc>
          <w:tcPr>
            <w:tcW w:w="4952" w:type="pct"/>
            <w:gridSpan w:val="4"/>
          </w:tcPr>
          <w:p w:rsidR="000F27BA" w:rsidRPr="00CD6D96" w:rsidRDefault="000F27BA" w:rsidP="004A61F1">
            <w:pPr>
              <w:jc w:val="both"/>
              <w:rPr>
                <w:sz w:val="20"/>
                <w:szCs w:val="20"/>
              </w:rPr>
            </w:pPr>
            <w:r w:rsidRPr="00CD6D96">
              <w:rPr>
                <w:sz w:val="20"/>
                <w:szCs w:val="20"/>
              </w:rPr>
              <w:t>The accused was the director of the police force for the city of Mont</w:t>
            </w:r>
            <w:r w:rsidRPr="00CD6D96">
              <w:rPr>
                <w:sz w:val="20"/>
                <w:szCs w:val="20"/>
              </w:rPr>
              <w:noBreakHyphen/>
            </w:r>
            <w:proofErr w:type="spellStart"/>
            <w:r w:rsidRPr="00CD6D96">
              <w:rPr>
                <w:sz w:val="20"/>
                <w:szCs w:val="20"/>
              </w:rPr>
              <w:t>Tremblant</w:t>
            </w:r>
            <w:proofErr w:type="spellEnd"/>
            <w:r w:rsidRPr="00CD6D96">
              <w:rPr>
                <w:sz w:val="20"/>
                <w:szCs w:val="20"/>
              </w:rPr>
              <w:t xml:space="preserve">. When the collective agreement expired, the work atmosphere became more acrimonious. The accused was repeatedly subjected to intimidation and acts of vandalism. In response, he installed recording devices at the police station and in the room where the negotiations with the union for the renewal of the collective agreement took place. He was charged with interception of private communications within the meaning of the </w:t>
            </w:r>
            <w:r w:rsidRPr="00CD6D96">
              <w:rPr>
                <w:i/>
                <w:sz w:val="20"/>
                <w:szCs w:val="20"/>
              </w:rPr>
              <w:t>Criminal Code</w:t>
            </w:r>
            <w:r w:rsidRPr="00CD6D96">
              <w:rPr>
                <w:sz w:val="20"/>
                <w:szCs w:val="20"/>
              </w:rPr>
              <w:t>.</w:t>
            </w:r>
          </w:p>
          <w:p w:rsidR="000F27BA" w:rsidRPr="00CD6D96" w:rsidRDefault="000F27BA" w:rsidP="004A61F1">
            <w:pPr>
              <w:jc w:val="both"/>
              <w:rPr>
                <w:sz w:val="20"/>
                <w:szCs w:val="20"/>
              </w:rPr>
            </w:pPr>
          </w:p>
          <w:p w:rsidR="000F27BA" w:rsidRPr="00CD6D96" w:rsidRDefault="000F27BA" w:rsidP="004A61F1">
            <w:pPr>
              <w:jc w:val="both"/>
              <w:rPr>
                <w:sz w:val="20"/>
                <w:szCs w:val="20"/>
              </w:rPr>
            </w:pPr>
            <w:r w:rsidRPr="00CD6D96">
              <w:rPr>
                <w:sz w:val="20"/>
                <w:szCs w:val="20"/>
              </w:rPr>
              <w:t>The jury acquitted the accused. It was argued that he had made a mistake with respect to the facts that would entitle him to intercept the communications and that he had acted in self</w:t>
            </w:r>
            <w:r w:rsidRPr="00CD6D96">
              <w:rPr>
                <w:sz w:val="20"/>
                <w:szCs w:val="20"/>
              </w:rPr>
              <w:noBreakHyphen/>
              <w:t xml:space="preserve">defence in response to the intimidation directed against him. The Court of Appeal set aside the acquittal and ordered a new trial. </w:t>
            </w:r>
          </w:p>
          <w:p w:rsidR="000F27BA" w:rsidRPr="00CD6D96" w:rsidRDefault="000F27BA" w:rsidP="004A61F1">
            <w:pPr>
              <w:jc w:val="both"/>
              <w:rPr>
                <w:sz w:val="20"/>
                <w:szCs w:val="20"/>
              </w:rPr>
            </w:pPr>
          </w:p>
        </w:tc>
      </w:tr>
      <w:tr w:rsidR="000F27BA" w:rsidRPr="00CD6D96" w:rsidTr="004A61F1">
        <w:tblPrEx>
          <w:tblCellMar>
            <w:bottom w:w="0" w:type="dxa"/>
          </w:tblCellMar>
        </w:tblPrEx>
        <w:tc>
          <w:tcPr>
            <w:tcW w:w="2367" w:type="pct"/>
            <w:gridSpan w:val="2"/>
          </w:tcPr>
          <w:p w:rsidR="000F27BA" w:rsidRPr="00CD6D96" w:rsidRDefault="000F27BA" w:rsidP="004A61F1">
            <w:pPr>
              <w:jc w:val="both"/>
              <w:rPr>
                <w:sz w:val="20"/>
                <w:szCs w:val="20"/>
              </w:rPr>
            </w:pPr>
            <w:r w:rsidRPr="00CD6D96">
              <w:rPr>
                <w:sz w:val="20"/>
                <w:szCs w:val="20"/>
              </w:rPr>
              <w:t>May 15, 2014</w:t>
            </w:r>
          </w:p>
          <w:p w:rsidR="000F27BA" w:rsidRPr="00CD6D96" w:rsidRDefault="000F27BA" w:rsidP="004A61F1">
            <w:pPr>
              <w:jc w:val="both"/>
              <w:rPr>
                <w:sz w:val="20"/>
                <w:szCs w:val="20"/>
              </w:rPr>
            </w:pPr>
            <w:r w:rsidRPr="00CD6D96">
              <w:rPr>
                <w:sz w:val="20"/>
                <w:szCs w:val="20"/>
              </w:rPr>
              <w:t>Quebec Superior Court</w:t>
            </w:r>
          </w:p>
          <w:p w:rsidR="000F27BA" w:rsidRPr="00CD6D96" w:rsidRDefault="000F27BA" w:rsidP="004A61F1">
            <w:pPr>
              <w:jc w:val="both"/>
              <w:rPr>
                <w:sz w:val="20"/>
                <w:szCs w:val="20"/>
              </w:rPr>
            </w:pPr>
            <w:r w:rsidRPr="00CD6D96">
              <w:rPr>
                <w:sz w:val="20"/>
                <w:szCs w:val="20"/>
              </w:rPr>
              <w:t>(Bourque J.)</w:t>
            </w:r>
          </w:p>
          <w:p w:rsidR="000F27BA" w:rsidRPr="00CD6D96" w:rsidRDefault="000F27BA" w:rsidP="004A61F1">
            <w:pPr>
              <w:jc w:val="both"/>
              <w:rPr>
                <w:sz w:val="20"/>
                <w:szCs w:val="20"/>
              </w:rPr>
            </w:pPr>
          </w:p>
        </w:tc>
        <w:tc>
          <w:tcPr>
            <w:tcW w:w="267" w:type="pct"/>
          </w:tcPr>
          <w:p w:rsidR="000F27BA" w:rsidRPr="00CD6D96" w:rsidRDefault="000F27BA" w:rsidP="004A61F1">
            <w:pPr>
              <w:jc w:val="both"/>
              <w:rPr>
                <w:sz w:val="20"/>
                <w:szCs w:val="20"/>
              </w:rPr>
            </w:pPr>
          </w:p>
        </w:tc>
        <w:tc>
          <w:tcPr>
            <w:tcW w:w="2366" w:type="pct"/>
            <w:gridSpan w:val="2"/>
          </w:tcPr>
          <w:p w:rsidR="000F27BA" w:rsidRPr="00CD6D96" w:rsidRDefault="000F27BA" w:rsidP="004A61F1">
            <w:pPr>
              <w:jc w:val="both"/>
              <w:rPr>
                <w:sz w:val="20"/>
                <w:szCs w:val="20"/>
              </w:rPr>
            </w:pPr>
            <w:r w:rsidRPr="00CD6D96">
              <w:rPr>
                <w:sz w:val="20"/>
                <w:szCs w:val="20"/>
              </w:rPr>
              <w:t>Applicant acquitted</w:t>
            </w:r>
          </w:p>
          <w:p w:rsidR="000F27BA" w:rsidRPr="00CD6D96" w:rsidRDefault="000F27BA" w:rsidP="004A61F1">
            <w:pPr>
              <w:jc w:val="both"/>
              <w:rPr>
                <w:sz w:val="20"/>
                <w:szCs w:val="20"/>
              </w:rPr>
            </w:pPr>
          </w:p>
        </w:tc>
      </w:tr>
      <w:tr w:rsidR="000F27BA" w:rsidRPr="00CD6D96" w:rsidTr="004A61F1">
        <w:tblPrEx>
          <w:tblCellMar>
            <w:bottom w:w="0" w:type="dxa"/>
          </w:tblCellMar>
        </w:tblPrEx>
        <w:tc>
          <w:tcPr>
            <w:tcW w:w="2367" w:type="pct"/>
            <w:gridSpan w:val="2"/>
          </w:tcPr>
          <w:p w:rsidR="000F27BA" w:rsidRPr="00CD6D96" w:rsidRDefault="000F27BA" w:rsidP="004A61F1">
            <w:pPr>
              <w:jc w:val="both"/>
              <w:rPr>
                <w:sz w:val="20"/>
                <w:szCs w:val="20"/>
              </w:rPr>
            </w:pPr>
            <w:r w:rsidRPr="00CD6D96">
              <w:rPr>
                <w:sz w:val="20"/>
                <w:szCs w:val="20"/>
              </w:rPr>
              <w:t>July 3, 2017</w:t>
            </w:r>
          </w:p>
          <w:p w:rsidR="000F27BA" w:rsidRPr="00CD6D96" w:rsidRDefault="000F27BA" w:rsidP="004A61F1">
            <w:pPr>
              <w:jc w:val="both"/>
              <w:rPr>
                <w:sz w:val="20"/>
                <w:szCs w:val="20"/>
              </w:rPr>
            </w:pPr>
            <w:r w:rsidRPr="00CD6D96">
              <w:rPr>
                <w:sz w:val="20"/>
                <w:szCs w:val="20"/>
              </w:rPr>
              <w:t>Quebec Court of Appeal (Montréal)</w:t>
            </w:r>
          </w:p>
          <w:p w:rsidR="000F27BA" w:rsidRPr="00CD6D96" w:rsidRDefault="000F27BA" w:rsidP="004A61F1">
            <w:pPr>
              <w:jc w:val="both"/>
              <w:rPr>
                <w:sz w:val="20"/>
                <w:szCs w:val="20"/>
              </w:rPr>
            </w:pPr>
            <w:r w:rsidRPr="00CD6D96">
              <w:rPr>
                <w:sz w:val="20"/>
                <w:szCs w:val="20"/>
              </w:rPr>
              <w:t>(</w:t>
            </w:r>
            <w:proofErr w:type="spellStart"/>
            <w:r w:rsidRPr="00CD6D96">
              <w:rPr>
                <w:sz w:val="20"/>
                <w:szCs w:val="20"/>
              </w:rPr>
              <w:t>Kasirer</w:t>
            </w:r>
            <w:proofErr w:type="spellEnd"/>
            <w:r w:rsidRPr="00CD6D96">
              <w:rPr>
                <w:sz w:val="20"/>
                <w:szCs w:val="20"/>
              </w:rPr>
              <w:t xml:space="preserve">, </w:t>
            </w:r>
            <w:proofErr w:type="spellStart"/>
            <w:r w:rsidRPr="00CD6D96">
              <w:rPr>
                <w:sz w:val="20"/>
                <w:szCs w:val="20"/>
              </w:rPr>
              <w:t>Vauclair</w:t>
            </w:r>
            <w:proofErr w:type="spellEnd"/>
            <w:r w:rsidRPr="00CD6D96">
              <w:rPr>
                <w:sz w:val="20"/>
                <w:szCs w:val="20"/>
              </w:rPr>
              <w:t xml:space="preserve"> and Parent JJ.A.)</w:t>
            </w:r>
          </w:p>
          <w:p w:rsidR="000F27BA" w:rsidRPr="00CD6D96" w:rsidRDefault="00F964D5" w:rsidP="004A61F1">
            <w:pPr>
              <w:jc w:val="both"/>
              <w:rPr>
                <w:sz w:val="20"/>
                <w:szCs w:val="20"/>
              </w:rPr>
            </w:pPr>
            <w:hyperlink r:id="rId19" w:history="1">
              <w:r w:rsidR="000F27BA" w:rsidRPr="00CD6D96">
                <w:rPr>
                  <w:rStyle w:val="Hyperlink"/>
                  <w:sz w:val="20"/>
                  <w:szCs w:val="20"/>
                </w:rPr>
                <w:t>2017 QCCA 1041</w:t>
              </w:r>
            </w:hyperlink>
          </w:p>
          <w:p w:rsidR="000F27BA" w:rsidRPr="00CD6D96" w:rsidRDefault="000F27BA" w:rsidP="004A61F1">
            <w:pPr>
              <w:jc w:val="both"/>
              <w:rPr>
                <w:sz w:val="20"/>
                <w:szCs w:val="20"/>
              </w:rPr>
            </w:pPr>
          </w:p>
        </w:tc>
        <w:tc>
          <w:tcPr>
            <w:tcW w:w="267" w:type="pct"/>
          </w:tcPr>
          <w:p w:rsidR="000F27BA" w:rsidRPr="00CD6D96" w:rsidRDefault="000F27BA" w:rsidP="004A61F1">
            <w:pPr>
              <w:jc w:val="both"/>
              <w:rPr>
                <w:sz w:val="20"/>
                <w:szCs w:val="20"/>
              </w:rPr>
            </w:pPr>
          </w:p>
        </w:tc>
        <w:tc>
          <w:tcPr>
            <w:tcW w:w="2366" w:type="pct"/>
            <w:gridSpan w:val="2"/>
          </w:tcPr>
          <w:p w:rsidR="000F27BA" w:rsidRPr="00CD6D96" w:rsidRDefault="000F27BA" w:rsidP="004A61F1">
            <w:pPr>
              <w:jc w:val="both"/>
              <w:rPr>
                <w:sz w:val="20"/>
                <w:szCs w:val="20"/>
              </w:rPr>
            </w:pPr>
            <w:r w:rsidRPr="00CD6D96">
              <w:rPr>
                <w:sz w:val="20"/>
                <w:szCs w:val="20"/>
              </w:rPr>
              <w:t>Appeal allowed; verdict of acquittal set aside; new trial ordered</w:t>
            </w:r>
          </w:p>
          <w:p w:rsidR="000F27BA" w:rsidRPr="00CD6D96" w:rsidRDefault="000F27BA" w:rsidP="004A61F1">
            <w:pPr>
              <w:jc w:val="both"/>
              <w:rPr>
                <w:sz w:val="20"/>
                <w:szCs w:val="20"/>
              </w:rPr>
            </w:pPr>
          </w:p>
        </w:tc>
      </w:tr>
      <w:tr w:rsidR="000F27BA" w:rsidRPr="00CD6D96" w:rsidTr="004A61F1">
        <w:tblPrEx>
          <w:tblCellMar>
            <w:bottom w:w="0" w:type="dxa"/>
          </w:tblCellMar>
        </w:tblPrEx>
        <w:tc>
          <w:tcPr>
            <w:tcW w:w="2367" w:type="pct"/>
            <w:gridSpan w:val="2"/>
          </w:tcPr>
          <w:p w:rsidR="000F27BA" w:rsidRPr="00CD6D96" w:rsidRDefault="000F27BA" w:rsidP="004A61F1">
            <w:pPr>
              <w:jc w:val="both"/>
              <w:rPr>
                <w:sz w:val="20"/>
                <w:szCs w:val="20"/>
              </w:rPr>
            </w:pPr>
            <w:r w:rsidRPr="00CD6D96">
              <w:rPr>
                <w:sz w:val="20"/>
                <w:szCs w:val="20"/>
              </w:rPr>
              <w:t>September 29, 2017</w:t>
            </w:r>
          </w:p>
          <w:p w:rsidR="000F27BA" w:rsidRPr="00CD6D96" w:rsidRDefault="000F27BA" w:rsidP="004A61F1">
            <w:pPr>
              <w:jc w:val="both"/>
              <w:rPr>
                <w:sz w:val="20"/>
                <w:szCs w:val="20"/>
              </w:rPr>
            </w:pPr>
            <w:r w:rsidRPr="00CD6D96">
              <w:rPr>
                <w:sz w:val="20"/>
                <w:szCs w:val="20"/>
              </w:rPr>
              <w:t>Supreme Court of Canada</w:t>
            </w:r>
          </w:p>
        </w:tc>
        <w:tc>
          <w:tcPr>
            <w:tcW w:w="267" w:type="pct"/>
          </w:tcPr>
          <w:p w:rsidR="000F27BA" w:rsidRPr="00CD6D96" w:rsidRDefault="000F27BA" w:rsidP="004A61F1">
            <w:pPr>
              <w:jc w:val="both"/>
              <w:rPr>
                <w:sz w:val="20"/>
                <w:szCs w:val="20"/>
              </w:rPr>
            </w:pPr>
          </w:p>
        </w:tc>
        <w:tc>
          <w:tcPr>
            <w:tcW w:w="2366" w:type="pct"/>
            <w:gridSpan w:val="2"/>
          </w:tcPr>
          <w:p w:rsidR="000F27BA" w:rsidRPr="00CD6D96" w:rsidRDefault="000F27BA" w:rsidP="004A61F1">
            <w:pPr>
              <w:jc w:val="both"/>
              <w:rPr>
                <w:sz w:val="20"/>
                <w:szCs w:val="20"/>
              </w:rPr>
            </w:pPr>
            <w:r w:rsidRPr="00CD6D96">
              <w:rPr>
                <w:sz w:val="20"/>
                <w:szCs w:val="20"/>
              </w:rPr>
              <w:t>Application for leave to appeal filed</w:t>
            </w:r>
          </w:p>
          <w:p w:rsidR="000F27BA" w:rsidRPr="00CD6D96" w:rsidRDefault="000F27BA" w:rsidP="004A61F1">
            <w:pPr>
              <w:jc w:val="both"/>
              <w:rPr>
                <w:sz w:val="20"/>
                <w:szCs w:val="20"/>
              </w:rPr>
            </w:pPr>
          </w:p>
        </w:tc>
      </w:tr>
    </w:tbl>
    <w:p w:rsidR="000F27BA" w:rsidRPr="00CD6D96" w:rsidRDefault="00F964D5" w:rsidP="000F27BA">
      <w:pPr>
        <w:jc w:val="both"/>
        <w:rPr>
          <w:sz w:val="20"/>
          <w:szCs w:val="20"/>
        </w:rPr>
      </w:pPr>
      <w:r>
        <w:rPr>
          <w:sz w:val="20"/>
          <w:szCs w:val="20"/>
        </w:rPr>
        <w:pict>
          <v:rect id="_x0000_i1036" style="width:2in;height:1pt" o:hrpct="0" o:hralign="center" o:hrstd="t" o:hrnoshade="t" o:hr="t" fillcolor="black [3213]" stroked="f"/>
        </w:pict>
      </w:r>
    </w:p>
    <w:p w:rsidR="000F27BA" w:rsidRPr="00CD6D96" w:rsidRDefault="000F27BA" w:rsidP="000F27B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0F27BA" w:rsidRPr="00CD6D96" w:rsidTr="004A61F1">
        <w:trPr>
          <w:gridAfter w:val="1"/>
          <w:wAfter w:w="48" w:type="pct"/>
        </w:trPr>
        <w:tc>
          <w:tcPr>
            <w:tcW w:w="538" w:type="pct"/>
          </w:tcPr>
          <w:p w:rsidR="000F27BA" w:rsidRPr="00CD6D96" w:rsidRDefault="000F27BA" w:rsidP="004A61F1">
            <w:pPr>
              <w:jc w:val="both"/>
              <w:rPr>
                <w:sz w:val="20"/>
                <w:szCs w:val="20"/>
              </w:rPr>
            </w:pPr>
            <w:r w:rsidRPr="00CD6D96">
              <w:rPr>
                <w:rStyle w:val="SCCFileNumberChar"/>
                <w:sz w:val="20"/>
                <w:szCs w:val="20"/>
              </w:rPr>
              <w:t>37779</w:t>
            </w:r>
          </w:p>
        </w:tc>
        <w:tc>
          <w:tcPr>
            <w:tcW w:w="4414" w:type="pct"/>
            <w:gridSpan w:val="3"/>
          </w:tcPr>
          <w:p w:rsidR="000F27BA" w:rsidRPr="00CD6D96" w:rsidRDefault="000F27BA" w:rsidP="004A61F1">
            <w:pPr>
              <w:pStyle w:val="SCCLsocParty"/>
              <w:jc w:val="both"/>
              <w:rPr>
                <w:b/>
                <w:sz w:val="20"/>
                <w:szCs w:val="20"/>
              </w:rPr>
            </w:pPr>
            <w:r w:rsidRPr="00CD6D96">
              <w:rPr>
                <w:b/>
                <w:sz w:val="20"/>
                <w:szCs w:val="20"/>
              </w:rPr>
              <w:t>Michel Ledoux c. Sa Majesté la Reine</w:t>
            </w:r>
          </w:p>
          <w:p w:rsidR="000F27BA" w:rsidRPr="00CD6D96" w:rsidRDefault="000F27BA" w:rsidP="004A61F1">
            <w:pPr>
              <w:jc w:val="both"/>
              <w:rPr>
                <w:sz w:val="20"/>
                <w:szCs w:val="20"/>
              </w:rPr>
            </w:pPr>
            <w:r w:rsidRPr="00CD6D96">
              <w:rPr>
                <w:sz w:val="20"/>
                <w:szCs w:val="20"/>
              </w:rPr>
              <w:t>(Qc) (</w:t>
            </w:r>
            <w:proofErr w:type="spellStart"/>
            <w:r w:rsidRPr="00CD6D96">
              <w:rPr>
                <w:sz w:val="20"/>
                <w:szCs w:val="20"/>
              </w:rPr>
              <w:t>Criminelle</w:t>
            </w:r>
            <w:proofErr w:type="spellEnd"/>
            <w:r w:rsidRPr="00CD6D96">
              <w:rPr>
                <w:sz w:val="20"/>
                <w:szCs w:val="20"/>
              </w:rPr>
              <w:t>) (</w:t>
            </w:r>
            <w:proofErr w:type="spellStart"/>
            <w:r w:rsidRPr="00CD6D96">
              <w:rPr>
                <w:sz w:val="20"/>
                <w:szCs w:val="20"/>
              </w:rPr>
              <w:t>Autorisation</w:t>
            </w:r>
            <w:proofErr w:type="spellEnd"/>
            <w:r w:rsidRPr="00CD6D96">
              <w:rPr>
                <w:sz w:val="20"/>
                <w:szCs w:val="20"/>
              </w:rPr>
              <w:t>)</w:t>
            </w:r>
          </w:p>
        </w:tc>
      </w:tr>
      <w:tr w:rsidR="000F27BA" w:rsidRPr="00F964D5" w:rsidTr="004A61F1">
        <w:trPr>
          <w:gridAfter w:val="1"/>
          <w:wAfter w:w="48" w:type="pct"/>
        </w:trPr>
        <w:tc>
          <w:tcPr>
            <w:tcW w:w="538" w:type="pct"/>
          </w:tcPr>
          <w:p w:rsidR="000F27BA" w:rsidRPr="00CD6D96" w:rsidRDefault="000F27BA" w:rsidP="004A61F1">
            <w:pPr>
              <w:jc w:val="both"/>
              <w:rPr>
                <w:rStyle w:val="SCCFileNumberChar"/>
                <w:sz w:val="20"/>
                <w:szCs w:val="20"/>
              </w:rPr>
            </w:pPr>
            <w:r>
              <w:rPr>
                <w:rStyle w:val="SCCFileNumberChar"/>
                <w:sz w:val="20"/>
                <w:szCs w:val="20"/>
              </w:rPr>
              <w:t>Coram:</w:t>
            </w:r>
          </w:p>
        </w:tc>
        <w:tc>
          <w:tcPr>
            <w:tcW w:w="4414" w:type="pct"/>
            <w:gridSpan w:val="3"/>
          </w:tcPr>
          <w:p w:rsidR="000F27BA" w:rsidRDefault="000F27BA" w:rsidP="004A61F1">
            <w:pPr>
              <w:pStyle w:val="SCCLsocParty"/>
              <w:jc w:val="both"/>
              <w:rPr>
                <w:sz w:val="20"/>
                <w:szCs w:val="20"/>
              </w:rPr>
            </w:pPr>
            <w:r w:rsidRPr="00632B25">
              <w:rPr>
                <w:sz w:val="20"/>
                <w:szCs w:val="20"/>
              </w:rPr>
              <w:t xml:space="preserve">La juge en chef </w:t>
            </w:r>
            <w:proofErr w:type="spellStart"/>
            <w:r w:rsidRPr="00632B25">
              <w:rPr>
                <w:sz w:val="20"/>
                <w:szCs w:val="20"/>
              </w:rPr>
              <w:t>McLachlin</w:t>
            </w:r>
            <w:proofErr w:type="spellEnd"/>
            <w:r w:rsidRPr="00632B25">
              <w:rPr>
                <w:sz w:val="20"/>
                <w:szCs w:val="20"/>
              </w:rPr>
              <w:t xml:space="preserve"> et les juges Abella, </w:t>
            </w:r>
            <w:proofErr w:type="spellStart"/>
            <w:r w:rsidRPr="00632B25">
              <w:rPr>
                <w:sz w:val="20"/>
                <w:szCs w:val="20"/>
              </w:rPr>
              <w:t>Moldaver</w:t>
            </w:r>
            <w:proofErr w:type="spellEnd"/>
            <w:r w:rsidRPr="00632B25">
              <w:rPr>
                <w:sz w:val="20"/>
                <w:szCs w:val="20"/>
              </w:rPr>
              <w:t xml:space="preserve">, </w:t>
            </w:r>
            <w:proofErr w:type="spellStart"/>
            <w:r w:rsidRPr="00632B25">
              <w:rPr>
                <w:sz w:val="20"/>
                <w:szCs w:val="20"/>
              </w:rPr>
              <w:t>Karakatsanis</w:t>
            </w:r>
            <w:proofErr w:type="spellEnd"/>
            <w:r w:rsidRPr="00632B25">
              <w:rPr>
                <w:sz w:val="20"/>
                <w:szCs w:val="20"/>
              </w:rPr>
              <w:t>, Wagner, Gascon, Côté, Brown et Rowe</w:t>
            </w:r>
          </w:p>
          <w:p w:rsidR="000F27BA" w:rsidRPr="00F10177" w:rsidRDefault="000F27BA" w:rsidP="004A61F1">
            <w:pPr>
              <w:rPr>
                <w:lang w:val="fr-CA"/>
              </w:rPr>
            </w:pPr>
          </w:p>
        </w:tc>
      </w:tr>
      <w:tr w:rsidR="000F27BA" w:rsidRPr="00F10177" w:rsidTr="004A61F1">
        <w:trPr>
          <w:gridAfter w:val="1"/>
          <w:wAfter w:w="48" w:type="pct"/>
        </w:trPr>
        <w:tc>
          <w:tcPr>
            <w:tcW w:w="4952" w:type="pct"/>
            <w:gridSpan w:val="4"/>
          </w:tcPr>
          <w:p w:rsidR="000F27BA" w:rsidRDefault="000F27BA" w:rsidP="004A61F1">
            <w:pPr>
              <w:pStyle w:val="SCCLsocParty"/>
              <w:jc w:val="both"/>
              <w:rPr>
                <w:sz w:val="20"/>
                <w:szCs w:val="20"/>
              </w:rPr>
            </w:pPr>
            <w:r w:rsidRPr="00632B25">
              <w:rPr>
                <w:sz w:val="20"/>
                <w:szCs w:val="20"/>
              </w:rPr>
              <w:t xml:space="preserve">La tenue d’une audience pour décider la demande d’autorisation d’appel est ordonnée, conformément à l’article 43(1.2) de la </w:t>
            </w:r>
            <w:r w:rsidRPr="00632B25">
              <w:rPr>
                <w:i/>
                <w:sz w:val="20"/>
                <w:szCs w:val="20"/>
              </w:rPr>
              <w:t>Loi sur la Cour suprême</w:t>
            </w:r>
            <w:r w:rsidRPr="00632B25">
              <w:rPr>
                <w:sz w:val="20"/>
                <w:szCs w:val="20"/>
              </w:rPr>
              <w:t>, L.R.C., 1985, c. S-26.  La date d’audience sera fixée par le registraire.</w:t>
            </w:r>
          </w:p>
          <w:p w:rsidR="000F27BA" w:rsidRPr="00F10177" w:rsidRDefault="000F27BA" w:rsidP="004A61F1">
            <w:pPr>
              <w:rPr>
                <w:lang w:val="fr-CA"/>
              </w:rPr>
            </w:pPr>
          </w:p>
        </w:tc>
      </w:tr>
      <w:tr w:rsidR="000F27BA" w:rsidRPr="00F964D5" w:rsidTr="004A61F1">
        <w:trPr>
          <w:gridAfter w:val="1"/>
          <w:wAfter w:w="48" w:type="pct"/>
        </w:trPr>
        <w:tc>
          <w:tcPr>
            <w:tcW w:w="4952" w:type="pct"/>
            <w:gridSpan w:val="4"/>
          </w:tcPr>
          <w:p w:rsidR="000F27BA" w:rsidRPr="00CD6D96" w:rsidRDefault="000F27BA" w:rsidP="004A61F1">
            <w:pPr>
              <w:jc w:val="both"/>
              <w:rPr>
                <w:sz w:val="20"/>
                <w:szCs w:val="20"/>
                <w:lang w:val="fr-CA"/>
              </w:rPr>
            </w:pPr>
            <w:r w:rsidRPr="00CD6D96">
              <w:rPr>
                <w:sz w:val="20"/>
                <w:szCs w:val="20"/>
                <w:lang w:val="fr-CA"/>
              </w:rPr>
              <w:t xml:space="preserve">Droit criminel — </w:t>
            </w:r>
            <w:r w:rsidRPr="00CD6D96">
              <w:rPr>
                <w:color w:val="000000"/>
                <w:sz w:val="20"/>
                <w:szCs w:val="20"/>
                <w:lang w:val="fr-CA"/>
              </w:rPr>
              <w:t xml:space="preserve">Interception de communications </w:t>
            </w:r>
            <w:r w:rsidRPr="00CD6D96">
              <w:rPr>
                <w:sz w:val="20"/>
                <w:szCs w:val="20"/>
                <w:lang w:val="fr-FR"/>
              </w:rPr>
              <w:t xml:space="preserve">privées </w:t>
            </w:r>
            <w:r w:rsidRPr="00CD6D96">
              <w:rPr>
                <w:sz w:val="20"/>
                <w:szCs w:val="20"/>
                <w:lang w:val="fr-CA"/>
              </w:rPr>
              <w:t>— Directeur du service de police ayant mis sous écoute certaines salles du poste de police en réponse au harcèlement dont il était victime — Légitime défense — La Cour d’appel a-t-elle erré en concluant que la défense invoquée par le demandeur en était une d’erreur de droit et non de fait? — La Cour d’appel a-t-elle erré en concluant que la juge du procès avait erré en droit en laissant la légitime défense à l’appréciation du jury?</w:t>
            </w:r>
          </w:p>
        </w:tc>
      </w:tr>
      <w:tr w:rsidR="000F27BA" w:rsidRPr="00F964D5" w:rsidTr="004A61F1">
        <w:trPr>
          <w:gridAfter w:val="1"/>
          <w:wAfter w:w="48" w:type="pct"/>
        </w:trPr>
        <w:tc>
          <w:tcPr>
            <w:tcW w:w="4952" w:type="pct"/>
            <w:gridSpan w:val="4"/>
          </w:tcPr>
          <w:p w:rsidR="000F27BA" w:rsidRPr="00CD6D96" w:rsidRDefault="000F27BA" w:rsidP="004A61F1">
            <w:pPr>
              <w:jc w:val="both"/>
              <w:rPr>
                <w:sz w:val="20"/>
                <w:szCs w:val="20"/>
                <w:lang w:val="fr-CA"/>
              </w:rPr>
            </w:pPr>
          </w:p>
        </w:tc>
      </w:tr>
      <w:tr w:rsidR="000F27BA" w:rsidRPr="00F964D5" w:rsidTr="004A61F1">
        <w:trPr>
          <w:gridAfter w:val="1"/>
          <w:wAfter w:w="48" w:type="pct"/>
        </w:trPr>
        <w:tc>
          <w:tcPr>
            <w:tcW w:w="4952" w:type="pct"/>
            <w:gridSpan w:val="4"/>
          </w:tcPr>
          <w:p w:rsidR="000F27BA" w:rsidRPr="00CD6D96" w:rsidRDefault="000F27BA" w:rsidP="004A61F1">
            <w:pPr>
              <w:jc w:val="both"/>
              <w:rPr>
                <w:sz w:val="20"/>
                <w:szCs w:val="20"/>
                <w:lang w:val="fr-CA"/>
              </w:rPr>
            </w:pPr>
            <w:r w:rsidRPr="00CD6D96">
              <w:rPr>
                <w:sz w:val="20"/>
                <w:szCs w:val="20"/>
                <w:lang w:val="fr-CA"/>
              </w:rPr>
              <w:t xml:space="preserve">L’accusé était directeur du service de police de la Ville de Mont-Tremblant. Alors que la convention collective vient à échéance, le climat de travail s’envenime. L’accusé devient victime d’intimidation et d’actes de vandalisme de manière récurrente. Il installe, en réponse à ces actes, des dispositifs d’enregistrement au poste de police et dans la salle où se déroulent les négociations avec le syndicat pour le renouvellement de la convention collective. Il est accusé d’avoir intercepté des communications privées au sens du </w:t>
            </w:r>
            <w:r w:rsidRPr="00CD6D96">
              <w:rPr>
                <w:i/>
                <w:sz w:val="20"/>
                <w:szCs w:val="20"/>
                <w:lang w:val="fr-CA"/>
              </w:rPr>
              <w:t>Code criminel</w:t>
            </w:r>
            <w:r w:rsidRPr="00CD6D96">
              <w:rPr>
                <w:sz w:val="20"/>
                <w:szCs w:val="20"/>
                <w:lang w:val="fr-CA"/>
              </w:rPr>
              <w:t>.</w:t>
            </w:r>
          </w:p>
          <w:p w:rsidR="000F27BA" w:rsidRPr="00CD6D96" w:rsidRDefault="000F27BA" w:rsidP="004A61F1">
            <w:pPr>
              <w:jc w:val="both"/>
              <w:rPr>
                <w:sz w:val="20"/>
                <w:szCs w:val="20"/>
                <w:lang w:val="fr-CA"/>
              </w:rPr>
            </w:pPr>
          </w:p>
          <w:p w:rsidR="000F27BA" w:rsidRPr="00CD6D96" w:rsidRDefault="000F27BA" w:rsidP="004A61F1">
            <w:pPr>
              <w:jc w:val="both"/>
              <w:rPr>
                <w:sz w:val="20"/>
                <w:szCs w:val="20"/>
                <w:lang w:val="fr-CA"/>
              </w:rPr>
            </w:pPr>
            <w:r w:rsidRPr="00CD6D96">
              <w:rPr>
                <w:sz w:val="20"/>
                <w:szCs w:val="20"/>
                <w:lang w:val="fr-CA"/>
              </w:rPr>
              <w:t xml:space="preserve">Le jury acquitte l’accusé. Il est soumis que l’accusé a commis une erreur sur les faits donnant le droit d’intercepter ces communications et qu’il a agi en légitime défense en réponse aux actes d’intimidation dirigés vers lui. La Cour d’appel annule l’acquittement et ordonne un nouveau procès. </w:t>
            </w:r>
          </w:p>
          <w:p w:rsidR="000F27BA" w:rsidRPr="00CD6D96" w:rsidRDefault="000F27BA" w:rsidP="004A61F1">
            <w:pPr>
              <w:jc w:val="both"/>
              <w:rPr>
                <w:sz w:val="20"/>
                <w:szCs w:val="20"/>
                <w:lang w:val="fr-CA"/>
              </w:rPr>
            </w:pPr>
          </w:p>
        </w:tc>
      </w:tr>
      <w:tr w:rsidR="000F27BA" w:rsidRPr="00CD6D96" w:rsidTr="004A61F1">
        <w:tblPrEx>
          <w:tblCellMar>
            <w:bottom w:w="0" w:type="dxa"/>
          </w:tblCellMar>
        </w:tblPrEx>
        <w:tc>
          <w:tcPr>
            <w:tcW w:w="2367" w:type="pct"/>
            <w:gridSpan w:val="2"/>
          </w:tcPr>
          <w:p w:rsidR="000F27BA" w:rsidRPr="00CD6D96" w:rsidRDefault="000F27BA" w:rsidP="004A61F1">
            <w:pPr>
              <w:jc w:val="both"/>
              <w:rPr>
                <w:sz w:val="20"/>
                <w:szCs w:val="20"/>
                <w:lang w:val="fr-CA"/>
              </w:rPr>
            </w:pPr>
            <w:r w:rsidRPr="00CD6D96">
              <w:rPr>
                <w:sz w:val="20"/>
                <w:szCs w:val="20"/>
                <w:lang w:val="fr-CA"/>
              </w:rPr>
              <w:t>Le 15 mai 2014</w:t>
            </w:r>
          </w:p>
          <w:p w:rsidR="000F27BA" w:rsidRPr="00CD6D96" w:rsidRDefault="000F27BA" w:rsidP="004A61F1">
            <w:pPr>
              <w:jc w:val="both"/>
              <w:rPr>
                <w:sz w:val="20"/>
                <w:szCs w:val="20"/>
                <w:lang w:val="fr-CA"/>
              </w:rPr>
            </w:pPr>
            <w:r w:rsidRPr="00CD6D96">
              <w:rPr>
                <w:sz w:val="20"/>
                <w:szCs w:val="20"/>
                <w:lang w:val="fr-CA"/>
              </w:rPr>
              <w:t>Cour supérieure du Québec</w:t>
            </w:r>
          </w:p>
          <w:p w:rsidR="000F27BA" w:rsidRPr="00CD6D96" w:rsidRDefault="000F27BA" w:rsidP="004A61F1">
            <w:pPr>
              <w:jc w:val="both"/>
              <w:rPr>
                <w:sz w:val="20"/>
                <w:szCs w:val="20"/>
              </w:rPr>
            </w:pPr>
            <w:r w:rsidRPr="00CD6D96">
              <w:rPr>
                <w:sz w:val="20"/>
                <w:szCs w:val="20"/>
              </w:rPr>
              <w:t xml:space="preserve">(La </w:t>
            </w:r>
            <w:proofErr w:type="spellStart"/>
            <w:r w:rsidRPr="00CD6D96">
              <w:rPr>
                <w:sz w:val="20"/>
                <w:szCs w:val="20"/>
              </w:rPr>
              <w:t>juge</w:t>
            </w:r>
            <w:proofErr w:type="spellEnd"/>
            <w:r w:rsidRPr="00CD6D96">
              <w:rPr>
                <w:sz w:val="20"/>
                <w:szCs w:val="20"/>
              </w:rPr>
              <w:t xml:space="preserve"> Bourque)</w:t>
            </w:r>
          </w:p>
          <w:p w:rsidR="000F27BA" w:rsidRPr="00CD6D96" w:rsidRDefault="000F27BA" w:rsidP="004A61F1">
            <w:pPr>
              <w:jc w:val="both"/>
              <w:rPr>
                <w:sz w:val="20"/>
                <w:szCs w:val="20"/>
              </w:rPr>
            </w:pPr>
          </w:p>
        </w:tc>
        <w:tc>
          <w:tcPr>
            <w:tcW w:w="267" w:type="pct"/>
          </w:tcPr>
          <w:p w:rsidR="000F27BA" w:rsidRPr="00CD6D96" w:rsidRDefault="000F27BA" w:rsidP="004A61F1">
            <w:pPr>
              <w:jc w:val="both"/>
              <w:rPr>
                <w:sz w:val="20"/>
                <w:szCs w:val="20"/>
              </w:rPr>
            </w:pPr>
          </w:p>
        </w:tc>
        <w:tc>
          <w:tcPr>
            <w:tcW w:w="2366" w:type="pct"/>
            <w:gridSpan w:val="2"/>
          </w:tcPr>
          <w:p w:rsidR="000F27BA" w:rsidRPr="00CD6D96" w:rsidRDefault="000F27BA" w:rsidP="004A61F1">
            <w:pPr>
              <w:jc w:val="both"/>
              <w:rPr>
                <w:sz w:val="20"/>
                <w:szCs w:val="20"/>
              </w:rPr>
            </w:pPr>
            <w:proofErr w:type="spellStart"/>
            <w:r w:rsidRPr="00CD6D96">
              <w:rPr>
                <w:sz w:val="20"/>
                <w:szCs w:val="20"/>
              </w:rPr>
              <w:t>Acquittement</w:t>
            </w:r>
            <w:proofErr w:type="spellEnd"/>
          </w:p>
          <w:p w:rsidR="000F27BA" w:rsidRPr="00CD6D96" w:rsidRDefault="000F27BA" w:rsidP="004A61F1">
            <w:pPr>
              <w:jc w:val="both"/>
              <w:rPr>
                <w:sz w:val="20"/>
                <w:szCs w:val="20"/>
              </w:rPr>
            </w:pPr>
          </w:p>
        </w:tc>
      </w:tr>
      <w:tr w:rsidR="000F27BA" w:rsidRPr="00F964D5" w:rsidTr="004A61F1">
        <w:tblPrEx>
          <w:tblCellMar>
            <w:bottom w:w="0" w:type="dxa"/>
          </w:tblCellMar>
        </w:tblPrEx>
        <w:tc>
          <w:tcPr>
            <w:tcW w:w="2367" w:type="pct"/>
            <w:gridSpan w:val="2"/>
          </w:tcPr>
          <w:p w:rsidR="000F27BA" w:rsidRPr="00CD6D96" w:rsidRDefault="000F27BA" w:rsidP="004A61F1">
            <w:pPr>
              <w:jc w:val="both"/>
              <w:rPr>
                <w:sz w:val="20"/>
                <w:szCs w:val="20"/>
                <w:lang w:val="fr-CA"/>
              </w:rPr>
            </w:pPr>
            <w:r w:rsidRPr="00CD6D96">
              <w:rPr>
                <w:sz w:val="20"/>
                <w:szCs w:val="20"/>
                <w:lang w:val="fr-CA"/>
              </w:rPr>
              <w:t>Le 3 juillet 2017</w:t>
            </w:r>
          </w:p>
          <w:p w:rsidR="000F27BA" w:rsidRPr="00CD6D96" w:rsidRDefault="000F27BA" w:rsidP="004A61F1">
            <w:pPr>
              <w:jc w:val="both"/>
              <w:rPr>
                <w:sz w:val="20"/>
                <w:szCs w:val="20"/>
                <w:lang w:val="fr-CA"/>
              </w:rPr>
            </w:pPr>
            <w:r w:rsidRPr="00CD6D96">
              <w:rPr>
                <w:sz w:val="20"/>
                <w:szCs w:val="20"/>
                <w:lang w:val="fr-CA"/>
              </w:rPr>
              <w:t>Cour d’appel du Québec (Montréal)</w:t>
            </w:r>
          </w:p>
          <w:p w:rsidR="000F27BA" w:rsidRPr="00CD6D96" w:rsidRDefault="000F27BA" w:rsidP="004A61F1">
            <w:pPr>
              <w:jc w:val="both"/>
              <w:rPr>
                <w:sz w:val="20"/>
                <w:szCs w:val="20"/>
                <w:lang w:val="fr-CA"/>
              </w:rPr>
            </w:pPr>
            <w:r w:rsidRPr="00CD6D96">
              <w:rPr>
                <w:sz w:val="20"/>
                <w:szCs w:val="20"/>
                <w:lang w:val="fr-CA"/>
              </w:rPr>
              <w:t xml:space="preserve">(Les juges </w:t>
            </w:r>
            <w:proofErr w:type="spellStart"/>
            <w:r w:rsidRPr="00CD6D96">
              <w:rPr>
                <w:sz w:val="20"/>
                <w:szCs w:val="20"/>
                <w:lang w:val="fr-CA"/>
              </w:rPr>
              <w:t>Kasirer</w:t>
            </w:r>
            <w:proofErr w:type="spellEnd"/>
            <w:r w:rsidRPr="00CD6D96">
              <w:rPr>
                <w:sz w:val="20"/>
                <w:szCs w:val="20"/>
                <w:lang w:val="fr-CA"/>
              </w:rPr>
              <w:t xml:space="preserve">, </w:t>
            </w:r>
            <w:proofErr w:type="spellStart"/>
            <w:r w:rsidRPr="00CD6D96">
              <w:rPr>
                <w:sz w:val="20"/>
                <w:szCs w:val="20"/>
                <w:lang w:val="fr-CA"/>
              </w:rPr>
              <w:t>Vauclair</w:t>
            </w:r>
            <w:proofErr w:type="spellEnd"/>
            <w:r w:rsidRPr="00CD6D96">
              <w:rPr>
                <w:sz w:val="20"/>
                <w:szCs w:val="20"/>
                <w:lang w:val="fr-CA"/>
              </w:rPr>
              <w:t xml:space="preserve"> et Parent)</w:t>
            </w:r>
          </w:p>
          <w:p w:rsidR="000F27BA" w:rsidRPr="00CD6D96" w:rsidRDefault="00F964D5" w:rsidP="004A61F1">
            <w:pPr>
              <w:jc w:val="both"/>
              <w:rPr>
                <w:sz w:val="20"/>
                <w:szCs w:val="20"/>
                <w:lang w:val="fr-FR"/>
              </w:rPr>
            </w:pPr>
            <w:hyperlink r:id="rId20" w:history="1">
              <w:r w:rsidR="000F27BA" w:rsidRPr="00CD6D96">
                <w:rPr>
                  <w:rStyle w:val="Hyperlink"/>
                  <w:sz w:val="20"/>
                  <w:szCs w:val="20"/>
                  <w:lang w:val="fr-FR"/>
                </w:rPr>
                <w:t>2017 QCCA 1041</w:t>
              </w:r>
            </w:hyperlink>
          </w:p>
          <w:p w:rsidR="000F27BA" w:rsidRPr="00CD6D96" w:rsidRDefault="000F27BA" w:rsidP="004A61F1">
            <w:pPr>
              <w:jc w:val="both"/>
              <w:rPr>
                <w:sz w:val="20"/>
                <w:szCs w:val="20"/>
              </w:rPr>
            </w:pPr>
          </w:p>
        </w:tc>
        <w:tc>
          <w:tcPr>
            <w:tcW w:w="267" w:type="pct"/>
          </w:tcPr>
          <w:p w:rsidR="000F27BA" w:rsidRPr="00CD6D96" w:rsidRDefault="000F27BA" w:rsidP="004A61F1">
            <w:pPr>
              <w:jc w:val="both"/>
              <w:rPr>
                <w:sz w:val="20"/>
                <w:szCs w:val="20"/>
              </w:rPr>
            </w:pPr>
          </w:p>
        </w:tc>
        <w:tc>
          <w:tcPr>
            <w:tcW w:w="2366" w:type="pct"/>
            <w:gridSpan w:val="2"/>
          </w:tcPr>
          <w:p w:rsidR="000F27BA" w:rsidRPr="00CD6D96" w:rsidRDefault="000F27BA" w:rsidP="004A61F1">
            <w:pPr>
              <w:jc w:val="both"/>
              <w:rPr>
                <w:sz w:val="20"/>
                <w:szCs w:val="20"/>
                <w:lang w:val="fr-CA"/>
              </w:rPr>
            </w:pPr>
            <w:r w:rsidRPr="00CD6D96">
              <w:rPr>
                <w:sz w:val="20"/>
                <w:szCs w:val="20"/>
                <w:lang w:val="fr-CA"/>
              </w:rPr>
              <w:t>Appel accueilli; verdict d’acquittement annulé; nouveau procès ordonné</w:t>
            </w:r>
          </w:p>
          <w:p w:rsidR="000F27BA" w:rsidRPr="00CD6D96" w:rsidRDefault="000F27BA" w:rsidP="004A61F1">
            <w:pPr>
              <w:jc w:val="both"/>
              <w:rPr>
                <w:sz w:val="20"/>
                <w:szCs w:val="20"/>
                <w:lang w:val="fr-CA"/>
              </w:rPr>
            </w:pPr>
          </w:p>
        </w:tc>
      </w:tr>
      <w:tr w:rsidR="000F27BA" w:rsidRPr="00CD6D96" w:rsidTr="004A61F1">
        <w:tblPrEx>
          <w:tblCellMar>
            <w:bottom w:w="0" w:type="dxa"/>
          </w:tblCellMar>
        </w:tblPrEx>
        <w:tc>
          <w:tcPr>
            <w:tcW w:w="2367" w:type="pct"/>
            <w:gridSpan w:val="2"/>
          </w:tcPr>
          <w:p w:rsidR="000F27BA" w:rsidRPr="00CD6D96" w:rsidRDefault="000F27BA" w:rsidP="004A61F1">
            <w:pPr>
              <w:jc w:val="both"/>
              <w:rPr>
                <w:sz w:val="20"/>
                <w:szCs w:val="20"/>
                <w:lang w:val="fr-CA"/>
              </w:rPr>
            </w:pPr>
            <w:r w:rsidRPr="00CD6D96">
              <w:rPr>
                <w:sz w:val="20"/>
                <w:szCs w:val="20"/>
                <w:lang w:val="fr-CA"/>
              </w:rPr>
              <w:t>Le 29 septembre 2017</w:t>
            </w:r>
          </w:p>
          <w:p w:rsidR="000F27BA" w:rsidRPr="00CD6D96" w:rsidRDefault="000F27BA" w:rsidP="004A61F1">
            <w:pPr>
              <w:jc w:val="both"/>
              <w:rPr>
                <w:sz w:val="20"/>
                <w:szCs w:val="20"/>
                <w:lang w:val="fr-CA"/>
              </w:rPr>
            </w:pPr>
            <w:r w:rsidRPr="00CD6D96">
              <w:rPr>
                <w:sz w:val="20"/>
                <w:szCs w:val="20"/>
                <w:lang w:val="fr-CA"/>
              </w:rPr>
              <w:t>Cour suprême du Canada</w:t>
            </w:r>
          </w:p>
        </w:tc>
        <w:tc>
          <w:tcPr>
            <w:tcW w:w="267" w:type="pct"/>
          </w:tcPr>
          <w:p w:rsidR="000F27BA" w:rsidRPr="00CD6D96" w:rsidRDefault="000F27BA" w:rsidP="004A61F1">
            <w:pPr>
              <w:jc w:val="both"/>
              <w:rPr>
                <w:sz w:val="20"/>
                <w:szCs w:val="20"/>
                <w:lang w:val="fr-CA"/>
              </w:rPr>
            </w:pPr>
          </w:p>
        </w:tc>
        <w:tc>
          <w:tcPr>
            <w:tcW w:w="2366" w:type="pct"/>
            <w:gridSpan w:val="2"/>
          </w:tcPr>
          <w:p w:rsidR="000F27BA" w:rsidRPr="00CD6D96" w:rsidRDefault="000F27BA" w:rsidP="004A61F1">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0F27BA" w:rsidRPr="00CD6D96" w:rsidRDefault="000F27BA" w:rsidP="004A61F1">
            <w:pPr>
              <w:jc w:val="both"/>
              <w:rPr>
                <w:sz w:val="20"/>
                <w:szCs w:val="20"/>
              </w:rPr>
            </w:pPr>
          </w:p>
        </w:tc>
      </w:tr>
    </w:tbl>
    <w:p w:rsidR="000F27BA" w:rsidRPr="005F2D90" w:rsidRDefault="00F964D5" w:rsidP="000F27BA">
      <w:pPr>
        <w:rPr>
          <w:b/>
          <w:sz w:val="20"/>
          <w:szCs w:val="20"/>
          <w:lang w:val="fr-CA"/>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964D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CA774A" w:rsidP="000E2959">
      <w:pPr>
        <w:rPr>
          <w:b/>
          <w:sz w:val="20"/>
          <w:szCs w:val="20"/>
        </w:rPr>
      </w:pPr>
      <w:r w:rsidRPr="0024569C">
        <w:rPr>
          <w:b/>
          <w:sz w:val="20"/>
          <w:szCs w:val="20"/>
        </w:rPr>
        <w:t>DECEMBER 14</w:t>
      </w:r>
      <w:r w:rsidR="000E2959" w:rsidRPr="0024569C">
        <w:rPr>
          <w:b/>
          <w:sz w:val="20"/>
          <w:szCs w:val="20"/>
        </w:rPr>
        <w:t xml:space="preserve">, </w:t>
      </w:r>
      <w:r w:rsidR="0030050B" w:rsidRPr="0024569C">
        <w:rPr>
          <w:b/>
          <w:sz w:val="20"/>
          <w:szCs w:val="20"/>
        </w:rPr>
        <w:t>201</w:t>
      </w:r>
      <w:r w:rsidR="00E8544A" w:rsidRPr="0024569C">
        <w:rPr>
          <w:b/>
          <w:sz w:val="20"/>
          <w:szCs w:val="20"/>
        </w:rPr>
        <w:t>7</w:t>
      </w:r>
      <w:r w:rsidR="000E2959" w:rsidRPr="0024569C">
        <w:rPr>
          <w:b/>
          <w:sz w:val="20"/>
          <w:szCs w:val="20"/>
        </w:rPr>
        <w:t xml:space="preserve"> / LE </w:t>
      </w:r>
      <w:r w:rsidRPr="0024569C">
        <w:rPr>
          <w:b/>
          <w:sz w:val="20"/>
          <w:szCs w:val="20"/>
        </w:rPr>
        <w:t>14 DÉCEMBRE</w:t>
      </w:r>
      <w:r w:rsidR="000E2959" w:rsidRPr="0024569C">
        <w:rPr>
          <w:b/>
          <w:sz w:val="20"/>
          <w:szCs w:val="20"/>
        </w:rPr>
        <w:t xml:space="preserve"> </w:t>
      </w:r>
      <w:r w:rsidR="0030050B" w:rsidRPr="0024569C">
        <w:rPr>
          <w:b/>
          <w:sz w:val="20"/>
          <w:szCs w:val="20"/>
        </w:rPr>
        <w:t>201</w:t>
      </w:r>
      <w:r w:rsidR="00E8544A" w:rsidRPr="0024569C">
        <w:rPr>
          <w:b/>
          <w:sz w:val="20"/>
          <w:szCs w:val="20"/>
        </w:rPr>
        <w:t>7</w:t>
      </w:r>
    </w:p>
    <w:p w:rsidR="00CA774A" w:rsidRPr="00C50A5C" w:rsidRDefault="00CA774A"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37518</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Sean Patrick </w:t>
            </w:r>
            <w:proofErr w:type="gramStart"/>
            <w:r w:rsidRPr="00CD6D96">
              <w:rPr>
                <w:b/>
                <w:sz w:val="20"/>
                <w:szCs w:val="20"/>
                <w:lang w:val="en-US"/>
              </w:rPr>
              <w:t>Mills</w:t>
            </w:r>
            <w:proofErr w:type="gramEnd"/>
            <w:r w:rsidRPr="00CD6D96">
              <w:rPr>
                <w:b/>
                <w:sz w:val="20"/>
                <w:szCs w:val="20"/>
                <w:lang w:val="en-US"/>
              </w:rPr>
              <w:t xml:space="preserve"> v. Her Majesty the Queen</w:t>
            </w:r>
          </w:p>
          <w:p w:rsidR="00CA774A" w:rsidRPr="00CD6D96" w:rsidRDefault="00CA774A" w:rsidP="00CA774A">
            <w:pPr>
              <w:jc w:val="both"/>
              <w:rPr>
                <w:sz w:val="20"/>
                <w:szCs w:val="20"/>
              </w:rPr>
            </w:pPr>
            <w:r w:rsidRPr="00CD6D96">
              <w:rPr>
                <w:sz w:val="20"/>
                <w:szCs w:val="20"/>
              </w:rPr>
              <w:t>(N.L.) (Criminal) (By Leave)</w:t>
            </w:r>
          </w:p>
        </w:tc>
      </w:tr>
      <w:tr w:rsidR="00CA774A" w:rsidRPr="00CD6D96" w:rsidTr="00CA774A">
        <w:tc>
          <w:tcPr>
            <w:tcW w:w="543"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57" w:type="pct"/>
            <w:gridSpan w:val="3"/>
          </w:tcPr>
          <w:p w:rsidR="00CA774A" w:rsidRDefault="00DA639E" w:rsidP="00CA774A">
            <w:pPr>
              <w:pStyle w:val="SCCLsocParty"/>
              <w:jc w:val="both"/>
              <w:rPr>
                <w:sz w:val="20"/>
                <w:szCs w:val="20"/>
                <w:lang w:val="en-US"/>
              </w:rPr>
            </w:pPr>
            <w:proofErr w:type="spellStart"/>
            <w:r w:rsidRPr="00DA639E">
              <w:rPr>
                <w:sz w:val="20"/>
                <w:szCs w:val="20"/>
                <w:lang w:val="en-US"/>
              </w:rPr>
              <w:t>McLachlin</w:t>
            </w:r>
            <w:proofErr w:type="spellEnd"/>
            <w:r w:rsidRPr="00DA639E">
              <w:rPr>
                <w:sz w:val="20"/>
                <w:szCs w:val="20"/>
                <w:lang w:val="en-US"/>
              </w:rPr>
              <w:t xml:space="preserve"> C.J. and </w:t>
            </w:r>
            <w:proofErr w:type="spellStart"/>
            <w:r w:rsidRPr="00DA639E">
              <w:rPr>
                <w:sz w:val="20"/>
                <w:szCs w:val="20"/>
                <w:lang w:val="en-US"/>
              </w:rPr>
              <w:t>Abella</w:t>
            </w:r>
            <w:proofErr w:type="spellEnd"/>
            <w:r w:rsidRPr="00DA639E">
              <w:rPr>
                <w:sz w:val="20"/>
                <w:szCs w:val="20"/>
                <w:lang w:val="en-US"/>
              </w:rPr>
              <w:t xml:space="preserve">, </w:t>
            </w:r>
            <w:proofErr w:type="spellStart"/>
            <w:r w:rsidRPr="00DA639E">
              <w:rPr>
                <w:sz w:val="20"/>
                <w:szCs w:val="20"/>
                <w:lang w:val="en-US"/>
              </w:rPr>
              <w:t>Moldaver</w:t>
            </w:r>
            <w:proofErr w:type="spellEnd"/>
            <w:r w:rsidRPr="00DA639E">
              <w:rPr>
                <w:sz w:val="20"/>
                <w:szCs w:val="20"/>
                <w:lang w:val="en-US"/>
              </w:rPr>
              <w:t xml:space="preserve">, </w:t>
            </w:r>
            <w:proofErr w:type="spellStart"/>
            <w:r w:rsidRPr="00DA639E">
              <w:rPr>
                <w:sz w:val="20"/>
                <w:szCs w:val="20"/>
                <w:lang w:val="en-US"/>
              </w:rPr>
              <w:t>Karakatsanis</w:t>
            </w:r>
            <w:proofErr w:type="spellEnd"/>
            <w:r w:rsidRPr="00DA639E">
              <w:rPr>
                <w:sz w:val="20"/>
                <w:szCs w:val="20"/>
                <w:lang w:val="en-US"/>
              </w:rPr>
              <w:t xml:space="preserve">, Wagner, </w:t>
            </w:r>
            <w:proofErr w:type="spellStart"/>
            <w:r w:rsidRPr="00DA639E">
              <w:rPr>
                <w:sz w:val="20"/>
                <w:szCs w:val="20"/>
                <w:lang w:val="en-US"/>
              </w:rPr>
              <w:t>Gascon</w:t>
            </w:r>
            <w:proofErr w:type="spellEnd"/>
            <w:r w:rsidRPr="00DA639E">
              <w:rPr>
                <w:sz w:val="20"/>
                <w:szCs w:val="20"/>
                <w:lang w:val="en-US"/>
              </w:rPr>
              <w:t xml:space="preserve">, </w:t>
            </w:r>
            <w:proofErr w:type="spellStart"/>
            <w:r w:rsidRPr="00DA639E">
              <w:rPr>
                <w:sz w:val="20"/>
                <w:szCs w:val="20"/>
                <w:lang w:val="en-US"/>
              </w:rPr>
              <w:t>Côté</w:t>
            </w:r>
            <w:proofErr w:type="spellEnd"/>
            <w:r w:rsidRPr="00DA639E">
              <w:rPr>
                <w:sz w:val="20"/>
                <w:szCs w:val="20"/>
                <w:lang w:val="en-US"/>
              </w:rPr>
              <w:t>, Brown and Rowe JJ.</w:t>
            </w:r>
          </w:p>
          <w:p w:rsidR="00DA639E" w:rsidRPr="00DA639E" w:rsidRDefault="00DA639E" w:rsidP="00DA639E">
            <w:pPr>
              <w:rPr>
                <w:lang w:val="en-US"/>
              </w:rPr>
            </w:pPr>
          </w:p>
        </w:tc>
      </w:tr>
      <w:tr w:rsidR="00CA774A" w:rsidRPr="00CD6D96" w:rsidTr="00CA774A">
        <w:tc>
          <w:tcPr>
            <w:tcW w:w="5000" w:type="pct"/>
            <w:gridSpan w:val="4"/>
          </w:tcPr>
          <w:p w:rsidR="00CA774A" w:rsidRDefault="00DA639E" w:rsidP="00CA774A">
            <w:pPr>
              <w:pStyle w:val="SCCLsocParty"/>
              <w:jc w:val="both"/>
              <w:rPr>
                <w:sz w:val="20"/>
                <w:szCs w:val="20"/>
                <w:lang w:val="en-US"/>
              </w:rPr>
            </w:pPr>
            <w:r w:rsidRPr="00DA639E">
              <w:rPr>
                <w:sz w:val="20"/>
                <w:szCs w:val="20"/>
                <w:lang w:val="en-US"/>
              </w:rPr>
              <w:t>The application for leave to appeal from the judgment of the</w:t>
            </w:r>
            <w:bookmarkStart w:id="1" w:name="BM_1_"/>
            <w:bookmarkEnd w:id="1"/>
            <w:r w:rsidRPr="00DA639E">
              <w:rPr>
                <w:sz w:val="20"/>
                <w:szCs w:val="20"/>
                <w:lang w:val="en-US"/>
              </w:rPr>
              <w:t xml:space="preserve"> Supreme Court of Newfoundland and Labrador - Court of Appeal, Number 201501H0025, 2017 NLCA 12, dated February 10, 2017, is granted.</w:t>
            </w:r>
          </w:p>
          <w:p w:rsidR="00DA639E" w:rsidRPr="00DA639E" w:rsidRDefault="00DA639E" w:rsidP="00DA639E">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i/>
                <w:sz w:val="20"/>
                <w:szCs w:val="20"/>
              </w:rPr>
              <w:t>Charter</w:t>
            </w:r>
            <w:r w:rsidRPr="00CD6D96">
              <w:rPr>
                <w:sz w:val="20"/>
                <w:szCs w:val="20"/>
              </w:rPr>
              <w:t xml:space="preserve"> — Criminal law — Search and seizure — Standing to challenge — Whether accused had reasonable expectation of privacy in emails sent to fictitious on-line personae and surreptitiously captured using a screenshot program by recipient undercover police officers — Whether accused has standing to challenge legality of search and seizure.</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color w:val="000000" w:themeColor="text1"/>
                <w:sz w:val="20"/>
                <w:szCs w:val="20"/>
              </w:rPr>
              <w:t>Mr. Mills was charged with four counts of internet luring. Undercover police officers created two fictitious on-line identities of 14-year old females. The Crown’s evidence included emails sent to the on-line identities and f</w:t>
            </w:r>
            <w:r w:rsidRPr="00CD6D96">
              <w:rPr>
                <w:sz w:val="20"/>
                <w:szCs w:val="20"/>
              </w:rPr>
              <w:t xml:space="preserve">ragments of emails found on </w:t>
            </w:r>
            <w:r w:rsidRPr="00CD6D96">
              <w:rPr>
                <w:color w:val="000000" w:themeColor="text1"/>
                <w:sz w:val="20"/>
                <w:szCs w:val="20"/>
              </w:rPr>
              <w:t>Mr. Mills’</w:t>
            </w:r>
            <w:r w:rsidRPr="00CD6D96">
              <w:rPr>
                <w:sz w:val="20"/>
                <w:szCs w:val="20"/>
              </w:rPr>
              <w:t xml:space="preserve"> computer that match parts of the emails sent to </w:t>
            </w:r>
            <w:r w:rsidRPr="00CD6D96">
              <w:rPr>
                <w:color w:val="000000" w:themeColor="text1"/>
                <w:sz w:val="20"/>
                <w:szCs w:val="20"/>
              </w:rPr>
              <w:t>the on-line identities</w:t>
            </w:r>
            <w:r w:rsidRPr="00CD6D96">
              <w:rPr>
                <w:sz w:val="20"/>
                <w:szCs w:val="20"/>
              </w:rPr>
              <w:t xml:space="preserve">. </w:t>
            </w:r>
            <w:r w:rsidRPr="00CD6D96">
              <w:rPr>
                <w:color w:val="000000" w:themeColor="text1"/>
                <w:sz w:val="20"/>
                <w:szCs w:val="20"/>
              </w:rPr>
              <w:t xml:space="preserve">Some of the emails include sexual content and some made arrangements with one of the identities to meet at a park. Mr. Mills arrived at the park in circumstances matching the arrangements. Police officers linked some of the emails to Mr. Mill’s social media. </w:t>
            </w:r>
            <w:r w:rsidRPr="00CD6D96">
              <w:rPr>
                <w:sz w:val="20"/>
                <w:szCs w:val="20"/>
              </w:rPr>
              <w:t>The police officers used a screen shot program that captures the video display of personal computers to capture the email communications. Mr. Mills sought to exclude the screen shots and the emails from evidence.</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January 24, 2014</w:t>
            </w:r>
          </w:p>
          <w:p w:rsidR="00CA774A" w:rsidRPr="00CD6D96" w:rsidRDefault="00CA774A" w:rsidP="00CA774A">
            <w:pPr>
              <w:jc w:val="both"/>
              <w:rPr>
                <w:sz w:val="20"/>
                <w:szCs w:val="20"/>
              </w:rPr>
            </w:pPr>
            <w:r w:rsidRPr="00CD6D96">
              <w:rPr>
                <w:sz w:val="20"/>
                <w:szCs w:val="20"/>
              </w:rPr>
              <w:t>Provincial Court of Newfoundland</w:t>
            </w:r>
          </w:p>
          <w:p w:rsidR="00CA774A" w:rsidRPr="00CD6D96" w:rsidRDefault="00CA774A" w:rsidP="00CA774A">
            <w:pPr>
              <w:jc w:val="both"/>
              <w:rPr>
                <w:sz w:val="20"/>
                <w:szCs w:val="20"/>
              </w:rPr>
            </w:pPr>
            <w:r w:rsidRPr="00CD6D96">
              <w:rPr>
                <w:sz w:val="20"/>
                <w:szCs w:val="20"/>
              </w:rPr>
              <w:t>(Orr J.) (Unreported)</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to exclude evidence dismissed</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December 19, 2014</w:t>
            </w:r>
          </w:p>
          <w:p w:rsidR="00CA774A" w:rsidRPr="00CD6D96" w:rsidRDefault="00CA774A" w:rsidP="00CA774A">
            <w:pPr>
              <w:jc w:val="both"/>
              <w:rPr>
                <w:sz w:val="20"/>
                <w:szCs w:val="20"/>
              </w:rPr>
            </w:pPr>
            <w:r w:rsidRPr="00CD6D96">
              <w:rPr>
                <w:sz w:val="20"/>
                <w:szCs w:val="20"/>
              </w:rPr>
              <w:t>Provincial Court of Newfoundland</w:t>
            </w:r>
          </w:p>
          <w:p w:rsidR="00CA774A" w:rsidRPr="00CD6D96" w:rsidRDefault="00CA774A" w:rsidP="00CA774A">
            <w:pPr>
              <w:jc w:val="both"/>
              <w:rPr>
                <w:sz w:val="20"/>
                <w:szCs w:val="20"/>
              </w:rPr>
            </w:pPr>
            <w:r w:rsidRPr="00CD6D96">
              <w:rPr>
                <w:sz w:val="20"/>
                <w:szCs w:val="20"/>
              </w:rPr>
              <w:t>(Orr J.)</w:t>
            </w:r>
          </w:p>
          <w:p w:rsidR="00CA774A" w:rsidRPr="00CD6D96" w:rsidRDefault="00F964D5" w:rsidP="00CA774A">
            <w:pPr>
              <w:jc w:val="both"/>
              <w:rPr>
                <w:sz w:val="20"/>
                <w:szCs w:val="20"/>
              </w:rPr>
            </w:pPr>
            <w:hyperlink r:id="rId25" w:history="1">
              <w:r w:rsidR="00CA774A" w:rsidRPr="00CD6D96">
                <w:rPr>
                  <w:rStyle w:val="Hyperlink"/>
                  <w:sz w:val="20"/>
                  <w:szCs w:val="20"/>
                </w:rPr>
                <w:t>2014 NLPC 112</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Conviction on one count of communicating by means of a computer with person believed to be under age of sixteen years for a sexual purpose; One count stayed; Acquittals on two counts</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 xml:space="preserve">March 20, 2015 </w:t>
            </w:r>
          </w:p>
          <w:p w:rsidR="00CA774A" w:rsidRPr="00CD6D96" w:rsidRDefault="00CA774A" w:rsidP="00CA774A">
            <w:pPr>
              <w:jc w:val="both"/>
              <w:rPr>
                <w:sz w:val="20"/>
                <w:szCs w:val="20"/>
              </w:rPr>
            </w:pPr>
            <w:r w:rsidRPr="00CD6D96">
              <w:rPr>
                <w:sz w:val="20"/>
                <w:szCs w:val="20"/>
              </w:rPr>
              <w:t>Provincial Court of Newfoundland</w:t>
            </w:r>
          </w:p>
          <w:p w:rsidR="00CA774A" w:rsidRPr="00CD6D96" w:rsidRDefault="00CA774A" w:rsidP="00CA774A">
            <w:pPr>
              <w:jc w:val="both"/>
              <w:rPr>
                <w:sz w:val="20"/>
                <w:szCs w:val="20"/>
              </w:rPr>
            </w:pPr>
            <w:r w:rsidRPr="00CD6D96">
              <w:rPr>
                <w:sz w:val="20"/>
                <w:szCs w:val="20"/>
              </w:rPr>
              <w:t>(Orr J.)</w:t>
            </w:r>
          </w:p>
          <w:p w:rsidR="00CA774A" w:rsidRPr="00CD6D96" w:rsidRDefault="00F964D5" w:rsidP="00CA774A">
            <w:pPr>
              <w:jc w:val="both"/>
              <w:rPr>
                <w:sz w:val="20"/>
                <w:szCs w:val="20"/>
              </w:rPr>
            </w:pPr>
            <w:hyperlink r:id="rId26" w:history="1">
              <w:r w:rsidR="00CA774A" w:rsidRPr="00CD6D96">
                <w:rPr>
                  <w:rStyle w:val="Hyperlink"/>
                  <w:sz w:val="20"/>
                  <w:szCs w:val="20"/>
                </w:rPr>
                <w:t>2015 NLPC 0112A01710</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Sentence to 12 months imprisonment and one year probation</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February 10, 2017</w:t>
            </w:r>
          </w:p>
          <w:p w:rsidR="00CA774A" w:rsidRPr="00CD6D96" w:rsidRDefault="00CA774A" w:rsidP="00CA774A">
            <w:pPr>
              <w:jc w:val="both"/>
              <w:rPr>
                <w:sz w:val="20"/>
                <w:szCs w:val="20"/>
              </w:rPr>
            </w:pPr>
            <w:r w:rsidRPr="00CD6D96">
              <w:rPr>
                <w:sz w:val="20"/>
                <w:szCs w:val="20"/>
              </w:rPr>
              <w:t>Supreme Court of Newfoundland and Labrador - Court of Appeal</w:t>
            </w:r>
          </w:p>
          <w:p w:rsidR="00CA774A" w:rsidRPr="00CD6D96" w:rsidRDefault="00CA774A" w:rsidP="00CA774A">
            <w:pPr>
              <w:jc w:val="both"/>
              <w:rPr>
                <w:sz w:val="20"/>
                <w:szCs w:val="20"/>
              </w:rPr>
            </w:pPr>
            <w:r w:rsidRPr="00CD6D96">
              <w:rPr>
                <w:sz w:val="20"/>
                <w:szCs w:val="20"/>
              </w:rPr>
              <w:t xml:space="preserve">(Welsh, Harrington, </w:t>
            </w:r>
            <w:proofErr w:type="spellStart"/>
            <w:r w:rsidRPr="00CD6D96">
              <w:rPr>
                <w:sz w:val="20"/>
                <w:szCs w:val="20"/>
              </w:rPr>
              <w:t>Hoegg</w:t>
            </w:r>
            <w:proofErr w:type="spellEnd"/>
            <w:r w:rsidRPr="00CD6D96">
              <w:rPr>
                <w:sz w:val="20"/>
                <w:szCs w:val="20"/>
              </w:rPr>
              <w:t xml:space="preserve"> JJ.A.)</w:t>
            </w:r>
          </w:p>
          <w:p w:rsidR="00CA774A" w:rsidRPr="00CD6D96" w:rsidRDefault="00CA774A" w:rsidP="00CA774A">
            <w:pPr>
              <w:jc w:val="both"/>
              <w:rPr>
                <w:sz w:val="20"/>
                <w:szCs w:val="20"/>
              </w:rPr>
            </w:pPr>
            <w:r w:rsidRPr="00CD6D96">
              <w:rPr>
                <w:sz w:val="20"/>
                <w:szCs w:val="20"/>
              </w:rPr>
              <w:t>201501H0025, 201501H0033</w:t>
            </w:r>
          </w:p>
          <w:p w:rsidR="00CA774A" w:rsidRPr="00CD6D96" w:rsidRDefault="00F964D5" w:rsidP="00CA774A">
            <w:pPr>
              <w:jc w:val="both"/>
              <w:rPr>
                <w:sz w:val="20"/>
                <w:szCs w:val="20"/>
              </w:rPr>
            </w:pPr>
            <w:hyperlink r:id="rId27" w:history="1">
              <w:r w:rsidR="00CA774A" w:rsidRPr="00CD6D96">
                <w:rPr>
                  <w:rStyle w:val="Hyperlink"/>
                  <w:sz w:val="20"/>
                  <w:szCs w:val="20"/>
                </w:rPr>
                <w:t>2017 NLCA 12</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 from sentence granted; Sentence to 14 months; Stay of service of two months; Cross-appeal against conviction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April 10,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0" style="width:2in;height:1pt" o:hrpct="0" o:hralign="center" o:hrstd="t" o:hrnoshade="t" o:hr="t" fillcolor="black [3213]" stroked="f"/>
        </w:pict>
      </w:r>
    </w:p>
    <w:p w:rsidR="00CA774A" w:rsidRPr="00CD6D96" w:rsidRDefault="00CA774A" w:rsidP="00CA774A">
      <w:pPr>
        <w:jc w:val="both"/>
        <w:rPr>
          <w:sz w:val="20"/>
          <w:szCs w:val="20"/>
        </w:rPr>
      </w:pPr>
    </w:p>
    <w:p w:rsidR="00DA639E" w:rsidRDefault="00DA639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lastRenderedPageBreak/>
              <w:t>37518</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Sean Patrick Mills c. Sa Majesté la Reine</w:t>
            </w:r>
          </w:p>
          <w:p w:rsidR="00CA774A" w:rsidRPr="00CD6D96" w:rsidRDefault="00CA774A" w:rsidP="00CA774A">
            <w:pPr>
              <w:jc w:val="both"/>
              <w:rPr>
                <w:sz w:val="20"/>
                <w:szCs w:val="20"/>
                <w:lang w:val="fr-CA"/>
              </w:rPr>
            </w:pPr>
            <w:r w:rsidRPr="00CD6D96">
              <w:rPr>
                <w:sz w:val="20"/>
                <w:szCs w:val="20"/>
                <w:lang w:val="fr-CA"/>
              </w:rPr>
              <w:t>(T.-N.-L.) (Criminelle) (Sur autorisation)</w:t>
            </w:r>
          </w:p>
        </w:tc>
      </w:tr>
      <w:tr w:rsidR="00CA774A" w:rsidRPr="00F964D5" w:rsidTr="00CA774A">
        <w:tc>
          <w:tcPr>
            <w:tcW w:w="543"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CA774A" w:rsidRDefault="00DA639E" w:rsidP="00CA774A">
            <w:pPr>
              <w:pStyle w:val="SCCLsocParty"/>
              <w:jc w:val="both"/>
              <w:rPr>
                <w:sz w:val="20"/>
                <w:szCs w:val="20"/>
                <w:lang w:val="fr-FR"/>
              </w:rPr>
            </w:pPr>
            <w:r w:rsidRPr="00D84034">
              <w:rPr>
                <w:sz w:val="20"/>
                <w:szCs w:val="20"/>
                <w:lang w:val="fr-FR"/>
              </w:rPr>
              <w:t xml:space="preserve">La juge en chef </w:t>
            </w:r>
            <w:proofErr w:type="spellStart"/>
            <w:r w:rsidRPr="00D84034">
              <w:rPr>
                <w:sz w:val="20"/>
                <w:szCs w:val="20"/>
                <w:lang w:val="fr-FR"/>
              </w:rPr>
              <w:t>McLachlin</w:t>
            </w:r>
            <w:proofErr w:type="spellEnd"/>
            <w:r w:rsidRPr="00D84034">
              <w:rPr>
                <w:sz w:val="20"/>
                <w:szCs w:val="20"/>
                <w:lang w:val="fr-FR"/>
              </w:rPr>
              <w:t xml:space="preserve"> et les juges Abella, </w:t>
            </w:r>
            <w:proofErr w:type="spellStart"/>
            <w:r w:rsidRPr="00D84034">
              <w:rPr>
                <w:sz w:val="20"/>
                <w:szCs w:val="20"/>
                <w:lang w:val="fr-FR"/>
              </w:rPr>
              <w:t>Moldaver</w:t>
            </w:r>
            <w:proofErr w:type="spellEnd"/>
            <w:r w:rsidRPr="00D84034">
              <w:rPr>
                <w:sz w:val="20"/>
                <w:szCs w:val="20"/>
                <w:lang w:val="fr-FR"/>
              </w:rPr>
              <w:t xml:space="preserve">, </w:t>
            </w:r>
            <w:proofErr w:type="spellStart"/>
            <w:r w:rsidRPr="00D84034">
              <w:rPr>
                <w:sz w:val="20"/>
                <w:szCs w:val="20"/>
                <w:lang w:val="fr-FR"/>
              </w:rPr>
              <w:t>Karakatsanis</w:t>
            </w:r>
            <w:proofErr w:type="spellEnd"/>
            <w:r w:rsidRPr="00D84034">
              <w:rPr>
                <w:sz w:val="20"/>
                <w:szCs w:val="20"/>
                <w:lang w:val="fr-FR"/>
              </w:rPr>
              <w:t>, Wagner, Gascon, Côté, Brown et Rowe</w:t>
            </w:r>
          </w:p>
          <w:p w:rsidR="00DA639E" w:rsidRPr="00DA639E" w:rsidRDefault="00DA639E" w:rsidP="00DA639E">
            <w:pPr>
              <w:rPr>
                <w:lang w:val="fr-FR"/>
              </w:rPr>
            </w:pPr>
          </w:p>
        </w:tc>
      </w:tr>
      <w:tr w:rsidR="00CA774A" w:rsidRPr="00F964D5" w:rsidTr="00CA774A">
        <w:tc>
          <w:tcPr>
            <w:tcW w:w="5000" w:type="pct"/>
            <w:gridSpan w:val="4"/>
          </w:tcPr>
          <w:p w:rsidR="00CA774A" w:rsidRDefault="00DA639E" w:rsidP="00CA774A">
            <w:pPr>
              <w:pStyle w:val="SCCLsocParty"/>
              <w:jc w:val="both"/>
              <w:rPr>
                <w:sz w:val="20"/>
                <w:szCs w:val="20"/>
              </w:rPr>
            </w:pPr>
            <w:r w:rsidRPr="00D84034">
              <w:rPr>
                <w:sz w:val="20"/>
                <w:szCs w:val="20"/>
              </w:rPr>
              <w:t xml:space="preserve">La demande d’autorisation d’appel de l’arrêt de la </w:t>
            </w:r>
            <w:r w:rsidRPr="00D84034">
              <w:rPr>
                <w:sz w:val="20"/>
                <w:szCs w:val="20"/>
                <w:lang w:val="fr-FR"/>
              </w:rPr>
              <w:t>Cour suprême de Terre-Neuve-et-Labrador - Cour d’appel</w:t>
            </w:r>
            <w:r w:rsidRPr="00D84034">
              <w:rPr>
                <w:sz w:val="20"/>
                <w:szCs w:val="20"/>
              </w:rPr>
              <w:t xml:space="preserve">, numéro </w:t>
            </w:r>
            <w:r w:rsidRPr="00D84034">
              <w:rPr>
                <w:sz w:val="20"/>
                <w:szCs w:val="20"/>
                <w:lang w:val="fr-FR"/>
              </w:rPr>
              <w:t>201501H0025, 2017 NLCA 12</w:t>
            </w:r>
            <w:r w:rsidRPr="00D84034">
              <w:rPr>
                <w:sz w:val="20"/>
                <w:szCs w:val="20"/>
              </w:rPr>
              <w:t xml:space="preserve">, daté du </w:t>
            </w:r>
            <w:r w:rsidRPr="00D84034">
              <w:rPr>
                <w:sz w:val="20"/>
                <w:szCs w:val="20"/>
                <w:lang w:val="fr-FR"/>
              </w:rPr>
              <w:t>10 février 2017</w:t>
            </w:r>
            <w:r w:rsidRPr="00D84034">
              <w:rPr>
                <w:sz w:val="20"/>
                <w:szCs w:val="20"/>
              </w:rPr>
              <w:t>, est accueillie.</w:t>
            </w:r>
          </w:p>
          <w:p w:rsidR="00DA639E" w:rsidRPr="00DA639E" w:rsidRDefault="00DA639E" w:rsidP="00DA639E">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i/>
                <w:sz w:val="20"/>
                <w:szCs w:val="20"/>
                <w:lang w:val="fr-CA"/>
              </w:rPr>
              <w:t>Charte</w:t>
            </w:r>
            <w:r w:rsidRPr="00CD6D96">
              <w:rPr>
                <w:sz w:val="20"/>
                <w:szCs w:val="20"/>
                <w:lang w:val="fr-CA"/>
              </w:rPr>
              <w:t xml:space="preserve"> — Droit criminel — Fouilles, perquisitions et saisies — Qualité pour contester — L’accusé avait-il une attente raisonnable en matière de protection de la vie privée à l’égard des courriels qu’il envoyait à des personnes fictives en ligne et qui ont été capturés à son insu à l’aide d’un programme d’instantané d’écran par des policiers banalisés? — L’accusé </w:t>
            </w:r>
            <w:proofErr w:type="spellStart"/>
            <w:r w:rsidRPr="00CD6D96">
              <w:rPr>
                <w:sz w:val="20"/>
                <w:szCs w:val="20"/>
                <w:lang w:val="fr-CA"/>
              </w:rPr>
              <w:t>a-t-il</w:t>
            </w:r>
            <w:proofErr w:type="spellEnd"/>
            <w:r w:rsidRPr="00CD6D96">
              <w:rPr>
                <w:sz w:val="20"/>
                <w:szCs w:val="20"/>
                <w:lang w:val="fr-CA"/>
              </w:rPr>
              <w:t xml:space="preserve"> qualité pour contester la légalité de la fouille, de la perquisition et de la saisie?</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color w:val="000000" w:themeColor="text1"/>
                <w:sz w:val="20"/>
                <w:szCs w:val="20"/>
                <w:lang w:val="fr-CA"/>
              </w:rPr>
              <w:t>Monsieur Mills a été accusé de quatre chefs de leurre par Internet. Des policiers banalisés avaient créé deux identités fictives en ligne d’adolescentes de 14 ans. La preuve du ministère public comprenait des courriels envoyés aux identités en ligne et des fragments de courriel trouvés dans l’ordinateur de M. Mills qui correspondaient à des parties de courriels envoyés aux identités en ligne. Certains des courriels renfermaient du contenu à caractère sexuel et certains prenaient des dispositions avec une des identités, lui donnant rendez-vous dans un parc. Monsieur Mills est arrivé au parc dans des circonstances qui correspondaient aux dispositions prises. Les policiers ont lié certains des courriels aux comptes de médias sociaux de M. Mills. Les policiers ont utilisé un programme d’instantané d’écran qui saisit l’affichage vidéo d’ordinateurs personnels pour saisir des communications courriel. Monsieur Mills a tenté de faire exclure de la preuve les  instantanés d’écran et les courriels</w:t>
            </w:r>
            <w:r w:rsidRPr="00CD6D96">
              <w:rPr>
                <w:sz w:val="20"/>
                <w:szCs w:val="20"/>
                <w:lang w:val="fr-CA"/>
              </w:rPr>
              <w:t>.</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24 janvier 2014</w:t>
            </w:r>
          </w:p>
          <w:p w:rsidR="00CA774A" w:rsidRPr="00CD6D96" w:rsidRDefault="00CA774A" w:rsidP="00CA774A">
            <w:pPr>
              <w:jc w:val="both"/>
              <w:rPr>
                <w:sz w:val="20"/>
                <w:szCs w:val="20"/>
                <w:lang w:val="fr-CA"/>
              </w:rPr>
            </w:pPr>
            <w:r w:rsidRPr="00CD6D96">
              <w:rPr>
                <w:sz w:val="20"/>
                <w:szCs w:val="20"/>
                <w:lang w:val="fr-CA"/>
              </w:rPr>
              <w:t xml:space="preserve">Cour provinciale de Terre-Neuve-et-Labrador </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Orr</w:t>
            </w:r>
            <w:proofErr w:type="spellEnd"/>
            <w:r w:rsidRPr="00CD6D96">
              <w:rPr>
                <w:sz w:val="20"/>
                <w:szCs w:val="20"/>
                <w:lang w:val="fr-CA"/>
              </w:rPr>
              <w:t>) (Non publié)</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 demande d’exclusion de la preuve</w:t>
            </w: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19 décembre 2014</w:t>
            </w:r>
          </w:p>
          <w:p w:rsidR="00CA774A" w:rsidRPr="00CD6D96" w:rsidRDefault="00CA774A" w:rsidP="00CA774A">
            <w:pPr>
              <w:jc w:val="both"/>
              <w:rPr>
                <w:sz w:val="20"/>
                <w:szCs w:val="20"/>
                <w:lang w:val="fr-CA"/>
              </w:rPr>
            </w:pPr>
            <w:r w:rsidRPr="00CD6D96">
              <w:rPr>
                <w:sz w:val="20"/>
                <w:szCs w:val="20"/>
                <w:lang w:val="fr-CA"/>
              </w:rPr>
              <w:t xml:space="preserve">Cour provinciale de Terre-Neuve-et-Labrador </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Orr</w:t>
            </w:r>
            <w:proofErr w:type="spellEnd"/>
            <w:r w:rsidRPr="00CD6D96">
              <w:rPr>
                <w:sz w:val="20"/>
                <w:szCs w:val="20"/>
                <w:lang w:val="fr-CA"/>
              </w:rPr>
              <w:t>)</w:t>
            </w:r>
          </w:p>
          <w:p w:rsidR="00CA774A" w:rsidRPr="00CD6D96" w:rsidRDefault="00F964D5" w:rsidP="00CA774A">
            <w:pPr>
              <w:jc w:val="both"/>
              <w:rPr>
                <w:sz w:val="20"/>
                <w:szCs w:val="20"/>
                <w:lang w:val="fr-CA"/>
              </w:rPr>
            </w:pPr>
            <w:hyperlink r:id="rId28" w:history="1">
              <w:r w:rsidR="00CA774A" w:rsidRPr="00CD6D96">
                <w:rPr>
                  <w:rStyle w:val="Hyperlink"/>
                  <w:sz w:val="20"/>
                  <w:szCs w:val="20"/>
                  <w:lang w:val="fr-CA"/>
                </w:rPr>
                <w:t>2014 NLPC 112</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Déclaration de culpabilité d’un chef de communication au moyen d’un ordinateur avec une personne que l’accusé croyait être âgée de moins de seize ans à des fins d’ordre sexuel, suspension d’un des chefs; acquittements relativement à deux chefs </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 xml:space="preserve">20 mars 2015 </w:t>
            </w:r>
          </w:p>
          <w:p w:rsidR="00CA774A" w:rsidRPr="00CD6D96" w:rsidRDefault="00CA774A" w:rsidP="00CA774A">
            <w:pPr>
              <w:jc w:val="both"/>
              <w:rPr>
                <w:sz w:val="20"/>
                <w:szCs w:val="20"/>
                <w:lang w:val="fr-CA"/>
              </w:rPr>
            </w:pPr>
            <w:r w:rsidRPr="00CD6D96">
              <w:rPr>
                <w:sz w:val="20"/>
                <w:szCs w:val="20"/>
                <w:lang w:val="fr-CA"/>
              </w:rPr>
              <w:t xml:space="preserve">Cour provinciale de Terre-Neuve-et-Labrador </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Orr</w:t>
            </w:r>
            <w:proofErr w:type="spellEnd"/>
            <w:r w:rsidRPr="00CD6D96">
              <w:rPr>
                <w:sz w:val="20"/>
                <w:szCs w:val="20"/>
                <w:lang w:val="fr-CA"/>
              </w:rPr>
              <w:t>)</w:t>
            </w:r>
          </w:p>
          <w:p w:rsidR="00CA774A" w:rsidRPr="00CD6D96" w:rsidRDefault="00F964D5" w:rsidP="00CA774A">
            <w:pPr>
              <w:jc w:val="both"/>
              <w:rPr>
                <w:sz w:val="20"/>
                <w:szCs w:val="20"/>
                <w:lang w:val="fr-CA"/>
              </w:rPr>
            </w:pPr>
            <w:hyperlink r:id="rId29" w:history="1">
              <w:r w:rsidR="00CA774A" w:rsidRPr="00CD6D96">
                <w:rPr>
                  <w:rStyle w:val="Hyperlink"/>
                  <w:sz w:val="20"/>
                  <w:szCs w:val="20"/>
                  <w:lang w:val="fr-CA"/>
                </w:rPr>
                <w:t>2015 NLPC 0112A01710</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Peine d’emprisonnement de 12 mois et une année de probation</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10 février 2017</w:t>
            </w:r>
          </w:p>
          <w:p w:rsidR="00CA774A" w:rsidRPr="00CD6D96" w:rsidRDefault="00CA774A" w:rsidP="00CA774A">
            <w:pPr>
              <w:jc w:val="both"/>
              <w:rPr>
                <w:sz w:val="20"/>
                <w:szCs w:val="20"/>
                <w:lang w:val="fr-CA"/>
              </w:rPr>
            </w:pPr>
            <w:r w:rsidRPr="00CD6D96">
              <w:rPr>
                <w:sz w:val="20"/>
                <w:szCs w:val="20"/>
                <w:lang w:val="fr-CA"/>
              </w:rPr>
              <w:t>Cour suprême de Terre-Neuve-et-Labrador-Cour d’appel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Juges</w:t>
            </w:r>
            <w:proofErr w:type="spellEnd"/>
            <w:r w:rsidRPr="00CD6D96">
              <w:rPr>
                <w:sz w:val="20"/>
                <w:szCs w:val="20"/>
              </w:rPr>
              <w:t xml:space="preserve"> Welsh, Harrington et </w:t>
            </w:r>
            <w:proofErr w:type="spellStart"/>
            <w:r w:rsidRPr="00CD6D96">
              <w:rPr>
                <w:sz w:val="20"/>
                <w:szCs w:val="20"/>
              </w:rPr>
              <w:t>Hoegg</w:t>
            </w:r>
            <w:proofErr w:type="spellEnd"/>
            <w:r w:rsidRPr="00CD6D96">
              <w:rPr>
                <w:sz w:val="20"/>
                <w:szCs w:val="20"/>
              </w:rPr>
              <w:t>)</w:t>
            </w:r>
          </w:p>
          <w:p w:rsidR="00CA774A" w:rsidRPr="00CD6D96" w:rsidRDefault="00CA774A" w:rsidP="00CA774A">
            <w:pPr>
              <w:jc w:val="both"/>
              <w:rPr>
                <w:sz w:val="20"/>
                <w:szCs w:val="20"/>
                <w:lang w:val="fr-CA"/>
              </w:rPr>
            </w:pPr>
            <w:r w:rsidRPr="00CD6D96">
              <w:rPr>
                <w:sz w:val="20"/>
                <w:szCs w:val="20"/>
                <w:lang w:val="fr-CA"/>
              </w:rPr>
              <w:t>201501H0025, 201501H0033</w:t>
            </w:r>
          </w:p>
          <w:p w:rsidR="00CA774A" w:rsidRPr="00CD6D96" w:rsidRDefault="00F964D5" w:rsidP="00CA774A">
            <w:pPr>
              <w:jc w:val="both"/>
              <w:rPr>
                <w:sz w:val="20"/>
                <w:szCs w:val="20"/>
                <w:lang w:val="fr-CA"/>
              </w:rPr>
            </w:pPr>
            <w:hyperlink r:id="rId30" w:history="1">
              <w:r w:rsidR="00CA774A" w:rsidRPr="00CD6D96">
                <w:rPr>
                  <w:rStyle w:val="Hyperlink"/>
                  <w:sz w:val="20"/>
                  <w:szCs w:val="20"/>
                  <w:lang w:val="fr-CA"/>
                </w:rPr>
                <w:t>2017 NLCA 12</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Arrêt accueillant l’appel de la peine, infligeant une peine de 14 mois, suspension de l’obligation de purger deux mois de la peine et rejet de l’appel incident de la déclaration de culpabilité </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10 avril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41"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A774A" w:rsidRPr="00CD6D96" w:rsidTr="00CA774A">
        <w:trPr>
          <w:gridAfter w:val="1"/>
          <w:wAfter w:w="48" w:type="pct"/>
        </w:trPr>
        <w:tc>
          <w:tcPr>
            <w:tcW w:w="538" w:type="pct"/>
          </w:tcPr>
          <w:p w:rsidR="00CA774A" w:rsidRPr="00CD6D96" w:rsidRDefault="00CA774A" w:rsidP="00CA774A">
            <w:pPr>
              <w:jc w:val="both"/>
              <w:rPr>
                <w:sz w:val="20"/>
                <w:szCs w:val="20"/>
              </w:rPr>
            </w:pPr>
            <w:r w:rsidRPr="00CD6D96">
              <w:rPr>
                <w:rStyle w:val="SCCFileNumberChar"/>
                <w:sz w:val="20"/>
                <w:szCs w:val="20"/>
              </w:rPr>
              <w:lastRenderedPageBreak/>
              <w:t>37637</w:t>
            </w:r>
          </w:p>
        </w:tc>
        <w:tc>
          <w:tcPr>
            <w:tcW w:w="4414" w:type="pct"/>
            <w:gridSpan w:val="3"/>
          </w:tcPr>
          <w:p w:rsidR="00CA774A" w:rsidRPr="00CD6D96" w:rsidRDefault="00DA639E" w:rsidP="00CA774A">
            <w:pPr>
              <w:pStyle w:val="SCCLsocParty"/>
              <w:jc w:val="both"/>
              <w:rPr>
                <w:b/>
                <w:sz w:val="20"/>
                <w:szCs w:val="20"/>
              </w:rPr>
            </w:pPr>
            <w:r>
              <w:rPr>
                <w:b/>
                <w:sz w:val="20"/>
                <w:szCs w:val="20"/>
              </w:rPr>
              <w:t>Michel Morin and</w:t>
            </w:r>
            <w:r w:rsidR="00CA774A" w:rsidRPr="00CD6D96">
              <w:rPr>
                <w:b/>
                <w:sz w:val="20"/>
                <w:szCs w:val="20"/>
              </w:rPr>
              <w:t xml:space="preserve"> Michel </w:t>
            </w:r>
            <w:proofErr w:type="spellStart"/>
            <w:r w:rsidR="00CA774A" w:rsidRPr="00CD6D96">
              <w:rPr>
                <w:b/>
                <w:sz w:val="20"/>
                <w:szCs w:val="20"/>
              </w:rPr>
              <w:t>Montambeault</w:t>
            </w:r>
            <w:proofErr w:type="spellEnd"/>
            <w:r w:rsidR="00CA774A" w:rsidRPr="00CD6D96">
              <w:rPr>
                <w:b/>
                <w:sz w:val="20"/>
                <w:szCs w:val="20"/>
              </w:rPr>
              <w:t xml:space="preserve"> v. Commission scolaire du Chemin-du-Roy</w:t>
            </w:r>
            <w:r>
              <w:rPr>
                <w:b/>
                <w:sz w:val="20"/>
                <w:szCs w:val="20"/>
              </w:rPr>
              <w:t xml:space="preserve"> and</w:t>
            </w:r>
            <w:r w:rsidR="00CA774A" w:rsidRPr="00CD6D96">
              <w:rPr>
                <w:b/>
                <w:sz w:val="20"/>
                <w:szCs w:val="20"/>
              </w:rPr>
              <w:t xml:space="preserve"> Complexe multidisciplinaire Les Estacades</w:t>
            </w:r>
          </w:p>
          <w:p w:rsidR="00CA774A" w:rsidRPr="00CD6D96" w:rsidRDefault="00CA774A" w:rsidP="00CA774A">
            <w:pPr>
              <w:jc w:val="both"/>
              <w:rPr>
                <w:sz w:val="20"/>
                <w:szCs w:val="20"/>
              </w:rPr>
            </w:pPr>
            <w:r w:rsidRPr="00CD6D96">
              <w:rPr>
                <w:sz w:val="20"/>
                <w:szCs w:val="20"/>
              </w:rPr>
              <w:t>(Que.) (Civil) (By Leave)</w:t>
            </w:r>
          </w:p>
        </w:tc>
      </w:tr>
      <w:tr w:rsidR="00CA774A" w:rsidRPr="00CD6D96" w:rsidTr="00CA774A">
        <w:trPr>
          <w:gridAfter w:val="1"/>
          <w:wAfter w:w="48" w:type="pct"/>
        </w:trPr>
        <w:tc>
          <w:tcPr>
            <w:tcW w:w="538"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4" w:type="pct"/>
            <w:gridSpan w:val="3"/>
          </w:tcPr>
          <w:p w:rsidR="00CA774A" w:rsidRDefault="00DA639E" w:rsidP="00CA774A">
            <w:pPr>
              <w:pStyle w:val="SCCLsocParty"/>
              <w:jc w:val="both"/>
              <w:rPr>
                <w:sz w:val="20"/>
                <w:szCs w:val="20"/>
                <w:lang w:val="en-CA"/>
              </w:rPr>
            </w:pPr>
            <w:proofErr w:type="spellStart"/>
            <w:r w:rsidRPr="00A4371B">
              <w:rPr>
                <w:sz w:val="20"/>
                <w:szCs w:val="20"/>
                <w:lang w:val="en-CA"/>
              </w:rPr>
              <w:t>McLachlin</w:t>
            </w:r>
            <w:proofErr w:type="spellEnd"/>
            <w:r w:rsidRPr="00A4371B">
              <w:rPr>
                <w:sz w:val="20"/>
                <w:szCs w:val="20"/>
                <w:lang w:val="en-CA"/>
              </w:rPr>
              <w:t xml:space="preserve"> C.J. and </w:t>
            </w:r>
            <w:proofErr w:type="spellStart"/>
            <w:r w:rsidRPr="00A4371B">
              <w:rPr>
                <w:sz w:val="20"/>
                <w:szCs w:val="20"/>
                <w:lang w:val="en-CA"/>
              </w:rPr>
              <w:t>Abella</w:t>
            </w:r>
            <w:proofErr w:type="spellEnd"/>
            <w:r w:rsidRPr="00A4371B">
              <w:rPr>
                <w:sz w:val="20"/>
                <w:szCs w:val="20"/>
                <w:lang w:val="en-CA"/>
              </w:rPr>
              <w:t xml:space="preserve">, </w:t>
            </w:r>
            <w:proofErr w:type="spellStart"/>
            <w:r w:rsidRPr="00A4371B">
              <w:rPr>
                <w:sz w:val="20"/>
                <w:szCs w:val="20"/>
                <w:lang w:val="en-CA"/>
              </w:rPr>
              <w:t>Moldaver</w:t>
            </w:r>
            <w:proofErr w:type="spellEnd"/>
            <w:r w:rsidRPr="00A4371B">
              <w:rPr>
                <w:sz w:val="20"/>
                <w:szCs w:val="20"/>
                <w:lang w:val="en-CA"/>
              </w:rPr>
              <w:t xml:space="preserve">, </w:t>
            </w:r>
            <w:proofErr w:type="spellStart"/>
            <w:r w:rsidRPr="00A4371B">
              <w:rPr>
                <w:sz w:val="20"/>
                <w:szCs w:val="20"/>
                <w:lang w:val="en-CA"/>
              </w:rPr>
              <w:t>Karakatsanis</w:t>
            </w:r>
            <w:proofErr w:type="spellEnd"/>
            <w:r w:rsidRPr="00A4371B">
              <w:rPr>
                <w:sz w:val="20"/>
                <w:szCs w:val="20"/>
                <w:lang w:val="en-CA"/>
              </w:rPr>
              <w:t xml:space="preserve">, Wagner, </w:t>
            </w:r>
            <w:proofErr w:type="spellStart"/>
            <w:r w:rsidRPr="00A4371B">
              <w:rPr>
                <w:sz w:val="20"/>
                <w:szCs w:val="20"/>
                <w:lang w:val="en-CA"/>
              </w:rPr>
              <w:t>Gascon</w:t>
            </w:r>
            <w:proofErr w:type="spellEnd"/>
            <w:r w:rsidRPr="00A4371B">
              <w:rPr>
                <w:sz w:val="20"/>
                <w:szCs w:val="20"/>
                <w:lang w:val="en-CA"/>
              </w:rPr>
              <w:t xml:space="preserve">, </w:t>
            </w:r>
            <w:proofErr w:type="spellStart"/>
            <w:r w:rsidRPr="00A4371B">
              <w:rPr>
                <w:sz w:val="20"/>
                <w:szCs w:val="20"/>
                <w:lang w:val="en-CA"/>
              </w:rPr>
              <w:t>Côté</w:t>
            </w:r>
            <w:proofErr w:type="spellEnd"/>
            <w:r w:rsidRPr="00A4371B">
              <w:rPr>
                <w:sz w:val="20"/>
                <w:szCs w:val="20"/>
                <w:lang w:val="en-CA"/>
              </w:rPr>
              <w:t>, Brown and Rowe JJ.</w:t>
            </w:r>
          </w:p>
          <w:p w:rsidR="00DA639E" w:rsidRPr="00DA639E" w:rsidRDefault="00DA639E" w:rsidP="00DA639E">
            <w:pPr>
              <w:rPr>
                <w:lang w:val="en-US"/>
              </w:rPr>
            </w:pPr>
          </w:p>
        </w:tc>
      </w:tr>
      <w:tr w:rsidR="00CA774A" w:rsidRPr="00CD6D96" w:rsidTr="00CA774A">
        <w:trPr>
          <w:gridAfter w:val="1"/>
          <w:wAfter w:w="48" w:type="pct"/>
        </w:trPr>
        <w:tc>
          <w:tcPr>
            <w:tcW w:w="4952" w:type="pct"/>
            <w:gridSpan w:val="4"/>
          </w:tcPr>
          <w:p w:rsidR="00CA774A" w:rsidRDefault="00DA639E" w:rsidP="00CA774A">
            <w:pPr>
              <w:pStyle w:val="SCCLsocParty"/>
              <w:jc w:val="both"/>
              <w:rPr>
                <w:sz w:val="20"/>
                <w:szCs w:val="20"/>
                <w:lang w:val="en-CA"/>
              </w:rPr>
            </w:pPr>
            <w:r w:rsidRPr="00A4371B">
              <w:rPr>
                <w:sz w:val="20"/>
                <w:szCs w:val="20"/>
                <w:lang w:val="en-CA"/>
              </w:rPr>
              <w:t>The motion for an extension of time to serve the application for leave to appeal is granted. The application for leave to appeal from the judgment of the Court of Appeal of Quebec (Québec), Number 200-09-009424-166, 2017 QCCA 674, dated April 28, 2017, is dismissed with costs.</w:t>
            </w:r>
          </w:p>
          <w:p w:rsidR="00DA639E" w:rsidRPr="00DA639E" w:rsidRDefault="00DA639E" w:rsidP="00DA639E">
            <w:pPr>
              <w:rPr>
                <w:lang w:val="en-US"/>
              </w:rPr>
            </w:pP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Civil procedure — Removal of counsel</w:t>
            </w:r>
            <w:r w:rsidRPr="00CD6D96">
              <w:rPr>
                <w:color w:val="000000"/>
                <w:sz w:val="20"/>
                <w:szCs w:val="20"/>
              </w:rPr>
              <w:t xml:space="preserve"> </w:t>
            </w:r>
            <w:r w:rsidRPr="00CD6D96">
              <w:rPr>
                <w:sz w:val="20"/>
                <w:szCs w:val="20"/>
              </w:rPr>
              <w:t>— Whether applications for disqualification are limited to conflicts that emerge in course of lawyer</w:t>
            </w:r>
            <w:r w:rsidRPr="00CD6D96">
              <w:rPr>
                <w:sz w:val="20"/>
                <w:szCs w:val="20"/>
              </w:rPr>
              <w:noBreakHyphen/>
              <w:t>client relationship</w:t>
            </w:r>
            <w:r w:rsidRPr="00CD6D96">
              <w:rPr>
                <w:color w:val="000000"/>
                <w:sz w:val="20"/>
                <w:szCs w:val="20"/>
              </w:rPr>
              <w:t xml:space="preserve"> </w:t>
            </w:r>
            <w:r w:rsidRPr="00CD6D96">
              <w:rPr>
                <w:sz w:val="20"/>
                <w:szCs w:val="20"/>
              </w:rPr>
              <w:t>— Whether conflict of interest can be erased by resolution of related case that gave rise to conflict</w:t>
            </w:r>
            <w:r w:rsidRPr="00CD6D96">
              <w:rPr>
                <w:color w:val="000000"/>
                <w:sz w:val="20"/>
                <w:szCs w:val="20"/>
              </w:rPr>
              <w:t xml:space="preserve"> </w:t>
            </w:r>
            <w:r w:rsidRPr="00CD6D96">
              <w:rPr>
                <w:sz w:val="20"/>
                <w:szCs w:val="20"/>
              </w:rPr>
              <w:t>— Whether best interests of justice take precedence over party’s right to retain lawyer of choice.</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In 2011, the respondents brought a civil action against the contractor and certain professionals in charge of the construction work on a multisport complex in Trois</w:t>
            </w:r>
            <w:r w:rsidRPr="00CD6D96">
              <w:rPr>
                <w:sz w:val="20"/>
                <w:szCs w:val="20"/>
              </w:rPr>
              <w:noBreakHyphen/>
            </w:r>
            <w:proofErr w:type="spellStart"/>
            <w:r w:rsidRPr="00CD6D96">
              <w:rPr>
                <w:sz w:val="20"/>
                <w:szCs w:val="20"/>
              </w:rPr>
              <w:t>Rivières</w:t>
            </w:r>
            <w:proofErr w:type="spellEnd"/>
            <w:r w:rsidRPr="00CD6D96">
              <w:rPr>
                <w:sz w:val="20"/>
                <w:szCs w:val="20"/>
              </w:rPr>
              <w:t xml:space="preserve">. In that first action, the applicants Michel Morin and Michel </w:t>
            </w:r>
            <w:proofErr w:type="spellStart"/>
            <w:r w:rsidRPr="00CD6D96">
              <w:rPr>
                <w:sz w:val="20"/>
                <w:szCs w:val="20"/>
              </w:rPr>
              <w:t>Montambeault</w:t>
            </w:r>
            <w:proofErr w:type="spellEnd"/>
            <w:r w:rsidRPr="00CD6D96">
              <w:rPr>
                <w:sz w:val="20"/>
                <w:szCs w:val="20"/>
              </w:rPr>
              <w:t xml:space="preserve"> served as representatives of the Commission </w:t>
            </w:r>
            <w:proofErr w:type="spellStart"/>
            <w:r w:rsidRPr="00CD6D96">
              <w:rPr>
                <w:sz w:val="20"/>
                <w:szCs w:val="20"/>
              </w:rPr>
              <w:t>scolaire</w:t>
            </w:r>
            <w:proofErr w:type="spellEnd"/>
            <w:r w:rsidRPr="00CD6D96">
              <w:rPr>
                <w:sz w:val="20"/>
                <w:szCs w:val="20"/>
              </w:rPr>
              <w:t>. They worked with the respondents’ lawyers, attended various examinations, were themselves examined and were listed as witnesses for the upcoming trial.</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In 2016, the respondents brought a second civil action, this time against former employees and consultants, including the applicants Michel Morin and Michel </w:t>
            </w:r>
            <w:proofErr w:type="spellStart"/>
            <w:r w:rsidRPr="00CD6D96">
              <w:rPr>
                <w:sz w:val="20"/>
                <w:szCs w:val="20"/>
              </w:rPr>
              <w:t>Montambeault</w:t>
            </w:r>
            <w:proofErr w:type="spellEnd"/>
            <w:r w:rsidRPr="00CD6D96">
              <w:rPr>
                <w:sz w:val="20"/>
                <w:szCs w:val="20"/>
              </w:rPr>
              <w:t xml:space="preserve">. </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The applicants filed a motion for disqualification of the respondents’ counsel because they were of the view that there was a lawyer</w:t>
            </w:r>
            <w:r w:rsidRPr="00CD6D96">
              <w:rPr>
                <w:sz w:val="20"/>
                <w:szCs w:val="20"/>
              </w:rPr>
              <w:noBreakHyphen/>
              <w:t>client relationship between the respondents’ lawyer and them, which gave rise to a conflict of interest, at least in appearance.</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December 1, 2016</w:t>
            </w:r>
          </w:p>
          <w:p w:rsidR="00CA774A" w:rsidRPr="00CD6D96" w:rsidRDefault="00CA774A" w:rsidP="00CA774A">
            <w:pPr>
              <w:jc w:val="both"/>
              <w:rPr>
                <w:sz w:val="20"/>
                <w:szCs w:val="20"/>
              </w:rPr>
            </w:pPr>
            <w:r w:rsidRPr="00CD6D96">
              <w:rPr>
                <w:sz w:val="20"/>
                <w:szCs w:val="20"/>
              </w:rPr>
              <w:t>Quebec Superior Court</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Dumais</w:t>
            </w:r>
            <w:proofErr w:type="spellEnd"/>
            <w:r w:rsidRPr="00CD6D96">
              <w:rPr>
                <w:sz w:val="20"/>
                <w:szCs w:val="20"/>
              </w:rPr>
              <w:t xml:space="preserve"> J.)</w:t>
            </w:r>
          </w:p>
          <w:p w:rsidR="00CA774A" w:rsidRPr="00CD6D96" w:rsidRDefault="00F964D5" w:rsidP="00CA774A">
            <w:pPr>
              <w:jc w:val="both"/>
              <w:rPr>
                <w:sz w:val="20"/>
                <w:szCs w:val="20"/>
              </w:rPr>
            </w:pPr>
            <w:hyperlink r:id="rId31" w:history="1">
              <w:r w:rsidR="00CA774A" w:rsidRPr="00CD6D96">
                <w:rPr>
                  <w:rStyle w:val="Hyperlink"/>
                  <w:sz w:val="20"/>
                  <w:szCs w:val="20"/>
                </w:rPr>
                <w:t>2017 QCCS 5936</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Motion for disqualification of respondents’ counsel allowed</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April 28, 2017</w:t>
            </w:r>
          </w:p>
          <w:p w:rsidR="00CA774A" w:rsidRPr="00CD6D96" w:rsidRDefault="00CA774A" w:rsidP="00CA774A">
            <w:pPr>
              <w:jc w:val="both"/>
              <w:rPr>
                <w:sz w:val="20"/>
                <w:szCs w:val="20"/>
              </w:rPr>
            </w:pPr>
            <w:r w:rsidRPr="00CD6D96">
              <w:rPr>
                <w:sz w:val="20"/>
                <w:szCs w:val="20"/>
              </w:rPr>
              <w:t>Quebec Court of Appeal (Québec)</w:t>
            </w:r>
          </w:p>
          <w:p w:rsidR="00CA774A" w:rsidRPr="00CD6D96" w:rsidRDefault="00CA774A" w:rsidP="00CA774A">
            <w:pPr>
              <w:jc w:val="both"/>
              <w:rPr>
                <w:sz w:val="20"/>
                <w:szCs w:val="20"/>
              </w:rPr>
            </w:pPr>
            <w:r w:rsidRPr="00CD6D96">
              <w:rPr>
                <w:sz w:val="20"/>
                <w:szCs w:val="20"/>
              </w:rPr>
              <w:t xml:space="preserve">(Duval </w:t>
            </w:r>
            <w:proofErr w:type="spellStart"/>
            <w:r w:rsidRPr="00CD6D96">
              <w:rPr>
                <w:sz w:val="20"/>
                <w:szCs w:val="20"/>
              </w:rPr>
              <w:t>Hesler</w:t>
            </w:r>
            <w:proofErr w:type="spellEnd"/>
            <w:r w:rsidRPr="00CD6D96">
              <w:rPr>
                <w:sz w:val="20"/>
                <w:szCs w:val="20"/>
              </w:rPr>
              <w:t xml:space="preserve"> Nicole C.J. and </w:t>
            </w:r>
          </w:p>
          <w:p w:rsidR="00CA774A" w:rsidRPr="00CD6D96" w:rsidRDefault="00CA774A" w:rsidP="00CA774A">
            <w:pPr>
              <w:jc w:val="both"/>
              <w:rPr>
                <w:sz w:val="20"/>
                <w:szCs w:val="20"/>
                <w:lang w:val="fr-CA"/>
              </w:rPr>
            </w:pPr>
            <w:r w:rsidRPr="00CD6D96">
              <w:rPr>
                <w:sz w:val="20"/>
                <w:szCs w:val="20"/>
                <w:lang w:val="fr-CA"/>
              </w:rPr>
              <w:t>Rochette and Morissette JJ.A.)</w:t>
            </w:r>
          </w:p>
          <w:p w:rsidR="00CA774A" w:rsidRPr="00CD6D96" w:rsidRDefault="00F964D5" w:rsidP="00CA774A">
            <w:pPr>
              <w:jc w:val="both"/>
              <w:rPr>
                <w:sz w:val="20"/>
                <w:szCs w:val="20"/>
              </w:rPr>
            </w:pPr>
            <w:hyperlink r:id="rId32" w:history="1">
              <w:r w:rsidR="00CA774A" w:rsidRPr="00CD6D96">
                <w:rPr>
                  <w:rStyle w:val="Hyperlink"/>
                  <w:sz w:val="20"/>
                  <w:szCs w:val="20"/>
                </w:rPr>
                <w:t>2017 QCCA 674</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Motion to adduce new evidence allowed; appeal allowed; motion for disqualification of counsel dismissed</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June 28,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2" style="width:2in;height:1pt" o:hrpct="0" o:hralign="center" o:hrstd="t" o:hrnoshade="t" o:hr="t" fillcolor="black [3213]" stroked="f"/>
        </w:pict>
      </w:r>
    </w:p>
    <w:p w:rsidR="00CA774A" w:rsidRPr="00CD6D96" w:rsidRDefault="00CA774A" w:rsidP="00CA774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A774A" w:rsidRPr="00CD6D96" w:rsidTr="00CA774A">
        <w:trPr>
          <w:gridAfter w:val="1"/>
          <w:wAfter w:w="48" w:type="pct"/>
        </w:trPr>
        <w:tc>
          <w:tcPr>
            <w:tcW w:w="538" w:type="pct"/>
          </w:tcPr>
          <w:p w:rsidR="00CA774A" w:rsidRPr="00CD6D96" w:rsidRDefault="00CA774A" w:rsidP="00CA774A">
            <w:pPr>
              <w:jc w:val="both"/>
              <w:rPr>
                <w:sz w:val="20"/>
                <w:szCs w:val="20"/>
              </w:rPr>
            </w:pPr>
            <w:r w:rsidRPr="00CD6D96">
              <w:rPr>
                <w:rStyle w:val="SCCFileNumberChar"/>
                <w:sz w:val="20"/>
                <w:szCs w:val="20"/>
              </w:rPr>
              <w:t>37637</w:t>
            </w:r>
          </w:p>
        </w:tc>
        <w:tc>
          <w:tcPr>
            <w:tcW w:w="4414" w:type="pct"/>
            <w:gridSpan w:val="3"/>
          </w:tcPr>
          <w:p w:rsidR="00CA774A" w:rsidRPr="00CD6D96" w:rsidRDefault="00CA774A" w:rsidP="00CA774A">
            <w:pPr>
              <w:pStyle w:val="SCCLsocParty"/>
              <w:jc w:val="both"/>
              <w:rPr>
                <w:b/>
                <w:sz w:val="20"/>
                <w:szCs w:val="20"/>
              </w:rPr>
            </w:pPr>
            <w:r w:rsidRPr="00CD6D96">
              <w:rPr>
                <w:b/>
                <w:sz w:val="20"/>
                <w:szCs w:val="20"/>
              </w:rPr>
              <w:t>Michel Morin</w:t>
            </w:r>
            <w:r w:rsidR="00DA639E">
              <w:rPr>
                <w:b/>
                <w:sz w:val="20"/>
                <w:szCs w:val="20"/>
              </w:rPr>
              <w:t xml:space="preserve"> et</w:t>
            </w:r>
            <w:r w:rsidRPr="00CD6D96">
              <w:rPr>
                <w:b/>
                <w:sz w:val="20"/>
                <w:szCs w:val="20"/>
              </w:rPr>
              <w:t xml:space="preserve"> Michel </w:t>
            </w:r>
            <w:proofErr w:type="spellStart"/>
            <w:r w:rsidRPr="00CD6D96">
              <w:rPr>
                <w:b/>
                <w:sz w:val="20"/>
                <w:szCs w:val="20"/>
              </w:rPr>
              <w:t>Montambeault</w:t>
            </w:r>
            <w:proofErr w:type="spellEnd"/>
            <w:r w:rsidRPr="00CD6D96">
              <w:rPr>
                <w:b/>
                <w:sz w:val="20"/>
                <w:szCs w:val="20"/>
              </w:rPr>
              <w:t xml:space="preserve"> c. Commission scolaire du Chemin-du-Roy</w:t>
            </w:r>
            <w:r w:rsidR="00DA639E">
              <w:rPr>
                <w:b/>
                <w:sz w:val="20"/>
                <w:szCs w:val="20"/>
              </w:rPr>
              <w:t xml:space="preserve"> et</w:t>
            </w:r>
            <w:r w:rsidRPr="00CD6D96">
              <w:rPr>
                <w:b/>
                <w:sz w:val="20"/>
                <w:szCs w:val="20"/>
              </w:rPr>
              <w:t xml:space="preserve"> Complexe multidisciplinaire Les Estacades</w:t>
            </w:r>
          </w:p>
          <w:p w:rsidR="00CA774A" w:rsidRPr="00CD6D96" w:rsidRDefault="00CA774A" w:rsidP="00CA774A">
            <w:pPr>
              <w:jc w:val="both"/>
              <w:rPr>
                <w:sz w:val="20"/>
                <w:szCs w:val="20"/>
              </w:rPr>
            </w:pPr>
            <w:r w:rsidRPr="00CD6D96">
              <w:rPr>
                <w:sz w:val="20"/>
                <w:szCs w:val="20"/>
              </w:rPr>
              <w:t>(Qc) (</w:t>
            </w:r>
            <w:proofErr w:type="spellStart"/>
            <w:r w:rsidRPr="00CD6D96">
              <w:rPr>
                <w:sz w:val="20"/>
                <w:szCs w:val="20"/>
              </w:rPr>
              <w:t>Civile</w:t>
            </w:r>
            <w:proofErr w:type="spellEnd"/>
            <w:r w:rsidRPr="00CD6D96">
              <w:rPr>
                <w:sz w:val="20"/>
                <w:szCs w:val="20"/>
              </w:rPr>
              <w:t>) (</w:t>
            </w:r>
            <w:proofErr w:type="spellStart"/>
            <w:r w:rsidRPr="00CD6D96">
              <w:rPr>
                <w:sz w:val="20"/>
                <w:szCs w:val="20"/>
              </w:rPr>
              <w:t>Autorisation</w:t>
            </w:r>
            <w:proofErr w:type="spellEnd"/>
            <w:r w:rsidRPr="00CD6D96">
              <w:rPr>
                <w:sz w:val="20"/>
                <w:szCs w:val="20"/>
              </w:rPr>
              <w:t>)</w:t>
            </w:r>
          </w:p>
        </w:tc>
      </w:tr>
      <w:tr w:rsidR="00CA774A" w:rsidRPr="00F964D5" w:rsidTr="00CA774A">
        <w:trPr>
          <w:gridAfter w:val="1"/>
          <w:wAfter w:w="48" w:type="pct"/>
        </w:trPr>
        <w:tc>
          <w:tcPr>
            <w:tcW w:w="538"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4" w:type="pct"/>
            <w:gridSpan w:val="3"/>
          </w:tcPr>
          <w:p w:rsidR="00CA774A" w:rsidRDefault="00DA639E" w:rsidP="00CA774A">
            <w:pPr>
              <w:pStyle w:val="SCCLsocParty"/>
              <w:jc w:val="both"/>
              <w:rPr>
                <w:sz w:val="20"/>
                <w:szCs w:val="20"/>
              </w:rPr>
            </w:pPr>
            <w:r w:rsidRPr="00A4371B">
              <w:rPr>
                <w:sz w:val="20"/>
                <w:szCs w:val="20"/>
              </w:rPr>
              <w:t xml:space="preserve">La juge en chef </w:t>
            </w:r>
            <w:proofErr w:type="spellStart"/>
            <w:r w:rsidRPr="00A4371B">
              <w:rPr>
                <w:sz w:val="20"/>
                <w:szCs w:val="20"/>
              </w:rPr>
              <w:t>McLachlin</w:t>
            </w:r>
            <w:proofErr w:type="spellEnd"/>
            <w:r w:rsidRPr="00A4371B">
              <w:rPr>
                <w:sz w:val="20"/>
                <w:szCs w:val="20"/>
              </w:rPr>
              <w:t xml:space="preserve"> et les juges Abella, </w:t>
            </w:r>
            <w:proofErr w:type="spellStart"/>
            <w:r w:rsidRPr="00A4371B">
              <w:rPr>
                <w:sz w:val="20"/>
                <w:szCs w:val="20"/>
              </w:rPr>
              <w:t>Moldaver</w:t>
            </w:r>
            <w:proofErr w:type="spellEnd"/>
            <w:r w:rsidRPr="00A4371B">
              <w:rPr>
                <w:sz w:val="20"/>
                <w:szCs w:val="20"/>
              </w:rPr>
              <w:t xml:space="preserve">, </w:t>
            </w:r>
            <w:proofErr w:type="spellStart"/>
            <w:r w:rsidRPr="00A4371B">
              <w:rPr>
                <w:sz w:val="20"/>
                <w:szCs w:val="20"/>
              </w:rPr>
              <w:t>Karakatsanis</w:t>
            </w:r>
            <w:proofErr w:type="spellEnd"/>
            <w:r w:rsidRPr="00A4371B">
              <w:rPr>
                <w:sz w:val="20"/>
                <w:szCs w:val="20"/>
              </w:rPr>
              <w:t>, Wagner, Gascon, Côté, Brown et Rowe</w:t>
            </w:r>
          </w:p>
          <w:p w:rsidR="00DA639E" w:rsidRPr="00DA639E" w:rsidRDefault="00DA639E" w:rsidP="00DA639E">
            <w:pPr>
              <w:rPr>
                <w:lang w:val="fr-CA"/>
              </w:rPr>
            </w:pPr>
          </w:p>
        </w:tc>
      </w:tr>
      <w:tr w:rsidR="00CA774A" w:rsidRPr="00F964D5" w:rsidTr="00CA774A">
        <w:trPr>
          <w:gridAfter w:val="1"/>
          <w:wAfter w:w="48" w:type="pct"/>
        </w:trPr>
        <w:tc>
          <w:tcPr>
            <w:tcW w:w="4952" w:type="pct"/>
            <w:gridSpan w:val="4"/>
          </w:tcPr>
          <w:p w:rsidR="00CA774A" w:rsidRDefault="00DA639E" w:rsidP="00CA774A">
            <w:pPr>
              <w:pStyle w:val="SCCLsocParty"/>
              <w:jc w:val="both"/>
              <w:rPr>
                <w:sz w:val="20"/>
                <w:szCs w:val="20"/>
              </w:rPr>
            </w:pPr>
            <w:r w:rsidRPr="00A4371B">
              <w:rPr>
                <w:sz w:val="20"/>
                <w:szCs w:val="20"/>
              </w:rPr>
              <w:t>La requête en prorogation du délai de signification de la demande d’autorisation d’appel est accueillie. La demande d’autorisation d’appel de l’arrêt de la Cour d’appel du Québec (Québec), numéro 200-09-009424-166, 2017 QCCA 674, daté du 28 avril 2017, est rejetée avec dépens.</w:t>
            </w:r>
          </w:p>
          <w:p w:rsidR="00DA639E" w:rsidRPr="00DA639E" w:rsidRDefault="00DA639E" w:rsidP="00DA639E">
            <w:pPr>
              <w:rPr>
                <w:lang w:val="fr-CA"/>
              </w:rPr>
            </w:pP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r w:rsidRPr="00CD6D96">
              <w:rPr>
                <w:sz w:val="20"/>
                <w:szCs w:val="20"/>
                <w:lang w:val="fr-CA"/>
              </w:rPr>
              <w:lastRenderedPageBreak/>
              <w:t xml:space="preserve">Procédure civile — </w:t>
            </w:r>
            <w:r w:rsidRPr="00CD6D96">
              <w:rPr>
                <w:color w:val="000000"/>
                <w:sz w:val="20"/>
                <w:szCs w:val="20"/>
                <w:lang w:val="fr-CA"/>
              </w:rPr>
              <w:t xml:space="preserve">Déclaration d’inhabilité d’un avocat à occuper </w:t>
            </w:r>
            <w:r w:rsidRPr="00CD6D96">
              <w:rPr>
                <w:sz w:val="20"/>
                <w:szCs w:val="20"/>
                <w:lang w:val="fr-CA"/>
              </w:rPr>
              <w:t xml:space="preserve">— </w:t>
            </w:r>
            <w:r w:rsidRPr="00CD6D96">
              <w:rPr>
                <w:color w:val="000000"/>
                <w:sz w:val="20"/>
                <w:szCs w:val="20"/>
                <w:lang w:val="fr-CA"/>
              </w:rPr>
              <w:t xml:space="preserve">Les demandes en inhabilité sont-elles limitées aux conflits qui émergent dans le cadre d’une relation avocat-client? </w:t>
            </w:r>
            <w:r w:rsidRPr="00CD6D96">
              <w:rPr>
                <w:sz w:val="20"/>
                <w:szCs w:val="20"/>
                <w:lang w:val="fr-CA"/>
              </w:rPr>
              <w:t xml:space="preserve">— </w:t>
            </w:r>
            <w:r w:rsidRPr="00CD6D96">
              <w:rPr>
                <w:color w:val="000000"/>
                <w:sz w:val="20"/>
                <w:szCs w:val="20"/>
                <w:lang w:val="fr-CA"/>
              </w:rPr>
              <w:t xml:space="preserve">Un conflit d’intérêts peut-il être effacé par le règlement du dossier connexe y ayant donné naissance? </w:t>
            </w:r>
            <w:r w:rsidRPr="00CD6D96">
              <w:rPr>
                <w:sz w:val="20"/>
                <w:szCs w:val="20"/>
                <w:lang w:val="fr-CA"/>
              </w:rPr>
              <w:t xml:space="preserve">— </w:t>
            </w:r>
            <w:r w:rsidRPr="00CD6D96">
              <w:rPr>
                <w:color w:val="000000"/>
                <w:sz w:val="20"/>
                <w:szCs w:val="20"/>
                <w:lang w:val="fr-CA"/>
              </w:rPr>
              <w:t xml:space="preserve">L’intérêt supérieur de la justice </w:t>
            </w:r>
            <w:proofErr w:type="spellStart"/>
            <w:r w:rsidRPr="00CD6D96">
              <w:rPr>
                <w:color w:val="000000"/>
                <w:sz w:val="20"/>
                <w:szCs w:val="20"/>
                <w:lang w:val="fr-CA"/>
              </w:rPr>
              <w:t>a-t-il</w:t>
            </w:r>
            <w:proofErr w:type="spellEnd"/>
            <w:r w:rsidRPr="00CD6D96">
              <w:rPr>
                <w:color w:val="000000"/>
                <w:sz w:val="20"/>
                <w:szCs w:val="20"/>
                <w:lang w:val="fr-CA"/>
              </w:rPr>
              <w:t xml:space="preserve"> préséance sur le droit d’une partie au libre choix de son avocat?</w:t>
            </w: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FR"/>
              </w:rPr>
            </w:pPr>
            <w:r w:rsidRPr="00CD6D96">
              <w:rPr>
                <w:sz w:val="20"/>
                <w:szCs w:val="20"/>
                <w:lang w:val="fr-FR"/>
              </w:rPr>
              <w:t xml:space="preserve">En 2011, les intimées intentent une poursuite civile contre l’entrepreneur et certains professionnels chargés des travaux de construction d’un complexe </w:t>
            </w:r>
            <w:proofErr w:type="gramStart"/>
            <w:r w:rsidRPr="00CD6D96">
              <w:rPr>
                <w:sz w:val="20"/>
                <w:szCs w:val="20"/>
                <w:lang w:val="fr-FR"/>
              </w:rPr>
              <w:t>multisports</w:t>
            </w:r>
            <w:proofErr w:type="gramEnd"/>
            <w:r w:rsidRPr="00CD6D96">
              <w:rPr>
                <w:sz w:val="20"/>
                <w:szCs w:val="20"/>
                <w:lang w:val="fr-FR"/>
              </w:rPr>
              <w:t xml:space="preserve"> à Trois-Rivières. Dans cette première poursuite, les demandeurs Michel Morin et Michel </w:t>
            </w:r>
            <w:proofErr w:type="spellStart"/>
            <w:r w:rsidRPr="00CD6D96">
              <w:rPr>
                <w:sz w:val="20"/>
                <w:szCs w:val="20"/>
                <w:lang w:val="fr-FR"/>
              </w:rPr>
              <w:t>Montambeault</w:t>
            </w:r>
            <w:proofErr w:type="spellEnd"/>
            <w:r w:rsidRPr="00CD6D96">
              <w:rPr>
                <w:sz w:val="20"/>
                <w:szCs w:val="20"/>
                <w:lang w:val="fr-FR"/>
              </w:rPr>
              <w:t xml:space="preserve"> agissaient à titre de représentants de la Commission scolaire. Ils ont collaboré avec les avocats des intimées, ont assisté aux divers interrogatoires, ont eux-mêmes été interrogés et sont annoncés à titre de témoins dans le cadre du procès à venir.</w:t>
            </w:r>
          </w:p>
          <w:p w:rsidR="00CA774A" w:rsidRPr="00CD6D96" w:rsidRDefault="00CA774A" w:rsidP="00CA774A">
            <w:pPr>
              <w:jc w:val="both"/>
              <w:rPr>
                <w:sz w:val="20"/>
                <w:szCs w:val="20"/>
                <w:lang w:val="fr-FR"/>
              </w:rPr>
            </w:pPr>
          </w:p>
          <w:p w:rsidR="00CA774A" w:rsidRPr="00CD6D96" w:rsidRDefault="00CA774A" w:rsidP="00CA774A">
            <w:pPr>
              <w:jc w:val="both"/>
              <w:rPr>
                <w:sz w:val="20"/>
                <w:szCs w:val="20"/>
                <w:lang w:val="fr-FR"/>
              </w:rPr>
            </w:pPr>
            <w:r w:rsidRPr="00CD6D96">
              <w:rPr>
                <w:sz w:val="20"/>
                <w:szCs w:val="20"/>
                <w:lang w:val="fr-FR"/>
              </w:rPr>
              <w:t xml:space="preserve">En 2016, les intimées intentent une deuxième poursuite civile, cette fois à l’encontre </w:t>
            </w:r>
            <w:r w:rsidRPr="00CD6D96">
              <w:rPr>
                <w:sz w:val="20"/>
                <w:szCs w:val="20"/>
                <w:lang w:val="fr-CA"/>
              </w:rPr>
              <w:t>d’</w:t>
            </w:r>
            <w:r w:rsidRPr="00CD6D96">
              <w:rPr>
                <w:sz w:val="20"/>
                <w:szCs w:val="20"/>
                <w:lang w:val="fr-FR"/>
              </w:rPr>
              <w:t xml:space="preserve">ex-employés et consultants, incluant les demandeurs Michel Morin et Michel </w:t>
            </w:r>
            <w:proofErr w:type="spellStart"/>
            <w:r w:rsidRPr="00CD6D96">
              <w:rPr>
                <w:sz w:val="20"/>
                <w:szCs w:val="20"/>
                <w:lang w:val="fr-FR"/>
              </w:rPr>
              <w:t>Montambeault</w:t>
            </w:r>
            <w:proofErr w:type="spellEnd"/>
            <w:r w:rsidRPr="00CD6D96">
              <w:rPr>
                <w:sz w:val="20"/>
                <w:szCs w:val="20"/>
                <w:lang w:val="fr-FR"/>
              </w:rPr>
              <w:t xml:space="preserve">. </w:t>
            </w:r>
          </w:p>
          <w:p w:rsidR="00CA774A" w:rsidRPr="00CD6D96" w:rsidRDefault="00CA774A" w:rsidP="00CA774A">
            <w:pPr>
              <w:jc w:val="both"/>
              <w:rPr>
                <w:sz w:val="20"/>
                <w:szCs w:val="20"/>
                <w:lang w:val="fr-FR"/>
              </w:rPr>
            </w:pPr>
          </w:p>
          <w:p w:rsidR="00CA774A" w:rsidRPr="00CD6D96" w:rsidRDefault="00CA774A" w:rsidP="00CA774A">
            <w:pPr>
              <w:jc w:val="both"/>
              <w:rPr>
                <w:sz w:val="20"/>
                <w:szCs w:val="20"/>
                <w:lang w:val="fr-CA"/>
              </w:rPr>
            </w:pPr>
            <w:r w:rsidRPr="00CD6D96">
              <w:rPr>
                <w:sz w:val="20"/>
                <w:szCs w:val="20"/>
                <w:lang w:val="fr-FR"/>
              </w:rPr>
              <w:t>Les demandeurs déposent une requête en inhabilité des procureurs des intimées, puisqu’ils considèrent qu’il a existé une relation avocat-client entre l’avocat des intimées et eux, donnant ouverture à un conflit d’intérêts, à tout le moins en apparence.</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1 décembre 2016</w:t>
            </w:r>
          </w:p>
          <w:p w:rsidR="00CA774A" w:rsidRPr="00CD6D96" w:rsidRDefault="00CA774A" w:rsidP="00CA774A">
            <w:pPr>
              <w:jc w:val="both"/>
              <w:rPr>
                <w:sz w:val="20"/>
                <w:szCs w:val="20"/>
                <w:lang w:val="fr-CA"/>
              </w:rPr>
            </w:pPr>
            <w:r w:rsidRPr="00CD6D96">
              <w:rPr>
                <w:sz w:val="20"/>
                <w:szCs w:val="20"/>
                <w:lang w:val="fr-CA"/>
              </w:rPr>
              <w:t>Cour supérieure du Québec</w:t>
            </w:r>
          </w:p>
          <w:p w:rsidR="00CA774A" w:rsidRPr="00CD6D96" w:rsidRDefault="00CA774A" w:rsidP="00CA774A">
            <w:pPr>
              <w:jc w:val="both"/>
              <w:rPr>
                <w:sz w:val="20"/>
                <w:szCs w:val="20"/>
              </w:rPr>
            </w:pPr>
            <w:r w:rsidRPr="00CD6D96">
              <w:rPr>
                <w:sz w:val="20"/>
                <w:szCs w:val="20"/>
              </w:rPr>
              <w:t xml:space="preserve">(Le </w:t>
            </w:r>
            <w:proofErr w:type="spellStart"/>
            <w:r w:rsidRPr="00CD6D96">
              <w:rPr>
                <w:sz w:val="20"/>
                <w:szCs w:val="20"/>
              </w:rPr>
              <w:t>juge</w:t>
            </w:r>
            <w:proofErr w:type="spellEnd"/>
            <w:r w:rsidRPr="00CD6D96">
              <w:rPr>
                <w:sz w:val="20"/>
                <w:szCs w:val="20"/>
              </w:rPr>
              <w:t xml:space="preserve"> </w:t>
            </w:r>
            <w:proofErr w:type="spellStart"/>
            <w:r w:rsidRPr="00CD6D96">
              <w:rPr>
                <w:sz w:val="20"/>
                <w:szCs w:val="20"/>
              </w:rPr>
              <w:t>Dumais</w:t>
            </w:r>
            <w:proofErr w:type="spellEnd"/>
            <w:r w:rsidRPr="00CD6D96">
              <w:rPr>
                <w:sz w:val="20"/>
                <w:szCs w:val="20"/>
              </w:rPr>
              <w:t>)</w:t>
            </w:r>
          </w:p>
          <w:p w:rsidR="00CA774A" w:rsidRPr="00CD6D96" w:rsidRDefault="00F964D5" w:rsidP="00CA774A">
            <w:pPr>
              <w:jc w:val="both"/>
              <w:rPr>
                <w:sz w:val="20"/>
                <w:szCs w:val="20"/>
              </w:rPr>
            </w:pPr>
            <w:hyperlink r:id="rId33" w:history="1">
              <w:r w:rsidR="00CA774A" w:rsidRPr="00CD6D96">
                <w:rPr>
                  <w:rStyle w:val="Hyperlink"/>
                  <w:sz w:val="20"/>
                  <w:szCs w:val="20"/>
                </w:rPr>
                <w:t>2017 QCCS 5936</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Requête en inhabilité des procureurs des intimées accueillie</w:t>
            </w: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28 avril 2017</w:t>
            </w:r>
          </w:p>
          <w:p w:rsidR="00CA774A" w:rsidRPr="00CD6D96" w:rsidRDefault="00CA774A" w:rsidP="00CA774A">
            <w:pPr>
              <w:jc w:val="both"/>
              <w:rPr>
                <w:sz w:val="20"/>
                <w:szCs w:val="20"/>
                <w:lang w:val="fr-CA"/>
              </w:rPr>
            </w:pPr>
            <w:r w:rsidRPr="00CD6D96">
              <w:rPr>
                <w:sz w:val="20"/>
                <w:szCs w:val="20"/>
                <w:lang w:val="fr-CA"/>
              </w:rPr>
              <w:t>Cour d’appel du Québec (Québec)</w:t>
            </w:r>
          </w:p>
          <w:p w:rsidR="00CA774A" w:rsidRPr="00CD6D96" w:rsidRDefault="00CA774A" w:rsidP="00CA774A">
            <w:pPr>
              <w:jc w:val="both"/>
              <w:rPr>
                <w:sz w:val="20"/>
                <w:szCs w:val="20"/>
                <w:lang w:val="fr-CA"/>
              </w:rPr>
            </w:pPr>
            <w:r w:rsidRPr="00CD6D96">
              <w:rPr>
                <w:sz w:val="20"/>
                <w:szCs w:val="20"/>
                <w:lang w:val="fr-CA"/>
              </w:rPr>
              <w:t xml:space="preserve">(La juge en chef Duval </w:t>
            </w:r>
            <w:proofErr w:type="spellStart"/>
            <w:r w:rsidRPr="00CD6D96">
              <w:rPr>
                <w:sz w:val="20"/>
                <w:szCs w:val="20"/>
                <w:lang w:val="fr-CA"/>
              </w:rPr>
              <w:t>Hesler</w:t>
            </w:r>
            <w:proofErr w:type="spellEnd"/>
            <w:r w:rsidRPr="00CD6D96">
              <w:rPr>
                <w:sz w:val="20"/>
                <w:szCs w:val="20"/>
                <w:lang w:val="fr-CA"/>
              </w:rPr>
              <w:t xml:space="preserve"> Nicole et les </w:t>
            </w:r>
          </w:p>
          <w:p w:rsidR="00CA774A" w:rsidRPr="00CD6D96" w:rsidRDefault="00CA774A" w:rsidP="00CA774A">
            <w:pPr>
              <w:jc w:val="both"/>
              <w:rPr>
                <w:sz w:val="20"/>
                <w:szCs w:val="20"/>
                <w:lang w:val="fr-CA"/>
              </w:rPr>
            </w:pPr>
            <w:r w:rsidRPr="00CD6D96">
              <w:rPr>
                <w:sz w:val="20"/>
                <w:szCs w:val="20"/>
                <w:lang w:val="fr-CA"/>
              </w:rPr>
              <w:t>juges Rochette et Morissette)</w:t>
            </w:r>
          </w:p>
          <w:p w:rsidR="00CA774A" w:rsidRPr="00CD6D96" w:rsidRDefault="00F964D5" w:rsidP="00CA774A">
            <w:pPr>
              <w:jc w:val="both"/>
              <w:rPr>
                <w:sz w:val="20"/>
                <w:szCs w:val="20"/>
                <w:lang w:val="fr-CA"/>
              </w:rPr>
            </w:pPr>
            <w:hyperlink r:id="rId34" w:history="1">
              <w:r w:rsidR="00CA774A" w:rsidRPr="00CD6D96">
                <w:rPr>
                  <w:rStyle w:val="Hyperlink"/>
                  <w:sz w:val="20"/>
                  <w:szCs w:val="20"/>
                  <w:lang w:val="fr-CA"/>
                </w:rPr>
                <w:t>2017 QCCA 674</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Requête pour nouvelle preuve accordée; appel accueilli; Requête en inhabilité des procureurs rejetée</w:t>
            </w:r>
          </w:p>
          <w:p w:rsidR="00CA774A" w:rsidRPr="00CD6D96" w:rsidRDefault="00CA774A" w:rsidP="00CA774A">
            <w:pPr>
              <w:jc w:val="both"/>
              <w:rPr>
                <w:sz w:val="20"/>
                <w:szCs w:val="20"/>
                <w:lang w:val="fr-CA"/>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28 juin 2017</w:t>
            </w:r>
          </w:p>
          <w:p w:rsidR="00CA774A" w:rsidRPr="00CD6D96" w:rsidRDefault="00CA774A" w:rsidP="00CA774A">
            <w:pPr>
              <w:jc w:val="both"/>
              <w:rPr>
                <w:sz w:val="20"/>
                <w:szCs w:val="20"/>
                <w:lang w:val="fr-CA"/>
              </w:rPr>
            </w:pPr>
            <w:r w:rsidRPr="00CD6D96">
              <w:rPr>
                <w:sz w:val="20"/>
                <w:szCs w:val="20"/>
                <w:lang w:val="fr-CA"/>
              </w:rPr>
              <w:t>Cour suprême du Canada</w:t>
            </w:r>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3"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37745</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Nathan John Hall v. Canada (Minister of Justice)</w:t>
            </w:r>
          </w:p>
          <w:p w:rsidR="00CA774A" w:rsidRPr="00CD6D96" w:rsidRDefault="00CA774A" w:rsidP="00CA774A">
            <w:pPr>
              <w:jc w:val="both"/>
              <w:rPr>
                <w:sz w:val="20"/>
                <w:szCs w:val="20"/>
              </w:rPr>
            </w:pPr>
            <w:r w:rsidRPr="00CD6D96">
              <w:rPr>
                <w:sz w:val="20"/>
                <w:szCs w:val="20"/>
              </w:rPr>
              <w:t>(B.C.) (Criminal) (By Leave)</w:t>
            </w:r>
          </w:p>
        </w:tc>
      </w:tr>
      <w:tr w:rsidR="00CA774A" w:rsidRPr="00CD6D96" w:rsidTr="00CA774A">
        <w:tc>
          <w:tcPr>
            <w:tcW w:w="543"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57" w:type="pct"/>
            <w:gridSpan w:val="3"/>
          </w:tcPr>
          <w:p w:rsidR="00CA774A" w:rsidRDefault="00DA639E" w:rsidP="00CA774A">
            <w:pPr>
              <w:pStyle w:val="SCCLsocParty"/>
              <w:jc w:val="both"/>
              <w:rPr>
                <w:sz w:val="20"/>
                <w:szCs w:val="20"/>
                <w:lang w:val="en-US"/>
              </w:rPr>
            </w:pPr>
            <w:proofErr w:type="spellStart"/>
            <w:r w:rsidRPr="00DA639E">
              <w:rPr>
                <w:sz w:val="20"/>
                <w:szCs w:val="20"/>
                <w:lang w:val="en-US"/>
              </w:rPr>
              <w:t>McLachlin</w:t>
            </w:r>
            <w:proofErr w:type="spellEnd"/>
            <w:r w:rsidRPr="00DA639E">
              <w:rPr>
                <w:sz w:val="20"/>
                <w:szCs w:val="20"/>
                <w:lang w:val="en-US"/>
              </w:rPr>
              <w:t xml:space="preserve"> C.J. and </w:t>
            </w:r>
            <w:proofErr w:type="spellStart"/>
            <w:r w:rsidRPr="00DA639E">
              <w:rPr>
                <w:sz w:val="20"/>
                <w:szCs w:val="20"/>
                <w:lang w:val="en-US"/>
              </w:rPr>
              <w:t>Abella</w:t>
            </w:r>
            <w:proofErr w:type="spellEnd"/>
            <w:r w:rsidRPr="00DA639E">
              <w:rPr>
                <w:sz w:val="20"/>
                <w:szCs w:val="20"/>
                <w:lang w:val="en-US"/>
              </w:rPr>
              <w:t xml:space="preserve">, </w:t>
            </w:r>
            <w:proofErr w:type="spellStart"/>
            <w:r w:rsidRPr="00DA639E">
              <w:rPr>
                <w:sz w:val="20"/>
                <w:szCs w:val="20"/>
                <w:lang w:val="en-US"/>
              </w:rPr>
              <w:t>Moldaver</w:t>
            </w:r>
            <w:proofErr w:type="spellEnd"/>
            <w:r w:rsidRPr="00DA639E">
              <w:rPr>
                <w:sz w:val="20"/>
                <w:szCs w:val="20"/>
                <w:lang w:val="en-US"/>
              </w:rPr>
              <w:t xml:space="preserve">, </w:t>
            </w:r>
            <w:proofErr w:type="spellStart"/>
            <w:r w:rsidRPr="00DA639E">
              <w:rPr>
                <w:sz w:val="20"/>
                <w:szCs w:val="20"/>
                <w:lang w:val="en-US"/>
              </w:rPr>
              <w:t>Karakatsanis</w:t>
            </w:r>
            <w:proofErr w:type="spellEnd"/>
            <w:r w:rsidRPr="00DA639E">
              <w:rPr>
                <w:sz w:val="20"/>
                <w:szCs w:val="20"/>
                <w:lang w:val="en-US"/>
              </w:rPr>
              <w:t xml:space="preserve">, Wagner, </w:t>
            </w:r>
            <w:proofErr w:type="spellStart"/>
            <w:r w:rsidRPr="00DA639E">
              <w:rPr>
                <w:sz w:val="20"/>
                <w:szCs w:val="20"/>
                <w:lang w:val="en-US"/>
              </w:rPr>
              <w:t>Gascon</w:t>
            </w:r>
            <w:proofErr w:type="spellEnd"/>
            <w:r w:rsidRPr="00DA639E">
              <w:rPr>
                <w:sz w:val="20"/>
                <w:szCs w:val="20"/>
                <w:lang w:val="en-US"/>
              </w:rPr>
              <w:t xml:space="preserve">, </w:t>
            </w:r>
            <w:proofErr w:type="spellStart"/>
            <w:r w:rsidRPr="00DA639E">
              <w:rPr>
                <w:sz w:val="20"/>
                <w:szCs w:val="20"/>
                <w:lang w:val="en-US"/>
              </w:rPr>
              <w:t>Côté</w:t>
            </w:r>
            <w:proofErr w:type="spellEnd"/>
            <w:r w:rsidRPr="00DA639E">
              <w:rPr>
                <w:sz w:val="20"/>
                <w:szCs w:val="20"/>
                <w:lang w:val="en-US"/>
              </w:rPr>
              <w:t>, Brown and Rowe JJ.</w:t>
            </w:r>
          </w:p>
          <w:p w:rsidR="00DA639E" w:rsidRPr="00DA639E" w:rsidRDefault="00DA639E" w:rsidP="00DA639E">
            <w:pPr>
              <w:rPr>
                <w:lang w:val="en-US"/>
              </w:rPr>
            </w:pPr>
          </w:p>
        </w:tc>
      </w:tr>
      <w:tr w:rsidR="00CA774A" w:rsidRPr="00CD6D96" w:rsidTr="00CA774A">
        <w:tc>
          <w:tcPr>
            <w:tcW w:w="5000" w:type="pct"/>
            <w:gridSpan w:val="4"/>
          </w:tcPr>
          <w:p w:rsidR="00CA774A" w:rsidRPr="00DA639E" w:rsidRDefault="00DA639E" w:rsidP="00DA639E">
            <w:pPr>
              <w:pStyle w:val="SCCLsocParty"/>
              <w:jc w:val="both"/>
              <w:rPr>
                <w:b/>
                <w:sz w:val="20"/>
                <w:szCs w:val="20"/>
                <w:lang w:val="en-US"/>
              </w:rPr>
            </w:pPr>
            <w:r w:rsidRPr="00DA639E">
              <w:rPr>
                <w:sz w:val="20"/>
                <w:szCs w:val="20"/>
                <w:lang w:val="en-US"/>
              </w:rPr>
              <w:t>The application for leave to appeal from the judgment of the Court of Appeal for British Columbia (Vancouver), Number CA44070, 2017 BCCA 241, dated June 16, 2017 is dismissed.</w:t>
            </w:r>
          </w:p>
        </w:tc>
      </w:tr>
      <w:tr w:rsidR="00CA774A" w:rsidRPr="00CD6D96" w:rsidTr="00CA774A">
        <w:tc>
          <w:tcPr>
            <w:tcW w:w="5000" w:type="pct"/>
            <w:gridSpan w:val="4"/>
          </w:tcPr>
          <w:p w:rsidR="00CA774A" w:rsidRPr="00CD6D96" w:rsidRDefault="00CA774A" w:rsidP="00CA774A">
            <w:pPr>
              <w:jc w:val="both"/>
              <w:rPr>
                <w:sz w:val="20"/>
                <w:szCs w:val="20"/>
              </w:rPr>
            </w:pPr>
            <w:r w:rsidRPr="00CD6D96">
              <w:rPr>
                <w:i/>
                <w:sz w:val="20"/>
                <w:szCs w:val="20"/>
              </w:rPr>
              <w:t>Canadian Charter of Rights and Freedoms</w:t>
            </w:r>
            <w:r w:rsidRPr="00CD6D96">
              <w:rPr>
                <w:sz w:val="20"/>
                <w:szCs w:val="20"/>
              </w:rPr>
              <w:t xml:space="preserve"> – Criminal law – Extradition – Judicial review of Minister’s surrender order – Whether Court of Appeal of British Columbia erred in holding that the Minister of Justice’s surrender decision did not violate rights to make full answer and defence and to a fair trial, as protected by s. 7 of the </w:t>
            </w:r>
            <w:r w:rsidRPr="00CD6D96">
              <w:rPr>
                <w:i/>
                <w:sz w:val="20"/>
                <w:szCs w:val="20"/>
              </w:rPr>
              <w:t>Charter</w:t>
            </w:r>
            <w:r w:rsidRPr="00CD6D96">
              <w:rPr>
                <w:sz w:val="20"/>
                <w:szCs w:val="20"/>
              </w:rPr>
              <w:t>.</w:t>
            </w:r>
          </w:p>
        </w:tc>
      </w:tr>
      <w:tr w:rsidR="00CA774A" w:rsidRPr="00CD6D96" w:rsidTr="00CA774A">
        <w:tc>
          <w:tcPr>
            <w:tcW w:w="5000" w:type="pct"/>
            <w:gridSpan w:val="4"/>
          </w:tcPr>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On April 14, 2015, the United States sought Nathan Hall for prosecution of offences corresponding to trafficking in a controlled substance and possession of a weapon for a dangerous purpose. Prior to the committal hearing, Mr. Hall sought to adduce exculpatory affidavit evidence deposing that he was not present at the material time and played no role in the events. The extradition judge dismissed the application, considering that the evidence did not bring into question the reliability of the evidence in the Record of the Case. Rather, he found it invited a weighing and comparison of the </w:t>
            </w:r>
            <w:r w:rsidRPr="00CD6D96">
              <w:rPr>
                <w:sz w:val="20"/>
                <w:szCs w:val="20"/>
              </w:rPr>
              <w:lastRenderedPageBreak/>
              <w:t>contents of the affidavits with the evidence of the investigating officers, which was beyond his function and should be left to the trier of fact.</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The Supreme Court of British Columbia committed Mr. Hall for extradition, concluding the committal evidence was sufficient to establish a </w:t>
            </w:r>
            <w:r w:rsidRPr="00CD6D96">
              <w:rPr>
                <w:i/>
                <w:sz w:val="20"/>
                <w:szCs w:val="20"/>
              </w:rPr>
              <w:t>prima facie</w:t>
            </w:r>
            <w:r w:rsidRPr="00CD6D96">
              <w:rPr>
                <w:sz w:val="20"/>
                <w:szCs w:val="20"/>
              </w:rPr>
              <w:t xml:space="preserve"> case of trafficking in a controlled substance and possession of a weapon for a dangerous purpose, and that a reasonable jury properly instructed could convict Mr. Hall of the corresponding offences. The committal decision was not appealed. The Minister subsequently directed Mr. Hall to be surrendered to the United States for prosecution. The B.C. Court of Appeal dismissed Mr. Hall’s application for judicial review, finding the Minister’s surrender decision was reasonable.</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3, 2016</w:t>
            </w:r>
          </w:p>
          <w:p w:rsidR="00CA774A" w:rsidRPr="00CD6D96" w:rsidRDefault="00CA774A" w:rsidP="00CA774A">
            <w:pPr>
              <w:jc w:val="both"/>
              <w:rPr>
                <w:sz w:val="20"/>
                <w:szCs w:val="20"/>
              </w:rPr>
            </w:pPr>
            <w:r w:rsidRPr="00CD6D96">
              <w:rPr>
                <w:sz w:val="20"/>
                <w:szCs w:val="20"/>
              </w:rPr>
              <w:t>Supreme Court of British Columbia</w:t>
            </w:r>
          </w:p>
          <w:p w:rsidR="00CA774A" w:rsidRPr="00CD6D96" w:rsidRDefault="00CA774A" w:rsidP="00CA774A">
            <w:pPr>
              <w:jc w:val="both"/>
              <w:rPr>
                <w:sz w:val="20"/>
                <w:szCs w:val="20"/>
              </w:rPr>
            </w:pPr>
            <w:r w:rsidRPr="00CD6D96">
              <w:rPr>
                <w:sz w:val="20"/>
                <w:szCs w:val="20"/>
              </w:rPr>
              <w:t>(Pearlman J.)</w:t>
            </w:r>
          </w:p>
          <w:p w:rsidR="00CA774A" w:rsidRPr="00CD6D96" w:rsidRDefault="00F964D5" w:rsidP="00CA774A">
            <w:pPr>
              <w:jc w:val="both"/>
              <w:rPr>
                <w:sz w:val="20"/>
                <w:szCs w:val="20"/>
              </w:rPr>
            </w:pPr>
            <w:hyperlink r:id="rId35" w:history="1">
              <w:r w:rsidR="00CA774A" w:rsidRPr="00CD6D96">
                <w:rPr>
                  <w:rStyle w:val="Hyperlink"/>
                  <w:sz w:val="20"/>
                  <w:szCs w:val="20"/>
                </w:rPr>
                <w:t>2016 BCSC 1004</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seeking order for applicant’s committal into custody to await surrender decision, granted. Order not appealed.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October 29, 2016</w:t>
            </w:r>
          </w:p>
          <w:p w:rsidR="00CA774A" w:rsidRPr="00CD6D96" w:rsidRDefault="00CA774A" w:rsidP="00CA774A">
            <w:pPr>
              <w:jc w:val="both"/>
              <w:rPr>
                <w:sz w:val="20"/>
                <w:szCs w:val="20"/>
              </w:rPr>
            </w:pPr>
            <w:r w:rsidRPr="00CD6D96">
              <w:rPr>
                <w:sz w:val="20"/>
                <w:szCs w:val="20"/>
              </w:rPr>
              <w:t>Minister of Justice</w:t>
            </w:r>
          </w:p>
          <w:p w:rsidR="00CA774A" w:rsidRPr="00CD6D96" w:rsidRDefault="00CA774A" w:rsidP="00CA774A">
            <w:pPr>
              <w:jc w:val="both"/>
              <w:rPr>
                <w:sz w:val="20"/>
                <w:szCs w:val="20"/>
              </w:rPr>
            </w:pPr>
            <w:r w:rsidRPr="00CD6D96">
              <w:rPr>
                <w:sz w:val="20"/>
                <w:szCs w:val="20"/>
              </w:rPr>
              <w:t>(Hon. J. Wilson-</w:t>
            </w:r>
            <w:proofErr w:type="spellStart"/>
            <w:r w:rsidRPr="00CD6D96">
              <w:rPr>
                <w:sz w:val="20"/>
                <w:szCs w:val="20"/>
              </w:rPr>
              <w:t>Raybould</w:t>
            </w:r>
            <w:proofErr w:type="spellEnd"/>
            <w:r w:rsidRPr="00CD6D96">
              <w:rPr>
                <w:sz w:val="20"/>
                <w:szCs w:val="20"/>
              </w:rPr>
              <w:t>)</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surrender to United States, ordered.</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16, 2017</w:t>
            </w:r>
          </w:p>
          <w:p w:rsidR="00CA774A" w:rsidRPr="00CD6D96" w:rsidRDefault="00CA774A" w:rsidP="00CA774A">
            <w:pPr>
              <w:jc w:val="both"/>
              <w:rPr>
                <w:sz w:val="20"/>
                <w:szCs w:val="20"/>
              </w:rPr>
            </w:pPr>
            <w:r w:rsidRPr="00CD6D96">
              <w:rPr>
                <w:sz w:val="20"/>
                <w:szCs w:val="20"/>
              </w:rPr>
              <w:t xml:space="preserve">Court of Appeal for British Columbia </w:t>
            </w:r>
          </w:p>
          <w:p w:rsidR="00CA774A" w:rsidRPr="00CD6D96" w:rsidRDefault="00CA774A" w:rsidP="00CA774A">
            <w:pPr>
              <w:jc w:val="both"/>
              <w:rPr>
                <w:sz w:val="20"/>
                <w:szCs w:val="20"/>
              </w:rPr>
            </w:pPr>
            <w:r w:rsidRPr="00CD6D96">
              <w:rPr>
                <w:sz w:val="20"/>
                <w:szCs w:val="20"/>
              </w:rPr>
              <w:t>(Vancouver)</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Groberman</w:t>
            </w:r>
            <w:proofErr w:type="spellEnd"/>
            <w:r w:rsidRPr="00CD6D96">
              <w:rPr>
                <w:sz w:val="20"/>
                <w:szCs w:val="20"/>
              </w:rPr>
              <w:t>, Bennett and Harris JJ.A.)</w:t>
            </w:r>
          </w:p>
          <w:p w:rsidR="00CA774A" w:rsidRPr="00CD6D96" w:rsidRDefault="00F964D5" w:rsidP="00CA774A">
            <w:pPr>
              <w:jc w:val="both"/>
              <w:rPr>
                <w:sz w:val="20"/>
                <w:szCs w:val="20"/>
              </w:rPr>
            </w:pPr>
            <w:hyperlink r:id="rId36" w:history="1">
              <w:r w:rsidR="00CA774A" w:rsidRPr="00CD6D96">
                <w:rPr>
                  <w:rStyle w:val="Hyperlink"/>
                  <w:sz w:val="20"/>
                  <w:szCs w:val="20"/>
                </w:rPr>
                <w:t>2017 BCCA 241</w:t>
              </w:r>
            </w:hyperlink>
            <w:r w:rsidR="00CA774A" w:rsidRPr="00CD6D96">
              <w:rPr>
                <w:sz w:val="20"/>
                <w:szCs w:val="20"/>
              </w:rPr>
              <w:t xml:space="preserve"> </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application for judicial review of Minister’s surrender order, dismissed.</w:t>
            </w:r>
          </w:p>
          <w:p w:rsidR="00CA774A" w:rsidRPr="00CD6D96" w:rsidRDefault="00CA774A" w:rsidP="00CA774A">
            <w:pPr>
              <w:jc w:val="both"/>
              <w:rPr>
                <w:sz w:val="20"/>
                <w:szCs w:val="20"/>
              </w:rPr>
            </w:pP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September 14,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4"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rPr>
            </w:pPr>
            <w:r w:rsidRPr="00CD6D96">
              <w:rPr>
                <w:rStyle w:val="SCCFileNumberChar"/>
                <w:sz w:val="20"/>
                <w:szCs w:val="20"/>
              </w:rPr>
              <w:t>37745</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Nathan John Hall c. Canada (Ministre de la Justice)</w:t>
            </w:r>
          </w:p>
          <w:p w:rsidR="00CA774A" w:rsidRPr="00CD6D96" w:rsidRDefault="00CA774A" w:rsidP="00CA774A">
            <w:pPr>
              <w:jc w:val="both"/>
              <w:rPr>
                <w:sz w:val="20"/>
                <w:szCs w:val="20"/>
                <w:lang w:val="fr-CA"/>
              </w:rPr>
            </w:pPr>
            <w:r w:rsidRPr="00CD6D96">
              <w:rPr>
                <w:sz w:val="20"/>
                <w:szCs w:val="20"/>
                <w:lang w:val="fr-CA"/>
              </w:rPr>
              <w:t>(C.-B.) (Criminelle) (Sur autorisation)</w:t>
            </w:r>
          </w:p>
        </w:tc>
      </w:tr>
      <w:tr w:rsidR="00CA774A" w:rsidRPr="00F964D5" w:rsidTr="00CA774A">
        <w:tc>
          <w:tcPr>
            <w:tcW w:w="543"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57" w:type="pct"/>
            <w:gridSpan w:val="3"/>
          </w:tcPr>
          <w:p w:rsidR="00CA774A" w:rsidRDefault="00DA639E" w:rsidP="00CA774A">
            <w:pPr>
              <w:pStyle w:val="SCCLsocParty"/>
              <w:jc w:val="both"/>
              <w:rPr>
                <w:sz w:val="20"/>
                <w:szCs w:val="20"/>
                <w:lang w:val="fr-FR"/>
              </w:rPr>
            </w:pPr>
            <w:r w:rsidRPr="00714B68">
              <w:rPr>
                <w:sz w:val="20"/>
                <w:szCs w:val="20"/>
                <w:lang w:val="fr-FR"/>
              </w:rPr>
              <w:t xml:space="preserve">La juge en chef </w:t>
            </w:r>
            <w:proofErr w:type="spellStart"/>
            <w:r w:rsidRPr="00714B68">
              <w:rPr>
                <w:sz w:val="20"/>
                <w:szCs w:val="20"/>
                <w:lang w:val="fr-FR"/>
              </w:rPr>
              <w:t>McLachlin</w:t>
            </w:r>
            <w:proofErr w:type="spellEnd"/>
            <w:r w:rsidRPr="00714B68">
              <w:rPr>
                <w:sz w:val="20"/>
                <w:szCs w:val="20"/>
                <w:lang w:val="fr-FR"/>
              </w:rPr>
              <w:t xml:space="preserve"> et les juges Abella, </w:t>
            </w:r>
            <w:proofErr w:type="spellStart"/>
            <w:r w:rsidRPr="00714B68">
              <w:rPr>
                <w:sz w:val="20"/>
                <w:szCs w:val="20"/>
                <w:lang w:val="fr-FR"/>
              </w:rPr>
              <w:t>Moldaver</w:t>
            </w:r>
            <w:proofErr w:type="spellEnd"/>
            <w:r w:rsidRPr="00714B68">
              <w:rPr>
                <w:sz w:val="20"/>
                <w:szCs w:val="20"/>
                <w:lang w:val="fr-FR"/>
              </w:rPr>
              <w:t xml:space="preserve">, </w:t>
            </w:r>
            <w:proofErr w:type="spellStart"/>
            <w:r w:rsidRPr="00714B68">
              <w:rPr>
                <w:sz w:val="20"/>
                <w:szCs w:val="20"/>
                <w:lang w:val="fr-FR"/>
              </w:rPr>
              <w:t>Karakatsanis</w:t>
            </w:r>
            <w:proofErr w:type="spellEnd"/>
            <w:r w:rsidRPr="00714B68">
              <w:rPr>
                <w:sz w:val="20"/>
                <w:szCs w:val="20"/>
                <w:lang w:val="fr-FR"/>
              </w:rPr>
              <w:t>, Wagner, Gascon, Côté, Brown et Rowe</w:t>
            </w:r>
          </w:p>
          <w:p w:rsidR="00DA639E" w:rsidRPr="00DA639E" w:rsidRDefault="00DA639E" w:rsidP="00DA639E">
            <w:pPr>
              <w:rPr>
                <w:lang w:val="fr-FR"/>
              </w:rPr>
            </w:pPr>
          </w:p>
        </w:tc>
      </w:tr>
      <w:tr w:rsidR="00CA774A" w:rsidRPr="00F964D5" w:rsidTr="00CA774A">
        <w:tc>
          <w:tcPr>
            <w:tcW w:w="5000" w:type="pct"/>
            <w:gridSpan w:val="4"/>
          </w:tcPr>
          <w:p w:rsidR="00CA774A" w:rsidRDefault="00DA639E" w:rsidP="00CA774A">
            <w:pPr>
              <w:pStyle w:val="SCCLsocParty"/>
              <w:jc w:val="both"/>
              <w:rPr>
                <w:sz w:val="20"/>
                <w:szCs w:val="20"/>
              </w:rPr>
            </w:pPr>
            <w:r w:rsidRPr="00714B68">
              <w:rPr>
                <w:sz w:val="20"/>
                <w:szCs w:val="20"/>
              </w:rPr>
              <w:t xml:space="preserve">La demande d’autorisation d’appel de l’arrêt de la </w:t>
            </w:r>
            <w:r w:rsidRPr="00714B68">
              <w:rPr>
                <w:sz w:val="20"/>
                <w:szCs w:val="20"/>
                <w:lang w:val="fr-FR"/>
              </w:rPr>
              <w:t>Cour d’appel de la Colombie-Britannique (Vancouver)</w:t>
            </w:r>
            <w:r w:rsidRPr="00714B68">
              <w:rPr>
                <w:sz w:val="20"/>
                <w:szCs w:val="20"/>
              </w:rPr>
              <w:t xml:space="preserve">, numéro </w:t>
            </w:r>
            <w:r w:rsidRPr="00714B68">
              <w:rPr>
                <w:sz w:val="20"/>
                <w:szCs w:val="20"/>
                <w:lang w:val="fr-FR"/>
              </w:rPr>
              <w:t>CA44070, 2017 BCCA 241</w:t>
            </w:r>
            <w:r w:rsidRPr="00714B68">
              <w:rPr>
                <w:sz w:val="20"/>
                <w:szCs w:val="20"/>
              </w:rPr>
              <w:t xml:space="preserve">, daté du </w:t>
            </w:r>
            <w:r w:rsidRPr="00714B68">
              <w:rPr>
                <w:sz w:val="20"/>
                <w:szCs w:val="20"/>
                <w:lang w:val="fr-FR"/>
              </w:rPr>
              <w:t>16 juin 2017</w:t>
            </w:r>
            <w:r w:rsidRPr="00714B68">
              <w:rPr>
                <w:sz w:val="20"/>
                <w:szCs w:val="20"/>
              </w:rPr>
              <w:t>, est rejetée.</w:t>
            </w:r>
          </w:p>
          <w:p w:rsidR="00DA639E" w:rsidRPr="00DA639E" w:rsidRDefault="00DA639E" w:rsidP="00DA639E">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i/>
                <w:sz w:val="20"/>
                <w:szCs w:val="20"/>
                <w:lang w:val="fr-CA"/>
              </w:rPr>
              <w:t>Charte canadienne des droits et libertés</w:t>
            </w:r>
            <w:r w:rsidRPr="00CD6D96">
              <w:rPr>
                <w:sz w:val="20"/>
                <w:szCs w:val="20"/>
                <w:lang w:val="fr-CA"/>
              </w:rPr>
              <w:t xml:space="preserve"> – Droit criminel – Extradition – Contrôle judiciaire de l’arrêté d’extradition de la ministre – La Cour d’appel de la Colombie-Britannique a-t-elle eu tort de conclure que la décision d’extradition prise par la ministre de la Justice ne violait pas les droits à une défense pleine et entière de même qu’à un procès équitable protégés par l’art. 7 de la </w:t>
            </w:r>
            <w:r w:rsidRPr="00CD6D96">
              <w:rPr>
                <w:i/>
                <w:sz w:val="20"/>
                <w:szCs w:val="20"/>
                <w:lang w:val="fr-CA"/>
              </w:rPr>
              <w:t>Charte</w:t>
            </w:r>
            <w:r w:rsidRPr="00CD6D96">
              <w:rPr>
                <w:sz w:val="20"/>
                <w:szCs w:val="20"/>
                <w:lang w:val="fr-CA"/>
              </w:rPr>
              <w:t>?</w:t>
            </w:r>
          </w:p>
        </w:tc>
      </w:tr>
      <w:tr w:rsidR="00CA774A" w:rsidRPr="00F964D5" w:rsidTr="00CA774A">
        <w:tc>
          <w:tcPr>
            <w:tcW w:w="5000"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Le 14 avril 2015, les États-Unis ont sollicité l’extradition de Nathan Hall afin de le juger pour les infractions correspondant au trafic d’une substance désignée et à la possession d’une arme dans un dessein dangereux. Avant l’audience relative à l’incarcération, M. Hall a cherché à produire une preuve </w:t>
            </w:r>
            <w:proofErr w:type="spellStart"/>
            <w:r w:rsidRPr="00CD6D96">
              <w:rPr>
                <w:sz w:val="20"/>
                <w:szCs w:val="20"/>
                <w:lang w:val="fr-CA"/>
              </w:rPr>
              <w:t>exculpatoire</w:t>
            </w:r>
            <w:proofErr w:type="spellEnd"/>
            <w:r w:rsidRPr="00CD6D96">
              <w:rPr>
                <w:sz w:val="20"/>
                <w:szCs w:val="20"/>
                <w:lang w:val="fr-CA"/>
              </w:rPr>
              <w:t xml:space="preserve"> par affidavit selon laquelle il ne se trouvait pas sur les lieux au moment des faits et n’a joué aucun rôle dans ceux-ci. Le juge d’extradition a rejeté la requête parce que, selon lui, la preuve par affidavit ne remettait pas en question la fiabilité de la preuve au dossier. Il a plutôt conclu qu’elle incitait à soupeser la teneur des affidavits et à la comparer avec le témoignage des enquêteurs, tâches qui outrepassaient sa fonction et qui devraient appartenir au juge des faits.</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La Cour suprême de la Colombie-Britannique a ordonné l’incarcération de M. Hall en vue de son  extradition, concluant que la preuve à l’appui de son incarcération était suffisante pour établir à première vue le trafic d’une substance désignée et la possession d’une arme dans un dessein dangereux, et qu’un jury raisonnable ayant reçu des directives appropriées pouvait reconnaître M. Hall coupable des infractions correspondantes. La décision d’incarcération n’a pas été portée en appel. La ministre a ordonné par la suite que M. Hall soit extradé aux États-Unis afin d’y être jugé. La Cour d’appel de la Colombie-Britannique a rejeté la demande de contrôle judiciaire de M. Hall car, à son avis, la décision d’extradition prise par la ministre était raisonnable.</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CD6D96"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3 juin 2016</w:t>
            </w:r>
          </w:p>
          <w:p w:rsidR="00CA774A" w:rsidRPr="00CD6D96" w:rsidRDefault="00CA774A" w:rsidP="00CA774A">
            <w:pPr>
              <w:jc w:val="both"/>
              <w:rPr>
                <w:sz w:val="20"/>
                <w:szCs w:val="20"/>
                <w:lang w:val="fr-CA"/>
              </w:rPr>
            </w:pPr>
            <w:r w:rsidRPr="00CD6D96">
              <w:rPr>
                <w:sz w:val="20"/>
                <w:szCs w:val="20"/>
                <w:lang w:val="fr-CA"/>
              </w:rPr>
              <w:t>Cour suprême de la Colombie-Britannique</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Juge</w:t>
            </w:r>
            <w:proofErr w:type="spellEnd"/>
            <w:r w:rsidRPr="00CD6D96">
              <w:rPr>
                <w:sz w:val="20"/>
                <w:szCs w:val="20"/>
              </w:rPr>
              <w:t xml:space="preserve"> Pearlman)</w:t>
            </w:r>
          </w:p>
          <w:p w:rsidR="00CA774A" w:rsidRPr="00CD6D96" w:rsidRDefault="00F964D5" w:rsidP="00CA774A">
            <w:pPr>
              <w:jc w:val="both"/>
              <w:rPr>
                <w:sz w:val="20"/>
                <w:szCs w:val="20"/>
              </w:rPr>
            </w:pPr>
            <w:hyperlink r:id="rId37" w:history="1">
              <w:r w:rsidR="00CA774A" w:rsidRPr="00CD6D96">
                <w:rPr>
                  <w:rStyle w:val="Hyperlink"/>
                  <w:sz w:val="20"/>
                  <w:szCs w:val="20"/>
                </w:rPr>
                <w:t>2016 BCSC 1004</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lang w:val="fr-CA"/>
              </w:rPr>
            </w:pPr>
            <w:r w:rsidRPr="00CD6D96">
              <w:rPr>
                <w:sz w:val="20"/>
                <w:szCs w:val="20"/>
                <w:lang w:val="fr-CA"/>
              </w:rPr>
              <w:t>Demande en vue d’obtenir une ordonnance sursoyant à l’incarcération du demandeur en attendant la décision d’extradition, accueillie.  Ordonnance non portée en appel.</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29 octobre 2016</w:t>
            </w:r>
          </w:p>
          <w:p w:rsidR="00CA774A" w:rsidRPr="00CD6D96" w:rsidRDefault="00CA774A" w:rsidP="00CA774A">
            <w:pPr>
              <w:jc w:val="both"/>
              <w:rPr>
                <w:sz w:val="20"/>
                <w:szCs w:val="20"/>
                <w:lang w:val="fr-CA"/>
              </w:rPr>
            </w:pPr>
            <w:r w:rsidRPr="00CD6D96">
              <w:rPr>
                <w:sz w:val="20"/>
                <w:szCs w:val="20"/>
                <w:lang w:val="fr-CA"/>
              </w:rPr>
              <w:t>Ministre de la Justice</w:t>
            </w:r>
          </w:p>
          <w:p w:rsidR="00CA774A" w:rsidRPr="00CD6D96" w:rsidRDefault="00CA774A" w:rsidP="00CA774A">
            <w:pPr>
              <w:jc w:val="both"/>
              <w:rPr>
                <w:sz w:val="20"/>
                <w:szCs w:val="20"/>
                <w:lang w:val="fr-CA"/>
              </w:rPr>
            </w:pPr>
            <w:r w:rsidRPr="00CD6D96">
              <w:rPr>
                <w:sz w:val="20"/>
                <w:szCs w:val="20"/>
                <w:lang w:val="fr-CA"/>
              </w:rPr>
              <w:t>(Honorable J. Wilson-</w:t>
            </w:r>
            <w:proofErr w:type="spellStart"/>
            <w:r w:rsidRPr="00CD6D96">
              <w:rPr>
                <w:sz w:val="20"/>
                <w:szCs w:val="20"/>
                <w:lang w:val="fr-CA"/>
              </w:rPr>
              <w:t>Raybould</w:t>
            </w:r>
            <w:proofErr w:type="spellEnd"/>
            <w:r w:rsidRPr="00CD6D96">
              <w:rPr>
                <w:sz w:val="20"/>
                <w:szCs w:val="20"/>
                <w:lang w:val="fr-CA"/>
              </w:rPr>
              <w:t>)</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Extradition du demandeur aux États-Unis ordonnée.</w:t>
            </w: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16 juin 2017</w:t>
            </w:r>
          </w:p>
          <w:p w:rsidR="00CA774A" w:rsidRPr="00CD6D96" w:rsidRDefault="00CA774A" w:rsidP="00CA774A">
            <w:pPr>
              <w:jc w:val="both"/>
              <w:rPr>
                <w:sz w:val="20"/>
                <w:szCs w:val="20"/>
                <w:lang w:val="fr-CA"/>
              </w:rPr>
            </w:pPr>
            <w:r w:rsidRPr="00CD6D96">
              <w:rPr>
                <w:sz w:val="20"/>
                <w:szCs w:val="20"/>
                <w:lang w:val="fr-CA"/>
              </w:rPr>
              <w:t xml:space="preserve">Cour d’appel de la Colombie-Britannique  </w:t>
            </w:r>
          </w:p>
          <w:p w:rsidR="00CA774A" w:rsidRPr="00CD6D96" w:rsidRDefault="00CA774A" w:rsidP="00CA774A">
            <w:pPr>
              <w:jc w:val="both"/>
              <w:rPr>
                <w:sz w:val="20"/>
                <w:szCs w:val="20"/>
                <w:lang w:val="fr-CA"/>
              </w:rPr>
            </w:pPr>
            <w:r w:rsidRPr="00CD6D96">
              <w:rPr>
                <w:sz w:val="20"/>
                <w:szCs w:val="20"/>
                <w:lang w:val="fr-CA"/>
              </w:rPr>
              <w:t>(Vancouver)</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Groberman</w:t>
            </w:r>
            <w:proofErr w:type="spellEnd"/>
            <w:r w:rsidRPr="00CD6D96">
              <w:rPr>
                <w:sz w:val="20"/>
                <w:szCs w:val="20"/>
                <w:lang w:val="fr-CA"/>
              </w:rPr>
              <w:t>, Bennett et Harris)</w:t>
            </w:r>
          </w:p>
          <w:p w:rsidR="00CA774A" w:rsidRPr="00CD6D96" w:rsidRDefault="00F964D5" w:rsidP="00CA774A">
            <w:pPr>
              <w:jc w:val="both"/>
              <w:rPr>
                <w:sz w:val="20"/>
                <w:szCs w:val="20"/>
              </w:rPr>
            </w:pPr>
            <w:hyperlink r:id="rId38" w:history="1">
              <w:r w:rsidR="00CA774A" w:rsidRPr="00CD6D96">
                <w:rPr>
                  <w:rStyle w:val="Hyperlink"/>
                  <w:sz w:val="20"/>
                  <w:szCs w:val="20"/>
                </w:rPr>
                <w:t>2017 BCCA 241</w:t>
              </w:r>
            </w:hyperlink>
            <w:r w:rsidR="00CA774A" w:rsidRPr="00CD6D96">
              <w:rPr>
                <w:sz w:val="20"/>
                <w:szCs w:val="20"/>
              </w:rPr>
              <w:t xml:space="preserve"> </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 demande de contrôle judiciaire du demandeur visant l’arrêté d’extradition de la ministre.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14 septembre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45"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A774A" w:rsidRPr="00CD6D96" w:rsidTr="00CA774A">
        <w:trPr>
          <w:gridAfter w:val="1"/>
          <w:wAfter w:w="48" w:type="pct"/>
        </w:trPr>
        <w:tc>
          <w:tcPr>
            <w:tcW w:w="538" w:type="pct"/>
          </w:tcPr>
          <w:p w:rsidR="00CA774A" w:rsidRPr="00CD6D96" w:rsidRDefault="00CA774A" w:rsidP="00CA774A">
            <w:pPr>
              <w:jc w:val="both"/>
              <w:rPr>
                <w:sz w:val="20"/>
                <w:szCs w:val="20"/>
              </w:rPr>
            </w:pPr>
            <w:r w:rsidRPr="00CD6D96">
              <w:rPr>
                <w:rStyle w:val="SCCFileNumberChar"/>
                <w:sz w:val="20"/>
                <w:szCs w:val="20"/>
              </w:rPr>
              <w:t>37607</w:t>
            </w:r>
          </w:p>
        </w:tc>
        <w:tc>
          <w:tcPr>
            <w:tcW w:w="4414" w:type="pct"/>
            <w:gridSpan w:val="3"/>
          </w:tcPr>
          <w:p w:rsidR="00CA774A" w:rsidRPr="00CD6D96" w:rsidRDefault="00CA774A" w:rsidP="00CA774A">
            <w:pPr>
              <w:pStyle w:val="SCCLsocParty"/>
              <w:jc w:val="both"/>
              <w:rPr>
                <w:b/>
                <w:sz w:val="20"/>
                <w:szCs w:val="20"/>
                <w:lang w:val="en-CA"/>
              </w:rPr>
            </w:pPr>
            <w:r w:rsidRPr="00CD6D96">
              <w:rPr>
                <w:b/>
                <w:sz w:val="20"/>
                <w:szCs w:val="20"/>
                <w:lang w:val="en-CA"/>
              </w:rPr>
              <w:t xml:space="preserve">Yvan </w:t>
            </w:r>
            <w:proofErr w:type="spellStart"/>
            <w:r w:rsidRPr="00CD6D96">
              <w:rPr>
                <w:b/>
                <w:sz w:val="20"/>
                <w:szCs w:val="20"/>
                <w:lang w:val="en-CA"/>
              </w:rPr>
              <w:t>Branconnier</w:t>
            </w:r>
            <w:proofErr w:type="spellEnd"/>
            <w:r w:rsidRPr="00CD6D96">
              <w:rPr>
                <w:b/>
                <w:sz w:val="20"/>
                <w:szCs w:val="20"/>
                <w:lang w:val="en-CA"/>
              </w:rPr>
              <w:t xml:space="preserve"> v. Her Majesty the Queen</w:t>
            </w:r>
          </w:p>
          <w:p w:rsidR="00CA774A" w:rsidRPr="00CD6D96" w:rsidRDefault="00CA774A" w:rsidP="00CA774A">
            <w:pPr>
              <w:jc w:val="both"/>
              <w:rPr>
                <w:sz w:val="20"/>
                <w:szCs w:val="20"/>
              </w:rPr>
            </w:pPr>
            <w:r w:rsidRPr="00CD6D96">
              <w:rPr>
                <w:sz w:val="20"/>
                <w:szCs w:val="20"/>
              </w:rPr>
              <w:t>(Que.) (Criminal) (By Leave)</w:t>
            </w:r>
          </w:p>
        </w:tc>
      </w:tr>
      <w:tr w:rsidR="00CA774A" w:rsidRPr="00CD6D96" w:rsidTr="00CA774A">
        <w:trPr>
          <w:gridAfter w:val="1"/>
          <w:wAfter w:w="48" w:type="pct"/>
        </w:trPr>
        <w:tc>
          <w:tcPr>
            <w:tcW w:w="538"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4" w:type="pct"/>
            <w:gridSpan w:val="3"/>
          </w:tcPr>
          <w:p w:rsidR="00CA774A" w:rsidRDefault="00DA639E" w:rsidP="00CA774A">
            <w:pPr>
              <w:pStyle w:val="SCCLsocParty"/>
              <w:jc w:val="both"/>
              <w:rPr>
                <w:sz w:val="20"/>
                <w:szCs w:val="20"/>
                <w:lang w:val="en-CA"/>
              </w:rPr>
            </w:pPr>
            <w:proofErr w:type="spellStart"/>
            <w:r w:rsidRPr="00662756">
              <w:rPr>
                <w:sz w:val="20"/>
                <w:szCs w:val="20"/>
                <w:lang w:val="en-CA"/>
              </w:rPr>
              <w:t>McLachlin</w:t>
            </w:r>
            <w:proofErr w:type="spellEnd"/>
            <w:r w:rsidRPr="00662756">
              <w:rPr>
                <w:sz w:val="20"/>
                <w:szCs w:val="20"/>
                <w:lang w:val="en-CA"/>
              </w:rPr>
              <w:t xml:space="preserve"> C.J. and </w:t>
            </w:r>
            <w:proofErr w:type="spellStart"/>
            <w:r w:rsidRPr="00662756">
              <w:rPr>
                <w:sz w:val="20"/>
                <w:szCs w:val="20"/>
                <w:lang w:val="en-CA"/>
              </w:rPr>
              <w:t>Abella</w:t>
            </w:r>
            <w:proofErr w:type="spellEnd"/>
            <w:r w:rsidRPr="00662756">
              <w:rPr>
                <w:sz w:val="20"/>
                <w:szCs w:val="20"/>
                <w:lang w:val="en-CA"/>
              </w:rPr>
              <w:t xml:space="preserve">, </w:t>
            </w:r>
            <w:proofErr w:type="spellStart"/>
            <w:r w:rsidRPr="00662756">
              <w:rPr>
                <w:sz w:val="20"/>
                <w:szCs w:val="20"/>
                <w:lang w:val="en-CA"/>
              </w:rPr>
              <w:t>Moldaver</w:t>
            </w:r>
            <w:proofErr w:type="spellEnd"/>
            <w:r w:rsidRPr="00662756">
              <w:rPr>
                <w:sz w:val="20"/>
                <w:szCs w:val="20"/>
                <w:lang w:val="en-CA"/>
              </w:rPr>
              <w:t xml:space="preserve">, </w:t>
            </w:r>
            <w:proofErr w:type="spellStart"/>
            <w:r w:rsidRPr="00662756">
              <w:rPr>
                <w:sz w:val="20"/>
                <w:szCs w:val="20"/>
                <w:lang w:val="en-CA"/>
              </w:rPr>
              <w:t>Karakatsanis</w:t>
            </w:r>
            <w:proofErr w:type="spellEnd"/>
            <w:r w:rsidRPr="00662756">
              <w:rPr>
                <w:sz w:val="20"/>
                <w:szCs w:val="20"/>
                <w:lang w:val="en-CA"/>
              </w:rPr>
              <w:t xml:space="preserve">, Wagner, </w:t>
            </w:r>
            <w:proofErr w:type="spellStart"/>
            <w:r w:rsidRPr="00662756">
              <w:rPr>
                <w:sz w:val="20"/>
                <w:szCs w:val="20"/>
                <w:lang w:val="en-CA"/>
              </w:rPr>
              <w:t>Gascon</w:t>
            </w:r>
            <w:proofErr w:type="spellEnd"/>
            <w:r w:rsidRPr="00662756">
              <w:rPr>
                <w:sz w:val="20"/>
                <w:szCs w:val="20"/>
                <w:lang w:val="en-CA"/>
              </w:rPr>
              <w:t xml:space="preserve">, </w:t>
            </w:r>
            <w:proofErr w:type="spellStart"/>
            <w:r w:rsidRPr="00662756">
              <w:rPr>
                <w:sz w:val="20"/>
                <w:szCs w:val="20"/>
                <w:lang w:val="en-CA"/>
              </w:rPr>
              <w:t>Côté</w:t>
            </w:r>
            <w:proofErr w:type="spellEnd"/>
            <w:r w:rsidRPr="00662756">
              <w:rPr>
                <w:sz w:val="20"/>
                <w:szCs w:val="20"/>
                <w:lang w:val="en-CA"/>
              </w:rPr>
              <w:t>, Brown and Rowe JJ.</w:t>
            </w:r>
          </w:p>
          <w:p w:rsidR="00DA639E" w:rsidRPr="00DA639E" w:rsidRDefault="00DA639E" w:rsidP="00DA639E"/>
        </w:tc>
      </w:tr>
      <w:tr w:rsidR="00CA774A" w:rsidRPr="00CD6D96" w:rsidTr="00CA774A">
        <w:trPr>
          <w:gridAfter w:val="1"/>
          <w:wAfter w:w="48" w:type="pct"/>
        </w:trPr>
        <w:tc>
          <w:tcPr>
            <w:tcW w:w="4952" w:type="pct"/>
            <w:gridSpan w:val="4"/>
          </w:tcPr>
          <w:p w:rsidR="00CA774A" w:rsidRDefault="00DA639E" w:rsidP="00CA774A">
            <w:pPr>
              <w:pStyle w:val="SCCLsocParty"/>
              <w:jc w:val="both"/>
              <w:rPr>
                <w:sz w:val="20"/>
                <w:szCs w:val="20"/>
                <w:lang w:val="en-CA"/>
              </w:rPr>
            </w:pPr>
            <w:r w:rsidRPr="00662756">
              <w:rPr>
                <w:sz w:val="20"/>
                <w:szCs w:val="20"/>
                <w:lang w:val="en-CA"/>
              </w:rPr>
              <w:t>The motion for an extension of time to serve and file the application for leave to appeal is granted. The application for leave to appeal from the judgment of the Court of Appeal of Quebec (Québec), Number 200-10-003086-142, 2017 QCCA 116, dated January 30, 2017, is dismissed.</w:t>
            </w:r>
          </w:p>
          <w:p w:rsidR="00DA639E" w:rsidRPr="00DA639E" w:rsidRDefault="00DA639E" w:rsidP="00DA639E"/>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 xml:space="preserve">Criminal law — Evidence — </w:t>
            </w:r>
            <w:proofErr w:type="spellStart"/>
            <w:r w:rsidRPr="00CD6D96">
              <w:rPr>
                <w:i/>
                <w:sz w:val="20"/>
                <w:szCs w:val="20"/>
              </w:rPr>
              <w:t>Voir</w:t>
            </w:r>
            <w:proofErr w:type="spellEnd"/>
            <w:r w:rsidRPr="00CD6D96">
              <w:rPr>
                <w:i/>
                <w:sz w:val="20"/>
                <w:szCs w:val="20"/>
              </w:rPr>
              <w:t xml:space="preserve"> dire</w:t>
            </w:r>
            <w:r w:rsidRPr="00CD6D96">
              <w:rPr>
                <w:sz w:val="20"/>
                <w:szCs w:val="20"/>
              </w:rPr>
              <w:t xml:space="preserve"> — Admissibility of statements obtained as result of police trickery — Whether Court of Appeal erred in finding that no promises or threats were made and no </w:t>
            </w:r>
            <w:r w:rsidRPr="00CD6D96">
              <w:rPr>
                <w:i/>
                <w:sz w:val="20"/>
                <w:szCs w:val="20"/>
              </w:rPr>
              <w:t>quid pro quo</w:t>
            </w:r>
            <w:r w:rsidRPr="00CD6D96">
              <w:rPr>
                <w:sz w:val="20"/>
                <w:szCs w:val="20"/>
              </w:rPr>
              <w:t xml:space="preserve"> was offered at time of suspect’s confession — Whether Court of Appeal erred in finding in this case that police trickery, even though not such as might shock community, could only be subject of distinct inquiry or considered in relation to oppression suffered by suspect.</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The applicant Mr. </w:t>
            </w:r>
            <w:proofErr w:type="spellStart"/>
            <w:r w:rsidRPr="00CD6D96">
              <w:rPr>
                <w:sz w:val="20"/>
                <w:szCs w:val="20"/>
              </w:rPr>
              <w:t>Branconnier</w:t>
            </w:r>
            <w:proofErr w:type="spellEnd"/>
            <w:r w:rsidRPr="00CD6D96">
              <w:rPr>
                <w:sz w:val="20"/>
                <w:szCs w:val="20"/>
              </w:rPr>
              <w:t xml:space="preserve"> challenged the admissibility of statements he had given the police after being arrested for murder. It appeared that the statements had been made as a result of police trickery. The police had in fact concealed the death of Mr. </w:t>
            </w:r>
            <w:proofErr w:type="spellStart"/>
            <w:r w:rsidRPr="00CD6D96">
              <w:rPr>
                <w:sz w:val="20"/>
                <w:szCs w:val="20"/>
              </w:rPr>
              <w:t>Branconnier’s</w:t>
            </w:r>
            <w:proofErr w:type="spellEnd"/>
            <w:r w:rsidRPr="00CD6D96">
              <w:rPr>
                <w:sz w:val="20"/>
                <w:szCs w:val="20"/>
              </w:rPr>
              <w:t xml:space="preserve"> accomplice in order to make Mr. </w:t>
            </w:r>
            <w:proofErr w:type="spellStart"/>
            <w:r w:rsidRPr="00CD6D96">
              <w:rPr>
                <w:sz w:val="20"/>
                <w:szCs w:val="20"/>
              </w:rPr>
              <w:t>Branconnier</w:t>
            </w:r>
            <w:proofErr w:type="spellEnd"/>
            <w:r w:rsidRPr="00CD6D96">
              <w:rPr>
                <w:sz w:val="20"/>
                <w:szCs w:val="20"/>
              </w:rPr>
              <w:t xml:space="preserve"> believe that she might incriminate him at trial. When it came to determining the motive for the crime, the police officers had suggested that revealing it would help a future decision maker understand what he had done. </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lastRenderedPageBreak/>
              <w:t>The courts below found that the police officers’ ploy and the things they had said had not affected the voluntariness of Mr. </w:t>
            </w:r>
            <w:proofErr w:type="spellStart"/>
            <w:r w:rsidRPr="00CD6D96">
              <w:rPr>
                <w:sz w:val="20"/>
                <w:szCs w:val="20"/>
              </w:rPr>
              <w:t>Branconnier’s</w:t>
            </w:r>
            <w:proofErr w:type="spellEnd"/>
            <w:r w:rsidRPr="00CD6D96">
              <w:rPr>
                <w:sz w:val="20"/>
                <w:szCs w:val="20"/>
              </w:rPr>
              <w:t xml:space="preserve"> statements.</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September 12, 2014</w:t>
            </w:r>
          </w:p>
          <w:p w:rsidR="00CA774A" w:rsidRPr="00CD6D96" w:rsidRDefault="00CA774A" w:rsidP="00CA774A">
            <w:pPr>
              <w:jc w:val="both"/>
              <w:rPr>
                <w:sz w:val="20"/>
                <w:szCs w:val="20"/>
              </w:rPr>
            </w:pPr>
            <w:r w:rsidRPr="00CD6D96">
              <w:rPr>
                <w:sz w:val="20"/>
                <w:szCs w:val="20"/>
              </w:rPr>
              <w:t>Quebec Superior Court</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Huot</w:t>
            </w:r>
            <w:proofErr w:type="spellEnd"/>
            <w:r w:rsidRPr="00CD6D96">
              <w:rPr>
                <w:sz w:val="20"/>
                <w:szCs w:val="20"/>
              </w:rPr>
              <w:t xml:space="preserve"> J.)</w:t>
            </w:r>
          </w:p>
          <w:p w:rsidR="00CA774A" w:rsidRPr="00CD6D96" w:rsidRDefault="00CA774A" w:rsidP="00CA774A">
            <w:pPr>
              <w:jc w:val="both"/>
              <w:rPr>
                <w:sz w:val="20"/>
                <w:szCs w:val="20"/>
              </w:rPr>
            </w:pPr>
            <w:r w:rsidRPr="00CD6D96">
              <w:rPr>
                <w:sz w:val="20"/>
                <w:szCs w:val="20"/>
              </w:rPr>
              <w:t>2014 QCCS 5039</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 xml:space="preserve">Judgment rendered on </w:t>
            </w:r>
            <w:proofErr w:type="spellStart"/>
            <w:r w:rsidRPr="00CD6D96">
              <w:rPr>
                <w:i/>
                <w:sz w:val="20"/>
                <w:szCs w:val="20"/>
              </w:rPr>
              <w:t>voir</w:t>
            </w:r>
            <w:proofErr w:type="spellEnd"/>
            <w:r w:rsidRPr="00CD6D96">
              <w:rPr>
                <w:i/>
                <w:sz w:val="20"/>
                <w:szCs w:val="20"/>
              </w:rPr>
              <w:t xml:space="preserve"> dire</w:t>
            </w:r>
            <w:r w:rsidRPr="00CD6D96">
              <w:rPr>
                <w:sz w:val="20"/>
                <w:szCs w:val="20"/>
              </w:rPr>
              <w:t>: statements found to be admissible in evidence</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October 7, 2014</w:t>
            </w:r>
          </w:p>
          <w:p w:rsidR="00CA774A" w:rsidRPr="00CD6D96" w:rsidRDefault="00CA774A" w:rsidP="00CA774A">
            <w:pPr>
              <w:jc w:val="both"/>
              <w:rPr>
                <w:sz w:val="20"/>
                <w:szCs w:val="20"/>
              </w:rPr>
            </w:pPr>
            <w:r w:rsidRPr="00CD6D96">
              <w:rPr>
                <w:sz w:val="20"/>
                <w:szCs w:val="20"/>
              </w:rPr>
              <w:t xml:space="preserve">Quebec Superior Court </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Huot</w:t>
            </w:r>
            <w:proofErr w:type="spellEnd"/>
            <w:r w:rsidRPr="00CD6D96">
              <w:rPr>
                <w:sz w:val="20"/>
                <w:szCs w:val="20"/>
              </w:rPr>
              <w:t xml:space="preserve"> J.)</w:t>
            </w:r>
          </w:p>
          <w:p w:rsidR="00CA774A" w:rsidRPr="00CD6D96" w:rsidRDefault="00CA774A" w:rsidP="00CA774A">
            <w:pPr>
              <w:jc w:val="both"/>
              <w:rPr>
                <w:sz w:val="20"/>
                <w:szCs w:val="20"/>
              </w:rPr>
            </w:pPr>
            <w:r w:rsidRPr="00CD6D96">
              <w:rPr>
                <w:sz w:val="20"/>
                <w:szCs w:val="20"/>
              </w:rPr>
              <w:t xml:space="preserve">2014 QCCS 5039 </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Applicant convicted of first degree murder</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January 30, 2017</w:t>
            </w:r>
          </w:p>
          <w:p w:rsidR="00CA774A" w:rsidRPr="00CD6D96" w:rsidRDefault="00CA774A" w:rsidP="00CA774A">
            <w:pPr>
              <w:jc w:val="both"/>
              <w:rPr>
                <w:sz w:val="20"/>
                <w:szCs w:val="20"/>
              </w:rPr>
            </w:pPr>
            <w:r w:rsidRPr="00CD6D96">
              <w:rPr>
                <w:sz w:val="20"/>
                <w:szCs w:val="20"/>
              </w:rPr>
              <w:t>Quebec Court of Appeal (Québec)</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Rochette</w:t>
            </w:r>
            <w:proofErr w:type="spellEnd"/>
            <w:r w:rsidRPr="00CD6D96">
              <w:rPr>
                <w:sz w:val="20"/>
                <w:szCs w:val="20"/>
              </w:rPr>
              <w:t xml:space="preserve">, Gagnon and </w:t>
            </w:r>
            <w:proofErr w:type="spellStart"/>
            <w:r w:rsidRPr="00CD6D96">
              <w:rPr>
                <w:sz w:val="20"/>
                <w:szCs w:val="20"/>
              </w:rPr>
              <w:t>Marcotte</w:t>
            </w:r>
            <w:proofErr w:type="spellEnd"/>
            <w:r w:rsidRPr="00CD6D96">
              <w:rPr>
                <w:sz w:val="20"/>
                <w:szCs w:val="20"/>
              </w:rPr>
              <w:t xml:space="preserve"> JJ.A.)</w:t>
            </w:r>
          </w:p>
          <w:p w:rsidR="00CA774A" w:rsidRPr="00CD6D96" w:rsidRDefault="00CA774A" w:rsidP="00CA774A">
            <w:pPr>
              <w:jc w:val="both"/>
              <w:rPr>
                <w:sz w:val="20"/>
                <w:szCs w:val="20"/>
              </w:rPr>
            </w:pPr>
            <w:r w:rsidRPr="00CD6D96">
              <w:rPr>
                <w:sz w:val="20"/>
                <w:szCs w:val="20"/>
              </w:rPr>
              <w:t>2017 QCCA 116</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Appeal dismissed</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June 5, 2017</w:t>
            </w:r>
          </w:p>
          <w:p w:rsidR="00CA774A" w:rsidRPr="00CD6D96" w:rsidRDefault="00CA774A" w:rsidP="00CA774A">
            <w:pPr>
              <w:jc w:val="both"/>
              <w:rPr>
                <w:sz w:val="20"/>
                <w:szCs w:val="20"/>
              </w:rPr>
            </w:pPr>
            <w:r w:rsidRPr="00CD6D96">
              <w:rPr>
                <w:sz w:val="20"/>
                <w:szCs w:val="20"/>
              </w:rPr>
              <w:t>Supreme Court of Canada</w:t>
            </w: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6" style="width:2in;height:1pt" o:hrpct="0" o:hralign="center" o:hrstd="t" o:hrnoshade="t" o:hr="t" fillcolor="black [3213]" stroked="f"/>
        </w:pict>
      </w:r>
    </w:p>
    <w:p w:rsidR="00CA774A" w:rsidRPr="00CD6D96" w:rsidRDefault="00CA774A" w:rsidP="00CA774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A774A" w:rsidRPr="00CD6D96" w:rsidTr="00CA774A">
        <w:trPr>
          <w:gridAfter w:val="1"/>
          <w:wAfter w:w="48" w:type="pct"/>
        </w:trPr>
        <w:tc>
          <w:tcPr>
            <w:tcW w:w="538" w:type="pct"/>
          </w:tcPr>
          <w:p w:rsidR="00CA774A" w:rsidRPr="00CD6D96" w:rsidRDefault="00CA774A" w:rsidP="00CA774A">
            <w:pPr>
              <w:jc w:val="both"/>
              <w:rPr>
                <w:sz w:val="20"/>
                <w:szCs w:val="20"/>
              </w:rPr>
            </w:pPr>
            <w:r w:rsidRPr="00CD6D96">
              <w:rPr>
                <w:rStyle w:val="SCCFileNumberChar"/>
                <w:sz w:val="20"/>
                <w:szCs w:val="20"/>
              </w:rPr>
              <w:t>37607</w:t>
            </w:r>
          </w:p>
        </w:tc>
        <w:tc>
          <w:tcPr>
            <w:tcW w:w="4414" w:type="pct"/>
            <w:gridSpan w:val="3"/>
          </w:tcPr>
          <w:p w:rsidR="00CA774A" w:rsidRPr="00CD6D96" w:rsidRDefault="00CA774A" w:rsidP="00CA774A">
            <w:pPr>
              <w:pStyle w:val="SCCLsocParty"/>
              <w:jc w:val="both"/>
              <w:rPr>
                <w:b/>
                <w:sz w:val="20"/>
                <w:szCs w:val="20"/>
              </w:rPr>
            </w:pPr>
            <w:r w:rsidRPr="00CD6D96">
              <w:rPr>
                <w:b/>
                <w:sz w:val="20"/>
                <w:szCs w:val="20"/>
              </w:rPr>
              <w:t xml:space="preserve">Yvan </w:t>
            </w:r>
            <w:proofErr w:type="spellStart"/>
            <w:r w:rsidRPr="00CD6D96">
              <w:rPr>
                <w:b/>
                <w:sz w:val="20"/>
                <w:szCs w:val="20"/>
              </w:rPr>
              <w:t>Branconnier</w:t>
            </w:r>
            <w:proofErr w:type="spellEnd"/>
            <w:r w:rsidRPr="00CD6D96">
              <w:rPr>
                <w:b/>
                <w:sz w:val="20"/>
                <w:szCs w:val="20"/>
              </w:rPr>
              <w:t xml:space="preserve"> c. Sa Majesté la Reine</w:t>
            </w:r>
          </w:p>
          <w:p w:rsidR="00CA774A" w:rsidRPr="00CD6D96" w:rsidRDefault="00CA774A" w:rsidP="00CA774A">
            <w:pPr>
              <w:jc w:val="both"/>
              <w:rPr>
                <w:sz w:val="20"/>
                <w:szCs w:val="20"/>
              </w:rPr>
            </w:pPr>
            <w:r w:rsidRPr="00CD6D96">
              <w:rPr>
                <w:sz w:val="20"/>
                <w:szCs w:val="20"/>
              </w:rPr>
              <w:t>(Qc) (</w:t>
            </w:r>
            <w:proofErr w:type="spellStart"/>
            <w:r w:rsidRPr="00CD6D96">
              <w:rPr>
                <w:sz w:val="20"/>
                <w:szCs w:val="20"/>
              </w:rPr>
              <w:t>Criminelle</w:t>
            </w:r>
            <w:proofErr w:type="spellEnd"/>
            <w:r w:rsidRPr="00CD6D96">
              <w:rPr>
                <w:sz w:val="20"/>
                <w:szCs w:val="20"/>
              </w:rPr>
              <w:t>) (</w:t>
            </w:r>
            <w:proofErr w:type="spellStart"/>
            <w:r w:rsidRPr="00CD6D96">
              <w:rPr>
                <w:sz w:val="20"/>
                <w:szCs w:val="20"/>
              </w:rPr>
              <w:t>Autorisation</w:t>
            </w:r>
            <w:proofErr w:type="spellEnd"/>
            <w:r w:rsidRPr="00CD6D96">
              <w:rPr>
                <w:sz w:val="20"/>
                <w:szCs w:val="20"/>
              </w:rPr>
              <w:t>)</w:t>
            </w:r>
          </w:p>
        </w:tc>
      </w:tr>
      <w:tr w:rsidR="00CA774A" w:rsidRPr="00F964D5" w:rsidTr="00CA774A">
        <w:trPr>
          <w:gridAfter w:val="1"/>
          <w:wAfter w:w="48" w:type="pct"/>
        </w:trPr>
        <w:tc>
          <w:tcPr>
            <w:tcW w:w="538"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4" w:type="pct"/>
            <w:gridSpan w:val="3"/>
          </w:tcPr>
          <w:p w:rsidR="00CA774A" w:rsidRDefault="00DA639E" w:rsidP="00CA774A">
            <w:pPr>
              <w:pStyle w:val="SCCLsocParty"/>
              <w:jc w:val="both"/>
              <w:rPr>
                <w:sz w:val="20"/>
                <w:szCs w:val="20"/>
              </w:rPr>
            </w:pPr>
            <w:r w:rsidRPr="00662756">
              <w:rPr>
                <w:sz w:val="20"/>
                <w:szCs w:val="20"/>
              </w:rPr>
              <w:t xml:space="preserve">La juge en chef </w:t>
            </w:r>
            <w:proofErr w:type="spellStart"/>
            <w:r w:rsidRPr="00662756">
              <w:rPr>
                <w:sz w:val="20"/>
                <w:szCs w:val="20"/>
              </w:rPr>
              <w:t>McLachlin</w:t>
            </w:r>
            <w:proofErr w:type="spellEnd"/>
            <w:r w:rsidRPr="00662756">
              <w:rPr>
                <w:sz w:val="20"/>
                <w:szCs w:val="20"/>
              </w:rPr>
              <w:t xml:space="preserve"> et les juges Abella, </w:t>
            </w:r>
            <w:proofErr w:type="spellStart"/>
            <w:r w:rsidRPr="00662756">
              <w:rPr>
                <w:sz w:val="20"/>
                <w:szCs w:val="20"/>
              </w:rPr>
              <w:t>Moldaver</w:t>
            </w:r>
            <w:proofErr w:type="spellEnd"/>
            <w:r w:rsidRPr="00662756">
              <w:rPr>
                <w:sz w:val="20"/>
                <w:szCs w:val="20"/>
              </w:rPr>
              <w:t xml:space="preserve">, </w:t>
            </w:r>
            <w:proofErr w:type="spellStart"/>
            <w:r w:rsidRPr="00662756">
              <w:rPr>
                <w:sz w:val="20"/>
                <w:szCs w:val="20"/>
              </w:rPr>
              <w:t>Karakatsanis</w:t>
            </w:r>
            <w:proofErr w:type="spellEnd"/>
            <w:r w:rsidRPr="00662756">
              <w:rPr>
                <w:sz w:val="20"/>
                <w:szCs w:val="20"/>
              </w:rPr>
              <w:t>, Wagner, Gascon, Côté, Brown et Rowe</w:t>
            </w:r>
          </w:p>
          <w:p w:rsidR="00DA639E" w:rsidRPr="00DA639E" w:rsidRDefault="00DA639E" w:rsidP="00DA639E">
            <w:pPr>
              <w:rPr>
                <w:lang w:val="fr-CA"/>
              </w:rPr>
            </w:pPr>
          </w:p>
        </w:tc>
      </w:tr>
      <w:tr w:rsidR="00CA774A" w:rsidRPr="00F964D5" w:rsidTr="00CA774A">
        <w:trPr>
          <w:gridAfter w:val="1"/>
          <w:wAfter w:w="48" w:type="pct"/>
        </w:trPr>
        <w:tc>
          <w:tcPr>
            <w:tcW w:w="4952" w:type="pct"/>
            <w:gridSpan w:val="4"/>
          </w:tcPr>
          <w:p w:rsidR="00CA774A" w:rsidRDefault="00DA639E" w:rsidP="00CA774A">
            <w:pPr>
              <w:pStyle w:val="SCCLsocParty"/>
              <w:jc w:val="both"/>
              <w:rPr>
                <w:sz w:val="20"/>
                <w:szCs w:val="20"/>
              </w:rPr>
            </w:pPr>
            <w:r w:rsidRPr="00662756">
              <w:rPr>
                <w:sz w:val="20"/>
                <w:szCs w:val="20"/>
              </w:rPr>
              <w:t>La requête en prorogation du délai de signification et de dépôt de la demande d’autorisation d’appel est accueillie. La demande d’autorisation d’appel de l’arrêt de la Cour d’appel du Québec (Québec), numéro 200-10-003086-142, 2017 QCCA 116, daté du 30 janvier 2017, est rejetée.</w:t>
            </w:r>
          </w:p>
          <w:p w:rsidR="00DA639E" w:rsidRPr="00DA639E" w:rsidRDefault="00DA639E" w:rsidP="00DA639E">
            <w:pPr>
              <w:rPr>
                <w:lang w:val="fr-CA"/>
              </w:rPr>
            </w:pP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r w:rsidRPr="00CD6D96">
              <w:rPr>
                <w:sz w:val="20"/>
                <w:szCs w:val="20"/>
                <w:lang w:val="fr-CA"/>
              </w:rPr>
              <w:t>Droit criminel — Preuve — Voir-dire — Admissibilité de déclarations obtenues suite à la ruse policière — La Cour d’appel a-t-elle commis une erreur en concluant qu’il n’y a pas eu de promesses ou menaces ni de contrepartie offertes lors de la confession du suspect? — La Cour d’appel a-t-elle commis une erreur en concluant dans le présent cas que la ruse policière, même si elle n’est pas l’une de celle qui puisse choquer la collectivité, devait être analysée uniquement de façon distincte ou en lien avec l’oppression subie par le suspect?</w:t>
            </w: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Le demandeur, M. </w:t>
            </w:r>
            <w:proofErr w:type="spellStart"/>
            <w:r w:rsidRPr="00CD6D96">
              <w:rPr>
                <w:sz w:val="20"/>
                <w:szCs w:val="20"/>
                <w:lang w:val="fr-CA"/>
              </w:rPr>
              <w:t>Branconnier</w:t>
            </w:r>
            <w:proofErr w:type="spellEnd"/>
            <w:r w:rsidRPr="00CD6D96">
              <w:rPr>
                <w:sz w:val="20"/>
                <w:szCs w:val="20"/>
                <w:lang w:val="fr-CA"/>
              </w:rPr>
              <w:t>, conteste l’admissibilité de déclarations qu’il a fournies aux policiers à la suite de son arrestation pour meurtre. Il appert que ces déclarations ont été faites à la suite d’une ruse policière. Les policiers ont effectivement caché le décès de la complice de M. </w:t>
            </w:r>
            <w:proofErr w:type="spellStart"/>
            <w:r w:rsidRPr="00CD6D96">
              <w:rPr>
                <w:sz w:val="20"/>
                <w:szCs w:val="20"/>
                <w:lang w:val="fr-CA"/>
              </w:rPr>
              <w:t>Branconnier</w:t>
            </w:r>
            <w:proofErr w:type="spellEnd"/>
            <w:r w:rsidRPr="00CD6D96">
              <w:rPr>
                <w:sz w:val="20"/>
                <w:szCs w:val="20"/>
                <w:lang w:val="fr-CA"/>
              </w:rPr>
              <w:t>, dans le but d’entretenir chez M. </w:t>
            </w:r>
            <w:proofErr w:type="spellStart"/>
            <w:r w:rsidRPr="00CD6D96">
              <w:rPr>
                <w:sz w:val="20"/>
                <w:szCs w:val="20"/>
                <w:lang w:val="fr-CA"/>
              </w:rPr>
              <w:t>Branconnier</w:t>
            </w:r>
            <w:proofErr w:type="spellEnd"/>
            <w:r w:rsidRPr="00CD6D96">
              <w:rPr>
                <w:sz w:val="20"/>
                <w:szCs w:val="20"/>
                <w:lang w:val="fr-CA"/>
              </w:rPr>
              <w:t xml:space="preserve"> la croyance que celle-ci pourrait l’incriminer au procès. Puis, au moment de déterminer le motif du crime, les policiers ont suggéré </w:t>
            </w:r>
            <w:r w:rsidRPr="00CD6D96">
              <w:rPr>
                <w:sz w:val="20"/>
                <w:szCs w:val="20"/>
                <w:lang w:val="fr-FR"/>
              </w:rPr>
              <w:t xml:space="preserve">que cette démarche permettrait à un éventuel décideur de comprendre son passage à l’acte. </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Les tribunaux inférieurs ont conclu que le stratagème des policiers et les propos qu’ils ont tenus ne portent aucunement atteinte au caractère volontaire des verbalisations de M. </w:t>
            </w:r>
            <w:proofErr w:type="spellStart"/>
            <w:r w:rsidRPr="00CD6D96">
              <w:rPr>
                <w:sz w:val="20"/>
                <w:szCs w:val="20"/>
                <w:lang w:val="fr-CA"/>
              </w:rPr>
              <w:t>Branconnier</w:t>
            </w:r>
            <w:proofErr w:type="spellEnd"/>
            <w:r w:rsidRPr="00CD6D96">
              <w:rPr>
                <w:sz w:val="20"/>
                <w:szCs w:val="20"/>
                <w:lang w:val="fr-CA"/>
              </w:rPr>
              <w:t>.</w:t>
            </w: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12 septembre 2014</w:t>
            </w:r>
          </w:p>
          <w:p w:rsidR="00CA774A" w:rsidRPr="00CD6D96" w:rsidRDefault="00CA774A" w:rsidP="00CA774A">
            <w:pPr>
              <w:jc w:val="both"/>
              <w:rPr>
                <w:sz w:val="20"/>
                <w:szCs w:val="20"/>
                <w:lang w:val="fr-CA"/>
              </w:rPr>
            </w:pPr>
            <w:r w:rsidRPr="00CD6D96">
              <w:rPr>
                <w:sz w:val="20"/>
                <w:szCs w:val="20"/>
                <w:lang w:val="fr-CA"/>
              </w:rPr>
              <w:t>Cour supérieure du Québec</w:t>
            </w:r>
          </w:p>
          <w:p w:rsidR="00CA774A" w:rsidRPr="00CD6D96" w:rsidRDefault="00CA774A" w:rsidP="00CA774A">
            <w:pPr>
              <w:jc w:val="both"/>
              <w:rPr>
                <w:sz w:val="20"/>
                <w:szCs w:val="20"/>
              </w:rPr>
            </w:pPr>
            <w:r w:rsidRPr="00CD6D96">
              <w:rPr>
                <w:sz w:val="20"/>
                <w:szCs w:val="20"/>
              </w:rPr>
              <w:t xml:space="preserve">(Le </w:t>
            </w:r>
            <w:proofErr w:type="spellStart"/>
            <w:r w:rsidRPr="00CD6D96">
              <w:rPr>
                <w:sz w:val="20"/>
                <w:szCs w:val="20"/>
              </w:rPr>
              <w:t>juge</w:t>
            </w:r>
            <w:proofErr w:type="spellEnd"/>
            <w:r w:rsidRPr="00CD6D96">
              <w:rPr>
                <w:sz w:val="20"/>
                <w:szCs w:val="20"/>
              </w:rPr>
              <w:t xml:space="preserve"> </w:t>
            </w:r>
            <w:proofErr w:type="spellStart"/>
            <w:r w:rsidRPr="00CD6D96">
              <w:rPr>
                <w:sz w:val="20"/>
                <w:szCs w:val="20"/>
              </w:rPr>
              <w:t>Huot</w:t>
            </w:r>
            <w:proofErr w:type="spellEnd"/>
            <w:r w:rsidRPr="00CD6D96">
              <w:rPr>
                <w:sz w:val="20"/>
                <w:szCs w:val="20"/>
              </w:rPr>
              <w:t>)</w:t>
            </w:r>
          </w:p>
          <w:p w:rsidR="00CA774A" w:rsidRPr="00CD6D96" w:rsidRDefault="00CA774A" w:rsidP="00CA774A">
            <w:pPr>
              <w:jc w:val="both"/>
              <w:rPr>
                <w:sz w:val="20"/>
                <w:szCs w:val="20"/>
              </w:rPr>
            </w:pPr>
            <w:r w:rsidRPr="00CD6D96">
              <w:rPr>
                <w:sz w:val="20"/>
                <w:szCs w:val="20"/>
              </w:rPr>
              <w:t>2014 QCCS 5039</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Jugement sur voir-dire : Déclarations admissibles en preuve</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lastRenderedPageBreak/>
              <w:t>Le 7 octobre 2014</w:t>
            </w:r>
          </w:p>
          <w:p w:rsidR="00CA774A" w:rsidRPr="00CD6D96" w:rsidRDefault="00CA774A" w:rsidP="00CA774A">
            <w:pPr>
              <w:jc w:val="both"/>
              <w:rPr>
                <w:sz w:val="20"/>
                <w:szCs w:val="20"/>
                <w:lang w:val="fr-CA"/>
              </w:rPr>
            </w:pPr>
            <w:r w:rsidRPr="00CD6D96">
              <w:rPr>
                <w:sz w:val="20"/>
                <w:szCs w:val="20"/>
                <w:lang w:val="fr-CA"/>
              </w:rPr>
              <w:t xml:space="preserve">Cour supérieure du Québec </w:t>
            </w:r>
          </w:p>
          <w:p w:rsidR="00CA774A" w:rsidRPr="00CD6D96" w:rsidRDefault="00CA774A" w:rsidP="00CA774A">
            <w:pPr>
              <w:jc w:val="both"/>
              <w:rPr>
                <w:sz w:val="20"/>
                <w:szCs w:val="20"/>
              </w:rPr>
            </w:pPr>
            <w:r w:rsidRPr="00CD6D96">
              <w:rPr>
                <w:sz w:val="20"/>
                <w:szCs w:val="20"/>
              </w:rPr>
              <w:t xml:space="preserve">(Le </w:t>
            </w:r>
            <w:proofErr w:type="spellStart"/>
            <w:r w:rsidRPr="00CD6D96">
              <w:rPr>
                <w:sz w:val="20"/>
                <w:szCs w:val="20"/>
              </w:rPr>
              <w:t>juge</w:t>
            </w:r>
            <w:proofErr w:type="spellEnd"/>
            <w:r w:rsidRPr="00CD6D96">
              <w:rPr>
                <w:sz w:val="20"/>
                <w:szCs w:val="20"/>
              </w:rPr>
              <w:t xml:space="preserve"> </w:t>
            </w:r>
            <w:proofErr w:type="spellStart"/>
            <w:r w:rsidRPr="00CD6D96">
              <w:rPr>
                <w:sz w:val="20"/>
                <w:szCs w:val="20"/>
              </w:rPr>
              <w:t>Huot</w:t>
            </w:r>
            <w:proofErr w:type="spellEnd"/>
            <w:r w:rsidRPr="00CD6D96">
              <w:rPr>
                <w:sz w:val="20"/>
                <w:szCs w:val="20"/>
              </w:rPr>
              <w:t>)</w:t>
            </w:r>
          </w:p>
          <w:p w:rsidR="00CA774A" w:rsidRPr="00CD6D96" w:rsidRDefault="00CA774A" w:rsidP="00CA774A">
            <w:pPr>
              <w:jc w:val="both"/>
              <w:rPr>
                <w:sz w:val="20"/>
                <w:szCs w:val="20"/>
              </w:rPr>
            </w:pPr>
            <w:r w:rsidRPr="00CD6D96">
              <w:rPr>
                <w:sz w:val="20"/>
                <w:szCs w:val="20"/>
              </w:rPr>
              <w:t xml:space="preserve">2014 QCCS 5039 </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Déclaration culpabilité : meurtre au premier degré</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30 janvier 2017</w:t>
            </w:r>
          </w:p>
          <w:p w:rsidR="00CA774A" w:rsidRPr="00CD6D96" w:rsidRDefault="00CA774A" w:rsidP="00CA774A">
            <w:pPr>
              <w:jc w:val="both"/>
              <w:rPr>
                <w:sz w:val="20"/>
                <w:szCs w:val="20"/>
                <w:lang w:val="fr-CA"/>
              </w:rPr>
            </w:pPr>
            <w:r w:rsidRPr="00CD6D96">
              <w:rPr>
                <w:sz w:val="20"/>
                <w:szCs w:val="20"/>
                <w:lang w:val="fr-CA"/>
              </w:rPr>
              <w:t>Cour d’appel du Québec (Québec)</w:t>
            </w:r>
          </w:p>
          <w:p w:rsidR="00CA774A" w:rsidRPr="00CD6D96" w:rsidRDefault="00CA774A" w:rsidP="00CA774A">
            <w:pPr>
              <w:jc w:val="both"/>
              <w:rPr>
                <w:sz w:val="20"/>
                <w:szCs w:val="20"/>
                <w:lang w:val="fr-CA"/>
              </w:rPr>
            </w:pPr>
            <w:r w:rsidRPr="00CD6D96">
              <w:rPr>
                <w:sz w:val="20"/>
                <w:szCs w:val="20"/>
                <w:lang w:val="fr-CA"/>
              </w:rPr>
              <w:t>(Les juges Rochette, Gagnon et Marcotte)</w:t>
            </w:r>
          </w:p>
          <w:p w:rsidR="00CA774A" w:rsidRPr="00CD6D96" w:rsidRDefault="00CA774A" w:rsidP="00CA774A">
            <w:pPr>
              <w:jc w:val="both"/>
              <w:rPr>
                <w:sz w:val="20"/>
                <w:szCs w:val="20"/>
              </w:rPr>
            </w:pPr>
            <w:r w:rsidRPr="00CD6D96">
              <w:rPr>
                <w:sz w:val="20"/>
                <w:szCs w:val="20"/>
              </w:rPr>
              <w:t>2017 QCCA 116</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 xml:space="preserve">Appel </w:t>
            </w:r>
            <w:proofErr w:type="spellStart"/>
            <w:r w:rsidRPr="00CD6D96">
              <w:rPr>
                <w:sz w:val="20"/>
                <w:szCs w:val="20"/>
              </w:rPr>
              <w:t>rejeté</w:t>
            </w:r>
            <w:proofErr w:type="spellEnd"/>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Le 5 juin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47"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CA774A" w:rsidRPr="00CD6D96" w:rsidTr="0024569C">
        <w:tc>
          <w:tcPr>
            <w:tcW w:w="536" w:type="pct"/>
          </w:tcPr>
          <w:p w:rsidR="00CA774A" w:rsidRPr="00CD6D96" w:rsidRDefault="00CA774A" w:rsidP="00CA774A">
            <w:pPr>
              <w:jc w:val="both"/>
              <w:rPr>
                <w:sz w:val="20"/>
                <w:szCs w:val="20"/>
              </w:rPr>
            </w:pPr>
            <w:r w:rsidRPr="00CD6D96">
              <w:rPr>
                <w:rStyle w:val="SCCFileNumberChar"/>
                <w:sz w:val="20"/>
                <w:szCs w:val="20"/>
              </w:rPr>
              <w:t>37704</w:t>
            </w:r>
          </w:p>
        </w:tc>
        <w:tc>
          <w:tcPr>
            <w:tcW w:w="4464"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Stephen Parsons v. B. </w:t>
            </w:r>
            <w:proofErr w:type="spellStart"/>
            <w:r w:rsidRPr="00CD6D96">
              <w:rPr>
                <w:b/>
                <w:sz w:val="20"/>
                <w:szCs w:val="20"/>
                <w:lang w:val="en-US"/>
              </w:rPr>
              <w:t>Komer</w:t>
            </w:r>
            <w:proofErr w:type="spellEnd"/>
          </w:p>
          <w:p w:rsidR="00CA774A" w:rsidRPr="00CD6D96" w:rsidRDefault="00CA774A" w:rsidP="00CA774A">
            <w:pPr>
              <w:jc w:val="both"/>
              <w:rPr>
                <w:sz w:val="20"/>
                <w:szCs w:val="20"/>
              </w:rPr>
            </w:pPr>
            <w:r w:rsidRPr="00CD6D96">
              <w:rPr>
                <w:sz w:val="20"/>
                <w:szCs w:val="20"/>
              </w:rPr>
              <w:t>(Ont.) (Civil) (By Leave)</w:t>
            </w:r>
          </w:p>
        </w:tc>
      </w:tr>
      <w:tr w:rsidR="00CA774A" w:rsidRPr="00CD6D96" w:rsidTr="0024569C">
        <w:tc>
          <w:tcPr>
            <w:tcW w:w="536"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64" w:type="pct"/>
            <w:gridSpan w:val="3"/>
          </w:tcPr>
          <w:p w:rsidR="00CA774A"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CA774A" w:rsidRPr="00CD6D96" w:rsidTr="00CA774A">
        <w:tc>
          <w:tcPr>
            <w:tcW w:w="5000" w:type="pct"/>
            <w:gridSpan w:val="4"/>
          </w:tcPr>
          <w:p w:rsidR="00CA774A" w:rsidRDefault="00AD1C76" w:rsidP="00CA774A">
            <w:pPr>
              <w:pStyle w:val="SCCLsocParty"/>
              <w:jc w:val="both"/>
              <w:rPr>
                <w:sz w:val="20"/>
                <w:szCs w:val="20"/>
                <w:lang w:val="en-US"/>
              </w:rPr>
            </w:pPr>
            <w:r w:rsidRPr="00AD1C76">
              <w:rPr>
                <w:sz w:val="20"/>
                <w:szCs w:val="20"/>
                <w:lang w:val="en-US"/>
              </w:rPr>
              <w:t>The application for leave to appeal from the judgment of the Court of Appeal for Ontario, Number C60992, 2017 ONCA 407, dated May 23, 2017, is dismissed.</w:t>
            </w:r>
          </w:p>
          <w:p w:rsidR="00AD1C76" w:rsidRPr="00AD1C76" w:rsidRDefault="00AD1C76" w:rsidP="00AD1C76">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Administrative law – Boards and tribunals – Natural justice – Standard of review – Health law – Consent to care – Patient held at mental health institution found incapable of consent to medical treatment – What is the level of procedural fairness required in a hearing for treatment capacity? – What is the appropriate standard of review for questions of procedural fairness? </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Mr. Parsons was charged with possession of a weapon for a dangerous purpose. He was found not criminally responsible due to a mental disorder and detained at a mental health institution. Dr. </w:t>
            </w:r>
            <w:proofErr w:type="spellStart"/>
            <w:r w:rsidRPr="00CD6D96">
              <w:rPr>
                <w:sz w:val="20"/>
                <w:szCs w:val="20"/>
              </w:rPr>
              <w:t>Komer</w:t>
            </w:r>
            <w:proofErr w:type="spellEnd"/>
            <w:r w:rsidRPr="00CD6D96">
              <w:rPr>
                <w:sz w:val="20"/>
                <w:szCs w:val="20"/>
              </w:rPr>
              <w:t xml:space="preserve"> found Mr. Parsons incapable of consenting to treatment. Mr. Parsons appealed the finding to the Consent and Capacity Board.</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Mr. Parsons attended the hearing before the Board on his own behalf. The Board adjourned the hearing to give Mr. Parsons an opportunity to retain counsel. When the hearing resumed, Mr. Parsons appeared once again without a lawyer but indicated to the Board that he was prepared to represent himself. The Board explained the hearing process to Mr. Parsons, and the hearing proceeded. Dr. </w:t>
            </w:r>
            <w:proofErr w:type="spellStart"/>
            <w:r w:rsidRPr="00CD6D96">
              <w:rPr>
                <w:sz w:val="20"/>
                <w:szCs w:val="20"/>
              </w:rPr>
              <w:t>Komer</w:t>
            </w:r>
            <w:proofErr w:type="spellEnd"/>
            <w:r w:rsidRPr="00CD6D96">
              <w:rPr>
                <w:sz w:val="20"/>
                <w:szCs w:val="20"/>
              </w:rPr>
              <w:t xml:space="preserve"> gave evidence first. When invited by the Board to ask questions, Mr. Parsons made long and incoherent submissions. The Board upheld Dr. </w:t>
            </w:r>
            <w:proofErr w:type="spellStart"/>
            <w:r w:rsidRPr="00CD6D96">
              <w:rPr>
                <w:sz w:val="20"/>
                <w:szCs w:val="20"/>
              </w:rPr>
              <w:t>Komer’s</w:t>
            </w:r>
            <w:proofErr w:type="spellEnd"/>
            <w:r w:rsidRPr="00CD6D96">
              <w:rPr>
                <w:sz w:val="20"/>
                <w:szCs w:val="20"/>
              </w:rPr>
              <w:t xml:space="preserve"> finding that Mr. Parsons was incapable of consenting to treatment. Mr. Parsons appealed, arguing that the evidence in support of the finding was insufficient, and that the Board breached its duty of procedural fairness.</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tcPr>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March 12, 2015</w:t>
            </w:r>
          </w:p>
          <w:p w:rsidR="00CA774A" w:rsidRPr="00CD6D96" w:rsidRDefault="00CA774A" w:rsidP="00CA774A">
            <w:pPr>
              <w:jc w:val="both"/>
              <w:rPr>
                <w:sz w:val="20"/>
                <w:szCs w:val="20"/>
              </w:rPr>
            </w:pPr>
            <w:r w:rsidRPr="00CD6D96">
              <w:rPr>
                <w:sz w:val="20"/>
                <w:szCs w:val="20"/>
              </w:rPr>
              <w:t xml:space="preserve">Consent and Capacity Board </w:t>
            </w:r>
          </w:p>
          <w:p w:rsidR="00CA774A" w:rsidRPr="00CD6D96" w:rsidRDefault="00CA774A" w:rsidP="00CA774A">
            <w:pPr>
              <w:jc w:val="both"/>
              <w:rPr>
                <w:sz w:val="20"/>
                <w:szCs w:val="20"/>
              </w:rPr>
            </w:pPr>
            <w:r w:rsidRPr="00CD6D96">
              <w:rPr>
                <w:sz w:val="20"/>
                <w:szCs w:val="20"/>
              </w:rPr>
              <w:t>(J. Bell, Senior Lawyer and Presiding Member)</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tcPr>
          <w:p w:rsidR="00CA774A" w:rsidRPr="00CD6D96" w:rsidRDefault="00CA774A" w:rsidP="00CA774A">
            <w:pPr>
              <w:jc w:val="both"/>
              <w:rPr>
                <w:sz w:val="20"/>
                <w:szCs w:val="20"/>
              </w:rPr>
            </w:pPr>
            <w:r w:rsidRPr="00CD6D96">
              <w:rPr>
                <w:sz w:val="20"/>
                <w:szCs w:val="20"/>
              </w:rPr>
              <w:t>Declaration that applicant is incapable of consenting to medical treatment</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August 18, 2015</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(Vallee J.)</w:t>
            </w:r>
          </w:p>
          <w:p w:rsidR="00CA774A" w:rsidRPr="00CD6D96" w:rsidRDefault="00F964D5" w:rsidP="00CA774A">
            <w:pPr>
              <w:jc w:val="both"/>
              <w:rPr>
                <w:sz w:val="20"/>
                <w:szCs w:val="20"/>
              </w:rPr>
            </w:pPr>
            <w:hyperlink r:id="rId39" w:history="1">
              <w:r w:rsidR="00CA774A" w:rsidRPr="00CD6D96">
                <w:rPr>
                  <w:rStyle w:val="Hyperlink"/>
                  <w:sz w:val="20"/>
                  <w:szCs w:val="20"/>
                </w:rPr>
                <w:t>2015 ONSC 5202</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tcPr>
          <w:p w:rsidR="00CA774A" w:rsidRPr="00CD6D96" w:rsidRDefault="00CA774A" w:rsidP="00CA774A">
            <w:pPr>
              <w:jc w:val="both"/>
              <w:rPr>
                <w:sz w:val="20"/>
                <w:szCs w:val="20"/>
              </w:rPr>
            </w:pPr>
            <w:r w:rsidRPr="00CD6D96">
              <w:rPr>
                <w:sz w:val="20"/>
                <w:szCs w:val="20"/>
              </w:rPr>
              <w:t xml:space="preserve">Appeal dismissed </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May 23, 2017</w:t>
            </w:r>
          </w:p>
          <w:p w:rsidR="00CA774A" w:rsidRPr="00CD6D96" w:rsidRDefault="00CA774A" w:rsidP="00CA774A">
            <w:pPr>
              <w:jc w:val="both"/>
              <w:rPr>
                <w:sz w:val="20"/>
                <w:szCs w:val="20"/>
              </w:rPr>
            </w:pPr>
            <w:r w:rsidRPr="00CD6D96">
              <w:rPr>
                <w:sz w:val="20"/>
                <w:szCs w:val="20"/>
              </w:rPr>
              <w:t>Court of Appeal for Ontario</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Gillese</w:t>
            </w:r>
            <w:proofErr w:type="spellEnd"/>
            <w:r w:rsidRPr="00CD6D96">
              <w:rPr>
                <w:sz w:val="20"/>
                <w:szCs w:val="20"/>
              </w:rPr>
              <w:t xml:space="preserve">, </w:t>
            </w:r>
            <w:proofErr w:type="spellStart"/>
            <w:r w:rsidRPr="00CD6D96">
              <w:rPr>
                <w:sz w:val="20"/>
                <w:szCs w:val="20"/>
              </w:rPr>
              <w:t>Benotto</w:t>
            </w:r>
            <w:proofErr w:type="spellEnd"/>
            <w:r w:rsidRPr="00CD6D96">
              <w:rPr>
                <w:sz w:val="20"/>
                <w:szCs w:val="20"/>
              </w:rPr>
              <w:t xml:space="preserve"> and Roberts (dissenting) JJ.A.)</w:t>
            </w:r>
          </w:p>
          <w:p w:rsidR="00CA774A" w:rsidRPr="00CD6D96" w:rsidRDefault="00F964D5" w:rsidP="00CA774A">
            <w:pPr>
              <w:jc w:val="both"/>
              <w:rPr>
                <w:sz w:val="20"/>
                <w:szCs w:val="20"/>
                <w:lang w:val="en"/>
              </w:rPr>
            </w:pPr>
            <w:hyperlink r:id="rId40" w:history="1">
              <w:r w:rsidR="00CA774A" w:rsidRPr="00CD6D96">
                <w:rPr>
                  <w:rStyle w:val="Hyperlink"/>
                  <w:sz w:val="20"/>
                  <w:szCs w:val="20"/>
                  <w:lang w:val="en"/>
                </w:rPr>
                <w:t>2017 ONCA 407</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tcPr>
          <w:p w:rsidR="00CA774A" w:rsidRPr="00CD6D96" w:rsidRDefault="00CA774A" w:rsidP="00CA774A">
            <w:pPr>
              <w:jc w:val="both"/>
              <w:rPr>
                <w:sz w:val="20"/>
                <w:szCs w:val="20"/>
              </w:rPr>
            </w:pPr>
            <w:r w:rsidRPr="00CD6D96">
              <w:rPr>
                <w:sz w:val="20"/>
                <w:szCs w:val="20"/>
              </w:rPr>
              <w:t xml:space="preserve">Appeal dismissed </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August 21, 2017</w:t>
            </w:r>
          </w:p>
          <w:p w:rsidR="00CA774A" w:rsidRPr="00CD6D96" w:rsidRDefault="00CA774A" w:rsidP="00CA774A">
            <w:pPr>
              <w:jc w:val="both"/>
              <w:rPr>
                <w:sz w:val="20"/>
                <w:szCs w:val="20"/>
              </w:rPr>
            </w:pPr>
            <w:r w:rsidRPr="00CD6D96">
              <w:rPr>
                <w:sz w:val="20"/>
                <w:szCs w:val="20"/>
              </w:rPr>
              <w:t>Supreme Court of Canada</w:t>
            </w:r>
          </w:p>
        </w:tc>
        <w:tc>
          <w:tcPr>
            <w:tcW w:w="267" w:type="pct"/>
          </w:tcPr>
          <w:p w:rsidR="00CA774A" w:rsidRPr="00CD6D96" w:rsidRDefault="00CA774A" w:rsidP="00CA774A">
            <w:pPr>
              <w:jc w:val="both"/>
              <w:rPr>
                <w:sz w:val="20"/>
                <w:szCs w:val="20"/>
              </w:rPr>
            </w:pPr>
          </w:p>
        </w:tc>
        <w:tc>
          <w:tcPr>
            <w:tcW w:w="2366" w:type="pct"/>
          </w:tcPr>
          <w:p w:rsidR="00CA774A" w:rsidRPr="00CD6D96" w:rsidRDefault="00CA774A" w:rsidP="00CA774A">
            <w:pPr>
              <w:jc w:val="both"/>
              <w:rPr>
                <w:sz w:val="20"/>
                <w:szCs w:val="20"/>
              </w:rPr>
            </w:pPr>
            <w:r w:rsidRPr="00CD6D96">
              <w:rPr>
                <w:sz w:val="20"/>
                <w:szCs w:val="20"/>
              </w:rPr>
              <w:t>Application for leave to appeal filed</w:t>
            </w:r>
          </w:p>
        </w:tc>
      </w:tr>
    </w:tbl>
    <w:p w:rsidR="00CA774A" w:rsidRPr="00CD6D96" w:rsidRDefault="00F964D5" w:rsidP="00CA774A">
      <w:pPr>
        <w:jc w:val="both"/>
        <w:rPr>
          <w:sz w:val="20"/>
          <w:szCs w:val="20"/>
        </w:rPr>
      </w:pPr>
      <w:r>
        <w:rPr>
          <w:sz w:val="20"/>
          <w:szCs w:val="20"/>
        </w:rPr>
        <w:pict>
          <v:rect id="_x0000_i1048" style="width:2in;height:1pt" o:hrpct="0" o:hralign="center" o:hrstd="t" o:hrnoshade="t" o:hr="t" fillcolor="black [3213]" stroked="f"/>
        </w:pict>
      </w:r>
    </w:p>
    <w:p w:rsidR="00CA774A" w:rsidRPr="00CD6D96" w:rsidRDefault="00CA774A" w:rsidP="00CA774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CA774A" w:rsidRPr="00F964D5" w:rsidTr="0024569C">
        <w:tc>
          <w:tcPr>
            <w:tcW w:w="536" w:type="pct"/>
          </w:tcPr>
          <w:p w:rsidR="00CA774A" w:rsidRPr="00CD6D96" w:rsidRDefault="00CA774A" w:rsidP="00CA774A">
            <w:pPr>
              <w:jc w:val="both"/>
              <w:rPr>
                <w:sz w:val="20"/>
                <w:szCs w:val="20"/>
                <w:lang w:val="fr-CA"/>
              </w:rPr>
            </w:pPr>
            <w:r w:rsidRPr="00CD6D96">
              <w:rPr>
                <w:rStyle w:val="SCCFileNumberChar"/>
                <w:sz w:val="20"/>
                <w:szCs w:val="20"/>
                <w:lang w:val="fr-CA"/>
              </w:rPr>
              <w:t>37704</w:t>
            </w:r>
          </w:p>
        </w:tc>
        <w:tc>
          <w:tcPr>
            <w:tcW w:w="4464" w:type="pct"/>
            <w:gridSpan w:val="3"/>
          </w:tcPr>
          <w:p w:rsidR="00CA774A" w:rsidRPr="00CD6D96" w:rsidRDefault="00CA774A" w:rsidP="00CA774A">
            <w:pPr>
              <w:pStyle w:val="SCCLsocParty"/>
              <w:jc w:val="both"/>
              <w:rPr>
                <w:b/>
                <w:sz w:val="20"/>
                <w:szCs w:val="20"/>
              </w:rPr>
            </w:pPr>
            <w:r w:rsidRPr="00CD6D96">
              <w:rPr>
                <w:b/>
                <w:sz w:val="20"/>
                <w:szCs w:val="20"/>
              </w:rPr>
              <w:t xml:space="preserve">Stephen Parsons c. B. </w:t>
            </w:r>
            <w:proofErr w:type="spellStart"/>
            <w:r w:rsidRPr="00CD6D96">
              <w:rPr>
                <w:b/>
                <w:sz w:val="20"/>
                <w:szCs w:val="20"/>
              </w:rPr>
              <w:t>Komer</w:t>
            </w:r>
            <w:proofErr w:type="spellEnd"/>
          </w:p>
          <w:p w:rsidR="00CA774A" w:rsidRPr="00CD6D96" w:rsidRDefault="00CA774A" w:rsidP="00CA774A">
            <w:pPr>
              <w:jc w:val="both"/>
              <w:rPr>
                <w:sz w:val="20"/>
                <w:szCs w:val="20"/>
                <w:lang w:val="fr-CA"/>
              </w:rPr>
            </w:pPr>
            <w:r w:rsidRPr="00CD6D96">
              <w:rPr>
                <w:sz w:val="20"/>
                <w:szCs w:val="20"/>
                <w:lang w:val="fr-CA"/>
              </w:rPr>
              <w:t>(Ont.) (Civile) (Sur autorisation)</w:t>
            </w:r>
          </w:p>
        </w:tc>
      </w:tr>
      <w:tr w:rsidR="00CA774A" w:rsidRPr="00F964D5" w:rsidTr="0024569C">
        <w:tc>
          <w:tcPr>
            <w:tcW w:w="536"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64" w:type="pct"/>
            <w:gridSpan w:val="3"/>
          </w:tcPr>
          <w:p w:rsidR="00CA774A" w:rsidRDefault="00AD1C76" w:rsidP="00CA774A">
            <w:pPr>
              <w:pStyle w:val="SCCLsocParty"/>
              <w:jc w:val="both"/>
              <w:rPr>
                <w:sz w:val="20"/>
                <w:szCs w:val="20"/>
                <w:lang w:val="fr-FR"/>
              </w:rPr>
            </w:pPr>
            <w:r w:rsidRPr="001046CD">
              <w:rPr>
                <w:sz w:val="20"/>
                <w:szCs w:val="20"/>
                <w:lang w:val="fr-FR"/>
              </w:rPr>
              <w:t xml:space="preserve">La juge en chef </w:t>
            </w:r>
            <w:proofErr w:type="spellStart"/>
            <w:r w:rsidRPr="001046CD">
              <w:rPr>
                <w:sz w:val="20"/>
                <w:szCs w:val="20"/>
                <w:lang w:val="fr-FR"/>
              </w:rPr>
              <w:t>McLachlin</w:t>
            </w:r>
            <w:proofErr w:type="spellEnd"/>
            <w:r w:rsidRPr="001046CD">
              <w:rPr>
                <w:sz w:val="20"/>
                <w:szCs w:val="20"/>
                <w:lang w:val="fr-FR"/>
              </w:rPr>
              <w:t xml:space="preserve"> et les juges Abella, </w:t>
            </w:r>
            <w:proofErr w:type="spellStart"/>
            <w:r w:rsidRPr="001046CD">
              <w:rPr>
                <w:sz w:val="20"/>
                <w:szCs w:val="20"/>
                <w:lang w:val="fr-FR"/>
              </w:rPr>
              <w:t>Moldaver</w:t>
            </w:r>
            <w:proofErr w:type="spellEnd"/>
            <w:r w:rsidRPr="001046CD">
              <w:rPr>
                <w:sz w:val="20"/>
                <w:szCs w:val="20"/>
                <w:lang w:val="fr-FR"/>
              </w:rPr>
              <w:t xml:space="preserve">, </w:t>
            </w:r>
            <w:proofErr w:type="spellStart"/>
            <w:r w:rsidRPr="001046CD">
              <w:rPr>
                <w:sz w:val="20"/>
                <w:szCs w:val="20"/>
                <w:lang w:val="fr-FR"/>
              </w:rPr>
              <w:t>Karakatsanis</w:t>
            </w:r>
            <w:proofErr w:type="spellEnd"/>
            <w:r w:rsidRPr="001046CD">
              <w:rPr>
                <w:sz w:val="20"/>
                <w:szCs w:val="20"/>
                <w:lang w:val="fr-FR"/>
              </w:rPr>
              <w:t>, Wagner, Gascon, Côté, Brown et Rowe</w:t>
            </w:r>
          </w:p>
          <w:p w:rsidR="00AD1C76" w:rsidRPr="00AD1C76" w:rsidRDefault="00AD1C76" w:rsidP="00AD1C76">
            <w:pPr>
              <w:rPr>
                <w:lang w:val="fr-FR"/>
              </w:rPr>
            </w:pPr>
          </w:p>
        </w:tc>
      </w:tr>
      <w:tr w:rsidR="00CA774A" w:rsidRPr="00F964D5" w:rsidTr="00CA774A">
        <w:tc>
          <w:tcPr>
            <w:tcW w:w="5000" w:type="pct"/>
            <w:gridSpan w:val="4"/>
          </w:tcPr>
          <w:p w:rsidR="00CA774A" w:rsidRDefault="00AD1C76" w:rsidP="00CA774A">
            <w:pPr>
              <w:pStyle w:val="SCCLsocParty"/>
              <w:jc w:val="both"/>
              <w:rPr>
                <w:sz w:val="20"/>
                <w:szCs w:val="20"/>
              </w:rPr>
            </w:pPr>
            <w:r w:rsidRPr="001046CD">
              <w:rPr>
                <w:sz w:val="20"/>
                <w:szCs w:val="20"/>
              </w:rPr>
              <w:t xml:space="preserve">La demande d’autorisation d’appel de l’arrêt de la </w:t>
            </w:r>
            <w:r w:rsidRPr="001046CD">
              <w:rPr>
                <w:sz w:val="20"/>
                <w:szCs w:val="20"/>
                <w:lang w:val="fr-FR"/>
              </w:rPr>
              <w:t>Cour d’appel de l’Ontario</w:t>
            </w:r>
            <w:r w:rsidRPr="001046CD">
              <w:rPr>
                <w:sz w:val="20"/>
                <w:szCs w:val="20"/>
              </w:rPr>
              <w:t xml:space="preserve">, numéro </w:t>
            </w:r>
            <w:r w:rsidRPr="001046CD">
              <w:rPr>
                <w:sz w:val="20"/>
                <w:szCs w:val="20"/>
                <w:lang w:val="fr-FR"/>
              </w:rPr>
              <w:t>C60992, 2017 ONCA 407</w:t>
            </w:r>
            <w:r w:rsidRPr="001046CD">
              <w:rPr>
                <w:sz w:val="20"/>
                <w:szCs w:val="20"/>
              </w:rPr>
              <w:t xml:space="preserve">, daté du </w:t>
            </w:r>
            <w:r w:rsidRPr="001046CD">
              <w:rPr>
                <w:sz w:val="20"/>
                <w:szCs w:val="20"/>
                <w:lang w:val="fr-FR"/>
              </w:rPr>
              <w:t>23 mai 2017</w:t>
            </w:r>
            <w:r w:rsidRPr="001046CD">
              <w:rPr>
                <w:sz w:val="20"/>
                <w:szCs w:val="20"/>
              </w:rPr>
              <w:t>, est rejetée.</w:t>
            </w:r>
          </w:p>
          <w:p w:rsidR="00AD1C76" w:rsidRPr="00AD1C76" w:rsidRDefault="00AD1C76" w:rsidP="00AD1C76">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Droit administratif – Organismes et tribunaux administratifs – Justice naturelle – Norme de contrôle – Droit de la santé – Consentement au traitement – Un patient détenu dans un établissement de santé mentale a été jugé incapable de consentir à un traitement médical – Quel est le degré d’équité procédurale nécessaire lors d’une audience portant sur la capacité à consentir à un traitement? – Quelle est la norme appropriée de contrôle en ce qui concerne les questions d’équité procédurale? </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Monsieur Parsons a été déclaré coupable de possession d’arme dans un dessein dangereux. Il a été déclaré non responsable criminellement pour cause de troubles mentaux et il est détenu dans un établissement de santé mentale. Le docteur </w:t>
            </w:r>
            <w:proofErr w:type="spellStart"/>
            <w:r w:rsidRPr="00CD6D96">
              <w:rPr>
                <w:sz w:val="20"/>
                <w:szCs w:val="20"/>
                <w:lang w:val="fr-CA"/>
              </w:rPr>
              <w:t>Komer</w:t>
            </w:r>
            <w:proofErr w:type="spellEnd"/>
            <w:r w:rsidRPr="00CD6D96">
              <w:rPr>
                <w:sz w:val="20"/>
                <w:szCs w:val="20"/>
                <w:lang w:val="fr-CA"/>
              </w:rPr>
              <w:t xml:space="preserve"> a jugé que M. Parsons était incapable de consentir à un traitement. Monsieur Parsons a interjeté appel de cette conclusion à la Commission du consentement et de la capacité.</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Monsieur Parsons a comparu à une audience devant la Commission en son propre nom. La Commission a ajourné l’audience pour permettre à M. Parsons de se prendre un avocat. À la reprise de l’audience, M. Parsons a comparu de nouveau sans avocat, mais il a dit à la Commission qu’il était disposé à se représenter lui-même. La Commission a expliqué le processus d’audience à M. Parsons et l’audience a eu lieu. Le docteur </w:t>
            </w:r>
            <w:proofErr w:type="spellStart"/>
            <w:r w:rsidRPr="00CD6D96">
              <w:rPr>
                <w:sz w:val="20"/>
                <w:szCs w:val="20"/>
                <w:lang w:val="fr-CA"/>
              </w:rPr>
              <w:t>Komer</w:t>
            </w:r>
            <w:proofErr w:type="spellEnd"/>
            <w:r w:rsidRPr="00CD6D96">
              <w:rPr>
                <w:sz w:val="20"/>
                <w:szCs w:val="20"/>
                <w:lang w:val="fr-CA"/>
              </w:rPr>
              <w:t xml:space="preserve"> a témoigné en premier. Lorsque la Commission a invité M. Parsons à poser des questions, celui-ci a présenté des observations longues et incohérentes. La Commission a confirmé la conclusion du docteur </w:t>
            </w:r>
            <w:proofErr w:type="spellStart"/>
            <w:r w:rsidRPr="00CD6D96">
              <w:rPr>
                <w:sz w:val="20"/>
                <w:szCs w:val="20"/>
                <w:lang w:val="fr-CA"/>
              </w:rPr>
              <w:t>Komer</w:t>
            </w:r>
            <w:proofErr w:type="spellEnd"/>
            <w:r w:rsidRPr="00CD6D96">
              <w:rPr>
                <w:sz w:val="20"/>
                <w:szCs w:val="20"/>
                <w:lang w:val="fr-CA"/>
              </w:rPr>
              <w:t xml:space="preserve"> selon laquelle M. Parsons était incapable de consentir au traitement. Monsieur Parsons a interjeté appel, plaidant que la preuve au soutien de la conclusion était insuffisante et que la Commission avait manqué à son obligation d’équité procédurale.</w:t>
            </w: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tcPr>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12 mars 2015</w:t>
            </w:r>
          </w:p>
          <w:p w:rsidR="00CA774A" w:rsidRPr="00CD6D96" w:rsidRDefault="00CA774A" w:rsidP="00CA774A">
            <w:pPr>
              <w:jc w:val="both"/>
              <w:rPr>
                <w:sz w:val="20"/>
                <w:szCs w:val="20"/>
                <w:lang w:val="fr-CA"/>
              </w:rPr>
            </w:pPr>
            <w:r w:rsidRPr="00CD6D96">
              <w:rPr>
                <w:sz w:val="20"/>
                <w:szCs w:val="20"/>
                <w:lang w:val="fr-CA"/>
              </w:rPr>
              <w:t>Commission du consentement et de la capacité</w:t>
            </w:r>
          </w:p>
          <w:p w:rsidR="00CA774A" w:rsidRPr="00CD6D96" w:rsidRDefault="00CA774A" w:rsidP="00CA774A">
            <w:pPr>
              <w:jc w:val="both"/>
              <w:rPr>
                <w:sz w:val="20"/>
                <w:szCs w:val="20"/>
                <w:lang w:val="fr-CA"/>
              </w:rPr>
            </w:pPr>
            <w:r w:rsidRPr="00CD6D96">
              <w:rPr>
                <w:sz w:val="20"/>
                <w:szCs w:val="20"/>
                <w:lang w:val="fr-CA"/>
              </w:rPr>
              <w:t>(M</w:t>
            </w:r>
            <w:r w:rsidRPr="00CD6D96">
              <w:rPr>
                <w:sz w:val="20"/>
                <w:szCs w:val="20"/>
                <w:vertAlign w:val="superscript"/>
                <w:lang w:val="fr-CA"/>
              </w:rPr>
              <w:t>e</w:t>
            </w:r>
            <w:r w:rsidRPr="00CD6D96">
              <w:rPr>
                <w:sz w:val="20"/>
                <w:szCs w:val="20"/>
                <w:lang w:val="fr-CA"/>
              </w:rPr>
              <w:t xml:space="preserve"> Bell, avocat principal et membre président)</w:t>
            </w:r>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tcPr>
          <w:p w:rsidR="00CA774A" w:rsidRPr="00CD6D96" w:rsidRDefault="00CA774A" w:rsidP="00CA774A">
            <w:pPr>
              <w:jc w:val="both"/>
              <w:rPr>
                <w:sz w:val="20"/>
                <w:szCs w:val="20"/>
                <w:lang w:val="fr-CA"/>
              </w:rPr>
            </w:pPr>
            <w:r w:rsidRPr="00CD6D96">
              <w:rPr>
                <w:sz w:val="20"/>
                <w:szCs w:val="20"/>
                <w:lang w:val="fr-CA"/>
              </w:rPr>
              <w:t>Déclaration portant que le demandeur est incapable de consentir à un traitement médical</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18 août 2015</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Vallee</w:t>
            </w:r>
            <w:proofErr w:type="spellEnd"/>
            <w:r w:rsidRPr="00CD6D96">
              <w:rPr>
                <w:sz w:val="20"/>
                <w:szCs w:val="20"/>
                <w:lang w:val="fr-CA"/>
              </w:rPr>
              <w:t>)</w:t>
            </w:r>
          </w:p>
          <w:p w:rsidR="00CA774A" w:rsidRPr="00CD6D96" w:rsidRDefault="00F964D5" w:rsidP="00CA774A">
            <w:pPr>
              <w:jc w:val="both"/>
              <w:rPr>
                <w:sz w:val="20"/>
                <w:szCs w:val="20"/>
                <w:lang w:val="fr-CA"/>
              </w:rPr>
            </w:pPr>
            <w:hyperlink r:id="rId41" w:history="1">
              <w:r w:rsidR="00CA774A" w:rsidRPr="00CD6D96">
                <w:rPr>
                  <w:rStyle w:val="Hyperlink"/>
                  <w:sz w:val="20"/>
                  <w:szCs w:val="20"/>
                  <w:lang w:val="fr-CA"/>
                </w:rPr>
                <w:t>2015 ONSC 5202</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tcPr>
          <w:p w:rsidR="00CA774A" w:rsidRPr="00CD6D96" w:rsidRDefault="00CA774A" w:rsidP="00CA774A">
            <w:pPr>
              <w:jc w:val="both"/>
              <w:rPr>
                <w:sz w:val="20"/>
                <w:szCs w:val="20"/>
                <w:lang w:val="fr-CA"/>
              </w:rPr>
            </w:pPr>
            <w:r w:rsidRPr="00CD6D96">
              <w:rPr>
                <w:sz w:val="20"/>
                <w:szCs w:val="20"/>
                <w:lang w:val="fr-CA"/>
              </w:rPr>
              <w:t>Rejet de l’appel</w:t>
            </w:r>
          </w:p>
          <w:p w:rsidR="00CA774A" w:rsidRPr="00CD6D96" w:rsidRDefault="00CA774A" w:rsidP="00CA774A">
            <w:pPr>
              <w:jc w:val="both"/>
              <w:rPr>
                <w:sz w:val="20"/>
                <w:szCs w:val="20"/>
                <w:lang w:val="fr-CA"/>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23 mai 2017</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Gillese</w:t>
            </w:r>
            <w:proofErr w:type="spellEnd"/>
            <w:r w:rsidRPr="00CD6D96">
              <w:rPr>
                <w:sz w:val="20"/>
                <w:szCs w:val="20"/>
                <w:lang w:val="fr-CA"/>
              </w:rPr>
              <w:t xml:space="preserve">, </w:t>
            </w:r>
            <w:proofErr w:type="spellStart"/>
            <w:r w:rsidRPr="00CD6D96">
              <w:rPr>
                <w:sz w:val="20"/>
                <w:szCs w:val="20"/>
                <w:lang w:val="fr-CA"/>
              </w:rPr>
              <w:t>Benotto</w:t>
            </w:r>
            <w:proofErr w:type="spellEnd"/>
            <w:r w:rsidRPr="00CD6D96">
              <w:rPr>
                <w:sz w:val="20"/>
                <w:szCs w:val="20"/>
                <w:lang w:val="fr-CA"/>
              </w:rPr>
              <w:t xml:space="preserve"> et Roberts (dissidente))</w:t>
            </w:r>
          </w:p>
          <w:p w:rsidR="00CA774A" w:rsidRPr="00CD6D96" w:rsidRDefault="00F964D5" w:rsidP="00CA774A">
            <w:pPr>
              <w:jc w:val="both"/>
              <w:rPr>
                <w:sz w:val="20"/>
                <w:szCs w:val="20"/>
                <w:lang w:val="fr-CA"/>
              </w:rPr>
            </w:pPr>
            <w:hyperlink r:id="rId42" w:history="1">
              <w:r w:rsidR="00CA774A" w:rsidRPr="00CD6D96">
                <w:rPr>
                  <w:rStyle w:val="Hyperlink"/>
                  <w:sz w:val="20"/>
                  <w:szCs w:val="20"/>
                  <w:lang w:val="fr-CA"/>
                </w:rPr>
                <w:t>2017 ONCA 407</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tcPr>
          <w:p w:rsidR="00CA774A" w:rsidRPr="00CD6D96" w:rsidRDefault="00CA774A" w:rsidP="00CA774A">
            <w:pPr>
              <w:jc w:val="both"/>
              <w:rPr>
                <w:sz w:val="20"/>
                <w:szCs w:val="20"/>
                <w:lang w:val="fr-CA"/>
              </w:rPr>
            </w:pPr>
            <w:r w:rsidRPr="00CD6D96">
              <w:rPr>
                <w:sz w:val="20"/>
                <w:szCs w:val="20"/>
                <w:lang w:val="fr-CA"/>
              </w:rPr>
              <w:t>Rejet de l’appel</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21 août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67" w:type="pct"/>
          </w:tcPr>
          <w:p w:rsidR="00CA774A" w:rsidRPr="00CD6D96" w:rsidRDefault="00CA774A" w:rsidP="00CA774A">
            <w:pPr>
              <w:jc w:val="both"/>
              <w:rPr>
                <w:sz w:val="20"/>
                <w:szCs w:val="20"/>
                <w:lang w:val="fr-CA"/>
              </w:rPr>
            </w:pPr>
          </w:p>
        </w:tc>
        <w:tc>
          <w:tcPr>
            <w:tcW w:w="2366"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tc>
      </w:tr>
    </w:tbl>
    <w:p w:rsidR="00CA774A" w:rsidRPr="00CD6D96" w:rsidRDefault="00F964D5" w:rsidP="00CA774A">
      <w:pPr>
        <w:jc w:val="both"/>
        <w:rPr>
          <w:sz w:val="20"/>
          <w:szCs w:val="20"/>
          <w:lang w:val="fr-CA"/>
        </w:rPr>
      </w:pPr>
      <w:r>
        <w:rPr>
          <w:sz w:val="20"/>
          <w:szCs w:val="20"/>
        </w:rPr>
        <w:pict>
          <v:rect id="_x0000_i1049"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lastRenderedPageBreak/>
              <w:t>37626</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V. Lorne Humphreys and </w:t>
            </w:r>
            <w:proofErr w:type="spellStart"/>
            <w:r w:rsidRPr="00CD6D96">
              <w:rPr>
                <w:b/>
                <w:sz w:val="20"/>
                <w:szCs w:val="20"/>
                <w:lang w:val="en-US"/>
              </w:rPr>
              <w:t>Brodlor</w:t>
            </w:r>
            <w:proofErr w:type="spellEnd"/>
            <w:r w:rsidRPr="00CD6D96">
              <w:rPr>
                <w:b/>
                <w:sz w:val="20"/>
                <w:szCs w:val="20"/>
                <w:lang w:val="en-US"/>
              </w:rPr>
              <w:t xml:space="preserve"> Foods Inc. v. Barry </w:t>
            </w:r>
            <w:proofErr w:type="spellStart"/>
            <w:r w:rsidRPr="00CA774A">
              <w:rPr>
                <w:b/>
                <w:sz w:val="20"/>
                <w:szCs w:val="20"/>
                <w:lang w:val="en-US"/>
              </w:rPr>
              <w:t>Trebilcock</w:t>
            </w:r>
            <w:proofErr w:type="spellEnd"/>
            <w:r w:rsidRPr="00CA774A">
              <w:rPr>
                <w:b/>
                <w:sz w:val="20"/>
                <w:szCs w:val="20"/>
                <w:lang w:val="en-US"/>
              </w:rPr>
              <w:t xml:space="preserve"> v. Sebastian Hanne, </w:t>
            </w:r>
            <w:proofErr w:type="spellStart"/>
            <w:r w:rsidRPr="00CA774A">
              <w:rPr>
                <w:b/>
                <w:sz w:val="20"/>
                <w:szCs w:val="20"/>
                <w:lang w:val="en-US"/>
              </w:rPr>
              <w:t>Juergen</w:t>
            </w:r>
            <w:proofErr w:type="spellEnd"/>
            <w:r w:rsidRPr="00CA774A">
              <w:rPr>
                <w:b/>
                <w:sz w:val="20"/>
                <w:szCs w:val="20"/>
                <w:lang w:val="en-US"/>
              </w:rPr>
              <w:t xml:space="preserve"> Hanne, Calgary Ventures Inc., </w:t>
            </w:r>
            <w:proofErr w:type="spellStart"/>
            <w:r w:rsidRPr="00CA774A">
              <w:rPr>
                <w:b/>
                <w:sz w:val="20"/>
                <w:szCs w:val="20"/>
                <w:lang w:val="en-US"/>
              </w:rPr>
              <w:t>Contura</w:t>
            </w:r>
            <w:proofErr w:type="spellEnd"/>
            <w:r w:rsidRPr="00CA774A">
              <w:rPr>
                <w:b/>
                <w:sz w:val="20"/>
                <w:szCs w:val="20"/>
                <w:lang w:val="en-US"/>
              </w:rPr>
              <w:t xml:space="preserve"> Consulting Ltd., </w:t>
            </w:r>
            <w:proofErr w:type="spellStart"/>
            <w:r w:rsidRPr="00CA774A">
              <w:rPr>
                <w:b/>
                <w:sz w:val="20"/>
                <w:szCs w:val="20"/>
                <w:lang w:val="en-US"/>
              </w:rPr>
              <w:t>Bauland</w:t>
            </w:r>
            <w:proofErr w:type="spellEnd"/>
            <w:r w:rsidRPr="00CA774A">
              <w:rPr>
                <w:b/>
                <w:sz w:val="20"/>
                <w:szCs w:val="20"/>
                <w:lang w:val="en-US"/>
              </w:rPr>
              <w:t xml:space="preserve"> Inc., Lux Real Investments Ltd. and </w:t>
            </w:r>
            <w:proofErr w:type="spellStart"/>
            <w:r w:rsidRPr="00CA774A">
              <w:rPr>
                <w:b/>
                <w:sz w:val="20"/>
                <w:szCs w:val="20"/>
                <w:lang w:val="en-US"/>
              </w:rPr>
              <w:t>Troyvest</w:t>
            </w:r>
            <w:proofErr w:type="spellEnd"/>
            <w:r w:rsidRPr="00CA774A">
              <w:rPr>
                <w:b/>
                <w:sz w:val="20"/>
                <w:szCs w:val="20"/>
                <w:lang w:val="en-US"/>
              </w:rPr>
              <w:t xml:space="preserve"> Estates Ltd.</w:t>
            </w:r>
          </w:p>
          <w:p w:rsidR="00CA774A" w:rsidRPr="00CD6D96" w:rsidRDefault="00CA774A" w:rsidP="00CA774A">
            <w:pPr>
              <w:jc w:val="both"/>
              <w:rPr>
                <w:sz w:val="20"/>
                <w:szCs w:val="20"/>
              </w:rPr>
            </w:pPr>
            <w:r w:rsidRPr="00CD6D96">
              <w:rPr>
                <w:sz w:val="20"/>
                <w:szCs w:val="20"/>
              </w:rPr>
              <w:t>(Alta.) (Civil) (By Leave)</w:t>
            </w:r>
          </w:p>
        </w:tc>
      </w:tr>
      <w:tr w:rsidR="00CA774A" w:rsidRPr="00CD6D96" w:rsidTr="00CA774A">
        <w:tc>
          <w:tcPr>
            <w:tcW w:w="543"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57" w:type="pct"/>
            <w:gridSpan w:val="3"/>
          </w:tcPr>
          <w:p w:rsidR="00CA774A"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CA774A" w:rsidRPr="00CD6D96" w:rsidTr="00CA774A">
        <w:tc>
          <w:tcPr>
            <w:tcW w:w="5000" w:type="pct"/>
            <w:gridSpan w:val="4"/>
          </w:tcPr>
          <w:p w:rsidR="00CA774A" w:rsidRDefault="00AD1C76" w:rsidP="00CA774A">
            <w:pPr>
              <w:pStyle w:val="SCCLsocParty"/>
              <w:jc w:val="both"/>
              <w:rPr>
                <w:sz w:val="20"/>
                <w:szCs w:val="20"/>
                <w:lang w:val="en-US"/>
              </w:rPr>
            </w:pPr>
            <w:r w:rsidRPr="00AD1C76">
              <w:rPr>
                <w:sz w:val="20"/>
                <w:szCs w:val="20"/>
                <w:lang w:val="en-US"/>
              </w:rPr>
              <w:t xml:space="preserve">The motion to join two orders so that a single application for leave to appeal may be filed is granted.  The application for leave to appeal from the judgment of the Court of Appeal of Alberta (Edmonton), Numbers 1603-0275-AC and 1603-0276-AC, 2017 ABCA 116, dated April 19, 2017, is dismissed with costs in accordance with the Tariff of fees and disbursements set out in Schedule B of the </w:t>
            </w:r>
            <w:r w:rsidRPr="00AD1C76">
              <w:rPr>
                <w:i/>
                <w:sz w:val="20"/>
                <w:szCs w:val="20"/>
                <w:lang w:val="en-US"/>
              </w:rPr>
              <w:t>Rules of the Supreme Court of Canada</w:t>
            </w:r>
            <w:r w:rsidRPr="00AD1C76">
              <w:rPr>
                <w:sz w:val="20"/>
                <w:szCs w:val="20"/>
                <w:lang w:val="en-US"/>
              </w:rPr>
              <w:t>.</w:t>
            </w:r>
          </w:p>
          <w:p w:rsidR="00AD1C76" w:rsidRPr="00AD1C76" w:rsidRDefault="00AD1C76" w:rsidP="00AD1C76">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Administrative law — Appeals — Standard of review — Civil procedure — Delay application — Court of Appeal dismissing claims for delay — Appropriate degree of deference owed to findings of fact, findings of mixed fact and law and exercise of discretion by courts of first instance within context of litigation delay — Whether defendants’ delays should be factor in determining whether there has been inordinate delay — Rule 4.31 of the </w:t>
            </w:r>
            <w:r w:rsidRPr="00CD6D96">
              <w:rPr>
                <w:i/>
                <w:sz w:val="20"/>
                <w:szCs w:val="20"/>
              </w:rPr>
              <w:t>Alberta Rules of Court</w:t>
            </w:r>
            <w:r w:rsidRPr="00CD6D96">
              <w:rPr>
                <w:sz w:val="20"/>
                <w:szCs w:val="20"/>
              </w:rPr>
              <w:t>, Alta. Reg. 124/2010.</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lang w:eastAsia="en-CA"/>
              </w:rPr>
            </w:pPr>
            <w:r w:rsidRPr="00CD6D96">
              <w:rPr>
                <w:sz w:val="20"/>
                <w:szCs w:val="20"/>
                <w:lang w:eastAsia="en-CA"/>
              </w:rPr>
              <w:t xml:space="preserve">The applicants, V. Lorne Humphreys and </w:t>
            </w:r>
            <w:proofErr w:type="spellStart"/>
            <w:r w:rsidRPr="00CD6D96">
              <w:rPr>
                <w:sz w:val="20"/>
                <w:szCs w:val="20"/>
                <w:lang w:eastAsia="en-CA"/>
              </w:rPr>
              <w:t>Brodlor</w:t>
            </w:r>
            <w:proofErr w:type="spellEnd"/>
            <w:r w:rsidRPr="00CD6D96">
              <w:rPr>
                <w:sz w:val="20"/>
                <w:szCs w:val="20"/>
                <w:lang w:eastAsia="en-CA"/>
              </w:rPr>
              <w:t xml:space="preserve"> Foods Inc. commenced an action in the lower court against the respondent individuals and corporations claiming they were engaged in fraudulent business practices. </w:t>
            </w:r>
          </w:p>
          <w:p w:rsidR="00CA774A" w:rsidRPr="00CD6D96" w:rsidRDefault="00CA774A" w:rsidP="00CA774A">
            <w:pPr>
              <w:jc w:val="both"/>
              <w:rPr>
                <w:sz w:val="20"/>
                <w:szCs w:val="20"/>
                <w:lang w:eastAsia="en-CA"/>
              </w:rPr>
            </w:pPr>
          </w:p>
          <w:p w:rsidR="00CA774A" w:rsidRPr="00CD6D96" w:rsidRDefault="00CA774A" w:rsidP="00CA774A">
            <w:pPr>
              <w:jc w:val="both"/>
              <w:rPr>
                <w:sz w:val="20"/>
                <w:szCs w:val="20"/>
              </w:rPr>
            </w:pPr>
            <w:r w:rsidRPr="00CD6D96">
              <w:rPr>
                <w:sz w:val="20"/>
                <w:szCs w:val="20"/>
                <w:lang w:eastAsia="en-CA"/>
              </w:rPr>
              <w:t xml:space="preserve">The action was commenced in December 2006. The </w:t>
            </w:r>
            <w:r w:rsidRPr="00CD6D96">
              <w:rPr>
                <w:sz w:val="20"/>
                <w:szCs w:val="20"/>
              </w:rPr>
              <w:t xml:space="preserve">Court of Appeal found that the action itself will probably not be tried until 2020. </w:t>
            </w:r>
            <w:r w:rsidRPr="00CD6D96">
              <w:rPr>
                <w:sz w:val="20"/>
                <w:szCs w:val="20"/>
                <w:lang w:eastAsia="en-CA"/>
              </w:rPr>
              <w:t xml:space="preserve">Roughly 9.5 years after the lawsuit was commenced, the respondents sought dismissal of the action under Rule 4.31 of the </w:t>
            </w:r>
            <w:r w:rsidRPr="00CD6D96">
              <w:rPr>
                <w:i/>
                <w:sz w:val="20"/>
                <w:szCs w:val="20"/>
                <w:lang w:eastAsia="en-CA"/>
              </w:rPr>
              <w:t>Alberta Rules of Court</w:t>
            </w:r>
            <w:r w:rsidRPr="00CD6D96">
              <w:rPr>
                <w:sz w:val="20"/>
                <w:szCs w:val="20"/>
                <w:lang w:eastAsia="en-CA"/>
              </w:rPr>
              <w:t xml:space="preserve"> claiming litigation and </w:t>
            </w:r>
            <w:proofErr w:type="spellStart"/>
            <w:r w:rsidRPr="00CD6D96">
              <w:rPr>
                <w:sz w:val="20"/>
                <w:szCs w:val="20"/>
                <w:lang w:eastAsia="en-CA"/>
              </w:rPr>
              <w:t>nonlitigation</w:t>
            </w:r>
            <w:proofErr w:type="spellEnd"/>
            <w:r w:rsidRPr="00CD6D96">
              <w:rPr>
                <w:sz w:val="20"/>
                <w:szCs w:val="20"/>
                <w:lang w:eastAsia="en-CA"/>
              </w:rPr>
              <w:t xml:space="preserve"> prejudice.</w:t>
            </w:r>
          </w:p>
          <w:p w:rsidR="00CA774A" w:rsidRPr="00CD6D96" w:rsidRDefault="00CA774A" w:rsidP="00CA774A">
            <w:pPr>
              <w:jc w:val="both"/>
              <w:rPr>
                <w:sz w:val="20"/>
                <w:szCs w:val="20"/>
              </w:rPr>
            </w:pPr>
          </w:p>
          <w:p w:rsidR="00CA774A" w:rsidRPr="00CD6D96" w:rsidRDefault="00CA774A" w:rsidP="00CA774A">
            <w:pPr>
              <w:jc w:val="both"/>
              <w:rPr>
                <w:sz w:val="20"/>
                <w:szCs w:val="20"/>
                <w:lang w:eastAsia="en-CA"/>
              </w:rPr>
            </w:pPr>
            <w:r w:rsidRPr="00CD6D96">
              <w:rPr>
                <w:sz w:val="20"/>
                <w:szCs w:val="20"/>
                <w:lang w:eastAsia="en-CA"/>
              </w:rPr>
              <w:t>The motion judge dismissed the two delay applications. The Court of Appeal allowed the appeals and dismissed the actions.</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October 14, 2016</w:t>
            </w:r>
          </w:p>
          <w:p w:rsidR="00CA774A" w:rsidRPr="00CD6D96" w:rsidRDefault="00CA774A" w:rsidP="00CA774A">
            <w:pPr>
              <w:jc w:val="both"/>
              <w:rPr>
                <w:sz w:val="20"/>
                <w:szCs w:val="20"/>
              </w:rPr>
            </w:pPr>
            <w:r w:rsidRPr="00CD6D96">
              <w:rPr>
                <w:sz w:val="20"/>
                <w:szCs w:val="20"/>
              </w:rPr>
              <w:t>Court of Queen’s Bench of Alberta</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Michalyshyn</w:t>
            </w:r>
            <w:proofErr w:type="spellEnd"/>
            <w:r w:rsidRPr="00CD6D96">
              <w:rPr>
                <w:sz w:val="20"/>
                <w:szCs w:val="20"/>
              </w:rPr>
              <w:t xml:space="preserve"> J.)</w:t>
            </w:r>
          </w:p>
          <w:p w:rsidR="00CA774A" w:rsidRPr="00CD6D96" w:rsidRDefault="00F964D5" w:rsidP="00CA774A">
            <w:pPr>
              <w:jc w:val="both"/>
              <w:rPr>
                <w:sz w:val="20"/>
                <w:szCs w:val="20"/>
              </w:rPr>
            </w:pPr>
            <w:hyperlink r:id="rId43" w:history="1">
              <w:r w:rsidR="00CA774A" w:rsidRPr="00CD6D96">
                <w:rPr>
                  <w:rStyle w:val="Hyperlink"/>
                  <w:sz w:val="20"/>
                  <w:szCs w:val="20"/>
                </w:rPr>
                <w:t>2016 ABQB 579</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Application to strike plaintiffs V. Lorne Humphreys and </w:t>
            </w:r>
            <w:proofErr w:type="spellStart"/>
            <w:r w:rsidRPr="00CD6D96">
              <w:rPr>
                <w:sz w:val="20"/>
                <w:szCs w:val="20"/>
              </w:rPr>
              <w:t>Brodlor</w:t>
            </w:r>
            <w:proofErr w:type="spellEnd"/>
            <w:r w:rsidRPr="00CD6D96">
              <w:rPr>
                <w:sz w:val="20"/>
                <w:szCs w:val="20"/>
              </w:rPr>
              <w:t xml:space="preserve"> Foods Inc.’s claim on the basis of delay and alleged prejudice, dismissed. </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April 19, 2017</w:t>
            </w:r>
          </w:p>
          <w:p w:rsidR="00CA774A" w:rsidRPr="00CD6D96" w:rsidRDefault="00CA774A" w:rsidP="00CA774A">
            <w:pPr>
              <w:jc w:val="both"/>
              <w:rPr>
                <w:sz w:val="20"/>
                <w:szCs w:val="20"/>
              </w:rPr>
            </w:pPr>
            <w:r w:rsidRPr="00CD6D96">
              <w:rPr>
                <w:sz w:val="20"/>
                <w:szCs w:val="20"/>
              </w:rPr>
              <w:t>Court of Appeal of Alberta (Edmonton)</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Costigan</w:t>
            </w:r>
            <w:proofErr w:type="spellEnd"/>
            <w:r w:rsidRPr="00CD6D96">
              <w:rPr>
                <w:sz w:val="20"/>
                <w:szCs w:val="20"/>
              </w:rPr>
              <w:t xml:space="preserve">, </w:t>
            </w:r>
            <w:proofErr w:type="spellStart"/>
            <w:r w:rsidRPr="00CD6D96">
              <w:rPr>
                <w:sz w:val="20"/>
                <w:szCs w:val="20"/>
              </w:rPr>
              <w:t>Wakeling</w:t>
            </w:r>
            <w:proofErr w:type="spellEnd"/>
            <w:r w:rsidRPr="00CD6D96">
              <w:rPr>
                <w:sz w:val="20"/>
                <w:szCs w:val="20"/>
              </w:rPr>
              <w:t xml:space="preserve"> and Watson JJ.A.)</w:t>
            </w:r>
          </w:p>
          <w:p w:rsidR="00CA774A" w:rsidRPr="00CD6D96" w:rsidRDefault="00F964D5" w:rsidP="00CA774A">
            <w:pPr>
              <w:jc w:val="both"/>
              <w:rPr>
                <w:sz w:val="20"/>
                <w:szCs w:val="20"/>
              </w:rPr>
            </w:pPr>
            <w:hyperlink r:id="rId44" w:history="1">
              <w:r w:rsidR="00CA774A" w:rsidRPr="00CD6D96">
                <w:rPr>
                  <w:rStyle w:val="Hyperlink"/>
                  <w:sz w:val="20"/>
                  <w:szCs w:val="20"/>
                </w:rPr>
                <w:t>2017 ABCA 116</w:t>
              </w:r>
            </w:hyperlink>
          </w:p>
          <w:p w:rsidR="00CA774A" w:rsidRPr="00CD6D96" w:rsidRDefault="00CA774A" w:rsidP="00CA774A">
            <w:pPr>
              <w:jc w:val="both"/>
              <w:rPr>
                <w:sz w:val="20"/>
                <w:szCs w:val="20"/>
              </w:rPr>
            </w:pPr>
            <w:r w:rsidRPr="00CD6D96">
              <w:rPr>
                <w:sz w:val="20"/>
                <w:szCs w:val="20"/>
              </w:rPr>
              <w:t>File Nos: 1603-0275-AC and 1603-0276-AC</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Appeals allowed. Claims dismissed pursuant to Rule 4.31(1) of the </w:t>
            </w:r>
            <w:r w:rsidRPr="00CD6D96">
              <w:rPr>
                <w:i/>
                <w:sz w:val="20"/>
                <w:szCs w:val="20"/>
              </w:rPr>
              <w:t>Alberta Rules of Court</w:t>
            </w:r>
            <w:r w:rsidRPr="00CD6D96">
              <w:rPr>
                <w:sz w:val="20"/>
                <w:szCs w:val="20"/>
              </w:rPr>
              <w:t xml:space="preserve">. </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16,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lang w:eastAsia="en-CA"/>
              </w:rPr>
            </w:pPr>
            <w:r w:rsidRPr="00CD6D96">
              <w:rPr>
                <w:sz w:val="20"/>
                <w:szCs w:val="20"/>
                <w:lang w:eastAsia="en-CA"/>
              </w:rPr>
              <w:t>June 22, 2017</w:t>
            </w:r>
          </w:p>
          <w:p w:rsidR="00CA774A" w:rsidRPr="00CD6D96" w:rsidRDefault="00CA774A" w:rsidP="00CA774A">
            <w:pPr>
              <w:jc w:val="both"/>
              <w:rPr>
                <w:sz w:val="20"/>
                <w:szCs w:val="20"/>
              </w:rPr>
            </w:pPr>
            <w:r w:rsidRPr="00CD6D96">
              <w:rPr>
                <w:sz w:val="20"/>
                <w:szCs w:val="20"/>
                <w:lang w:eastAsia="en-CA"/>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Miscellaneous motion to join two orders of the Court of Appeal of Alberta and file single leave application.</w:t>
            </w:r>
          </w:p>
        </w:tc>
      </w:tr>
    </w:tbl>
    <w:p w:rsidR="00CA774A" w:rsidRPr="00CD6D96" w:rsidRDefault="00F964D5" w:rsidP="00CA774A">
      <w:pPr>
        <w:jc w:val="both"/>
        <w:rPr>
          <w:sz w:val="20"/>
          <w:szCs w:val="20"/>
        </w:rPr>
      </w:pPr>
      <w:r>
        <w:rPr>
          <w:sz w:val="20"/>
          <w:szCs w:val="20"/>
        </w:rPr>
        <w:pict>
          <v:rect id="_x0000_i1050" style="width:2in;height:1pt" o:hrpct="0" o:hralign="center" o:hrstd="t" o:hrnoshade="t" o:hr="t" fillcolor="black [3213]" stroked="f"/>
        </w:pict>
      </w:r>
    </w:p>
    <w:p w:rsidR="00CA774A" w:rsidRPr="00CD6D96" w:rsidRDefault="00CA774A" w:rsidP="00CA774A">
      <w:pPr>
        <w:jc w:val="both"/>
        <w:rPr>
          <w:sz w:val="20"/>
          <w:szCs w:val="20"/>
        </w:rPr>
      </w:pPr>
    </w:p>
    <w:p w:rsidR="00AD1C76" w:rsidRDefault="00AD1C7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lastRenderedPageBreak/>
              <w:t>37626</w:t>
            </w:r>
          </w:p>
        </w:tc>
        <w:tc>
          <w:tcPr>
            <w:tcW w:w="4457" w:type="pct"/>
            <w:gridSpan w:val="3"/>
          </w:tcPr>
          <w:p w:rsidR="00CA774A" w:rsidRPr="00CA774A" w:rsidRDefault="00CA774A" w:rsidP="00CA774A">
            <w:pPr>
              <w:pStyle w:val="SCCLsocParty"/>
              <w:jc w:val="both"/>
              <w:rPr>
                <w:b/>
                <w:sz w:val="20"/>
                <w:szCs w:val="20"/>
              </w:rPr>
            </w:pPr>
            <w:r w:rsidRPr="00CA774A">
              <w:rPr>
                <w:b/>
                <w:sz w:val="20"/>
                <w:szCs w:val="20"/>
              </w:rPr>
              <w:t xml:space="preserve">V. Lorne </w:t>
            </w:r>
            <w:proofErr w:type="spellStart"/>
            <w:r w:rsidRPr="00CA774A">
              <w:rPr>
                <w:b/>
                <w:sz w:val="20"/>
                <w:szCs w:val="20"/>
              </w:rPr>
              <w:t>Humphreys</w:t>
            </w:r>
            <w:proofErr w:type="spellEnd"/>
            <w:r w:rsidRPr="00CA774A">
              <w:rPr>
                <w:b/>
                <w:sz w:val="20"/>
                <w:szCs w:val="20"/>
              </w:rPr>
              <w:t xml:space="preserve"> et </w:t>
            </w:r>
            <w:proofErr w:type="spellStart"/>
            <w:r w:rsidRPr="00CA774A">
              <w:rPr>
                <w:b/>
                <w:sz w:val="20"/>
                <w:szCs w:val="20"/>
              </w:rPr>
              <w:t>Brodlor</w:t>
            </w:r>
            <w:proofErr w:type="spellEnd"/>
            <w:r w:rsidRPr="00CA774A">
              <w:rPr>
                <w:b/>
                <w:sz w:val="20"/>
                <w:szCs w:val="20"/>
              </w:rPr>
              <w:t xml:space="preserve"> </w:t>
            </w:r>
            <w:proofErr w:type="spellStart"/>
            <w:r w:rsidRPr="00CA774A">
              <w:rPr>
                <w:b/>
                <w:sz w:val="20"/>
                <w:szCs w:val="20"/>
              </w:rPr>
              <w:t>Foods</w:t>
            </w:r>
            <w:proofErr w:type="spellEnd"/>
            <w:r w:rsidRPr="00CA774A">
              <w:rPr>
                <w:b/>
                <w:sz w:val="20"/>
                <w:szCs w:val="20"/>
              </w:rPr>
              <w:t xml:space="preserve"> Inc. c. Barry </w:t>
            </w:r>
            <w:proofErr w:type="spellStart"/>
            <w:r w:rsidRPr="00CA774A">
              <w:rPr>
                <w:b/>
                <w:sz w:val="20"/>
                <w:szCs w:val="20"/>
              </w:rPr>
              <w:t>Trebilcock</w:t>
            </w:r>
            <w:proofErr w:type="spellEnd"/>
            <w:r w:rsidRPr="00CA774A">
              <w:rPr>
                <w:b/>
                <w:sz w:val="20"/>
                <w:szCs w:val="20"/>
              </w:rPr>
              <w:t xml:space="preserve"> c. </w:t>
            </w:r>
            <w:proofErr w:type="spellStart"/>
            <w:r w:rsidRPr="00CA774A">
              <w:rPr>
                <w:b/>
                <w:sz w:val="20"/>
                <w:szCs w:val="20"/>
              </w:rPr>
              <w:t>Sebastian</w:t>
            </w:r>
            <w:proofErr w:type="spellEnd"/>
            <w:r w:rsidRPr="00CA774A">
              <w:rPr>
                <w:b/>
                <w:sz w:val="20"/>
                <w:szCs w:val="20"/>
              </w:rPr>
              <w:t xml:space="preserve"> </w:t>
            </w:r>
            <w:proofErr w:type="spellStart"/>
            <w:r w:rsidRPr="00CA774A">
              <w:rPr>
                <w:b/>
                <w:sz w:val="20"/>
                <w:szCs w:val="20"/>
              </w:rPr>
              <w:t>Hanne</w:t>
            </w:r>
            <w:proofErr w:type="spellEnd"/>
            <w:r w:rsidRPr="00CA774A">
              <w:rPr>
                <w:b/>
                <w:sz w:val="20"/>
                <w:szCs w:val="20"/>
              </w:rPr>
              <w:t xml:space="preserve">, Juergen </w:t>
            </w:r>
            <w:proofErr w:type="spellStart"/>
            <w:r w:rsidRPr="00CA774A">
              <w:rPr>
                <w:b/>
                <w:sz w:val="20"/>
                <w:szCs w:val="20"/>
              </w:rPr>
              <w:t>Hanne</w:t>
            </w:r>
            <w:proofErr w:type="spellEnd"/>
            <w:r w:rsidRPr="00CA774A">
              <w:rPr>
                <w:b/>
                <w:sz w:val="20"/>
                <w:szCs w:val="20"/>
              </w:rPr>
              <w:t xml:space="preserve">, Calgary Ventures Inc., </w:t>
            </w:r>
            <w:proofErr w:type="spellStart"/>
            <w:r w:rsidRPr="00CA774A">
              <w:rPr>
                <w:b/>
                <w:sz w:val="20"/>
                <w:szCs w:val="20"/>
              </w:rPr>
              <w:t>Contura</w:t>
            </w:r>
            <w:proofErr w:type="spellEnd"/>
            <w:r w:rsidRPr="00CA774A">
              <w:rPr>
                <w:b/>
                <w:sz w:val="20"/>
                <w:szCs w:val="20"/>
              </w:rPr>
              <w:t xml:space="preserve"> Consulting Ltd., </w:t>
            </w:r>
            <w:proofErr w:type="spellStart"/>
            <w:r w:rsidRPr="00CA774A">
              <w:rPr>
                <w:b/>
                <w:sz w:val="20"/>
                <w:szCs w:val="20"/>
              </w:rPr>
              <w:t>Bauland</w:t>
            </w:r>
            <w:proofErr w:type="spellEnd"/>
            <w:r w:rsidRPr="00CA774A">
              <w:rPr>
                <w:b/>
                <w:sz w:val="20"/>
                <w:szCs w:val="20"/>
              </w:rPr>
              <w:t xml:space="preserve"> Inc., Lux Real </w:t>
            </w:r>
            <w:proofErr w:type="spellStart"/>
            <w:r w:rsidRPr="00CA774A">
              <w:rPr>
                <w:b/>
                <w:sz w:val="20"/>
                <w:szCs w:val="20"/>
              </w:rPr>
              <w:t>Investments</w:t>
            </w:r>
            <w:proofErr w:type="spellEnd"/>
            <w:r w:rsidRPr="00CA774A">
              <w:rPr>
                <w:b/>
                <w:sz w:val="20"/>
                <w:szCs w:val="20"/>
              </w:rPr>
              <w:t xml:space="preserve"> Ltd. et </w:t>
            </w:r>
            <w:proofErr w:type="spellStart"/>
            <w:r w:rsidRPr="00CA774A">
              <w:rPr>
                <w:b/>
                <w:sz w:val="20"/>
                <w:szCs w:val="20"/>
              </w:rPr>
              <w:t>Troyvest</w:t>
            </w:r>
            <w:proofErr w:type="spellEnd"/>
            <w:r w:rsidRPr="00CA774A">
              <w:rPr>
                <w:b/>
                <w:sz w:val="20"/>
                <w:szCs w:val="20"/>
              </w:rPr>
              <w:t xml:space="preserve"> </w:t>
            </w:r>
            <w:proofErr w:type="spellStart"/>
            <w:r w:rsidRPr="00CA774A">
              <w:rPr>
                <w:b/>
                <w:sz w:val="20"/>
                <w:szCs w:val="20"/>
              </w:rPr>
              <w:t>Estates</w:t>
            </w:r>
            <w:proofErr w:type="spellEnd"/>
            <w:r w:rsidRPr="00CA774A">
              <w:rPr>
                <w:b/>
                <w:sz w:val="20"/>
                <w:szCs w:val="20"/>
              </w:rPr>
              <w:t xml:space="preserve"> Ltd.</w:t>
            </w:r>
          </w:p>
          <w:p w:rsidR="00CA774A" w:rsidRPr="00CD6D96" w:rsidRDefault="00CA774A" w:rsidP="00CA774A">
            <w:pPr>
              <w:jc w:val="both"/>
              <w:rPr>
                <w:sz w:val="20"/>
                <w:szCs w:val="20"/>
                <w:lang w:val="fr-CA"/>
              </w:rPr>
            </w:pPr>
            <w:r w:rsidRPr="00CD6D96">
              <w:rPr>
                <w:sz w:val="20"/>
                <w:szCs w:val="20"/>
                <w:lang w:val="fr-CA"/>
              </w:rPr>
              <w:t>(</w:t>
            </w:r>
            <w:proofErr w:type="spellStart"/>
            <w:r w:rsidRPr="00CD6D96">
              <w:rPr>
                <w:sz w:val="20"/>
                <w:szCs w:val="20"/>
                <w:lang w:val="fr-CA"/>
              </w:rPr>
              <w:t>Alb</w:t>
            </w:r>
            <w:proofErr w:type="spellEnd"/>
            <w:r w:rsidRPr="00CD6D96">
              <w:rPr>
                <w:sz w:val="20"/>
                <w:szCs w:val="20"/>
                <w:lang w:val="fr-CA"/>
              </w:rPr>
              <w:t>.) (Civile) (Sur autorisation)</w:t>
            </w:r>
          </w:p>
        </w:tc>
      </w:tr>
      <w:tr w:rsidR="00CA774A" w:rsidRPr="00F964D5" w:rsidTr="00CA774A">
        <w:tc>
          <w:tcPr>
            <w:tcW w:w="543"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CA774A" w:rsidRDefault="00AD1C76" w:rsidP="00CA774A">
            <w:pPr>
              <w:pStyle w:val="SCCLsocParty"/>
              <w:jc w:val="both"/>
              <w:rPr>
                <w:sz w:val="20"/>
                <w:szCs w:val="20"/>
                <w:lang w:val="fr-FR"/>
              </w:rPr>
            </w:pPr>
            <w:r w:rsidRPr="00810857">
              <w:rPr>
                <w:sz w:val="20"/>
                <w:szCs w:val="20"/>
                <w:lang w:val="fr-FR"/>
              </w:rPr>
              <w:t xml:space="preserve">La juge en chef </w:t>
            </w:r>
            <w:proofErr w:type="spellStart"/>
            <w:r w:rsidRPr="00810857">
              <w:rPr>
                <w:sz w:val="20"/>
                <w:szCs w:val="20"/>
                <w:lang w:val="fr-FR"/>
              </w:rPr>
              <w:t>McLachlin</w:t>
            </w:r>
            <w:proofErr w:type="spellEnd"/>
            <w:r w:rsidRPr="00810857">
              <w:rPr>
                <w:sz w:val="20"/>
                <w:szCs w:val="20"/>
                <w:lang w:val="fr-FR"/>
              </w:rPr>
              <w:t xml:space="preserve"> et les juges Abella, </w:t>
            </w:r>
            <w:proofErr w:type="spellStart"/>
            <w:r w:rsidRPr="00810857">
              <w:rPr>
                <w:sz w:val="20"/>
                <w:szCs w:val="20"/>
                <w:lang w:val="fr-FR"/>
              </w:rPr>
              <w:t>Moldaver</w:t>
            </w:r>
            <w:proofErr w:type="spellEnd"/>
            <w:r w:rsidRPr="00810857">
              <w:rPr>
                <w:sz w:val="20"/>
                <w:szCs w:val="20"/>
                <w:lang w:val="fr-FR"/>
              </w:rPr>
              <w:t xml:space="preserve">, </w:t>
            </w:r>
            <w:proofErr w:type="spellStart"/>
            <w:r w:rsidRPr="00810857">
              <w:rPr>
                <w:sz w:val="20"/>
                <w:szCs w:val="20"/>
                <w:lang w:val="fr-FR"/>
              </w:rPr>
              <w:t>Karakatsanis</w:t>
            </w:r>
            <w:proofErr w:type="spellEnd"/>
            <w:r w:rsidRPr="00810857">
              <w:rPr>
                <w:sz w:val="20"/>
                <w:szCs w:val="20"/>
                <w:lang w:val="fr-FR"/>
              </w:rPr>
              <w:t>, Wagner, Gascon, Côté, Brown et Rowe</w:t>
            </w:r>
          </w:p>
          <w:p w:rsidR="00AD1C76" w:rsidRPr="00AD1C76" w:rsidRDefault="00AD1C76" w:rsidP="00AD1C76">
            <w:pPr>
              <w:rPr>
                <w:lang w:val="fr-FR"/>
              </w:rPr>
            </w:pPr>
          </w:p>
        </w:tc>
      </w:tr>
      <w:tr w:rsidR="00CA774A" w:rsidRPr="00F964D5" w:rsidTr="00CA774A">
        <w:tc>
          <w:tcPr>
            <w:tcW w:w="5000" w:type="pct"/>
            <w:gridSpan w:val="4"/>
          </w:tcPr>
          <w:p w:rsidR="00AD1C76" w:rsidRPr="00810857" w:rsidRDefault="00AD1C76" w:rsidP="00AD1C76">
            <w:pPr>
              <w:jc w:val="both"/>
              <w:textAlignment w:val="top"/>
              <w:rPr>
                <w:rFonts w:ascii="Arial" w:eastAsia="Times New Roman" w:hAnsi="Arial" w:cs="Arial"/>
                <w:color w:val="777777"/>
                <w:sz w:val="20"/>
                <w:szCs w:val="20"/>
                <w:lang w:val="fr-FR" w:eastAsia="en-CA"/>
              </w:rPr>
            </w:pPr>
            <w:r w:rsidRPr="00810857">
              <w:rPr>
                <w:rFonts w:cs="Times New Roman"/>
                <w:sz w:val="20"/>
                <w:szCs w:val="20"/>
                <w:lang w:val="fr-FR"/>
              </w:rPr>
              <w:t xml:space="preserve">La requête pour joindre deux ordonnances pour qu’une seule demande d’autorisation d’appel puisse être déposée est accueillie. </w:t>
            </w:r>
            <w:r w:rsidRPr="00810857">
              <w:rPr>
                <w:rFonts w:ascii="Arial" w:hAnsi="Arial" w:cs="Arial"/>
                <w:color w:val="222222"/>
                <w:sz w:val="20"/>
                <w:szCs w:val="20"/>
                <w:lang w:val="fr-FR"/>
              </w:rPr>
              <w:t xml:space="preserve"> </w:t>
            </w:r>
            <w:r w:rsidRPr="00810857">
              <w:rPr>
                <w:sz w:val="20"/>
                <w:szCs w:val="20"/>
                <w:lang w:val="fr-CA"/>
              </w:rPr>
              <w:t xml:space="preserve">La demande d’autorisation d’appel de l’arrêt de la </w:t>
            </w:r>
            <w:r w:rsidRPr="00810857">
              <w:rPr>
                <w:sz w:val="20"/>
                <w:szCs w:val="20"/>
                <w:lang w:val="fr-FR"/>
              </w:rPr>
              <w:t>Cour d</w:t>
            </w:r>
            <w:r w:rsidRPr="00810857">
              <w:rPr>
                <w:sz w:val="20"/>
                <w:szCs w:val="20"/>
                <w:lang w:val="fr-CA"/>
              </w:rPr>
              <w:t>’</w:t>
            </w:r>
            <w:r w:rsidRPr="00810857">
              <w:rPr>
                <w:sz w:val="20"/>
                <w:szCs w:val="20"/>
                <w:lang w:val="fr-FR"/>
              </w:rPr>
              <w:t>appel de l’Alberta (Edmonton)</w:t>
            </w:r>
            <w:r w:rsidRPr="00810857">
              <w:rPr>
                <w:sz w:val="20"/>
                <w:szCs w:val="20"/>
                <w:lang w:val="fr-CA"/>
              </w:rPr>
              <w:t xml:space="preserve">, numéros </w:t>
            </w:r>
            <w:r w:rsidRPr="00810857">
              <w:rPr>
                <w:sz w:val="20"/>
                <w:szCs w:val="20"/>
                <w:lang w:val="fr-FR"/>
              </w:rPr>
              <w:t>1603-0275-AC et 1603-0276-AC, 2017 ABCA 116</w:t>
            </w:r>
            <w:r w:rsidRPr="00810857">
              <w:rPr>
                <w:sz w:val="20"/>
                <w:szCs w:val="20"/>
                <w:lang w:val="fr-CA"/>
              </w:rPr>
              <w:t xml:space="preserve">, daté du </w:t>
            </w:r>
            <w:r w:rsidRPr="00810857">
              <w:rPr>
                <w:sz w:val="20"/>
                <w:szCs w:val="20"/>
                <w:lang w:val="fr-FR"/>
              </w:rPr>
              <w:t>19 avril 2017</w:t>
            </w:r>
            <w:r w:rsidRPr="00810857">
              <w:rPr>
                <w:sz w:val="20"/>
                <w:szCs w:val="20"/>
                <w:lang w:val="fr-CA"/>
              </w:rPr>
              <w:t xml:space="preserve">, est rejetée avec dépens </w:t>
            </w:r>
            <w:r w:rsidRPr="00810857">
              <w:rPr>
                <w:rFonts w:eastAsia="Times New Roman" w:cs="Times New Roman"/>
                <w:sz w:val="20"/>
                <w:szCs w:val="20"/>
                <w:lang w:val="fr-FR" w:eastAsia="en-CA"/>
              </w:rPr>
              <w:t xml:space="preserve">conformément au tarif des honoraires et débours établi à l’Annexe B des </w:t>
            </w:r>
            <w:r w:rsidRPr="00810857">
              <w:rPr>
                <w:rFonts w:eastAsia="Times New Roman" w:cs="Times New Roman"/>
                <w:i/>
                <w:sz w:val="20"/>
                <w:szCs w:val="20"/>
                <w:lang w:val="fr-FR" w:eastAsia="en-CA"/>
              </w:rPr>
              <w:t>Règles de la Cour suprême du Canada</w:t>
            </w:r>
            <w:r w:rsidRPr="00810857">
              <w:rPr>
                <w:rFonts w:eastAsia="Times New Roman" w:cs="Times New Roman"/>
                <w:sz w:val="20"/>
                <w:szCs w:val="20"/>
                <w:lang w:val="fr-FR" w:eastAsia="en-CA"/>
              </w:rPr>
              <w:t>.</w:t>
            </w:r>
          </w:p>
          <w:p w:rsidR="00CA774A" w:rsidRPr="00AD1C76" w:rsidRDefault="00CA774A" w:rsidP="00CA774A">
            <w:pPr>
              <w:pStyle w:val="SCCLsocParty"/>
              <w:jc w:val="both"/>
              <w:rPr>
                <w:b/>
                <w:sz w:val="20"/>
                <w:szCs w:val="20"/>
                <w:lang w:val="fr-FR"/>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Droit administratif — Appels — Norme de contrôle — Procédure civile — Requête pour délai excessif — La Cour d’appel a rejeté les demandes pour cause de délai excessif — Degré approprié de déférence à l’égard des conclusions de fait, des conclusions mixtes de fait et de droit et de l’exercice du pouvoir discrétionnaire par les tribunaux de première instance en ce qui concerne les délais d’une action en justice — Les délais attribuables aux défendeurs doivent-ils être un facteur pour trancher la question de savoir s’il y a eu délai excessif? — Règle 4.31 des </w:t>
            </w:r>
            <w:r w:rsidRPr="00CD6D96">
              <w:rPr>
                <w:i/>
                <w:sz w:val="20"/>
                <w:szCs w:val="20"/>
                <w:lang w:val="fr-CA"/>
              </w:rPr>
              <w:t xml:space="preserve">Alberta </w:t>
            </w:r>
            <w:proofErr w:type="spellStart"/>
            <w:r w:rsidRPr="00CD6D96">
              <w:rPr>
                <w:i/>
                <w:sz w:val="20"/>
                <w:szCs w:val="20"/>
                <w:lang w:val="fr-CA"/>
              </w:rPr>
              <w:t>Rules</w:t>
            </w:r>
            <w:proofErr w:type="spellEnd"/>
            <w:r w:rsidRPr="00CD6D96">
              <w:rPr>
                <w:i/>
                <w:sz w:val="20"/>
                <w:szCs w:val="20"/>
                <w:lang w:val="fr-CA"/>
              </w:rPr>
              <w:t xml:space="preserve"> of Court</w:t>
            </w:r>
            <w:r w:rsidRPr="00CD6D96">
              <w:rPr>
                <w:sz w:val="20"/>
                <w:szCs w:val="20"/>
                <w:lang w:val="fr-CA"/>
              </w:rPr>
              <w:t>, Alta. Reg. 124/2010.</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eastAsia="en-CA"/>
              </w:rPr>
            </w:pPr>
            <w:r w:rsidRPr="00CD6D96">
              <w:rPr>
                <w:sz w:val="20"/>
                <w:szCs w:val="20"/>
                <w:lang w:val="fr-CA" w:eastAsia="en-CA"/>
              </w:rPr>
              <w:t xml:space="preserve">Les demandeurs, V. Lorne </w:t>
            </w:r>
            <w:proofErr w:type="spellStart"/>
            <w:r w:rsidRPr="00CD6D96">
              <w:rPr>
                <w:sz w:val="20"/>
                <w:szCs w:val="20"/>
                <w:lang w:val="fr-CA" w:eastAsia="en-CA"/>
              </w:rPr>
              <w:t>Humphreys</w:t>
            </w:r>
            <w:proofErr w:type="spellEnd"/>
            <w:r w:rsidRPr="00CD6D96">
              <w:rPr>
                <w:sz w:val="20"/>
                <w:szCs w:val="20"/>
                <w:lang w:val="fr-CA" w:eastAsia="en-CA"/>
              </w:rPr>
              <w:t xml:space="preserve"> et </w:t>
            </w:r>
            <w:proofErr w:type="spellStart"/>
            <w:r w:rsidRPr="00CD6D96">
              <w:rPr>
                <w:sz w:val="20"/>
                <w:szCs w:val="20"/>
                <w:lang w:val="fr-CA" w:eastAsia="en-CA"/>
              </w:rPr>
              <w:t>Brodlor</w:t>
            </w:r>
            <w:proofErr w:type="spellEnd"/>
            <w:r w:rsidRPr="00CD6D96">
              <w:rPr>
                <w:sz w:val="20"/>
                <w:szCs w:val="20"/>
                <w:lang w:val="fr-CA" w:eastAsia="en-CA"/>
              </w:rPr>
              <w:t xml:space="preserve"> </w:t>
            </w:r>
            <w:proofErr w:type="spellStart"/>
            <w:r w:rsidRPr="00CD6D96">
              <w:rPr>
                <w:sz w:val="20"/>
                <w:szCs w:val="20"/>
                <w:lang w:val="fr-CA" w:eastAsia="en-CA"/>
              </w:rPr>
              <w:t>Foods</w:t>
            </w:r>
            <w:proofErr w:type="spellEnd"/>
            <w:r w:rsidRPr="00CD6D96">
              <w:rPr>
                <w:sz w:val="20"/>
                <w:szCs w:val="20"/>
                <w:lang w:val="fr-CA" w:eastAsia="en-CA"/>
              </w:rPr>
              <w:t xml:space="preserve"> Inc. ont intenté une action dans la juridiction inférieure contre les personnes physiques et les personnes morales intimées, alléguant qu’elles s’étaient livrées à des pratiques commerciales frauduleuses. </w:t>
            </w:r>
          </w:p>
          <w:p w:rsidR="00CA774A" w:rsidRPr="00CD6D96" w:rsidRDefault="00CA774A" w:rsidP="00CA774A">
            <w:pPr>
              <w:jc w:val="both"/>
              <w:rPr>
                <w:sz w:val="20"/>
                <w:szCs w:val="20"/>
                <w:lang w:val="fr-CA" w:eastAsia="en-CA"/>
              </w:rPr>
            </w:pPr>
          </w:p>
          <w:p w:rsidR="00CA774A" w:rsidRPr="00CD6D96" w:rsidRDefault="00CA774A" w:rsidP="00CA774A">
            <w:pPr>
              <w:jc w:val="both"/>
              <w:rPr>
                <w:sz w:val="20"/>
                <w:szCs w:val="20"/>
                <w:lang w:val="fr-CA"/>
              </w:rPr>
            </w:pPr>
            <w:r w:rsidRPr="00CD6D96">
              <w:rPr>
                <w:sz w:val="20"/>
                <w:szCs w:val="20"/>
                <w:lang w:val="fr-CA" w:eastAsia="en-CA"/>
              </w:rPr>
              <w:t>L’action a été intentée en décembre 2006. La Cour d’appel a conclu que l’action elle-même ne serait probablement instruite qu’en 2020</w:t>
            </w:r>
            <w:r w:rsidRPr="00CD6D96">
              <w:rPr>
                <w:sz w:val="20"/>
                <w:szCs w:val="20"/>
                <w:lang w:val="fr-CA"/>
              </w:rPr>
              <w:t xml:space="preserve">. </w:t>
            </w:r>
            <w:r w:rsidRPr="00CD6D96">
              <w:rPr>
                <w:sz w:val="20"/>
                <w:szCs w:val="20"/>
                <w:lang w:val="fr-CA" w:eastAsia="en-CA"/>
              </w:rPr>
              <w:t xml:space="preserve">Environ 9,5 ans après l’introduction de la poursuite, les intimés ont sollicité le rejet de l’action en application de la règle 4.31 des </w:t>
            </w:r>
            <w:r w:rsidRPr="00CD6D96">
              <w:rPr>
                <w:i/>
                <w:sz w:val="20"/>
                <w:szCs w:val="20"/>
                <w:lang w:val="fr-CA" w:eastAsia="en-CA"/>
              </w:rPr>
              <w:t xml:space="preserve">Alberta </w:t>
            </w:r>
            <w:proofErr w:type="spellStart"/>
            <w:r w:rsidRPr="00CD6D96">
              <w:rPr>
                <w:i/>
                <w:sz w:val="20"/>
                <w:szCs w:val="20"/>
                <w:lang w:val="fr-CA" w:eastAsia="en-CA"/>
              </w:rPr>
              <w:t>Rules</w:t>
            </w:r>
            <w:proofErr w:type="spellEnd"/>
            <w:r w:rsidRPr="00CD6D96">
              <w:rPr>
                <w:i/>
                <w:sz w:val="20"/>
                <w:szCs w:val="20"/>
                <w:lang w:val="fr-CA" w:eastAsia="en-CA"/>
              </w:rPr>
              <w:t xml:space="preserve"> of Court</w:t>
            </w:r>
            <w:r w:rsidRPr="00CD6D96">
              <w:rPr>
                <w:sz w:val="20"/>
                <w:szCs w:val="20"/>
                <w:lang w:val="fr-CA" w:eastAsia="en-CA"/>
              </w:rPr>
              <w:t>, alléguant avoir subi un préjudice lié au litige et un préjudice non lié au litige en raison du délai excessif.</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eastAsia="en-CA"/>
              </w:rPr>
            </w:pPr>
            <w:r w:rsidRPr="00CD6D96">
              <w:rPr>
                <w:sz w:val="20"/>
                <w:szCs w:val="20"/>
                <w:lang w:val="fr-CA" w:eastAsia="en-CA"/>
              </w:rPr>
              <w:t>Le juge de première instance a rejeté les deux requêtes pour délai excessif. La Cour d’appel a accueilli les appels et rejeté les actions.</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14 octobre 2016</w:t>
            </w:r>
          </w:p>
          <w:p w:rsidR="00CA774A" w:rsidRPr="00CD6D96" w:rsidRDefault="00CA774A" w:rsidP="00CA774A">
            <w:pPr>
              <w:jc w:val="both"/>
              <w:rPr>
                <w:sz w:val="20"/>
                <w:szCs w:val="20"/>
                <w:lang w:val="fr-CA"/>
              </w:rPr>
            </w:pPr>
            <w:r w:rsidRPr="00CD6D96">
              <w:rPr>
                <w:sz w:val="20"/>
                <w:szCs w:val="20"/>
                <w:lang w:val="fr-CA"/>
              </w:rPr>
              <w:t>Cour du Banc de la Reine de l’Alberta</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Michalyshyn</w:t>
            </w:r>
            <w:proofErr w:type="spellEnd"/>
            <w:r w:rsidRPr="00CD6D96">
              <w:rPr>
                <w:sz w:val="20"/>
                <w:szCs w:val="20"/>
                <w:lang w:val="fr-CA"/>
              </w:rPr>
              <w:t>)</w:t>
            </w:r>
          </w:p>
          <w:p w:rsidR="00CA774A" w:rsidRPr="00CD6D96" w:rsidRDefault="00F964D5" w:rsidP="00CA774A">
            <w:pPr>
              <w:jc w:val="both"/>
              <w:rPr>
                <w:sz w:val="20"/>
                <w:szCs w:val="20"/>
                <w:lang w:val="fr-CA"/>
              </w:rPr>
            </w:pPr>
            <w:hyperlink r:id="rId45" w:history="1">
              <w:r w:rsidR="00CA774A" w:rsidRPr="00CD6D96">
                <w:rPr>
                  <w:rStyle w:val="Hyperlink"/>
                  <w:sz w:val="20"/>
                  <w:szCs w:val="20"/>
                  <w:lang w:val="fr-CA"/>
                </w:rPr>
                <w:t>2016 ABQB 579</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Rejet de la requête en radiation de la demande de V. Lorne </w:t>
            </w:r>
            <w:proofErr w:type="spellStart"/>
            <w:r w:rsidRPr="00CD6D96">
              <w:rPr>
                <w:sz w:val="20"/>
                <w:szCs w:val="20"/>
                <w:lang w:val="fr-CA"/>
              </w:rPr>
              <w:t>Humphreys</w:t>
            </w:r>
            <w:proofErr w:type="spellEnd"/>
            <w:r w:rsidRPr="00CD6D96">
              <w:rPr>
                <w:sz w:val="20"/>
                <w:szCs w:val="20"/>
                <w:lang w:val="fr-CA"/>
              </w:rPr>
              <w:t xml:space="preserve"> et de </w:t>
            </w:r>
            <w:proofErr w:type="spellStart"/>
            <w:r w:rsidRPr="00CD6D96">
              <w:rPr>
                <w:sz w:val="20"/>
                <w:szCs w:val="20"/>
                <w:lang w:val="fr-CA"/>
              </w:rPr>
              <w:t>Brodlor</w:t>
            </w:r>
            <w:proofErr w:type="spellEnd"/>
            <w:r w:rsidRPr="00CD6D96">
              <w:rPr>
                <w:sz w:val="20"/>
                <w:szCs w:val="20"/>
                <w:lang w:val="fr-CA"/>
              </w:rPr>
              <w:t xml:space="preserve"> </w:t>
            </w:r>
            <w:proofErr w:type="spellStart"/>
            <w:r w:rsidRPr="00CD6D96">
              <w:rPr>
                <w:sz w:val="20"/>
                <w:szCs w:val="20"/>
                <w:lang w:val="fr-CA"/>
              </w:rPr>
              <w:t>Foods</w:t>
            </w:r>
            <w:proofErr w:type="spellEnd"/>
            <w:r w:rsidRPr="00CD6D96">
              <w:rPr>
                <w:sz w:val="20"/>
                <w:szCs w:val="20"/>
                <w:lang w:val="fr-CA"/>
              </w:rPr>
              <w:t xml:space="preserve"> Inc. pour cause de délai excessif et préjudice présumé. </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19 avril 2017</w:t>
            </w:r>
          </w:p>
          <w:p w:rsidR="00CA774A" w:rsidRPr="00CD6D96" w:rsidRDefault="00CA774A" w:rsidP="00CA774A">
            <w:pPr>
              <w:jc w:val="both"/>
              <w:rPr>
                <w:sz w:val="20"/>
                <w:szCs w:val="20"/>
                <w:lang w:val="fr-CA"/>
              </w:rPr>
            </w:pPr>
            <w:r w:rsidRPr="00CD6D96">
              <w:rPr>
                <w:sz w:val="20"/>
                <w:szCs w:val="20"/>
                <w:lang w:val="fr-CA"/>
              </w:rPr>
              <w:t>Cour d’appel de l’Alberta (Edmonton)</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Juges</w:t>
            </w:r>
            <w:proofErr w:type="spellEnd"/>
            <w:r w:rsidRPr="00CD6D96">
              <w:rPr>
                <w:sz w:val="20"/>
                <w:szCs w:val="20"/>
              </w:rPr>
              <w:t xml:space="preserve"> </w:t>
            </w:r>
            <w:proofErr w:type="spellStart"/>
            <w:r w:rsidRPr="00CD6D96">
              <w:rPr>
                <w:sz w:val="20"/>
                <w:szCs w:val="20"/>
              </w:rPr>
              <w:t>Costigan</w:t>
            </w:r>
            <w:proofErr w:type="spellEnd"/>
            <w:r w:rsidRPr="00CD6D96">
              <w:rPr>
                <w:sz w:val="20"/>
                <w:szCs w:val="20"/>
              </w:rPr>
              <w:t xml:space="preserve">, </w:t>
            </w:r>
            <w:proofErr w:type="spellStart"/>
            <w:r w:rsidRPr="00CD6D96">
              <w:rPr>
                <w:sz w:val="20"/>
                <w:szCs w:val="20"/>
              </w:rPr>
              <w:t>Wakeling</w:t>
            </w:r>
            <w:proofErr w:type="spellEnd"/>
            <w:r w:rsidRPr="00CD6D96">
              <w:rPr>
                <w:sz w:val="20"/>
                <w:szCs w:val="20"/>
              </w:rPr>
              <w:t xml:space="preserve"> et Watson)</w:t>
            </w:r>
          </w:p>
          <w:p w:rsidR="00CA774A" w:rsidRPr="00CD6D96" w:rsidRDefault="00F964D5" w:rsidP="00CA774A">
            <w:pPr>
              <w:jc w:val="both"/>
              <w:rPr>
                <w:sz w:val="20"/>
                <w:szCs w:val="20"/>
                <w:lang w:val="fr-CA"/>
              </w:rPr>
            </w:pPr>
            <w:hyperlink r:id="rId46" w:history="1">
              <w:r w:rsidR="00CA774A" w:rsidRPr="00CD6D96">
                <w:rPr>
                  <w:rStyle w:val="Hyperlink"/>
                  <w:sz w:val="20"/>
                  <w:szCs w:val="20"/>
                  <w:lang w:val="fr-CA"/>
                </w:rPr>
                <w:t>2017 ABCA 116</w:t>
              </w:r>
            </w:hyperlink>
          </w:p>
          <w:p w:rsidR="00CA774A" w:rsidRPr="00CD6D96" w:rsidRDefault="00CA774A" w:rsidP="00CA774A">
            <w:pPr>
              <w:jc w:val="both"/>
              <w:rPr>
                <w:sz w:val="20"/>
                <w:szCs w:val="20"/>
                <w:lang w:val="fr-CA"/>
              </w:rPr>
            </w:pPr>
            <w:r w:rsidRPr="00CD6D96">
              <w:rPr>
                <w:sz w:val="20"/>
                <w:szCs w:val="20"/>
                <w:lang w:val="fr-CA"/>
              </w:rPr>
              <w:t>N</w:t>
            </w:r>
            <w:r w:rsidRPr="00CD6D96">
              <w:rPr>
                <w:sz w:val="20"/>
                <w:szCs w:val="20"/>
                <w:vertAlign w:val="superscript"/>
                <w:lang w:val="fr-CA"/>
              </w:rPr>
              <w:t>os</w:t>
            </w:r>
            <w:r w:rsidRPr="00CD6D96">
              <w:rPr>
                <w:sz w:val="20"/>
                <w:szCs w:val="20"/>
                <w:lang w:val="fr-CA"/>
              </w:rPr>
              <w:t xml:space="preserve"> de dossiers : 1603-0275-AC et 1603-0276-AC</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Arrêt accueillant les appels. Rejet des demandes en application de la règle 4.31(1) des </w:t>
            </w:r>
            <w:r w:rsidRPr="00CD6D96">
              <w:rPr>
                <w:i/>
                <w:sz w:val="20"/>
                <w:szCs w:val="20"/>
                <w:lang w:val="fr-CA"/>
              </w:rPr>
              <w:t xml:space="preserve">Alberta </w:t>
            </w:r>
            <w:proofErr w:type="spellStart"/>
            <w:r w:rsidRPr="00CD6D96">
              <w:rPr>
                <w:i/>
                <w:sz w:val="20"/>
                <w:szCs w:val="20"/>
                <w:lang w:val="fr-CA"/>
              </w:rPr>
              <w:t>Rules</w:t>
            </w:r>
            <w:proofErr w:type="spellEnd"/>
            <w:r w:rsidRPr="00CD6D96">
              <w:rPr>
                <w:i/>
                <w:sz w:val="20"/>
                <w:szCs w:val="20"/>
                <w:lang w:val="fr-CA"/>
              </w:rPr>
              <w:t xml:space="preserve"> of Court</w:t>
            </w:r>
            <w:r w:rsidRPr="00CD6D96">
              <w:rPr>
                <w:sz w:val="20"/>
                <w:szCs w:val="20"/>
                <w:lang w:val="fr-CA"/>
              </w:rPr>
              <w:t xml:space="preserve">. </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16 juin 2017</w:t>
            </w:r>
          </w:p>
          <w:p w:rsidR="00CA774A" w:rsidRPr="00CD6D96" w:rsidRDefault="00CA774A" w:rsidP="00CA774A">
            <w:pPr>
              <w:jc w:val="both"/>
              <w:rPr>
                <w:sz w:val="20"/>
                <w:szCs w:val="20"/>
                <w:lang w:val="fr-CA"/>
              </w:rPr>
            </w:pPr>
            <w:r w:rsidRPr="00CD6D96">
              <w:rPr>
                <w:sz w:val="20"/>
                <w:szCs w:val="20"/>
                <w:lang w:val="fr-CA"/>
              </w:rPr>
              <w:t>Cour suprême du Canada</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eastAsia="en-CA"/>
              </w:rPr>
            </w:pPr>
            <w:r w:rsidRPr="00CD6D96">
              <w:rPr>
                <w:sz w:val="20"/>
                <w:szCs w:val="20"/>
                <w:lang w:val="fr-CA" w:eastAsia="en-CA"/>
              </w:rPr>
              <w:t>22 juin 2017</w:t>
            </w:r>
          </w:p>
          <w:p w:rsidR="00CA774A" w:rsidRPr="00CD6D96" w:rsidRDefault="00CA774A" w:rsidP="00CA774A">
            <w:pPr>
              <w:jc w:val="both"/>
              <w:rPr>
                <w:sz w:val="20"/>
                <w:szCs w:val="20"/>
                <w:lang w:val="fr-CA"/>
              </w:rPr>
            </w:pPr>
            <w:r w:rsidRPr="00CD6D96">
              <w:rPr>
                <w:sz w:val="20"/>
                <w:szCs w:val="20"/>
                <w:lang w:val="fr-CA" w:eastAsia="en-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requête diverse en vue de joindre les deux ordonnances de la Cour d’appel de l’Alberta et de déposer une seule demande d’autorisation.</w:t>
            </w:r>
          </w:p>
        </w:tc>
      </w:tr>
    </w:tbl>
    <w:p w:rsidR="00CA774A" w:rsidRPr="00CD6D96" w:rsidRDefault="00F964D5" w:rsidP="00CA774A">
      <w:pPr>
        <w:jc w:val="both"/>
        <w:rPr>
          <w:sz w:val="20"/>
          <w:szCs w:val="20"/>
          <w:lang w:val="fr-CA"/>
        </w:rPr>
      </w:pPr>
      <w:r>
        <w:rPr>
          <w:sz w:val="20"/>
          <w:szCs w:val="20"/>
        </w:rPr>
        <w:pict>
          <v:rect id="_x0000_i1051"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A774A" w:rsidRPr="00CD6D96" w:rsidTr="00CA774A">
        <w:trPr>
          <w:gridAfter w:val="1"/>
          <w:wAfter w:w="48" w:type="pct"/>
        </w:trPr>
        <w:tc>
          <w:tcPr>
            <w:tcW w:w="538" w:type="pct"/>
          </w:tcPr>
          <w:p w:rsidR="00CA774A" w:rsidRPr="00CD6D96" w:rsidRDefault="00CA774A" w:rsidP="00CA774A">
            <w:pPr>
              <w:jc w:val="both"/>
              <w:rPr>
                <w:sz w:val="20"/>
                <w:szCs w:val="20"/>
              </w:rPr>
            </w:pPr>
            <w:r w:rsidRPr="00CD6D96">
              <w:rPr>
                <w:rStyle w:val="SCCFileNumberChar"/>
                <w:sz w:val="20"/>
                <w:szCs w:val="20"/>
              </w:rPr>
              <w:lastRenderedPageBreak/>
              <w:t>37611</w:t>
            </w:r>
          </w:p>
        </w:tc>
        <w:tc>
          <w:tcPr>
            <w:tcW w:w="4414" w:type="pct"/>
            <w:gridSpan w:val="3"/>
          </w:tcPr>
          <w:p w:rsidR="00CA774A" w:rsidRPr="00CD6D96" w:rsidRDefault="00CA774A" w:rsidP="00CA774A">
            <w:pPr>
              <w:pStyle w:val="SCCLsocParty"/>
              <w:jc w:val="both"/>
              <w:rPr>
                <w:b/>
                <w:sz w:val="20"/>
                <w:szCs w:val="20"/>
              </w:rPr>
            </w:pPr>
            <w:proofErr w:type="spellStart"/>
            <w:r w:rsidRPr="00CD6D96">
              <w:rPr>
                <w:b/>
                <w:sz w:val="20"/>
                <w:szCs w:val="20"/>
              </w:rPr>
              <w:t>Pavol</w:t>
            </w:r>
            <w:proofErr w:type="spellEnd"/>
            <w:r w:rsidRPr="00CD6D96">
              <w:rPr>
                <w:b/>
                <w:sz w:val="20"/>
                <w:szCs w:val="20"/>
              </w:rPr>
              <w:t xml:space="preserve"> </w:t>
            </w:r>
            <w:proofErr w:type="spellStart"/>
            <w:r w:rsidRPr="00CD6D96">
              <w:rPr>
                <w:b/>
                <w:sz w:val="20"/>
                <w:szCs w:val="20"/>
              </w:rPr>
              <w:t>Forgac</w:t>
            </w:r>
            <w:proofErr w:type="spellEnd"/>
            <w:r w:rsidRPr="00CD6D96">
              <w:rPr>
                <w:b/>
                <w:sz w:val="20"/>
                <w:szCs w:val="20"/>
              </w:rPr>
              <w:t xml:space="preserve"> v. Bombardier Inc.</w:t>
            </w:r>
          </w:p>
          <w:p w:rsidR="00CA774A" w:rsidRPr="00CD6D96" w:rsidRDefault="00CA774A" w:rsidP="00CA774A">
            <w:pPr>
              <w:jc w:val="both"/>
              <w:rPr>
                <w:sz w:val="20"/>
                <w:szCs w:val="20"/>
              </w:rPr>
            </w:pPr>
            <w:r w:rsidRPr="00CD6D96">
              <w:rPr>
                <w:sz w:val="20"/>
                <w:szCs w:val="20"/>
              </w:rPr>
              <w:t>(Que.) (Civil) (By Leave)</w:t>
            </w:r>
          </w:p>
        </w:tc>
      </w:tr>
      <w:tr w:rsidR="00CA774A" w:rsidRPr="00CD6D96" w:rsidTr="00CA774A">
        <w:trPr>
          <w:gridAfter w:val="1"/>
          <w:wAfter w:w="48" w:type="pct"/>
        </w:trPr>
        <w:tc>
          <w:tcPr>
            <w:tcW w:w="538"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4" w:type="pct"/>
            <w:gridSpan w:val="3"/>
          </w:tcPr>
          <w:p w:rsidR="00CA774A"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CA774A" w:rsidRPr="00CD6D96" w:rsidTr="00CA774A">
        <w:trPr>
          <w:gridAfter w:val="1"/>
          <w:wAfter w:w="48" w:type="pct"/>
        </w:trPr>
        <w:tc>
          <w:tcPr>
            <w:tcW w:w="4952" w:type="pct"/>
            <w:gridSpan w:val="4"/>
          </w:tcPr>
          <w:p w:rsidR="00CA774A" w:rsidRDefault="00AD1C76" w:rsidP="00CA774A">
            <w:pPr>
              <w:pStyle w:val="SCCLsocParty"/>
              <w:jc w:val="both"/>
              <w:rPr>
                <w:sz w:val="20"/>
                <w:szCs w:val="20"/>
                <w:lang w:val="en-US"/>
              </w:rPr>
            </w:pPr>
            <w:r w:rsidRPr="00AD1C76">
              <w:rPr>
                <w:sz w:val="20"/>
                <w:szCs w:val="20"/>
                <w:lang w:val="en-US"/>
              </w:rPr>
              <w:t>The application for leave to appeal from the judgment of the Court of Appeal of Quebec (Montréal), Number 500-09-026375-162, 2017 QCCA 212, dated February 6, 2017, is dismissed with costs.</w:t>
            </w:r>
          </w:p>
          <w:p w:rsidR="00AD1C76" w:rsidRPr="00AD1C76" w:rsidRDefault="00AD1C76" w:rsidP="00AD1C76">
            <w:pPr>
              <w:rPr>
                <w:lang w:val="en-US"/>
              </w:rPr>
            </w:pP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Civil procedure — Security for costs — Default — Whether the applicant was denied effective access to court and to justice? — Whether the arbitrary amount requested for security for cost had the effect of denying access to justice?</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 xml:space="preserve">The applicant is suing Bombardier Inc. for wrongful dismissal. As he resides outside of Canada, he was asked to provide security for costs. His action was dismissed by the Superior Court for failing to provide suretyship in the amount of $10,000. </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September 6, 2016</w:t>
            </w:r>
          </w:p>
          <w:p w:rsidR="00CA774A" w:rsidRPr="00CD6D96" w:rsidRDefault="00CA774A" w:rsidP="00CA774A">
            <w:pPr>
              <w:jc w:val="both"/>
              <w:rPr>
                <w:sz w:val="20"/>
                <w:szCs w:val="20"/>
              </w:rPr>
            </w:pPr>
            <w:r w:rsidRPr="00CD6D96">
              <w:rPr>
                <w:sz w:val="20"/>
                <w:szCs w:val="20"/>
              </w:rPr>
              <w:t>Superior Court of Quebec</w:t>
            </w:r>
          </w:p>
          <w:p w:rsidR="00CA774A" w:rsidRPr="00CD6D96" w:rsidRDefault="00CA774A" w:rsidP="00CA774A">
            <w:pPr>
              <w:jc w:val="both"/>
              <w:rPr>
                <w:sz w:val="20"/>
                <w:szCs w:val="20"/>
              </w:rPr>
            </w:pPr>
            <w:r w:rsidRPr="00CD6D96">
              <w:rPr>
                <w:sz w:val="20"/>
                <w:szCs w:val="20"/>
              </w:rPr>
              <w:t>(Poirier J.)</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Action dismissed</w:t>
            </w: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February 6, 2017</w:t>
            </w:r>
          </w:p>
          <w:p w:rsidR="00CA774A" w:rsidRPr="00CD6D96" w:rsidRDefault="00CA774A" w:rsidP="00CA774A">
            <w:pPr>
              <w:jc w:val="both"/>
              <w:rPr>
                <w:sz w:val="20"/>
                <w:szCs w:val="20"/>
              </w:rPr>
            </w:pPr>
            <w:r w:rsidRPr="00CD6D96">
              <w:rPr>
                <w:sz w:val="20"/>
                <w:szCs w:val="20"/>
              </w:rPr>
              <w:t>Court of Appeal of Quebec (Montréal)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Rochette</w:t>
            </w:r>
            <w:proofErr w:type="spellEnd"/>
            <w:r w:rsidRPr="00CD6D96">
              <w:rPr>
                <w:sz w:val="20"/>
                <w:szCs w:val="20"/>
              </w:rPr>
              <w:t>, Pelletier and Hilton JJ.A.)</w:t>
            </w:r>
          </w:p>
          <w:p w:rsidR="00CA774A" w:rsidRPr="00CD6D96" w:rsidRDefault="00F964D5" w:rsidP="00CA774A">
            <w:pPr>
              <w:jc w:val="both"/>
              <w:rPr>
                <w:sz w:val="20"/>
                <w:szCs w:val="20"/>
                <w:lang w:val="en"/>
              </w:rPr>
            </w:pPr>
            <w:hyperlink r:id="rId47" w:history="1">
              <w:r w:rsidR="00CA774A" w:rsidRPr="00CD6D96">
                <w:rPr>
                  <w:rStyle w:val="Hyperlink"/>
                  <w:sz w:val="20"/>
                  <w:szCs w:val="20"/>
                  <w:lang w:val="en"/>
                </w:rPr>
                <w:t>2017 QCCA 212</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rPr>
            </w:pPr>
            <w:r w:rsidRPr="00CD6D96">
              <w:rPr>
                <w:sz w:val="20"/>
                <w:szCs w:val="20"/>
              </w:rPr>
              <w:t>Motion to dismiss granted; Appeal dismissed</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April 7,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52"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A774A" w:rsidRPr="00CD6D96"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37611</w:t>
            </w:r>
          </w:p>
        </w:tc>
        <w:tc>
          <w:tcPr>
            <w:tcW w:w="4457" w:type="pct"/>
            <w:gridSpan w:val="3"/>
          </w:tcPr>
          <w:p w:rsidR="00CA774A" w:rsidRPr="00CD6D96" w:rsidRDefault="00CA774A" w:rsidP="00CA774A">
            <w:pPr>
              <w:pStyle w:val="SCCLsocParty"/>
              <w:jc w:val="both"/>
              <w:rPr>
                <w:b/>
                <w:sz w:val="20"/>
                <w:szCs w:val="20"/>
              </w:rPr>
            </w:pPr>
            <w:proofErr w:type="spellStart"/>
            <w:r w:rsidRPr="00CD6D96">
              <w:rPr>
                <w:b/>
                <w:sz w:val="20"/>
                <w:szCs w:val="20"/>
              </w:rPr>
              <w:t>Pavol</w:t>
            </w:r>
            <w:proofErr w:type="spellEnd"/>
            <w:r w:rsidRPr="00CD6D96">
              <w:rPr>
                <w:b/>
                <w:sz w:val="20"/>
                <w:szCs w:val="20"/>
              </w:rPr>
              <w:t xml:space="preserve"> </w:t>
            </w:r>
            <w:proofErr w:type="spellStart"/>
            <w:r w:rsidRPr="00CD6D96">
              <w:rPr>
                <w:b/>
                <w:sz w:val="20"/>
                <w:szCs w:val="20"/>
              </w:rPr>
              <w:t>Forgac</w:t>
            </w:r>
            <w:proofErr w:type="spellEnd"/>
            <w:r w:rsidRPr="00CD6D96">
              <w:rPr>
                <w:b/>
                <w:sz w:val="20"/>
                <w:szCs w:val="20"/>
              </w:rPr>
              <w:t xml:space="preserve"> c. Bombardier Inc.</w:t>
            </w:r>
          </w:p>
          <w:p w:rsidR="00CA774A" w:rsidRPr="00CD6D96" w:rsidRDefault="00CA774A" w:rsidP="00CA774A">
            <w:pPr>
              <w:jc w:val="both"/>
              <w:rPr>
                <w:sz w:val="20"/>
                <w:szCs w:val="20"/>
                <w:lang w:val="fr-CA"/>
              </w:rPr>
            </w:pPr>
            <w:r w:rsidRPr="00CD6D96">
              <w:rPr>
                <w:sz w:val="20"/>
                <w:szCs w:val="20"/>
                <w:lang w:val="fr-CA"/>
              </w:rPr>
              <w:t>(</w:t>
            </w:r>
            <w:proofErr w:type="spellStart"/>
            <w:r w:rsidRPr="00CD6D96">
              <w:rPr>
                <w:sz w:val="20"/>
                <w:szCs w:val="20"/>
                <w:lang w:val="fr-CA"/>
              </w:rPr>
              <w:t>Qué</w:t>
            </w:r>
            <w:proofErr w:type="spellEnd"/>
            <w:r w:rsidRPr="00CD6D96">
              <w:rPr>
                <w:sz w:val="20"/>
                <w:szCs w:val="20"/>
                <w:lang w:val="fr-CA"/>
              </w:rPr>
              <w:t>.) (Civile) (Sur autorisation)</w:t>
            </w:r>
          </w:p>
        </w:tc>
      </w:tr>
      <w:tr w:rsidR="00CA774A" w:rsidRPr="00F964D5" w:rsidTr="00CA774A">
        <w:tc>
          <w:tcPr>
            <w:tcW w:w="543"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CA774A" w:rsidRDefault="00AD1C76" w:rsidP="00CA774A">
            <w:pPr>
              <w:pStyle w:val="SCCLsocParty"/>
              <w:jc w:val="both"/>
              <w:rPr>
                <w:sz w:val="20"/>
                <w:szCs w:val="20"/>
                <w:lang w:val="fr-FR"/>
              </w:rPr>
            </w:pPr>
            <w:r w:rsidRPr="00523276">
              <w:rPr>
                <w:sz w:val="20"/>
                <w:szCs w:val="20"/>
                <w:lang w:val="fr-FR"/>
              </w:rPr>
              <w:t xml:space="preserve">La juge en chef </w:t>
            </w:r>
            <w:proofErr w:type="spellStart"/>
            <w:r w:rsidRPr="00523276">
              <w:rPr>
                <w:sz w:val="20"/>
                <w:szCs w:val="20"/>
                <w:lang w:val="fr-FR"/>
              </w:rPr>
              <w:t>McLachlin</w:t>
            </w:r>
            <w:proofErr w:type="spellEnd"/>
            <w:r w:rsidRPr="00523276">
              <w:rPr>
                <w:sz w:val="20"/>
                <w:szCs w:val="20"/>
                <w:lang w:val="fr-FR"/>
              </w:rPr>
              <w:t xml:space="preserve"> et les juges Abella, </w:t>
            </w:r>
            <w:proofErr w:type="spellStart"/>
            <w:r w:rsidRPr="00523276">
              <w:rPr>
                <w:sz w:val="20"/>
                <w:szCs w:val="20"/>
                <w:lang w:val="fr-FR"/>
              </w:rPr>
              <w:t>Moldaver</w:t>
            </w:r>
            <w:proofErr w:type="spellEnd"/>
            <w:r w:rsidRPr="00523276">
              <w:rPr>
                <w:sz w:val="20"/>
                <w:szCs w:val="20"/>
                <w:lang w:val="fr-FR"/>
              </w:rPr>
              <w:t xml:space="preserve">, </w:t>
            </w:r>
            <w:proofErr w:type="spellStart"/>
            <w:r w:rsidRPr="00523276">
              <w:rPr>
                <w:sz w:val="20"/>
                <w:szCs w:val="20"/>
                <w:lang w:val="fr-FR"/>
              </w:rPr>
              <w:t>Karakatsanis</w:t>
            </w:r>
            <w:proofErr w:type="spellEnd"/>
            <w:r w:rsidRPr="00523276">
              <w:rPr>
                <w:sz w:val="20"/>
                <w:szCs w:val="20"/>
                <w:lang w:val="fr-FR"/>
              </w:rPr>
              <w:t>, Wagner, Côté, Brown et Rowe</w:t>
            </w:r>
          </w:p>
          <w:p w:rsidR="00AD1C76" w:rsidRPr="00AD1C76" w:rsidRDefault="00AD1C76" w:rsidP="00AD1C76">
            <w:pPr>
              <w:rPr>
                <w:lang w:val="fr-FR"/>
              </w:rPr>
            </w:pPr>
          </w:p>
        </w:tc>
      </w:tr>
      <w:tr w:rsidR="00CA774A" w:rsidRPr="00F964D5" w:rsidTr="00CA774A">
        <w:tc>
          <w:tcPr>
            <w:tcW w:w="5000" w:type="pct"/>
            <w:gridSpan w:val="4"/>
          </w:tcPr>
          <w:p w:rsidR="00CA774A" w:rsidRDefault="00AD1C76" w:rsidP="00CA774A">
            <w:pPr>
              <w:pStyle w:val="SCCLsocParty"/>
              <w:jc w:val="both"/>
              <w:rPr>
                <w:sz w:val="20"/>
                <w:szCs w:val="20"/>
              </w:rPr>
            </w:pPr>
            <w:r w:rsidRPr="00523276">
              <w:rPr>
                <w:sz w:val="20"/>
                <w:szCs w:val="20"/>
              </w:rPr>
              <w:t xml:space="preserve">La demande d’autorisation d’appel de l’arrêt de la </w:t>
            </w:r>
            <w:r w:rsidRPr="00523276">
              <w:rPr>
                <w:sz w:val="20"/>
                <w:szCs w:val="20"/>
                <w:lang w:val="fr-FR"/>
              </w:rPr>
              <w:t>Cour d’appel du Québec (Montréal)</w:t>
            </w:r>
            <w:r w:rsidRPr="00523276">
              <w:rPr>
                <w:sz w:val="20"/>
                <w:szCs w:val="20"/>
              </w:rPr>
              <w:t xml:space="preserve">, numéro </w:t>
            </w:r>
            <w:r w:rsidRPr="00523276">
              <w:rPr>
                <w:sz w:val="20"/>
                <w:szCs w:val="20"/>
                <w:lang w:val="fr-FR"/>
              </w:rPr>
              <w:t>500-09-026375-162</w:t>
            </w:r>
            <w:r w:rsidRPr="00523276">
              <w:rPr>
                <w:sz w:val="20"/>
                <w:szCs w:val="20"/>
              </w:rPr>
              <w:t xml:space="preserve">, </w:t>
            </w:r>
            <w:r w:rsidRPr="00523276">
              <w:rPr>
                <w:sz w:val="20"/>
                <w:szCs w:val="20"/>
                <w:lang w:val="fr-FR"/>
              </w:rPr>
              <w:t xml:space="preserve">2017 QCCA 212, </w:t>
            </w:r>
            <w:r w:rsidRPr="00523276">
              <w:rPr>
                <w:sz w:val="20"/>
                <w:szCs w:val="20"/>
              </w:rPr>
              <w:t xml:space="preserve">daté du </w:t>
            </w:r>
            <w:r w:rsidRPr="00523276">
              <w:rPr>
                <w:sz w:val="20"/>
                <w:szCs w:val="20"/>
                <w:lang w:val="fr-FR"/>
              </w:rPr>
              <w:t>6 février 2017</w:t>
            </w:r>
            <w:r w:rsidRPr="00523276">
              <w:rPr>
                <w:sz w:val="20"/>
                <w:szCs w:val="20"/>
              </w:rPr>
              <w:t>, est rejetée avec dépens.</w:t>
            </w:r>
          </w:p>
          <w:p w:rsidR="00AD1C76" w:rsidRPr="00AD1C76" w:rsidRDefault="00AD1C76" w:rsidP="00AD1C76">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Procédure civile — Cautionnement pour frais — Défaut — Le demandeur s’est-il vu nier l’accès au tribunal et à la justice? — Le montant arbitraire demandé à titre de cautionnement pour frais </w:t>
            </w:r>
            <w:proofErr w:type="spellStart"/>
            <w:r w:rsidRPr="00CD6D96">
              <w:rPr>
                <w:sz w:val="20"/>
                <w:szCs w:val="20"/>
                <w:lang w:val="fr-CA"/>
              </w:rPr>
              <w:t>a-t-il</w:t>
            </w:r>
            <w:proofErr w:type="spellEnd"/>
            <w:r w:rsidRPr="00CD6D96">
              <w:rPr>
                <w:sz w:val="20"/>
                <w:szCs w:val="20"/>
                <w:lang w:val="fr-CA"/>
              </w:rPr>
              <w:t xml:space="preserve"> eu pour effet de nier l’accès à la justice?</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Le demandeur poursuit Bombardier Inc. pour congédiement injustifié. Puisqu’il réside à l’extérieur du Canada, on lui a demandé de fournir un cautionnement pour frais. La Cour supérieure a rejeté son action parce qu’il n’a pas fourni le cautionnement de 10 000 $. </w:t>
            </w:r>
          </w:p>
          <w:p w:rsidR="00CA774A" w:rsidRPr="00CD6D96" w:rsidRDefault="00CA774A" w:rsidP="00CA774A">
            <w:pPr>
              <w:jc w:val="both"/>
              <w:rPr>
                <w:sz w:val="20"/>
                <w:szCs w:val="20"/>
                <w:lang w:val="fr-CA"/>
              </w:rPr>
            </w:pPr>
          </w:p>
        </w:tc>
      </w:tr>
      <w:tr w:rsidR="00CA774A" w:rsidRPr="00CD6D96" w:rsidTr="00CA774A">
        <w:tblPrEx>
          <w:tblCellMar>
            <w:bottom w:w="0" w:type="dxa"/>
          </w:tblCellMar>
        </w:tblPrEx>
        <w:tc>
          <w:tcPr>
            <w:tcW w:w="2390" w:type="pct"/>
            <w:gridSpan w:val="2"/>
          </w:tcPr>
          <w:p w:rsidR="00CA774A" w:rsidRPr="00CD6D96" w:rsidRDefault="00CA774A" w:rsidP="00CA774A">
            <w:pPr>
              <w:jc w:val="both"/>
              <w:rPr>
                <w:sz w:val="20"/>
                <w:szCs w:val="20"/>
                <w:lang w:val="fr-CA"/>
              </w:rPr>
            </w:pPr>
            <w:r w:rsidRPr="00CD6D96">
              <w:rPr>
                <w:sz w:val="20"/>
                <w:szCs w:val="20"/>
                <w:lang w:val="fr-CA"/>
              </w:rPr>
              <w:t>6 septembre 2016</w:t>
            </w:r>
          </w:p>
          <w:p w:rsidR="00CA774A" w:rsidRPr="00CD6D96" w:rsidRDefault="00CA774A" w:rsidP="00CA774A">
            <w:pPr>
              <w:jc w:val="both"/>
              <w:rPr>
                <w:sz w:val="20"/>
                <w:szCs w:val="20"/>
                <w:lang w:val="fr-CA"/>
              </w:rPr>
            </w:pPr>
            <w:r w:rsidRPr="00CD6D96">
              <w:rPr>
                <w:sz w:val="20"/>
                <w:szCs w:val="20"/>
                <w:lang w:val="fr-CA"/>
              </w:rPr>
              <w:t>Cour supérieure du Québec</w:t>
            </w:r>
          </w:p>
          <w:p w:rsidR="00CA774A" w:rsidRPr="00CD6D96" w:rsidRDefault="00CA774A" w:rsidP="00CA774A">
            <w:pPr>
              <w:jc w:val="both"/>
              <w:rPr>
                <w:sz w:val="20"/>
                <w:szCs w:val="20"/>
                <w:lang w:val="fr-CA"/>
              </w:rPr>
            </w:pPr>
            <w:r w:rsidRPr="00CD6D96">
              <w:rPr>
                <w:sz w:val="20"/>
                <w:szCs w:val="20"/>
                <w:lang w:val="fr-CA"/>
              </w:rPr>
              <w:t>(Juge Poirier)</w:t>
            </w:r>
          </w:p>
          <w:p w:rsidR="00CA774A" w:rsidRPr="00CD6D96" w:rsidRDefault="00CA774A" w:rsidP="00CA774A">
            <w:pPr>
              <w:jc w:val="both"/>
              <w:rPr>
                <w:sz w:val="20"/>
                <w:szCs w:val="20"/>
                <w:lang w:val="fr-CA"/>
              </w:rPr>
            </w:pPr>
          </w:p>
        </w:tc>
        <w:tc>
          <w:tcPr>
            <w:tcW w:w="270" w:type="pct"/>
          </w:tcPr>
          <w:p w:rsidR="00CA774A" w:rsidRPr="00CD6D96" w:rsidRDefault="00CA774A" w:rsidP="00CA774A">
            <w:pPr>
              <w:jc w:val="both"/>
              <w:rPr>
                <w:sz w:val="20"/>
                <w:szCs w:val="20"/>
                <w:lang w:val="fr-CA"/>
              </w:rPr>
            </w:pPr>
          </w:p>
        </w:tc>
        <w:tc>
          <w:tcPr>
            <w:tcW w:w="2340" w:type="pct"/>
          </w:tcPr>
          <w:p w:rsidR="00CA774A" w:rsidRPr="00CD6D96" w:rsidRDefault="00CA774A" w:rsidP="00CA774A">
            <w:pPr>
              <w:ind w:right="90"/>
              <w:jc w:val="both"/>
              <w:rPr>
                <w:sz w:val="20"/>
                <w:szCs w:val="20"/>
                <w:lang w:val="fr-CA"/>
              </w:rPr>
            </w:pPr>
            <w:r w:rsidRPr="00CD6D96">
              <w:rPr>
                <w:sz w:val="20"/>
                <w:szCs w:val="20"/>
                <w:lang w:val="fr-CA"/>
              </w:rPr>
              <w:t>Rejet de l’action</w:t>
            </w:r>
          </w:p>
        </w:tc>
      </w:tr>
    </w:tbl>
    <w:p w:rsidR="00AD1C76" w:rsidRDefault="00AD1C76">
      <w: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CA774A" w:rsidRPr="00F964D5" w:rsidTr="00CA774A">
        <w:tc>
          <w:tcPr>
            <w:tcW w:w="2390" w:type="pct"/>
          </w:tcPr>
          <w:p w:rsidR="00CA774A" w:rsidRPr="00CD6D96" w:rsidRDefault="00CA774A" w:rsidP="00CA774A">
            <w:pPr>
              <w:jc w:val="both"/>
              <w:rPr>
                <w:sz w:val="20"/>
                <w:szCs w:val="20"/>
                <w:lang w:val="fr-CA"/>
              </w:rPr>
            </w:pPr>
            <w:r w:rsidRPr="00CD6D96">
              <w:rPr>
                <w:sz w:val="20"/>
                <w:szCs w:val="20"/>
                <w:lang w:val="fr-CA"/>
              </w:rPr>
              <w:lastRenderedPageBreak/>
              <w:t>6 février 2017</w:t>
            </w:r>
          </w:p>
          <w:p w:rsidR="00CA774A" w:rsidRPr="00CD6D96" w:rsidRDefault="00CA774A" w:rsidP="00CA774A">
            <w:pPr>
              <w:jc w:val="both"/>
              <w:rPr>
                <w:sz w:val="20"/>
                <w:szCs w:val="20"/>
                <w:lang w:val="fr-CA"/>
              </w:rPr>
            </w:pPr>
            <w:r w:rsidRPr="00CD6D96">
              <w:rPr>
                <w:sz w:val="20"/>
                <w:szCs w:val="20"/>
                <w:lang w:val="fr-CA"/>
              </w:rPr>
              <w:t>Cour d’appel du Québec (Montréal)</w:t>
            </w:r>
          </w:p>
          <w:p w:rsidR="00CA774A" w:rsidRPr="00CD6D96" w:rsidRDefault="00CA774A" w:rsidP="00CA774A">
            <w:pPr>
              <w:jc w:val="both"/>
              <w:rPr>
                <w:sz w:val="20"/>
                <w:szCs w:val="20"/>
                <w:lang w:val="fr-CA"/>
              </w:rPr>
            </w:pPr>
            <w:r w:rsidRPr="00CD6D96">
              <w:rPr>
                <w:sz w:val="20"/>
                <w:szCs w:val="20"/>
                <w:lang w:val="fr-CA"/>
              </w:rPr>
              <w:t>(Juges Rochette, Pelletier et Hilton)</w:t>
            </w:r>
          </w:p>
          <w:p w:rsidR="00CA774A" w:rsidRPr="00CD6D96" w:rsidRDefault="00F964D5" w:rsidP="00CA774A">
            <w:pPr>
              <w:jc w:val="both"/>
              <w:rPr>
                <w:sz w:val="20"/>
                <w:szCs w:val="20"/>
                <w:lang w:val="fr-CA"/>
              </w:rPr>
            </w:pPr>
            <w:hyperlink r:id="rId48" w:history="1">
              <w:r w:rsidR="00CA774A" w:rsidRPr="00CD6D96">
                <w:rPr>
                  <w:rStyle w:val="Hyperlink"/>
                  <w:sz w:val="20"/>
                  <w:szCs w:val="20"/>
                  <w:lang w:val="fr-CA"/>
                </w:rPr>
                <w:t>2017 QCCA 212</w:t>
              </w:r>
            </w:hyperlink>
          </w:p>
          <w:p w:rsidR="00CA774A" w:rsidRPr="00CD6D96" w:rsidRDefault="00CA774A" w:rsidP="00CA774A">
            <w:pPr>
              <w:jc w:val="both"/>
              <w:rPr>
                <w:sz w:val="20"/>
                <w:szCs w:val="20"/>
                <w:lang w:val="fr-CA"/>
              </w:rPr>
            </w:pPr>
          </w:p>
        </w:tc>
        <w:tc>
          <w:tcPr>
            <w:tcW w:w="270" w:type="pct"/>
          </w:tcPr>
          <w:p w:rsidR="00CA774A" w:rsidRPr="00CD6D96" w:rsidRDefault="00CA774A" w:rsidP="00CA774A">
            <w:pPr>
              <w:jc w:val="both"/>
              <w:rPr>
                <w:sz w:val="20"/>
                <w:szCs w:val="20"/>
                <w:lang w:val="fr-CA"/>
              </w:rPr>
            </w:pPr>
          </w:p>
        </w:tc>
        <w:tc>
          <w:tcPr>
            <w:tcW w:w="2340" w:type="pct"/>
          </w:tcPr>
          <w:p w:rsidR="00CA774A" w:rsidRPr="00CD6D96" w:rsidRDefault="00CA774A" w:rsidP="00CA774A">
            <w:pPr>
              <w:jc w:val="both"/>
              <w:rPr>
                <w:sz w:val="20"/>
                <w:szCs w:val="20"/>
                <w:lang w:val="fr-CA"/>
              </w:rPr>
            </w:pPr>
            <w:r w:rsidRPr="00CD6D96">
              <w:rPr>
                <w:sz w:val="20"/>
                <w:szCs w:val="20"/>
                <w:lang w:val="fr-CA"/>
              </w:rPr>
              <w:t>Arrêt accueillant la requête en rejet; rejet de l’appel</w:t>
            </w:r>
          </w:p>
          <w:p w:rsidR="00CA774A" w:rsidRPr="00CD6D96" w:rsidRDefault="00CA774A" w:rsidP="00CA774A">
            <w:pPr>
              <w:jc w:val="both"/>
              <w:rPr>
                <w:sz w:val="20"/>
                <w:szCs w:val="20"/>
                <w:lang w:val="fr-CA"/>
              </w:rPr>
            </w:pPr>
          </w:p>
        </w:tc>
      </w:tr>
      <w:tr w:rsidR="00CA774A" w:rsidRPr="00F964D5" w:rsidTr="00CA774A">
        <w:tc>
          <w:tcPr>
            <w:tcW w:w="2390" w:type="pct"/>
          </w:tcPr>
          <w:p w:rsidR="00CA774A" w:rsidRPr="00CD6D96" w:rsidRDefault="00CA774A" w:rsidP="00CA774A">
            <w:pPr>
              <w:jc w:val="both"/>
              <w:rPr>
                <w:sz w:val="20"/>
                <w:szCs w:val="20"/>
                <w:lang w:val="fr-CA"/>
              </w:rPr>
            </w:pPr>
            <w:r w:rsidRPr="00CD6D96">
              <w:rPr>
                <w:sz w:val="20"/>
                <w:szCs w:val="20"/>
                <w:lang w:val="fr-CA"/>
              </w:rPr>
              <w:t>7 avril 2017</w:t>
            </w:r>
          </w:p>
          <w:p w:rsidR="00CA774A" w:rsidRPr="00CD6D96" w:rsidRDefault="00CA774A" w:rsidP="00CA774A">
            <w:pPr>
              <w:jc w:val="both"/>
              <w:rPr>
                <w:sz w:val="20"/>
                <w:szCs w:val="20"/>
                <w:lang w:val="fr-CA"/>
              </w:rPr>
            </w:pPr>
            <w:r w:rsidRPr="00CD6D96">
              <w:rPr>
                <w:sz w:val="20"/>
                <w:szCs w:val="20"/>
                <w:lang w:val="fr-CA"/>
              </w:rPr>
              <w:t>Cour suprême du Canada</w:t>
            </w:r>
          </w:p>
          <w:p w:rsidR="00CA774A" w:rsidRPr="00CD6D96" w:rsidRDefault="00CA774A" w:rsidP="00CA774A">
            <w:pPr>
              <w:jc w:val="both"/>
              <w:rPr>
                <w:sz w:val="20"/>
                <w:szCs w:val="20"/>
                <w:lang w:val="fr-CA"/>
              </w:rPr>
            </w:pPr>
          </w:p>
        </w:tc>
        <w:tc>
          <w:tcPr>
            <w:tcW w:w="270" w:type="pct"/>
          </w:tcPr>
          <w:p w:rsidR="00CA774A" w:rsidRPr="00CD6D96" w:rsidRDefault="00CA774A" w:rsidP="00CA774A">
            <w:pPr>
              <w:jc w:val="both"/>
              <w:rPr>
                <w:sz w:val="20"/>
                <w:szCs w:val="20"/>
                <w:lang w:val="fr-CA"/>
              </w:rPr>
            </w:pPr>
          </w:p>
        </w:tc>
        <w:tc>
          <w:tcPr>
            <w:tcW w:w="234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53"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37614</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Colin Hugh Martin v. Canada (Minister of Justice)</w:t>
            </w:r>
          </w:p>
          <w:p w:rsidR="00CA774A" w:rsidRPr="00CD6D96" w:rsidRDefault="00CA774A" w:rsidP="00CA774A">
            <w:pPr>
              <w:jc w:val="both"/>
              <w:rPr>
                <w:sz w:val="20"/>
                <w:szCs w:val="20"/>
              </w:rPr>
            </w:pPr>
            <w:r w:rsidRPr="00CD6D96">
              <w:rPr>
                <w:sz w:val="20"/>
                <w:szCs w:val="20"/>
              </w:rPr>
              <w:t>(B.C.) (Criminal) (By Leave)</w:t>
            </w:r>
          </w:p>
        </w:tc>
      </w:tr>
      <w:tr w:rsidR="00CA774A" w:rsidRPr="00CD6D96" w:rsidTr="00CA774A">
        <w:tc>
          <w:tcPr>
            <w:tcW w:w="543"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57" w:type="pct"/>
            <w:gridSpan w:val="3"/>
          </w:tcPr>
          <w:p w:rsidR="00CA774A"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CA774A" w:rsidRPr="00CD6D96" w:rsidTr="00CA774A">
        <w:tc>
          <w:tcPr>
            <w:tcW w:w="5000" w:type="pct"/>
            <w:gridSpan w:val="4"/>
          </w:tcPr>
          <w:p w:rsidR="00CA774A" w:rsidRPr="00AD1C76" w:rsidRDefault="00AD1C76" w:rsidP="00CA774A">
            <w:pPr>
              <w:pStyle w:val="SCCLsocParty"/>
              <w:jc w:val="both"/>
              <w:rPr>
                <w:sz w:val="20"/>
                <w:szCs w:val="20"/>
                <w:lang w:val="en-US"/>
              </w:rPr>
            </w:pPr>
            <w:r w:rsidRPr="00AD1C76">
              <w:rPr>
                <w:sz w:val="20"/>
                <w:szCs w:val="20"/>
                <w:lang w:val="en-US"/>
              </w:rPr>
              <w:t>The application for leave to appeal from the judgment of the Court of Appeal for British Columbia (Vancouver), Number CA41805, 2017 BCCA 220, dated June 13, 2017, is dismissed without costs.</w:t>
            </w:r>
          </w:p>
          <w:p w:rsidR="00AD1C76" w:rsidRPr="00AD1C76" w:rsidRDefault="00AD1C76" w:rsidP="00AD1C76">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i/>
                <w:sz w:val="20"/>
                <w:szCs w:val="20"/>
              </w:rPr>
              <w:t>Canadian Charter of Rights and Freedoms</w:t>
            </w:r>
            <w:r w:rsidRPr="00CD6D96">
              <w:rPr>
                <w:sz w:val="20"/>
                <w:szCs w:val="20"/>
              </w:rPr>
              <w:t xml:space="preserve"> – Criminal law – Extradition – Judicial review of Minister’s surrender order – Whether Court of Appeal erred in finding the Minister’s decision to surrender the applicant to conditions which will be tantamount to solitary confinement was reasonable, and in upholding the decision that his Métis heritage would be properly considered by authorities in the U.S. – Whether surrendering a person to face a substantial risk of prolonged solitary confinement would shock the conscience of Canadians and violate the principles of fundamental justice under s. 7 of the </w:t>
            </w:r>
            <w:r w:rsidRPr="00CD6D96">
              <w:rPr>
                <w:i/>
                <w:sz w:val="20"/>
                <w:szCs w:val="20"/>
              </w:rPr>
              <w:t>Charter</w:t>
            </w:r>
            <w:r w:rsidRPr="00CD6D96">
              <w:rPr>
                <w:sz w:val="20"/>
                <w:szCs w:val="20"/>
              </w:rPr>
              <w:t>.</w:t>
            </w:r>
          </w:p>
        </w:tc>
      </w:tr>
      <w:tr w:rsidR="00CA774A" w:rsidRPr="00CD6D96" w:rsidTr="00CA774A">
        <w:tc>
          <w:tcPr>
            <w:tcW w:w="5000" w:type="pct"/>
            <w:gridSpan w:val="4"/>
          </w:tcPr>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The United States seeks to extradite Colin Martin to stand trial on charges in relation to an alleged drug trafficking conspiracy. The United States alleges that, between 2007 and 2009, Mr. Martin participated in a conspiracy with other members of a drug trafficking organization to transport drugs across the Canada-United States border. An order was issued for Mr. Martin’s committal to await surrender and, on February 15, 2016, the Minister of Justice ordered his surrender. Mr. Martin applied for judicial review of the Minister’s surrender order on the ground that her decision was unreasonable because in the indictment United States prosecuting authorities, for no valid purpose, placed his life at risk by identifying him as a would-be informant and by including statements about his control of the drug trade in and out of British Columbia. Mr. Martin denied making the statements and claimed that conduct by the U.S. was abusive and would shock the conscience of Canadians. He also contended that the Minister erred in finding the United States could adequately address his Métis heritage in sentencing and in imprisoning him. In the result, he sought an order setting aside the Minister’s decision to surrender him to the United States. The B.C. Court of Appeal dismissed Mr. Martin’s application for judicial review, finding the Minister’s surrender decision was reasonable.</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May 9, 2014</w:t>
            </w:r>
          </w:p>
          <w:p w:rsidR="00CA774A" w:rsidRPr="00CD6D96" w:rsidRDefault="00CA774A" w:rsidP="00CA774A">
            <w:pPr>
              <w:jc w:val="both"/>
              <w:rPr>
                <w:sz w:val="20"/>
                <w:szCs w:val="20"/>
              </w:rPr>
            </w:pPr>
            <w:r w:rsidRPr="00CD6D96">
              <w:rPr>
                <w:sz w:val="20"/>
                <w:szCs w:val="20"/>
              </w:rPr>
              <w:t>Supreme Court of British Columbia</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Ehrcke</w:t>
            </w:r>
            <w:proofErr w:type="spellEnd"/>
            <w:r w:rsidRPr="00CD6D96">
              <w:rPr>
                <w:sz w:val="20"/>
                <w:szCs w:val="20"/>
              </w:rPr>
              <w:t xml:space="preserve"> J.)</w:t>
            </w:r>
          </w:p>
          <w:p w:rsidR="00CA774A" w:rsidRPr="00CD6D96" w:rsidRDefault="00F964D5" w:rsidP="00CA774A">
            <w:pPr>
              <w:jc w:val="both"/>
              <w:rPr>
                <w:sz w:val="20"/>
                <w:szCs w:val="20"/>
              </w:rPr>
            </w:pPr>
            <w:hyperlink r:id="rId49" w:history="1">
              <w:r w:rsidR="00CA774A" w:rsidRPr="00CD6D96">
                <w:rPr>
                  <w:rStyle w:val="Hyperlink"/>
                  <w:sz w:val="20"/>
                  <w:szCs w:val="20"/>
                </w:rPr>
                <w:t>2014 BCSC 1112</w:t>
              </w:r>
            </w:hyperlink>
            <w:r w:rsidR="00CA774A" w:rsidRPr="00CD6D96">
              <w:rPr>
                <w:sz w:val="20"/>
                <w:szCs w:val="20"/>
              </w:rPr>
              <w:t xml:space="preserve"> </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Respondent’s application seeking order for applicant’s committal into custody to await surrender decision, granted.</w:t>
            </w:r>
          </w:p>
          <w:p w:rsidR="00CA774A" w:rsidRPr="00CD6D96" w:rsidRDefault="00CA774A" w:rsidP="00CA774A">
            <w:pPr>
              <w:jc w:val="both"/>
              <w:rPr>
                <w:sz w:val="20"/>
                <w:szCs w:val="20"/>
              </w:rPr>
            </w:pP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February 15, 2016</w:t>
            </w:r>
          </w:p>
          <w:p w:rsidR="00CA774A" w:rsidRPr="00CD6D96" w:rsidRDefault="00CA774A" w:rsidP="00CA774A">
            <w:pPr>
              <w:jc w:val="both"/>
              <w:rPr>
                <w:sz w:val="20"/>
                <w:szCs w:val="20"/>
              </w:rPr>
            </w:pPr>
            <w:r w:rsidRPr="00CD6D96">
              <w:rPr>
                <w:sz w:val="20"/>
                <w:szCs w:val="20"/>
              </w:rPr>
              <w:t>Minister of Justice</w:t>
            </w:r>
          </w:p>
          <w:p w:rsidR="00CA774A" w:rsidRPr="00CD6D96" w:rsidRDefault="00CA774A" w:rsidP="00CA774A">
            <w:pPr>
              <w:jc w:val="both"/>
              <w:rPr>
                <w:sz w:val="20"/>
                <w:szCs w:val="20"/>
              </w:rPr>
            </w:pPr>
            <w:r w:rsidRPr="00CD6D96">
              <w:rPr>
                <w:sz w:val="20"/>
                <w:szCs w:val="20"/>
              </w:rPr>
              <w:t>(Wilson-</w:t>
            </w:r>
            <w:proofErr w:type="spellStart"/>
            <w:r w:rsidRPr="00CD6D96">
              <w:rPr>
                <w:sz w:val="20"/>
                <w:szCs w:val="20"/>
              </w:rPr>
              <w:t>Raybould</w:t>
            </w:r>
            <w:proofErr w:type="spellEnd"/>
            <w:r w:rsidRPr="00CD6D96">
              <w:rPr>
                <w:sz w:val="20"/>
                <w:szCs w:val="20"/>
              </w:rPr>
              <w:t>, Hon.)</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surrender to United States, ordered.</w:t>
            </w:r>
          </w:p>
        </w:tc>
      </w:tr>
    </w:tbl>
    <w:p w:rsidR="00AD1C76" w:rsidRDefault="00AD1C76">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74A" w:rsidRPr="00CD6D96" w:rsidTr="00CA774A">
        <w:tc>
          <w:tcPr>
            <w:tcW w:w="2427" w:type="pct"/>
          </w:tcPr>
          <w:p w:rsidR="00CA774A" w:rsidRPr="00CD6D96" w:rsidRDefault="00CA774A" w:rsidP="00CA774A">
            <w:pPr>
              <w:jc w:val="both"/>
              <w:rPr>
                <w:sz w:val="20"/>
                <w:szCs w:val="20"/>
              </w:rPr>
            </w:pPr>
            <w:r w:rsidRPr="00CD6D96">
              <w:rPr>
                <w:sz w:val="20"/>
                <w:szCs w:val="20"/>
              </w:rPr>
              <w:lastRenderedPageBreak/>
              <w:t>June 13, 2017</w:t>
            </w:r>
          </w:p>
          <w:p w:rsidR="00CA774A" w:rsidRPr="00CD6D96" w:rsidRDefault="00CA774A" w:rsidP="00CA774A">
            <w:pPr>
              <w:jc w:val="both"/>
              <w:rPr>
                <w:sz w:val="20"/>
                <w:szCs w:val="20"/>
              </w:rPr>
            </w:pPr>
            <w:r w:rsidRPr="00CD6D96">
              <w:rPr>
                <w:sz w:val="20"/>
                <w:szCs w:val="20"/>
              </w:rPr>
              <w:t xml:space="preserve">Court of Appeal for British Columbia </w:t>
            </w:r>
          </w:p>
          <w:p w:rsidR="00CA774A" w:rsidRPr="00CD6D96" w:rsidRDefault="00CA774A" w:rsidP="00CA774A">
            <w:pPr>
              <w:jc w:val="both"/>
              <w:rPr>
                <w:sz w:val="20"/>
                <w:szCs w:val="20"/>
              </w:rPr>
            </w:pPr>
            <w:r w:rsidRPr="00CD6D96">
              <w:rPr>
                <w:sz w:val="20"/>
                <w:szCs w:val="20"/>
              </w:rPr>
              <w:t>(Vancouver)</w:t>
            </w:r>
          </w:p>
          <w:p w:rsidR="00CA774A" w:rsidRPr="00CD6D96" w:rsidRDefault="00CA774A" w:rsidP="00CA774A">
            <w:pPr>
              <w:jc w:val="both"/>
              <w:rPr>
                <w:sz w:val="20"/>
                <w:szCs w:val="20"/>
              </w:rPr>
            </w:pPr>
            <w:r w:rsidRPr="00CD6D96">
              <w:rPr>
                <w:sz w:val="20"/>
                <w:szCs w:val="20"/>
              </w:rPr>
              <w:t>(Bauman, Bennett and Dickson JJ.A.)</w:t>
            </w:r>
          </w:p>
          <w:p w:rsidR="00CA774A" w:rsidRPr="00CD6D96" w:rsidRDefault="00F964D5" w:rsidP="00CA774A">
            <w:pPr>
              <w:jc w:val="both"/>
              <w:rPr>
                <w:sz w:val="20"/>
                <w:szCs w:val="20"/>
              </w:rPr>
            </w:pPr>
            <w:hyperlink r:id="rId50" w:history="1">
              <w:r w:rsidR="00CA774A" w:rsidRPr="00CD6D96">
                <w:rPr>
                  <w:rStyle w:val="Hyperlink"/>
                  <w:sz w:val="20"/>
                  <w:szCs w:val="20"/>
                </w:rPr>
                <w:t>2017 BCCA 220</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application for judicial review of Minister’s surrender order, dismissed.</w:t>
            </w:r>
          </w:p>
          <w:p w:rsidR="00CA774A" w:rsidRPr="00CD6D96" w:rsidRDefault="00CA774A" w:rsidP="00CA774A">
            <w:pPr>
              <w:jc w:val="both"/>
              <w:rPr>
                <w:sz w:val="20"/>
                <w:szCs w:val="20"/>
              </w:rPr>
            </w:pPr>
          </w:p>
          <w:p w:rsidR="00CA774A" w:rsidRPr="00CD6D96" w:rsidRDefault="00CA774A" w:rsidP="00CA774A">
            <w:pPr>
              <w:jc w:val="both"/>
              <w:rPr>
                <w:sz w:val="20"/>
                <w:szCs w:val="20"/>
              </w:rPr>
            </w:pPr>
          </w:p>
        </w:tc>
      </w:tr>
      <w:tr w:rsidR="00CA774A" w:rsidRPr="00CD6D96" w:rsidTr="00CA774A">
        <w:tc>
          <w:tcPr>
            <w:tcW w:w="2427" w:type="pct"/>
          </w:tcPr>
          <w:p w:rsidR="00CA774A" w:rsidRPr="00CD6D96" w:rsidRDefault="00CA774A" w:rsidP="00CA774A">
            <w:pPr>
              <w:jc w:val="both"/>
              <w:rPr>
                <w:sz w:val="20"/>
                <w:szCs w:val="20"/>
              </w:rPr>
            </w:pPr>
            <w:r w:rsidRPr="00CD6D96">
              <w:rPr>
                <w:sz w:val="20"/>
                <w:szCs w:val="20"/>
              </w:rPr>
              <w:t>September 12,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54"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37614</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Colin Hugh Martin c. Canada (Ministre de la Justice)</w:t>
            </w:r>
          </w:p>
          <w:p w:rsidR="00CA774A" w:rsidRPr="00CD6D96" w:rsidRDefault="00CA774A" w:rsidP="00CA774A">
            <w:pPr>
              <w:jc w:val="both"/>
              <w:rPr>
                <w:sz w:val="20"/>
                <w:szCs w:val="20"/>
                <w:lang w:val="fr-CA"/>
              </w:rPr>
            </w:pPr>
            <w:r w:rsidRPr="00CD6D96">
              <w:rPr>
                <w:sz w:val="20"/>
                <w:szCs w:val="20"/>
                <w:lang w:val="fr-CA"/>
              </w:rPr>
              <w:t>(C.-B.) (Criminelle) (Sur autorisation)</w:t>
            </w:r>
          </w:p>
        </w:tc>
      </w:tr>
      <w:tr w:rsidR="00CA774A" w:rsidRPr="00F964D5" w:rsidTr="00CA774A">
        <w:tc>
          <w:tcPr>
            <w:tcW w:w="543"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CA774A" w:rsidRDefault="00AD1C76" w:rsidP="00CA774A">
            <w:pPr>
              <w:pStyle w:val="SCCLsocParty"/>
              <w:jc w:val="both"/>
              <w:rPr>
                <w:sz w:val="20"/>
                <w:szCs w:val="20"/>
                <w:lang w:val="fr-FR"/>
              </w:rPr>
            </w:pPr>
            <w:r w:rsidRPr="00C024BF">
              <w:rPr>
                <w:sz w:val="20"/>
                <w:szCs w:val="20"/>
                <w:lang w:val="fr-FR"/>
              </w:rPr>
              <w:t xml:space="preserve">La juge en chef </w:t>
            </w:r>
            <w:proofErr w:type="spellStart"/>
            <w:r w:rsidRPr="00C024BF">
              <w:rPr>
                <w:sz w:val="20"/>
                <w:szCs w:val="20"/>
                <w:lang w:val="fr-FR"/>
              </w:rPr>
              <w:t>McLachlin</w:t>
            </w:r>
            <w:proofErr w:type="spellEnd"/>
            <w:r w:rsidRPr="00C024BF">
              <w:rPr>
                <w:sz w:val="20"/>
                <w:szCs w:val="20"/>
                <w:lang w:val="fr-FR"/>
              </w:rPr>
              <w:t xml:space="preserve"> et les juges Abella, </w:t>
            </w:r>
            <w:proofErr w:type="spellStart"/>
            <w:r w:rsidRPr="00C024BF">
              <w:rPr>
                <w:sz w:val="20"/>
                <w:szCs w:val="20"/>
                <w:lang w:val="fr-FR"/>
              </w:rPr>
              <w:t>Moldaver</w:t>
            </w:r>
            <w:proofErr w:type="spellEnd"/>
            <w:r w:rsidRPr="00C024BF">
              <w:rPr>
                <w:sz w:val="20"/>
                <w:szCs w:val="20"/>
                <w:lang w:val="fr-FR"/>
              </w:rPr>
              <w:t xml:space="preserve">, </w:t>
            </w:r>
            <w:proofErr w:type="spellStart"/>
            <w:r w:rsidRPr="00C024BF">
              <w:rPr>
                <w:sz w:val="20"/>
                <w:szCs w:val="20"/>
                <w:lang w:val="fr-FR"/>
              </w:rPr>
              <w:t>Karakatsanis</w:t>
            </w:r>
            <w:proofErr w:type="spellEnd"/>
            <w:r w:rsidRPr="00C024BF">
              <w:rPr>
                <w:sz w:val="20"/>
                <w:szCs w:val="20"/>
                <w:lang w:val="fr-FR"/>
              </w:rPr>
              <w:t>, Wagner, Gascon, Côté, Brown et Rowe</w:t>
            </w:r>
          </w:p>
          <w:p w:rsidR="00AD1C76" w:rsidRPr="00AD1C76" w:rsidRDefault="00AD1C76" w:rsidP="00AD1C76">
            <w:pPr>
              <w:rPr>
                <w:lang w:val="fr-FR"/>
              </w:rPr>
            </w:pPr>
          </w:p>
        </w:tc>
      </w:tr>
      <w:tr w:rsidR="00CA774A" w:rsidRPr="00F964D5" w:rsidTr="00CA774A">
        <w:tc>
          <w:tcPr>
            <w:tcW w:w="5000" w:type="pct"/>
            <w:gridSpan w:val="4"/>
          </w:tcPr>
          <w:p w:rsidR="00CA774A" w:rsidRDefault="00AD1C76" w:rsidP="00CA774A">
            <w:pPr>
              <w:pStyle w:val="SCCLsocParty"/>
              <w:jc w:val="both"/>
              <w:rPr>
                <w:sz w:val="20"/>
                <w:szCs w:val="20"/>
              </w:rPr>
            </w:pPr>
            <w:r w:rsidRPr="00C024BF">
              <w:rPr>
                <w:sz w:val="20"/>
                <w:szCs w:val="20"/>
              </w:rPr>
              <w:t xml:space="preserve">La demande d’autorisation d’appel de l’arrêt de la </w:t>
            </w:r>
            <w:r w:rsidRPr="00C024BF">
              <w:rPr>
                <w:sz w:val="20"/>
                <w:szCs w:val="20"/>
                <w:lang w:val="fr-FR"/>
              </w:rPr>
              <w:t>Cour d’appel de la Colombie-Britannique (Vancouver)</w:t>
            </w:r>
            <w:r w:rsidRPr="00C024BF">
              <w:rPr>
                <w:sz w:val="20"/>
                <w:szCs w:val="20"/>
              </w:rPr>
              <w:t xml:space="preserve">, numéro </w:t>
            </w:r>
            <w:r w:rsidRPr="00C024BF">
              <w:rPr>
                <w:sz w:val="20"/>
                <w:szCs w:val="20"/>
                <w:lang w:val="fr-FR"/>
              </w:rPr>
              <w:t>CA41805, 2017 BCCA 220</w:t>
            </w:r>
            <w:r w:rsidRPr="00C024BF">
              <w:rPr>
                <w:sz w:val="20"/>
                <w:szCs w:val="20"/>
              </w:rPr>
              <w:t xml:space="preserve">, daté du </w:t>
            </w:r>
            <w:r w:rsidRPr="00C024BF">
              <w:rPr>
                <w:sz w:val="20"/>
                <w:szCs w:val="20"/>
                <w:lang w:val="fr-FR"/>
              </w:rPr>
              <w:t>13 juin 2017</w:t>
            </w:r>
            <w:r w:rsidRPr="00C024BF">
              <w:rPr>
                <w:sz w:val="20"/>
                <w:szCs w:val="20"/>
              </w:rPr>
              <w:t>, est rejetée sans dépens.</w:t>
            </w:r>
          </w:p>
          <w:p w:rsidR="00AD1C76" w:rsidRPr="00AD1C76" w:rsidRDefault="00AD1C76" w:rsidP="00AD1C76">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i/>
                <w:sz w:val="20"/>
                <w:szCs w:val="20"/>
                <w:lang w:val="fr-CA"/>
              </w:rPr>
              <w:t>Charte canadienne des droits et libertés</w:t>
            </w:r>
            <w:r w:rsidRPr="00CD6D96">
              <w:rPr>
                <w:sz w:val="20"/>
                <w:szCs w:val="20"/>
                <w:lang w:val="fr-CA"/>
              </w:rPr>
              <w:t xml:space="preserve"> – Droit criminel – Extradition – Contrôle judiciaire de l’arrêté d’extradition pris par la ministre – La Cour d’appel a-t-elle eu tort de conclure que la décision de la ministre d’extrader le demandeur vers des conditions qui équivaudraient à l’isolement cellulaire était raisonnable, et de confirmer la décision selon laquelle son origine métisse serait dûment prise en compte par les autorités aux États-Unis? – L’extradition d’une personne qui court un risque sérieux d’être placée en isolement cellulaire prolongé choquerait-elle la conscience des Canadiens et violerait-elle les principes de justice fondamentale au regard de  l’art. 7 de la </w:t>
            </w:r>
            <w:r w:rsidRPr="00CD6D96">
              <w:rPr>
                <w:i/>
                <w:sz w:val="20"/>
                <w:szCs w:val="20"/>
                <w:lang w:val="fr-CA"/>
              </w:rPr>
              <w:t>Charte</w:t>
            </w:r>
            <w:r w:rsidRPr="00CD6D96">
              <w:rPr>
                <w:sz w:val="20"/>
                <w:szCs w:val="20"/>
                <w:lang w:val="fr-CA"/>
              </w:rPr>
              <w:t>?</w:t>
            </w:r>
          </w:p>
        </w:tc>
      </w:tr>
      <w:tr w:rsidR="00CA774A" w:rsidRPr="00F964D5" w:rsidTr="00CA774A">
        <w:tc>
          <w:tcPr>
            <w:tcW w:w="5000"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Les États-Unis demandent l’extradition de Colin Martin pour qu’il subisse son procès sur des accusations en lien avec un présumé complot en vue de faire le trafic de drogue. Les États-Unis allèguent qu’entre 2007 et 2009, M. Martin aurait participé à un complot avec d’autres membres d’une organisation de trafic de drogue pour transporter de la drogue en traversant la frontière entre le Canada et les États-Unis. Une ordonnance a été prononcée pour l’incarcération de M. Martin en attendant l’extradition et, le 15 février 2016, la ministre de la Justice a ordonné son extradition. Monsieur Martin a demandé le contrôle judiciaire de l’arrêté d’extradition pris par la ministre, plaidant que sa décision était déraisonnable parce que, dans l’acte d’accusation, les autorités chargées des poursuites aux États-Unis auraient, sans motif valable, mis sa vie en danger en l’identifiant comme un informateur éventuel et en incluant des déclarations sur le contrôle qu’il exerçait sur le trafic de drogue en Colombie-Britannique et à l’extérieur de cette province. Monsieur Martin a nié avoir fait les déclarations et allègue que la conduite des États-Unis était abusive et choquerait la conscience des Canadiens. Il a également soutenu que le ministre avait eu tort de conclure que les États-Unis étaient en mesure de prendre en compte l’origine métisse de M. Martin dans la détermination de sa peine et de son incarcération. Il a en conséquence sollicité une ordonnance en vue d’annuler la décision de la ministre de l’extrader vers les États-Unis. La Cour d’appel de la Colombie-Britannique a rejeté la demande de contrôle judiciaire présentée par M. Martin, jugeant que la décision de la ministre de l’extrader était raisonnable.</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9 mai 2014</w:t>
            </w:r>
          </w:p>
          <w:p w:rsidR="00CA774A" w:rsidRPr="00CD6D96" w:rsidRDefault="00CA774A" w:rsidP="00CA774A">
            <w:pPr>
              <w:jc w:val="both"/>
              <w:rPr>
                <w:sz w:val="20"/>
                <w:szCs w:val="20"/>
                <w:lang w:val="fr-CA"/>
              </w:rPr>
            </w:pPr>
            <w:r w:rsidRPr="00CD6D96">
              <w:rPr>
                <w:sz w:val="20"/>
                <w:szCs w:val="20"/>
                <w:lang w:val="fr-CA"/>
              </w:rPr>
              <w:t>Cour suprême de la Colombie-Britannique</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Ehrcke</w:t>
            </w:r>
            <w:proofErr w:type="spellEnd"/>
            <w:r w:rsidRPr="00CD6D96">
              <w:rPr>
                <w:sz w:val="20"/>
                <w:szCs w:val="20"/>
                <w:lang w:val="fr-CA"/>
              </w:rPr>
              <w:t>)</w:t>
            </w:r>
          </w:p>
          <w:p w:rsidR="00CA774A" w:rsidRPr="00CD6D96" w:rsidRDefault="00F964D5" w:rsidP="00CA774A">
            <w:pPr>
              <w:jc w:val="both"/>
              <w:rPr>
                <w:sz w:val="20"/>
                <w:szCs w:val="20"/>
                <w:lang w:val="fr-CA"/>
              </w:rPr>
            </w:pPr>
            <w:hyperlink r:id="rId51" w:history="1">
              <w:r w:rsidR="00CA774A" w:rsidRPr="00CD6D96">
                <w:rPr>
                  <w:rStyle w:val="Hyperlink"/>
                  <w:sz w:val="20"/>
                  <w:szCs w:val="20"/>
                  <w:lang w:val="fr-CA"/>
                </w:rPr>
                <w:t>2014 BCSC 1112</w:t>
              </w:r>
            </w:hyperlink>
            <w:r w:rsidR="00CA774A" w:rsidRPr="00CD6D96">
              <w:rPr>
                <w:sz w:val="20"/>
                <w:szCs w:val="20"/>
                <w:lang w:val="fr-CA"/>
              </w:rPr>
              <w:t xml:space="preserve"> </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Jugement accueillant la demande de l’intimé en vue d’obtenir une ordonnance d’incarcération du demandeur en attendant la décision sur son extradition.</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15 février 2016</w:t>
            </w:r>
          </w:p>
          <w:p w:rsidR="00CA774A" w:rsidRPr="00CD6D96" w:rsidRDefault="00CA774A" w:rsidP="00CA774A">
            <w:pPr>
              <w:jc w:val="both"/>
              <w:rPr>
                <w:sz w:val="20"/>
                <w:szCs w:val="20"/>
                <w:lang w:val="fr-CA"/>
              </w:rPr>
            </w:pPr>
            <w:r w:rsidRPr="00CD6D96">
              <w:rPr>
                <w:sz w:val="20"/>
                <w:szCs w:val="20"/>
                <w:lang w:val="fr-CA"/>
              </w:rPr>
              <w:t>Ministre de la Justice</w:t>
            </w:r>
          </w:p>
          <w:p w:rsidR="00CA774A" w:rsidRPr="00CD6D96" w:rsidRDefault="00CA774A" w:rsidP="00CA774A">
            <w:pPr>
              <w:jc w:val="both"/>
              <w:rPr>
                <w:sz w:val="20"/>
                <w:szCs w:val="20"/>
                <w:lang w:val="fr-CA"/>
              </w:rPr>
            </w:pPr>
            <w:r w:rsidRPr="00CD6D96">
              <w:rPr>
                <w:sz w:val="20"/>
                <w:szCs w:val="20"/>
                <w:lang w:val="fr-CA"/>
              </w:rPr>
              <w:t>(l’honorable Wilson-</w:t>
            </w:r>
            <w:proofErr w:type="spellStart"/>
            <w:r w:rsidRPr="00CD6D96">
              <w:rPr>
                <w:sz w:val="20"/>
                <w:szCs w:val="20"/>
                <w:lang w:val="fr-CA"/>
              </w:rPr>
              <w:t>Raybould</w:t>
            </w:r>
            <w:proofErr w:type="spellEnd"/>
            <w:r w:rsidRPr="00CD6D96">
              <w:rPr>
                <w:sz w:val="20"/>
                <w:szCs w:val="20"/>
                <w:lang w:val="fr-CA"/>
              </w:rPr>
              <w:t>)</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Arrêté d’extradition du demandeur vers les États-Unis.</w:t>
            </w:r>
          </w:p>
        </w:tc>
      </w:tr>
      <w:tr w:rsidR="00CA774A" w:rsidRPr="00F964D5" w:rsidTr="00CA774A">
        <w:tc>
          <w:tcPr>
            <w:tcW w:w="2427" w:type="pct"/>
            <w:gridSpan w:val="2"/>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13 juin 2017</w:t>
            </w:r>
          </w:p>
          <w:p w:rsidR="00CA774A" w:rsidRPr="00CD6D96" w:rsidRDefault="00CA774A" w:rsidP="00CA774A">
            <w:pPr>
              <w:jc w:val="both"/>
              <w:rPr>
                <w:sz w:val="20"/>
                <w:szCs w:val="20"/>
                <w:lang w:val="fr-CA"/>
              </w:rPr>
            </w:pPr>
            <w:r w:rsidRPr="00CD6D96">
              <w:rPr>
                <w:sz w:val="20"/>
                <w:szCs w:val="20"/>
                <w:lang w:val="fr-CA"/>
              </w:rPr>
              <w:t>Cour d’appel de la Colombie-Britannique</w:t>
            </w:r>
          </w:p>
          <w:p w:rsidR="00CA774A" w:rsidRPr="00CD6D96" w:rsidRDefault="00CA774A" w:rsidP="00CA774A">
            <w:pPr>
              <w:jc w:val="both"/>
              <w:rPr>
                <w:sz w:val="20"/>
                <w:szCs w:val="20"/>
                <w:lang w:val="fr-CA"/>
              </w:rPr>
            </w:pPr>
            <w:r w:rsidRPr="00CD6D96">
              <w:rPr>
                <w:sz w:val="20"/>
                <w:szCs w:val="20"/>
                <w:lang w:val="fr-CA"/>
              </w:rPr>
              <w:t>(Vancouver)</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Bauman</w:t>
            </w:r>
            <w:proofErr w:type="spellEnd"/>
            <w:r w:rsidRPr="00CD6D96">
              <w:rPr>
                <w:sz w:val="20"/>
                <w:szCs w:val="20"/>
                <w:lang w:val="fr-CA"/>
              </w:rPr>
              <w:t>, Bennett et Dickson)</w:t>
            </w:r>
          </w:p>
          <w:p w:rsidR="00CA774A" w:rsidRPr="00CD6D96" w:rsidRDefault="00F964D5" w:rsidP="00CA774A">
            <w:pPr>
              <w:jc w:val="both"/>
              <w:rPr>
                <w:sz w:val="20"/>
                <w:szCs w:val="20"/>
                <w:lang w:val="fr-CA"/>
              </w:rPr>
            </w:pPr>
            <w:hyperlink r:id="rId52" w:history="1">
              <w:r w:rsidR="00CA774A" w:rsidRPr="00CD6D96">
                <w:rPr>
                  <w:rStyle w:val="Hyperlink"/>
                  <w:sz w:val="20"/>
                  <w:szCs w:val="20"/>
                  <w:lang w:val="fr-CA"/>
                </w:rPr>
                <w:t>2017 BCCA 220</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Rejet de la demande de contrôle judiciaire, présentée par le demandeur, de l’arrêté d’extradition pris par la ministre.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12 septembre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55"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A774A" w:rsidRPr="00CD6D96" w:rsidTr="00CA774A">
        <w:trPr>
          <w:gridAfter w:val="1"/>
          <w:wAfter w:w="48" w:type="pct"/>
        </w:trPr>
        <w:tc>
          <w:tcPr>
            <w:tcW w:w="537" w:type="pct"/>
          </w:tcPr>
          <w:p w:rsidR="00CA774A" w:rsidRPr="00CD6D96" w:rsidRDefault="00CA774A" w:rsidP="00CA774A">
            <w:pPr>
              <w:jc w:val="both"/>
              <w:rPr>
                <w:sz w:val="20"/>
                <w:szCs w:val="20"/>
              </w:rPr>
            </w:pPr>
            <w:r w:rsidRPr="00CD6D96">
              <w:rPr>
                <w:rStyle w:val="SCCFileNumberChar"/>
                <w:sz w:val="20"/>
                <w:szCs w:val="20"/>
              </w:rPr>
              <w:t>37735</w:t>
            </w:r>
          </w:p>
        </w:tc>
        <w:tc>
          <w:tcPr>
            <w:tcW w:w="4415"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Kyla Lee, Paul </w:t>
            </w:r>
            <w:proofErr w:type="spellStart"/>
            <w:r w:rsidRPr="00CD6D96">
              <w:rPr>
                <w:b/>
                <w:sz w:val="20"/>
                <w:szCs w:val="20"/>
                <w:lang w:val="en-US"/>
              </w:rPr>
              <w:t>Doroshenko</w:t>
            </w:r>
            <w:proofErr w:type="spellEnd"/>
            <w:r w:rsidRPr="00CD6D96">
              <w:rPr>
                <w:b/>
                <w:sz w:val="20"/>
                <w:szCs w:val="20"/>
                <w:lang w:val="en-US"/>
              </w:rPr>
              <w:t xml:space="preserve">, Sarah </w:t>
            </w:r>
            <w:proofErr w:type="spellStart"/>
            <w:r w:rsidRPr="00CD6D96">
              <w:rPr>
                <w:b/>
                <w:sz w:val="20"/>
                <w:szCs w:val="20"/>
                <w:lang w:val="en-US"/>
              </w:rPr>
              <w:t>Leamon</w:t>
            </w:r>
            <w:proofErr w:type="spellEnd"/>
            <w:r w:rsidRPr="00CD6D96">
              <w:rPr>
                <w:b/>
                <w:sz w:val="20"/>
                <w:szCs w:val="20"/>
                <w:lang w:val="en-US"/>
              </w:rPr>
              <w:t>, Sasha R</w:t>
            </w:r>
            <w:r w:rsidR="00AD1C76">
              <w:rPr>
                <w:b/>
                <w:sz w:val="20"/>
                <w:szCs w:val="20"/>
                <w:lang w:val="en-US"/>
              </w:rPr>
              <w:t>oudette, Acumen Law Corporation,</w:t>
            </w:r>
            <w:r w:rsidRPr="00CD6D96">
              <w:rPr>
                <w:b/>
                <w:sz w:val="20"/>
                <w:szCs w:val="20"/>
                <w:lang w:val="en-US"/>
              </w:rPr>
              <w:t xml:space="preserve"> John Doe and Jane Doe v. Attorney General of British Columbia</w:t>
            </w:r>
          </w:p>
          <w:p w:rsidR="00CA774A" w:rsidRPr="00CD6D96" w:rsidRDefault="00CA774A" w:rsidP="00CA774A">
            <w:pPr>
              <w:jc w:val="both"/>
              <w:rPr>
                <w:sz w:val="20"/>
                <w:szCs w:val="20"/>
              </w:rPr>
            </w:pPr>
            <w:r w:rsidRPr="00CD6D96">
              <w:rPr>
                <w:sz w:val="20"/>
                <w:szCs w:val="20"/>
              </w:rPr>
              <w:t>(B.C.) (Civil) (By Leave)</w:t>
            </w:r>
          </w:p>
        </w:tc>
      </w:tr>
      <w:tr w:rsidR="00CA774A" w:rsidRPr="00CD6D96" w:rsidTr="00CA774A">
        <w:trPr>
          <w:gridAfter w:val="1"/>
          <w:wAfter w:w="48" w:type="pct"/>
        </w:trPr>
        <w:tc>
          <w:tcPr>
            <w:tcW w:w="537" w:type="pct"/>
          </w:tcPr>
          <w:p w:rsidR="00CA774A" w:rsidRPr="00CD6D96" w:rsidRDefault="00CA774A" w:rsidP="00CA774A">
            <w:pPr>
              <w:jc w:val="both"/>
              <w:rPr>
                <w:rStyle w:val="SCCFileNumberChar"/>
                <w:sz w:val="20"/>
                <w:szCs w:val="20"/>
              </w:rPr>
            </w:pPr>
            <w:r>
              <w:rPr>
                <w:rStyle w:val="SCCFileNumberChar"/>
                <w:sz w:val="20"/>
                <w:szCs w:val="20"/>
              </w:rPr>
              <w:t>Coram:</w:t>
            </w:r>
          </w:p>
        </w:tc>
        <w:tc>
          <w:tcPr>
            <w:tcW w:w="4415" w:type="pct"/>
            <w:gridSpan w:val="3"/>
          </w:tcPr>
          <w:p w:rsidR="00CA774A"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CA774A" w:rsidRPr="00CD6D96" w:rsidTr="00CA774A">
        <w:trPr>
          <w:gridAfter w:val="1"/>
          <w:wAfter w:w="48" w:type="pct"/>
        </w:trPr>
        <w:tc>
          <w:tcPr>
            <w:tcW w:w="4952" w:type="pct"/>
            <w:gridSpan w:val="4"/>
          </w:tcPr>
          <w:p w:rsidR="00CA774A" w:rsidRPr="00AD1C76" w:rsidRDefault="00AD1C76" w:rsidP="00AD1C76">
            <w:pPr>
              <w:pStyle w:val="SCCLsocParty"/>
              <w:jc w:val="both"/>
              <w:rPr>
                <w:b/>
                <w:sz w:val="20"/>
                <w:szCs w:val="20"/>
                <w:lang w:val="en-US"/>
              </w:rPr>
            </w:pPr>
            <w:r w:rsidRPr="00AD1C76">
              <w:rPr>
                <w:sz w:val="20"/>
                <w:szCs w:val="20"/>
                <w:lang w:val="en-US"/>
              </w:rPr>
              <w:t>The application for leave to appeal from the judgment of the Court of Appeal for British Columbia (Vancouver), Number CA43654, 2017 BCCA 219, dated June 8, 2017, is dismissed with costs.</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Access to information — Solicitor-client privilege — Email communications between government lawyer and employees of government agency inadvertently disclosed in response to access to information request — Chambers judge held that majority of pages inadvertently disclosed constituted privileged legal advice, that privilege over them had not been waived, but that remaining pages were not privileged — Court of Appeal allowed appeal and varied chambers judge’s order to apply to all pages inadvertently disclosed.</w:t>
            </w: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p>
        </w:tc>
      </w:tr>
      <w:tr w:rsidR="00CA774A" w:rsidRPr="00CD6D96" w:rsidTr="00CA774A">
        <w:trPr>
          <w:gridAfter w:val="1"/>
          <w:wAfter w:w="48" w:type="pct"/>
        </w:trPr>
        <w:tc>
          <w:tcPr>
            <w:tcW w:w="4952" w:type="pct"/>
            <w:gridSpan w:val="4"/>
          </w:tcPr>
          <w:p w:rsidR="00CA774A" w:rsidRPr="00CD6D96" w:rsidRDefault="00CA774A" w:rsidP="00CA774A">
            <w:pPr>
              <w:jc w:val="both"/>
              <w:rPr>
                <w:sz w:val="20"/>
                <w:szCs w:val="20"/>
              </w:rPr>
            </w:pPr>
            <w:r w:rsidRPr="00CD6D96">
              <w:rPr>
                <w:sz w:val="20"/>
                <w:szCs w:val="20"/>
              </w:rPr>
              <w:t>The respondent, Attorney General of British Columbia, asserted privilege over 19 pages of email communications between a government lawyer and employees of a government agency, which were inadvertently disclosed to the applicants, Ms. Lee et al., in response to an access to information request. The chambers judge held that 15 of the 19 pages constituted privileged legal advice, that privilege over them had not been waived, but that the remaining four pages were not privileged. The Court of Appeal allowed the appeal and varied the chambers judge’s order to apply to all 19 pages.</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April 20, 2016</w:t>
            </w:r>
          </w:p>
          <w:p w:rsidR="00CA774A" w:rsidRPr="00CD6D96" w:rsidRDefault="00CA774A" w:rsidP="00CA774A">
            <w:pPr>
              <w:jc w:val="both"/>
              <w:rPr>
                <w:sz w:val="20"/>
                <w:szCs w:val="20"/>
              </w:rPr>
            </w:pPr>
            <w:r w:rsidRPr="00CD6D96">
              <w:rPr>
                <w:sz w:val="20"/>
                <w:szCs w:val="20"/>
              </w:rPr>
              <w:t>Supreme Court of British Columbia</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Hinkson</w:t>
            </w:r>
            <w:proofErr w:type="spellEnd"/>
            <w:r w:rsidRPr="00CD6D96">
              <w:rPr>
                <w:sz w:val="20"/>
                <w:szCs w:val="20"/>
              </w:rPr>
              <w:t xml:space="preserve"> C.J.)</w:t>
            </w:r>
          </w:p>
          <w:p w:rsidR="00CA774A" w:rsidRPr="00CD6D96" w:rsidRDefault="00F964D5" w:rsidP="00CA774A">
            <w:pPr>
              <w:jc w:val="both"/>
              <w:rPr>
                <w:sz w:val="20"/>
                <w:szCs w:val="20"/>
              </w:rPr>
            </w:pPr>
            <w:hyperlink r:id="rId53" w:history="1">
              <w:r w:rsidR="00CA774A" w:rsidRPr="00CD6D96">
                <w:rPr>
                  <w:rStyle w:val="Hyperlink"/>
                  <w:sz w:val="20"/>
                  <w:szCs w:val="20"/>
                </w:rPr>
                <w:t>2016 BCSC 707</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Chambers judge held that 15 of 19 pages of email communications that were inadvertently disclosed by Attorney General to applicants constituted privileged legal advice, that privilege over them had not been waived, but that remaining 4 pages were not privileged.</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June 8, 2017</w:t>
            </w:r>
          </w:p>
          <w:p w:rsidR="00CA774A" w:rsidRPr="00CD6D96" w:rsidRDefault="00CA774A" w:rsidP="00CA774A">
            <w:pPr>
              <w:jc w:val="both"/>
              <w:rPr>
                <w:sz w:val="20"/>
                <w:szCs w:val="20"/>
              </w:rPr>
            </w:pPr>
            <w:r w:rsidRPr="00CD6D96">
              <w:rPr>
                <w:sz w:val="20"/>
                <w:szCs w:val="20"/>
              </w:rPr>
              <w:t xml:space="preserve">Court of Appeal for British Columbia </w:t>
            </w:r>
          </w:p>
          <w:p w:rsidR="00CA774A" w:rsidRPr="00CD6D96" w:rsidRDefault="00CA774A" w:rsidP="00CA774A">
            <w:pPr>
              <w:jc w:val="both"/>
              <w:rPr>
                <w:sz w:val="20"/>
                <w:szCs w:val="20"/>
              </w:rPr>
            </w:pPr>
            <w:r w:rsidRPr="00CD6D96">
              <w:rPr>
                <w:sz w:val="20"/>
                <w:szCs w:val="20"/>
              </w:rPr>
              <w:t>(Vancouver)</w:t>
            </w:r>
          </w:p>
          <w:p w:rsidR="00CA774A" w:rsidRPr="00CD6D96" w:rsidRDefault="00CA774A" w:rsidP="00CA774A">
            <w:pPr>
              <w:jc w:val="both"/>
              <w:rPr>
                <w:sz w:val="20"/>
                <w:szCs w:val="20"/>
              </w:rPr>
            </w:pPr>
            <w:r w:rsidRPr="00CD6D96">
              <w:rPr>
                <w:sz w:val="20"/>
                <w:szCs w:val="20"/>
              </w:rPr>
              <w:t xml:space="preserve">(Bennett, </w:t>
            </w:r>
            <w:proofErr w:type="spellStart"/>
            <w:r w:rsidRPr="00CD6D96">
              <w:rPr>
                <w:sz w:val="20"/>
                <w:szCs w:val="20"/>
              </w:rPr>
              <w:t>MacKenzie</w:t>
            </w:r>
            <w:proofErr w:type="spellEnd"/>
            <w:r w:rsidRPr="00CD6D96">
              <w:rPr>
                <w:sz w:val="20"/>
                <w:szCs w:val="20"/>
              </w:rPr>
              <w:t xml:space="preserve"> and Hunter JJ.A.)</w:t>
            </w:r>
          </w:p>
          <w:p w:rsidR="00CA774A" w:rsidRPr="00CD6D96" w:rsidRDefault="00F964D5" w:rsidP="00CA774A">
            <w:pPr>
              <w:jc w:val="both"/>
              <w:rPr>
                <w:sz w:val="20"/>
                <w:szCs w:val="20"/>
              </w:rPr>
            </w:pPr>
            <w:hyperlink r:id="rId54" w:history="1">
              <w:r w:rsidR="00CA774A" w:rsidRPr="00CD6D96">
                <w:rPr>
                  <w:rStyle w:val="Hyperlink"/>
                  <w:sz w:val="20"/>
                  <w:szCs w:val="20"/>
                </w:rPr>
                <w:t>2017 BCCA 219</w:t>
              </w:r>
            </w:hyperlink>
          </w:p>
          <w:p w:rsidR="00CA774A" w:rsidRPr="00CD6D96" w:rsidRDefault="00CA774A" w:rsidP="00CA774A">
            <w:pPr>
              <w:jc w:val="both"/>
              <w:rPr>
                <w:sz w:val="20"/>
                <w:szCs w:val="20"/>
              </w:rPr>
            </w:pP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Appeal allowed and order made by chambers judge varied to apply to all 19 pages.</w:t>
            </w:r>
          </w:p>
          <w:p w:rsidR="00CA774A" w:rsidRPr="00CD6D96" w:rsidRDefault="00CA774A" w:rsidP="00CA774A">
            <w:pPr>
              <w:jc w:val="both"/>
              <w:rPr>
                <w:sz w:val="20"/>
                <w:szCs w:val="20"/>
              </w:rPr>
            </w:pPr>
          </w:p>
        </w:tc>
      </w:tr>
      <w:tr w:rsidR="00CA774A" w:rsidRPr="00CD6D96" w:rsidTr="00CA774A">
        <w:tblPrEx>
          <w:tblCellMar>
            <w:bottom w:w="0" w:type="dxa"/>
          </w:tblCellMar>
        </w:tblPrEx>
        <w:tc>
          <w:tcPr>
            <w:tcW w:w="2367" w:type="pct"/>
            <w:gridSpan w:val="2"/>
          </w:tcPr>
          <w:p w:rsidR="00CA774A" w:rsidRPr="00CD6D96" w:rsidRDefault="00CA774A" w:rsidP="00CA774A">
            <w:pPr>
              <w:jc w:val="both"/>
              <w:rPr>
                <w:sz w:val="20"/>
                <w:szCs w:val="20"/>
              </w:rPr>
            </w:pPr>
            <w:r w:rsidRPr="00CD6D96">
              <w:rPr>
                <w:sz w:val="20"/>
                <w:szCs w:val="20"/>
              </w:rPr>
              <w:t>September 7, 2017</w:t>
            </w:r>
          </w:p>
          <w:p w:rsidR="00CA774A" w:rsidRPr="00CD6D96" w:rsidRDefault="00CA774A" w:rsidP="00CA774A">
            <w:pPr>
              <w:jc w:val="both"/>
              <w:rPr>
                <w:sz w:val="20"/>
                <w:szCs w:val="20"/>
              </w:rPr>
            </w:pPr>
            <w:r w:rsidRPr="00CD6D96">
              <w:rPr>
                <w:sz w:val="20"/>
                <w:szCs w:val="20"/>
              </w:rPr>
              <w:t>Supreme Court of Canada</w:t>
            </w:r>
          </w:p>
        </w:tc>
        <w:tc>
          <w:tcPr>
            <w:tcW w:w="267" w:type="pct"/>
          </w:tcPr>
          <w:p w:rsidR="00CA774A" w:rsidRPr="00CD6D96" w:rsidRDefault="00CA774A" w:rsidP="00CA774A">
            <w:pPr>
              <w:jc w:val="both"/>
              <w:rPr>
                <w:sz w:val="20"/>
                <w:szCs w:val="20"/>
              </w:rPr>
            </w:pPr>
          </w:p>
        </w:tc>
        <w:tc>
          <w:tcPr>
            <w:tcW w:w="2366" w:type="pct"/>
            <w:gridSpan w:val="2"/>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56" style="width:2in;height:1pt" o:hrpct="0" o:hralign="center" o:hrstd="t" o:hrnoshade="t" o:hr="t" fillcolor="black [3213]" stroked="f"/>
        </w:pict>
      </w:r>
    </w:p>
    <w:p w:rsidR="00CA774A" w:rsidRPr="00CD6D96" w:rsidRDefault="00CA774A" w:rsidP="00CA774A">
      <w:pPr>
        <w:jc w:val="both"/>
        <w:rPr>
          <w:sz w:val="20"/>
          <w:szCs w:val="20"/>
        </w:rPr>
      </w:pPr>
    </w:p>
    <w:p w:rsidR="00AD1C76" w:rsidRDefault="00AD1C76">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A774A" w:rsidRPr="00F964D5" w:rsidTr="00CA774A">
        <w:trPr>
          <w:gridAfter w:val="1"/>
          <w:wAfter w:w="48" w:type="pct"/>
        </w:trPr>
        <w:tc>
          <w:tcPr>
            <w:tcW w:w="537" w:type="pct"/>
          </w:tcPr>
          <w:p w:rsidR="00CA774A" w:rsidRPr="00CD6D96" w:rsidRDefault="00CA774A" w:rsidP="00CA774A">
            <w:pPr>
              <w:jc w:val="both"/>
              <w:rPr>
                <w:sz w:val="20"/>
                <w:szCs w:val="20"/>
                <w:lang w:val="fr-CA"/>
              </w:rPr>
            </w:pPr>
            <w:r w:rsidRPr="00CD6D96">
              <w:rPr>
                <w:rStyle w:val="SCCFileNumberChar"/>
                <w:sz w:val="20"/>
                <w:szCs w:val="20"/>
                <w:lang w:val="fr-CA"/>
              </w:rPr>
              <w:lastRenderedPageBreak/>
              <w:t>37735</w:t>
            </w:r>
          </w:p>
        </w:tc>
        <w:tc>
          <w:tcPr>
            <w:tcW w:w="4415" w:type="pct"/>
            <w:gridSpan w:val="3"/>
          </w:tcPr>
          <w:p w:rsidR="00CA774A" w:rsidRPr="00CD6D96" w:rsidRDefault="00CA774A" w:rsidP="00CA774A">
            <w:pPr>
              <w:pStyle w:val="SCCLsocParty"/>
              <w:jc w:val="both"/>
              <w:rPr>
                <w:b/>
                <w:sz w:val="20"/>
                <w:szCs w:val="20"/>
              </w:rPr>
            </w:pPr>
            <w:proofErr w:type="spellStart"/>
            <w:r w:rsidRPr="00CD6D96">
              <w:rPr>
                <w:b/>
                <w:sz w:val="20"/>
                <w:szCs w:val="20"/>
              </w:rPr>
              <w:t>Kyla</w:t>
            </w:r>
            <w:proofErr w:type="spellEnd"/>
            <w:r w:rsidRPr="00CD6D96">
              <w:rPr>
                <w:b/>
                <w:sz w:val="20"/>
                <w:szCs w:val="20"/>
              </w:rPr>
              <w:t xml:space="preserve"> Lee, Paul </w:t>
            </w:r>
            <w:proofErr w:type="spellStart"/>
            <w:r w:rsidRPr="00CD6D96">
              <w:rPr>
                <w:b/>
                <w:sz w:val="20"/>
                <w:szCs w:val="20"/>
              </w:rPr>
              <w:t>Doroshenko</w:t>
            </w:r>
            <w:proofErr w:type="spellEnd"/>
            <w:r w:rsidRPr="00CD6D96">
              <w:rPr>
                <w:b/>
                <w:sz w:val="20"/>
                <w:szCs w:val="20"/>
              </w:rPr>
              <w:t xml:space="preserve">, Sarah </w:t>
            </w:r>
            <w:proofErr w:type="spellStart"/>
            <w:r w:rsidRPr="00CD6D96">
              <w:rPr>
                <w:b/>
                <w:sz w:val="20"/>
                <w:szCs w:val="20"/>
              </w:rPr>
              <w:t>Leamon</w:t>
            </w:r>
            <w:proofErr w:type="spellEnd"/>
            <w:r w:rsidRPr="00CD6D96">
              <w:rPr>
                <w:b/>
                <w:sz w:val="20"/>
                <w:szCs w:val="20"/>
              </w:rPr>
              <w:t xml:space="preserve">, Sasha </w:t>
            </w:r>
            <w:proofErr w:type="spellStart"/>
            <w:r w:rsidRPr="00CD6D96">
              <w:rPr>
                <w:b/>
                <w:sz w:val="20"/>
                <w:szCs w:val="20"/>
              </w:rPr>
              <w:t>Roudette</w:t>
            </w:r>
            <w:proofErr w:type="spellEnd"/>
            <w:r w:rsidRPr="00CD6D96">
              <w:rPr>
                <w:b/>
                <w:sz w:val="20"/>
                <w:szCs w:val="20"/>
              </w:rPr>
              <w:t xml:space="preserve">, Acumen Law Corporation, </w:t>
            </w:r>
            <w:r w:rsidR="00401AA7">
              <w:rPr>
                <w:b/>
                <w:sz w:val="20"/>
                <w:szCs w:val="20"/>
              </w:rPr>
              <w:t xml:space="preserve">John </w:t>
            </w:r>
            <w:proofErr w:type="spellStart"/>
            <w:r w:rsidR="00401AA7">
              <w:rPr>
                <w:b/>
                <w:sz w:val="20"/>
                <w:szCs w:val="20"/>
              </w:rPr>
              <w:t>Doe</w:t>
            </w:r>
            <w:proofErr w:type="spellEnd"/>
            <w:r w:rsidRPr="00CD6D96">
              <w:rPr>
                <w:b/>
                <w:sz w:val="20"/>
                <w:szCs w:val="20"/>
              </w:rPr>
              <w:t xml:space="preserve"> et </w:t>
            </w:r>
            <w:r w:rsidR="00401AA7">
              <w:rPr>
                <w:b/>
                <w:sz w:val="20"/>
                <w:szCs w:val="20"/>
              </w:rPr>
              <w:t xml:space="preserve">Jane </w:t>
            </w:r>
            <w:proofErr w:type="spellStart"/>
            <w:r w:rsidR="00401AA7">
              <w:rPr>
                <w:b/>
                <w:sz w:val="20"/>
                <w:szCs w:val="20"/>
              </w:rPr>
              <w:t>Doe</w:t>
            </w:r>
            <w:proofErr w:type="spellEnd"/>
            <w:r w:rsidRPr="00CD6D96">
              <w:rPr>
                <w:b/>
                <w:sz w:val="20"/>
                <w:szCs w:val="20"/>
              </w:rPr>
              <w:t xml:space="preserve"> c. Procureur général de la Colombie-Britannique</w:t>
            </w:r>
          </w:p>
          <w:p w:rsidR="00CA774A" w:rsidRPr="00CD6D96" w:rsidRDefault="00CA774A" w:rsidP="00CA774A">
            <w:pPr>
              <w:jc w:val="both"/>
              <w:rPr>
                <w:sz w:val="20"/>
                <w:szCs w:val="20"/>
                <w:lang w:val="fr-CA"/>
              </w:rPr>
            </w:pPr>
            <w:r w:rsidRPr="00CD6D96">
              <w:rPr>
                <w:sz w:val="20"/>
                <w:szCs w:val="20"/>
                <w:lang w:val="fr-CA"/>
              </w:rPr>
              <w:t>(C.-B.) (Civile) (Sur autorisation)</w:t>
            </w:r>
          </w:p>
        </w:tc>
      </w:tr>
      <w:tr w:rsidR="00CA774A" w:rsidRPr="00F964D5" w:rsidTr="00CA774A">
        <w:trPr>
          <w:gridAfter w:val="1"/>
          <w:wAfter w:w="48" w:type="pct"/>
        </w:trPr>
        <w:tc>
          <w:tcPr>
            <w:tcW w:w="537" w:type="pct"/>
          </w:tcPr>
          <w:p w:rsidR="00CA774A" w:rsidRPr="00CD6D96" w:rsidRDefault="00CA774A" w:rsidP="00CA774A">
            <w:pPr>
              <w:jc w:val="both"/>
              <w:rPr>
                <w:rStyle w:val="SCCFileNumberChar"/>
                <w:sz w:val="20"/>
                <w:szCs w:val="20"/>
                <w:lang w:val="fr-CA"/>
              </w:rPr>
            </w:pPr>
            <w:r>
              <w:rPr>
                <w:rStyle w:val="SCCFileNumberChar"/>
                <w:sz w:val="20"/>
                <w:szCs w:val="20"/>
                <w:lang w:val="fr-CA"/>
              </w:rPr>
              <w:t>Coram :</w:t>
            </w:r>
          </w:p>
        </w:tc>
        <w:tc>
          <w:tcPr>
            <w:tcW w:w="4415" w:type="pct"/>
            <w:gridSpan w:val="3"/>
          </w:tcPr>
          <w:p w:rsidR="00CA774A" w:rsidRDefault="00AD1C76" w:rsidP="00CA774A">
            <w:pPr>
              <w:pStyle w:val="SCCLsocParty"/>
              <w:jc w:val="both"/>
              <w:rPr>
                <w:sz w:val="20"/>
                <w:szCs w:val="20"/>
                <w:lang w:val="fr-FR"/>
              </w:rPr>
            </w:pPr>
            <w:r w:rsidRPr="00967F35">
              <w:rPr>
                <w:sz w:val="20"/>
                <w:szCs w:val="20"/>
                <w:lang w:val="fr-FR"/>
              </w:rPr>
              <w:t xml:space="preserve">La juge en chef </w:t>
            </w:r>
            <w:proofErr w:type="spellStart"/>
            <w:r w:rsidRPr="00967F35">
              <w:rPr>
                <w:sz w:val="20"/>
                <w:szCs w:val="20"/>
                <w:lang w:val="fr-FR"/>
              </w:rPr>
              <w:t>McLachlin</w:t>
            </w:r>
            <w:proofErr w:type="spellEnd"/>
            <w:r w:rsidRPr="00967F35">
              <w:rPr>
                <w:sz w:val="20"/>
                <w:szCs w:val="20"/>
                <w:lang w:val="fr-FR"/>
              </w:rPr>
              <w:t xml:space="preserve"> et les juges Abella, </w:t>
            </w:r>
            <w:proofErr w:type="spellStart"/>
            <w:r w:rsidRPr="00967F35">
              <w:rPr>
                <w:sz w:val="20"/>
                <w:szCs w:val="20"/>
                <w:lang w:val="fr-FR"/>
              </w:rPr>
              <w:t>Moldaver</w:t>
            </w:r>
            <w:proofErr w:type="spellEnd"/>
            <w:r w:rsidRPr="00967F35">
              <w:rPr>
                <w:sz w:val="20"/>
                <w:szCs w:val="20"/>
                <w:lang w:val="fr-FR"/>
              </w:rPr>
              <w:t xml:space="preserve">, </w:t>
            </w:r>
            <w:proofErr w:type="spellStart"/>
            <w:r w:rsidRPr="00967F35">
              <w:rPr>
                <w:sz w:val="20"/>
                <w:szCs w:val="20"/>
                <w:lang w:val="fr-FR"/>
              </w:rPr>
              <w:t>Karakatsanis</w:t>
            </w:r>
            <w:proofErr w:type="spellEnd"/>
            <w:r w:rsidRPr="00967F35">
              <w:rPr>
                <w:sz w:val="20"/>
                <w:szCs w:val="20"/>
                <w:lang w:val="fr-FR"/>
              </w:rPr>
              <w:t>, Wagner, Gascon, Côté, Brown et Rowe</w:t>
            </w:r>
          </w:p>
          <w:p w:rsidR="00AD1C76" w:rsidRPr="00AD1C76" w:rsidRDefault="00AD1C76" w:rsidP="00AD1C76">
            <w:pPr>
              <w:rPr>
                <w:lang w:val="fr-FR"/>
              </w:rPr>
            </w:pPr>
          </w:p>
        </w:tc>
      </w:tr>
      <w:tr w:rsidR="00CA774A" w:rsidRPr="00F964D5" w:rsidTr="00CA774A">
        <w:trPr>
          <w:gridAfter w:val="1"/>
          <w:wAfter w:w="48" w:type="pct"/>
        </w:trPr>
        <w:tc>
          <w:tcPr>
            <w:tcW w:w="4952" w:type="pct"/>
            <w:gridSpan w:val="4"/>
          </w:tcPr>
          <w:p w:rsidR="00CA774A" w:rsidRDefault="00AD1C76" w:rsidP="00CA774A">
            <w:pPr>
              <w:pStyle w:val="SCCLsocParty"/>
              <w:jc w:val="both"/>
              <w:rPr>
                <w:sz w:val="20"/>
                <w:szCs w:val="20"/>
              </w:rPr>
            </w:pPr>
            <w:r w:rsidRPr="00967F35">
              <w:rPr>
                <w:sz w:val="20"/>
                <w:szCs w:val="20"/>
              </w:rPr>
              <w:t xml:space="preserve">La demande d’autorisation d’appel de l’arrêt de la </w:t>
            </w:r>
            <w:r w:rsidRPr="00967F35">
              <w:rPr>
                <w:sz w:val="20"/>
                <w:szCs w:val="20"/>
                <w:lang w:val="fr-FR"/>
              </w:rPr>
              <w:t>Cour d’appel de la Colombie-Britannique (Vancouver)</w:t>
            </w:r>
            <w:r w:rsidRPr="00967F35">
              <w:rPr>
                <w:sz w:val="20"/>
                <w:szCs w:val="20"/>
              </w:rPr>
              <w:t xml:space="preserve">, numéro </w:t>
            </w:r>
            <w:r w:rsidRPr="00967F35">
              <w:rPr>
                <w:sz w:val="20"/>
                <w:szCs w:val="20"/>
                <w:lang w:val="fr-FR"/>
              </w:rPr>
              <w:t>CA43654, 2017 BCCA 219</w:t>
            </w:r>
            <w:r w:rsidRPr="00967F35">
              <w:rPr>
                <w:sz w:val="20"/>
                <w:szCs w:val="20"/>
              </w:rPr>
              <w:t xml:space="preserve">, daté du </w:t>
            </w:r>
            <w:r w:rsidRPr="00967F35">
              <w:rPr>
                <w:sz w:val="20"/>
                <w:szCs w:val="20"/>
                <w:lang w:val="fr-FR"/>
              </w:rPr>
              <w:t>8 juin 2017</w:t>
            </w:r>
            <w:r w:rsidRPr="00967F35">
              <w:rPr>
                <w:sz w:val="20"/>
                <w:szCs w:val="20"/>
              </w:rPr>
              <w:t>, est rejetée avec dépens.</w:t>
            </w:r>
          </w:p>
          <w:p w:rsidR="00AD1C76" w:rsidRPr="00AD1C76" w:rsidRDefault="00AD1C76" w:rsidP="00AD1C76">
            <w:pPr>
              <w:rPr>
                <w:lang w:val="fr-CA"/>
              </w:rPr>
            </w:pP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r w:rsidRPr="00CD6D96">
              <w:rPr>
                <w:sz w:val="20"/>
                <w:szCs w:val="20"/>
                <w:lang w:val="fr-CA"/>
              </w:rPr>
              <w:t>Accès à l’information — Secret professionnel de l’avocat — Communications par courriel entre un avocat du gouvernement et des employés d’un organisme gouvernemental divulguées par inadvertance en réponse à une demande d’accès à l’information — Le juge en cabinet a statué que la plupart des pages divulguées par inadvertance constituaient des avis juridiques protégés par le privilège du secret professionnel de l’avocat, qu’il n’y a pas eu renonciation à ce privilège, mais que les autres pages n’étaient pas protégées par le privilège — La Cour d’appel a accueilli l’appel et modifié l’ordonnance du juge en cabinet pour qu’elle s’applique à toutes les pages divulguées par inadvertance.</w:t>
            </w: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p>
        </w:tc>
      </w:tr>
      <w:tr w:rsidR="00CA774A" w:rsidRPr="00F964D5" w:rsidTr="00CA774A">
        <w:trPr>
          <w:gridAfter w:val="1"/>
          <w:wAfter w:w="48" w:type="pct"/>
        </w:trPr>
        <w:tc>
          <w:tcPr>
            <w:tcW w:w="4952" w:type="pct"/>
            <w:gridSpan w:val="4"/>
          </w:tcPr>
          <w:p w:rsidR="00CA774A" w:rsidRPr="00CD6D96" w:rsidRDefault="00CA774A" w:rsidP="00CA774A">
            <w:pPr>
              <w:jc w:val="both"/>
              <w:rPr>
                <w:sz w:val="20"/>
                <w:szCs w:val="20"/>
                <w:lang w:val="fr-CA"/>
              </w:rPr>
            </w:pPr>
            <w:r w:rsidRPr="00CD6D96">
              <w:rPr>
                <w:sz w:val="20"/>
                <w:szCs w:val="20"/>
                <w:lang w:val="fr-CA"/>
              </w:rPr>
              <w:t xml:space="preserve">L’intimé, le procureur général de la Colombie-Britannique, a invoqué le privilège du secret professionnel de l’avocat à l’égard de 19 pages de communications par courriel entre un avocat du gouvernement et des employés d’un organisme gouvernemental, lesquelles avaient été divulguées par inadvertance aux demandeurs, Mme Lee et </w:t>
            </w:r>
            <w:proofErr w:type="gramStart"/>
            <w:r w:rsidRPr="00CD6D96">
              <w:rPr>
                <w:sz w:val="20"/>
                <w:szCs w:val="20"/>
                <w:lang w:val="fr-CA"/>
              </w:rPr>
              <w:t>al.,</w:t>
            </w:r>
            <w:proofErr w:type="gramEnd"/>
            <w:r w:rsidRPr="00CD6D96">
              <w:rPr>
                <w:sz w:val="20"/>
                <w:szCs w:val="20"/>
                <w:lang w:val="fr-CA"/>
              </w:rPr>
              <w:t xml:space="preserve"> en réponse à une demande d’accès à l’information. Le juge en cabinet a statué que 15 des 19 pages constituaient des avis juridiques, qu’il n’y avait pas eu renonciation au privilège à leur égard, mais que les quatre autres pages n’étaient pas protégées par le privilège. La Cour d’appel a accueilli l’appel et modifié l’ordonnance du juge en cabinet pour qu’elle s’applique aux 19 pages, sans exception.</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20 avril 2016</w:t>
            </w:r>
          </w:p>
          <w:p w:rsidR="00CA774A" w:rsidRPr="00CD6D96" w:rsidRDefault="00CA774A" w:rsidP="00CA774A">
            <w:pPr>
              <w:jc w:val="both"/>
              <w:rPr>
                <w:sz w:val="20"/>
                <w:szCs w:val="20"/>
                <w:lang w:val="fr-CA"/>
              </w:rPr>
            </w:pPr>
            <w:r w:rsidRPr="00CD6D96">
              <w:rPr>
                <w:sz w:val="20"/>
                <w:szCs w:val="20"/>
                <w:lang w:val="fr-CA"/>
              </w:rPr>
              <w:t>Cour suprême de la Colombie-Britannique</w:t>
            </w:r>
          </w:p>
          <w:p w:rsidR="00CA774A" w:rsidRPr="00CD6D96" w:rsidRDefault="00CA774A" w:rsidP="00CA774A">
            <w:pPr>
              <w:jc w:val="both"/>
              <w:rPr>
                <w:sz w:val="20"/>
                <w:szCs w:val="20"/>
                <w:lang w:val="fr-CA"/>
              </w:rPr>
            </w:pPr>
            <w:r w:rsidRPr="00CD6D96">
              <w:rPr>
                <w:sz w:val="20"/>
                <w:szCs w:val="20"/>
                <w:lang w:val="fr-CA"/>
              </w:rPr>
              <w:t xml:space="preserve">(Juge en chef </w:t>
            </w:r>
            <w:proofErr w:type="spellStart"/>
            <w:r w:rsidRPr="00CD6D96">
              <w:rPr>
                <w:sz w:val="20"/>
                <w:szCs w:val="20"/>
                <w:lang w:val="fr-CA"/>
              </w:rPr>
              <w:t>Hinkson</w:t>
            </w:r>
            <w:proofErr w:type="spellEnd"/>
            <w:r w:rsidRPr="00CD6D96">
              <w:rPr>
                <w:sz w:val="20"/>
                <w:szCs w:val="20"/>
                <w:lang w:val="fr-CA"/>
              </w:rPr>
              <w:t>)</w:t>
            </w:r>
          </w:p>
          <w:p w:rsidR="00CA774A" w:rsidRPr="00CD6D96" w:rsidRDefault="00F964D5" w:rsidP="00CA774A">
            <w:pPr>
              <w:jc w:val="both"/>
              <w:rPr>
                <w:sz w:val="20"/>
                <w:szCs w:val="20"/>
                <w:lang w:val="fr-CA"/>
              </w:rPr>
            </w:pPr>
            <w:hyperlink r:id="rId55" w:history="1">
              <w:r w:rsidR="00CA774A" w:rsidRPr="00CD6D96">
                <w:rPr>
                  <w:rStyle w:val="Hyperlink"/>
                  <w:sz w:val="20"/>
                  <w:szCs w:val="20"/>
                  <w:lang w:val="fr-CA"/>
                </w:rPr>
                <w:t>2016 BCSC 707</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Jugement du juge en cabinet statuant que 15 des 19 pages des communications par courriel divulguées par inadvertance par le procureur général aux demandeurs constituaient des avis juridiques protégés par le privilège du secret professionnel de l’avocat, qu’il n’y avait pas eu renonciation au privilège à leur égard, mais que les quatre autres pages n’étaient pas protégées par le privilège.</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8 juin 2017</w:t>
            </w:r>
          </w:p>
          <w:p w:rsidR="00CA774A" w:rsidRPr="00CD6D96" w:rsidRDefault="00CA774A" w:rsidP="00CA774A">
            <w:pPr>
              <w:jc w:val="both"/>
              <w:rPr>
                <w:sz w:val="20"/>
                <w:szCs w:val="20"/>
                <w:lang w:val="fr-CA"/>
              </w:rPr>
            </w:pPr>
            <w:r w:rsidRPr="00CD6D96">
              <w:rPr>
                <w:sz w:val="20"/>
                <w:szCs w:val="20"/>
                <w:lang w:val="fr-CA"/>
              </w:rPr>
              <w:t>Cour d’appel de la Colombie-Britannique</w:t>
            </w:r>
          </w:p>
          <w:p w:rsidR="00CA774A" w:rsidRPr="00CD6D96" w:rsidRDefault="00CA774A" w:rsidP="00CA774A">
            <w:pPr>
              <w:jc w:val="both"/>
              <w:rPr>
                <w:sz w:val="20"/>
                <w:szCs w:val="20"/>
                <w:lang w:val="fr-CA"/>
              </w:rPr>
            </w:pPr>
            <w:r w:rsidRPr="00CD6D96">
              <w:rPr>
                <w:sz w:val="20"/>
                <w:szCs w:val="20"/>
                <w:lang w:val="fr-CA"/>
              </w:rPr>
              <w:t>(Vancouver)</w:t>
            </w:r>
          </w:p>
          <w:p w:rsidR="00CA774A" w:rsidRPr="00CD6D96" w:rsidRDefault="00CA774A" w:rsidP="00CA774A">
            <w:pPr>
              <w:jc w:val="both"/>
              <w:rPr>
                <w:sz w:val="20"/>
                <w:szCs w:val="20"/>
                <w:lang w:val="fr-CA"/>
              </w:rPr>
            </w:pPr>
            <w:r w:rsidRPr="00CD6D96">
              <w:rPr>
                <w:sz w:val="20"/>
                <w:szCs w:val="20"/>
                <w:lang w:val="fr-CA"/>
              </w:rPr>
              <w:t xml:space="preserve">(Juges Bennett, </w:t>
            </w:r>
            <w:proofErr w:type="spellStart"/>
            <w:r w:rsidRPr="00CD6D96">
              <w:rPr>
                <w:sz w:val="20"/>
                <w:szCs w:val="20"/>
                <w:lang w:val="fr-CA"/>
              </w:rPr>
              <w:t>MacKenzie</w:t>
            </w:r>
            <w:proofErr w:type="spellEnd"/>
            <w:r w:rsidRPr="00CD6D96">
              <w:rPr>
                <w:sz w:val="20"/>
                <w:szCs w:val="20"/>
                <w:lang w:val="fr-CA"/>
              </w:rPr>
              <w:t xml:space="preserve"> et Hunter)</w:t>
            </w:r>
          </w:p>
          <w:p w:rsidR="00CA774A" w:rsidRPr="00CD6D96" w:rsidRDefault="00F964D5" w:rsidP="00CA774A">
            <w:pPr>
              <w:jc w:val="both"/>
              <w:rPr>
                <w:sz w:val="20"/>
                <w:szCs w:val="20"/>
                <w:lang w:val="fr-CA"/>
              </w:rPr>
            </w:pPr>
            <w:hyperlink r:id="rId56" w:history="1">
              <w:r w:rsidR="00CA774A" w:rsidRPr="00CD6D96">
                <w:rPr>
                  <w:rStyle w:val="Hyperlink"/>
                  <w:sz w:val="20"/>
                  <w:szCs w:val="20"/>
                  <w:lang w:val="fr-CA"/>
                </w:rPr>
                <w:t>2017 BCCA 219</w:t>
              </w:r>
            </w:hyperlink>
          </w:p>
          <w:p w:rsidR="00CA774A" w:rsidRPr="00CD6D96" w:rsidRDefault="00CA774A" w:rsidP="00CA774A">
            <w:pPr>
              <w:jc w:val="both"/>
              <w:rPr>
                <w:sz w:val="20"/>
                <w:szCs w:val="20"/>
                <w:lang w:val="fr-CA"/>
              </w:rPr>
            </w:pP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Arrêt accueillant l’appel et modifiant l’ordonnance du juge en cabinet pour qu’elle s’applique aux 19 pages, sans exception.</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67" w:type="pct"/>
            <w:gridSpan w:val="2"/>
          </w:tcPr>
          <w:p w:rsidR="00CA774A" w:rsidRPr="00CD6D96" w:rsidRDefault="00CA774A" w:rsidP="00CA774A">
            <w:pPr>
              <w:jc w:val="both"/>
              <w:rPr>
                <w:sz w:val="20"/>
                <w:szCs w:val="20"/>
                <w:lang w:val="fr-CA"/>
              </w:rPr>
            </w:pPr>
            <w:r w:rsidRPr="00CD6D96">
              <w:rPr>
                <w:sz w:val="20"/>
                <w:szCs w:val="20"/>
                <w:lang w:val="fr-CA"/>
              </w:rPr>
              <w:t>7 septembre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67" w:type="pct"/>
          </w:tcPr>
          <w:p w:rsidR="00CA774A" w:rsidRPr="00CD6D96" w:rsidRDefault="00CA774A" w:rsidP="00CA774A">
            <w:pPr>
              <w:jc w:val="both"/>
              <w:rPr>
                <w:sz w:val="20"/>
                <w:szCs w:val="20"/>
                <w:lang w:val="fr-CA"/>
              </w:rPr>
            </w:pPr>
          </w:p>
        </w:tc>
        <w:tc>
          <w:tcPr>
            <w:tcW w:w="2366" w:type="pct"/>
            <w:gridSpan w:val="2"/>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57"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083F3E">
              <w:rPr>
                <w:rStyle w:val="SCCFileNumberChar"/>
                <w:sz w:val="20"/>
                <w:szCs w:val="20"/>
              </w:rPr>
              <w:t>37758</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Pierre Martel v. Loto-Québec</w:t>
            </w:r>
            <w:r w:rsidR="00083F3E">
              <w:rPr>
                <w:b/>
                <w:sz w:val="20"/>
                <w:szCs w:val="20"/>
              </w:rPr>
              <w:t xml:space="preserve"> and</w:t>
            </w:r>
            <w:r w:rsidRPr="00CD6D96">
              <w:rPr>
                <w:b/>
                <w:sz w:val="20"/>
                <w:szCs w:val="20"/>
              </w:rPr>
              <w:t xml:space="preserve"> Société du jeu virtuel du Québec </w:t>
            </w:r>
            <w:proofErr w:type="spellStart"/>
            <w:r w:rsidRPr="00CD6D96">
              <w:rPr>
                <w:b/>
                <w:sz w:val="20"/>
                <w:szCs w:val="20"/>
              </w:rPr>
              <w:t>inc.</w:t>
            </w:r>
            <w:proofErr w:type="spellEnd"/>
          </w:p>
          <w:p w:rsidR="00CA774A" w:rsidRPr="00CD6D96" w:rsidRDefault="00CA774A" w:rsidP="00CA774A">
            <w:pPr>
              <w:jc w:val="both"/>
              <w:rPr>
                <w:sz w:val="20"/>
                <w:szCs w:val="20"/>
              </w:rPr>
            </w:pPr>
            <w:r w:rsidRPr="00CD6D96">
              <w:rPr>
                <w:sz w:val="20"/>
                <w:szCs w:val="20"/>
              </w:rPr>
              <w:t>(Que.) (Civil) (By Leave)</w:t>
            </w:r>
          </w:p>
        </w:tc>
      </w:tr>
      <w:tr w:rsidR="00AD1C76" w:rsidRPr="00CD6D96" w:rsidTr="00CA774A">
        <w:tc>
          <w:tcPr>
            <w:tcW w:w="543" w:type="pct"/>
          </w:tcPr>
          <w:p w:rsidR="00AD1C76" w:rsidRPr="00CD6D96" w:rsidRDefault="00AD1C76" w:rsidP="00CA774A">
            <w:pPr>
              <w:jc w:val="both"/>
              <w:rPr>
                <w:rStyle w:val="SCCFileNumberChar"/>
                <w:sz w:val="20"/>
                <w:szCs w:val="20"/>
              </w:rPr>
            </w:pPr>
            <w:r>
              <w:rPr>
                <w:rStyle w:val="SCCFileNumberChar"/>
                <w:sz w:val="20"/>
                <w:szCs w:val="20"/>
              </w:rPr>
              <w:t>Coram:</w:t>
            </w:r>
          </w:p>
        </w:tc>
        <w:tc>
          <w:tcPr>
            <w:tcW w:w="4457" w:type="pct"/>
            <w:gridSpan w:val="3"/>
          </w:tcPr>
          <w:p w:rsidR="00AD1C76" w:rsidRDefault="00083F3E" w:rsidP="00CA774A">
            <w:pPr>
              <w:pStyle w:val="SCCLsocParty"/>
              <w:jc w:val="both"/>
              <w:rPr>
                <w:sz w:val="20"/>
                <w:szCs w:val="20"/>
                <w:lang w:val="en-CA"/>
              </w:rPr>
            </w:pPr>
            <w:proofErr w:type="spellStart"/>
            <w:r w:rsidRPr="00F91A92">
              <w:rPr>
                <w:sz w:val="20"/>
                <w:szCs w:val="20"/>
                <w:lang w:val="en-CA"/>
              </w:rPr>
              <w:t>McLachlin</w:t>
            </w:r>
            <w:proofErr w:type="spellEnd"/>
            <w:r w:rsidRPr="00F91A92">
              <w:rPr>
                <w:sz w:val="20"/>
                <w:szCs w:val="20"/>
                <w:lang w:val="en-CA"/>
              </w:rPr>
              <w:t xml:space="preserve"> C.J. and </w:t>
            </w:r>
            <w:proofErr w:type="spellStart"/>
            <w:r w:rsidRPr="00F91A92">
              <w:rPr>
                <w:sz w:val="20"/>
                <w:szCs w:val="20"/>
                <w:lang w:val="en-CA"/>
              </w:rPr>
              <w:t>Abella</w:t>
            </w:r>
            <w:proofErr w:type="spellEnd"/>
            <w:r w:rsidRPr="00F91A92">
              <w:rPr>
                <w:sz w:val="20"/>
                <w:szCs w:val="20"/>
                <w:lang w:val="en-CA"/>
              </w:rPr>
              <w:t xml:space="preserve">, </w:t>
            </w:r>
            <w:proofErr w:type="spellStart"/>
            <w:r w:rsidRPr="00F91A92">
              <w:rPr>
                <w:sz w:val="20"/>
                <w:szCs w:val="20"/>
                <w:lang w:val="en-CA"/>
              </w:rPr>
              <w:t>Moldaver</w:t>
            </w:r>
            <w:proofErr w:type="spellEnd"/>
            <w:r w:rsidRPr="00F91A92">
              <w:rPr>
                <w:sz w:val="20"/>
                <w:szCs w:val="20"/>
                <w:lang w:val="en-CA"/>
              </w:rPr>
              <w:t xml:space="preserve">, </w:t>
            </w:r>
            <w:proofErr w:type="spellStart"/>
            <w:r w:rsidRPr="00F91A92">
              <w:rPr>
                <w:sz w:val="20"/>
                <w:szCs w:val="20"/>
                <w:lang w:val="en-CA"/>
              </w:rPr>
              <w:t>Karakatsanis</w:t>
            </w:r>
            <w:proofErr w:type="spellEnd"/>
            <w:r w:rsidRPr="00F91A92">
              <w:rPr>
                <w:sz w:val="20"/>
                <w:szCs w:val="20"/>
                <w:lang w:val="en-CA"/>
              </w:rPr>
              <w:t xml:space="preserve">, Wagner, </w:t>
            </w:r>
            <w:proofErr w:type="spellStart"/>
            <w:r w:rsidRPr="00F91A92">
              <w:rPr>
                <w:sz w:val="20"/>
                <w:szCs w:val="20"/>
                <w:lang w:val="en-CA"/>
              </w:rPr>
              <w:t>Gascon</w:t>
            </w:r>
            <w:proofErr w:type="spellEnd"/>
            <w:r w:rsidRPr="00F91A92">
              <w:rPr>
                <w:sz w:val="20"/>
                <w:szCs w:val="20"/>
                <w:lang w:val="en-CA"/>
              </w:rPr>
              <w:t xml:space="preserve">, </w:t>
            </w:r>
            <w:proofErr w:type="spellStart"/>
            <w:r w:rsidRPr="00F91A92">
              <w:rPr>
                <w:sz w:val="20"/>
                <w:szCs w:val="20"/>
                <w:lang w:val="en-CA"/>
              </w:rPr>
              <w:t>Côté</w:t>
            </w:r>
            <w:proofErr w:type="spellEnd"/>
            <w:r w:rsidRPr="00F91A92">
              <w:rPr>
                <w:sz w:val="20"/>
                <w:szCs w:val="20"/>
                <w:lang w:val="en-CA"/>
              </w:rPr>
              <w:t>, Brown and Rowe JJ.</w:t>
            </w:r>
          </w:p>
          <w:p w:rsidR="00083F3E" w:rsidRPr="00083F3E" w:rsidRDefault="00083F3E" w:rsidP="00083F3E">
            <w:pPr>
              <w:rPr>
                <w:lang w:val="en-US"/>
              </w:rPr>
            </w:pPr>
          </w:p>
        </w:tc>
      </w:tr>
      <w:tr w:rsidR="00AD1C76" w:rsidRPr="00CD6D96" w:rsidTr="00AD1C76">
        <w:tc>
          <w:tcPr>
            <w:tcW w:w="5000" w:type="pct"/>
            <w:gridSpan w:val="4"/>
          </w:tcPr>
          <w:p w:rsidR="00AD1C76" w:rsidRDefault="00083F3E" w:rsidP="00CA774A">
            <w:pPr>
              <w:pStyle w:val="SCCLsocParty"/>
              <w:jc w:val="both"/>
              <w:rPr>
                <w:sz w:val="20"/>
                <w:szCs w:val="20"/>
                <w:lang w:val="en-CA"/>
              </w:rPr>
            </w:pPr>
            <w:r w:rsidRPr="00F91A92">
              <w:rPr>
                <w:sz w:val="20"/>
                <w:szCs w:val="20"/>
                <w:lang w:val="en-CA"/>
              </w:rPr>
              <w:t>The application for leave to appeal from the judgment of the Court of Appeal of Quebec (Montréal), Number 500-09-025945-163, 2017 QCCA 951, dated June 13, 2017 is dismissed without costs.</w:t>
            </w:r>
          </w:p>
          <w:p w:rsidR="00083F3E" w:rsidRPr="00083F3E" w:rsidRDefault="00083F3E" w:rsidP="00083F3E">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lastRenderedPageBreak/>
              <w:t>Damages – Punitive damages – Defamation – Damage to reputation – Whether state can sue individual personally for defamation in context of commercial dispute – Maximum delay in civil litigation initiated by state.</w:t>
            </w:r>
          </w:p>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lang w:val="fr-CA"/>
              </w:rPr>
              <w:t xml:space="preserve">Poker </w:t>
            </w:r>
            <w:proofErr w:type="spellStart"/>
            <w:r w:rsidRPr="00CD6D96">
              <w:rPr>
                <w:sz w:val="20"/>
                <w:szCs w:val="20"/>
                <w:lang w:val="fr-CA"/>
              </w:rPr>
              <w:t>Trail</w:t>
            </w:r>
            <w:proofErr w:type="spellEnd"/>
            <w:r w:rsidRPr="00CD6D96">
              <w:rPr>
                <w:sz w:val="20"/>
                <w:szCs w:val="20"/>
                <w:lang w:val="fr-CA"/>
              </w:rPr>
              <w:t xml:space="preserve"> Management, André Boyer and Pierre Martel </w:t>
            </w:r>
            <w:proofErr w:type="spellStart"/>
            <w:r w:rsidRPr="00CD6D96">
              <w:rPr>
                <w:sz w:val="20"/>
                <w:szCs w:val="20"/>
                <w:lang w:val="fr-CA"/>
              </w:rPr>
              <w:t>were</w:t>
            </w:r>
            <w:proofErr w:type="spellEnd"/>
            <w:r w:rsidRPr="00CD6D96">
              <w:rPr>
                <w:sz w:val="20"/>
                <w:szCs w:val="20"/>
                <w:lang w:val="fr-CA"/>
              </w:rPr>
              <w:t xml:space="preserve"> </w:t>
            </w:r>
            <w:proofErr w:type="spellStart"/>
            <w:r w:rsidRPr="00CD6D96">
              <w:rPr>
                <w:sz w:val="20"/>
                <w:szCs w:val="20"/>
                <w:lang w:val="fr-CA"/>
              </w:rPr>
              <w:t>sued</w:t>
            </w:r>
            <w:proofErr w:type="spellEnd"/>
            <w:r w:rsidRPr="00CD6D96">
              <w:rPr>
                <w:sz w:val="20"/>
                <w:szCs w:val="20"/>
                <w:lang w:val="fr-CA"/>
              </w:rPr>
              <w:t xml:space="preserve"> by Loto</w:t>
            </w:r>
            <w:r w:rsidRPr="00CD6D96">
              <w:rPr>
                <w:sz w:val="20"/>
                <w:szCs w:val="20"/>
                <w:lang w:val="fr-CA"/>
              </w:rPr>
              <w:noBreakHyphen/>
              <w:t xml:space="preserve">Québec and Société du jeu virtuel du Québec </w:t>
            </w:r>
            <w:proofErr w:type="spellStart"/>
            <w:r w:rsidRPr="00CD6D96">
              <w:rPr>
                <w:sz w:val="20"/>
                <w:szCs w:val="20"/>
                <w:lang w:val="fr-CA"/>
              </w:rPr>
              <w:t>inc.</w:t>
            </w:r>
            <w:proofErr w:type="spellEnd"/>
            <w:r w:rsidRPr="00CD6D96">
              <w:rPr>
                <w:sz w:val="20"/>
                <w:szCs w:val="20"/>
                <w:lang w:val="fr-CA"/>
              </w:rPr>
              <w:t xml:space="preserve"> </w:t>
            </w:r>
            <w:r w:rsidRPr="00CD6D96">
              <w:rPr>
                <w:sz w:val="20"/>
                <w:szCs w:val="20"/>
              </w:rPr>
              <w:t>(“</w:t>
            </w:r>
            <w:proofErr w:type="spellStart"/>
            <w:r w:rsidRPr="00CD6D96">
              <w:rPr>
                <w:sz w:val="20"/>
                <w:szCs w:val="20"/>
              </w:rPr>
              <w:t>Société</w:t>
            </w:r>
            <w:proofErr w:type="spellEnd"/>
            <w:r w:rsidRPr="00CD6D96">
              <w:rPr>
                <w:sz w:val="20"/>
                <w:szCs w:val="20"/>
              </w:rPr>
              <w:t xml:space="preserve">”) for damages for defamation. Poker Trail, Mr. Boyer and Mr. Martel applied for the dismissal of the action on the basis that it was abusive. They also sought punitive damages against </w:t>
            </w:r>
            <w:proofErr w:type="spellStart"/>
            <w:r w:rsidRPr="00CD6D96">
              <w:rPr>
                <w:sz w:val="20"/>
                <w:szCs w:val="20"/>
              </w:rPr>
              <w:t>Loto</w:t>
            </w:r>
            <w:proofErr w:type="spellEnd"/>
            <w:r w:rsidRPr="00CD6D96">
              <w:rPr>
                <w:sz w:val="20"/>
                <w:szCs w:val="20"/>
              </w:rPr>
              <w:noBreakHyphen/>
              <w:t>Québec and its officers and directors.</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The Superior Court allowed the action in defamation. It dismissed the motions brought against </w:t>
            </w:r>
            <w:proofErr w:type="spellStart"/>
            <w:r w:rsidRPr="00CD6D96">
              <w:rPr>
                <w:sz w:val="20"/>
                <w:szCs w:val="20"/>
              </w:rPr>
              <w:t>Loto</w:t>
            </w:r>
            <w:proofErr w:type="spellEnd"/>
            <w:r w:rsidRPr="00CD6D96">
              <w:rPr>
                <w:sz w:val="20"/>
                <w:szCs w:val="20"/>
              </w:rPr>
              <w:noBreakHyphen/>
              <w:t>Québec for abuse of procedure and for damages and declared the latter motion abusive. The Court of Appeal found that Poker Trail, Mr. Boyer and Mr. Martel had not shown any reviewable error warranting its intervention.</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February 8, 2016</w:t>
            </w:r>
          </w:p>
          <w:p w:rsidR="00CA774A" w:rsidRPr="00CD6D96" w:rsidRDefault="00CA774A" w:rsidP="00CA774A">
            <w:pPr>
              <w:jc w:val="both"/>
              <w:rPr>
                <w:sz w:val="20"/>
                <w:szCs w:val="20"/>
              </w:rPr>
            </w:pPr>
            <w:r w:rsidRPr="00CD6D96">
              <w:rPr>
                <w:sz w:val="20"/>
                <w:szCs w:val="20"/>
              </w:rPr>
              <w:t>Quebec Superior Court</w:t>
            </w:r>
          </w:p>
          <w:p w:rsidR="00CA774A" w:rsidRPr="00CD6D96" w:rsidRDefault="00CA774A" w:rsidP="00CA774A">
            <w:pPr>
              <w:jc w:val="both"/>
              <w:rPr>
                <w:sz w:val="20"/>
                <w:szCs w:val="20"/>
              </w:rPr>
            </w:pPr>
            <w:r w:rsidRPr="00CD6D96">
              <w:rPr>
                <w:sz w:val="20"/>
                <w:szCs w:val="20"/>
              </w:rPr>
              <w:t>(Bisson J.)</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Action in defamation allowed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13, 2017</w:t>
            </w:r>
          </w:p>
          <w:p w:rsidR="00CA774A" w:rsidRPr="00CD6D96" w:rsidRDefault="00CA774A" w:rsidP="00CA774A">
            <w:pPr>
              <w:jc w:val="both"/>
              <w:rPr>
                <w:sz w:val="20"/>
                <w:szCs w:val="20"/>
              </w:rPr>
            </w:pPr>
            <w:r w:rsidRPr="00CD6D96">
              <w:rPr>
                <w:sz w:val="20"/>
                <w:szCs w:val="20"/>
              </w:rPr>
              <w:t>Quebec Court of Appeal (Montréal)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Kasirer</w:t>
            </w:r>
            <w:proofErr w:type="spellEnd"/>
            <w:r w:rsidRPr="00CD6D96">
              <w:rPr>
                <w:sz w:val="20"/>
                <w:szCs w:val="20"/>
              </w:rPr>
              <w:t xml:space="preserve">, </w:t>
            </w:r>
            <w:proofErr w:type="spellStart"/>
            <w:r w:rsidRPr="00CD6D96">
              <w:rPr>
                <w:sz w:val="20"/>
                <w:szCs w:val="20"/>
              </w:rPr>
              <w:t>Vauclair</w:t>
            </w:r>
            <w:proofErr w:type="spellEnd"/>
            <w:r w:rsidRPr="00CD6D96">
              <w:rPr>
                <w:sz w:val="20"/>
                <w:szCs w:val="20"/>
              </w:rPr>
              <w:t xml:space="preserve"> and </w:t>
            </w:r>
            <w:proofErr w:type="spellStart"/>
            <w:r w:rsidRPr="00CD6D96">
              <w:rPr>
                <w:sz w:val="20"/>
                <w:szCs w:val="20"/>
              </w:rPr>
              <w:t>Marcotte</w:t>
            </w:r>
            <w:proofErr w:type="spellEnd"/>
            <w:r w:rsidRPr="00CD6D96">
              <w:rPr>
                <w:sz w:val="20"/>
                <w:szCs w:val="20"/>
              </w:rPr>
              <w:t xml:space="preserve"> JJ.A.)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 allowed in part</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September 12,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58"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74A" w:rsidRPr="00CD6D96" w:rsidTr="00CA774A">
        <w:tc>
          <w:tcPr>
            <w:tcW w:w="543" w:type="pct"/>
          </w:tcPr>
          <w:p w:rsidR="00CA774A" w:rsidRPr="00CD6D96" w:rsidRDefault="00CA774A" w:rsidP="00CA774A">
            <w:pPr>
              <w:jc w:val="both"/>
              <w:rPr>
                <w:sz w:val="20"/>
                <w:szCs w:val="20"/>
              </w:rPr>
            </w:pPr>
            <w:r w:rsidRPr="00B670E4">
              <w:rPr>
                <w:rStyle w:val="SCCFileNumberChar"/>
                <w:sz w:val="20"/>
                <w:szCs w:val="20"/>
              </w:rPr>
              <w:t>37758</w:t>
            </w:r>
          </w:p>
        </w:tc>
        <w:tc>
          <w:tcPr>
            <w:tcW w:w="4457" w:type="pct"/>
          </w:tcPr>
          <w:p w:rsidR="00CA774A" w:rsidRPr="00CD6D96" w:rsidRDefault="00CA774A" w:rsidP="00CA774A">
            <w:pPr>
              <w:pStyle w:val="SCCLsocParty"/>
              <w:jc w:val="both"/>
              <w:rPr>
                <w:b/>
                <w:sz w:val="20"/>
                <w:szCs w:val="20"/>
              </w:rPr>
            </w:pPr>
            <w:r w:rsidRPr="00CD6D96">
              <w:rPr>
                <w:b/>
                <w:sz w:val="20"/>
                <w:szCs w:val="20"/>
              </w:rPr>
              <w:t>Pierre Martel c. Loto-Québec</w:t>
            </w:r>
            <w:r w:rsidR="006A2954">
              <w:rPr>
                <w:b/>
                <w:sz w:val="20"/>
                <w:szCs w:val="20"/>
              </w:rPr>
              <w:t xml:space="preserve"> et</w:t>
            </w:r>
            <w:r w:rsidRPr="00CD6D96">
              <w:rPr>
                <w:b/>
                <w:sz w:val="20"/>
                <w:szCs w:val="20"/>
              </w:rPr>
              <w:t xml:space="preserve"> Société du jeu virtuel du Québec Inc.</w:t>
            </w:r>
          </w:p>
          <w:p w:rsidR="00CA774A" w:rsidRPr="00CD6D96" w:rsidRDefault="00CA774A" w:rsidP="00CA774A">
            <w:pPr>
              <w:jc w:val="both"/>
              <w:rPr>
                <w:sz w:val="20"/>
                <w:szCs w:val="20"/>
              </w:rPr>
            </w:pPr>
            <w:r w:rsidRPr="00CD6D96">
              <w:rPr>
                <w:sz w:val="20"/>
                <w:szCs w:val="20"/>
              </w:rPr>
              <w:t>(Qc) (</w:t>
            </w:r>
            <w:proofErr w:type="spellStart"/>
            <w:r w:rsidRPr="00CD6D96">
              <w:rPr>
                <w:sz w:val="20"/>
                <w:szCs w:val="20"/>
              </w:rPr>
              <w:t>Civile</w:t>
            </w:r>
            <w:proofErr w:type="spellEnd"/>
            <w:r w:rsidRPr="00CD6D96">
              <w:rPr>
                <w:sz w:val="20"/>
                <w:szCs w:val="20"/>
              </w:rPr>
              <w:t>) (</w:t>
            </w:r>
            <w:proofErr w:type="spellStart"/>
            <w:r w:rsidRPr="00CD6D96">
              <w:rPr>
                <w:sz w:val="20"/>
                <w:szCs w:val="20"/>
              </w:rPr>
              <w:t>Autorisation</w:t>
            </w:r>
            <w:proofErr w:type="spellEnd"/>
            <w:r w:rsidRPr="00CD6D96">
              <w:rPr>
                <w:sz w:val="20"/>
                <w:szCs w:val="20"/>
              </w:rPr>
              <w:t>)</w:t>
            </w:r>
          </w:p>
        </w:tc>
      </w:tr>
      <w:tr w:rsidR="00AD1C76" w:rsidRPr="00F964D5" w:rsidTr="00CA774A">
        <w:tc>
          <w:tcPr>
            <w:tcW w:w="543" w:type="pct"/>
          </w:tcPr>
          <w:p w:rsidR="00AD1C76" w:rsidRPr="00CD6D96" w:rsidRDefault="00AD1C76" w:rsidP="00CA774A">
            <w:pPr>
              <w:jc w:val="both"/>
              <w:rPr>
                <w:rStyle w:val="SCCFileNumberChar"/>
                <w:sz w:val="20"/>
                <w:szCs w:val="20"/>
              </w:rPr>
            </w:pPr>
            <w:r>
              <w:rPr>
                <w:rStyle w:val="SCCFileNumberChar"/>
                <w:sz w:val="20"/>
                <w:szCs w:val="20"/>
              </w:rPr>
              <w:t>Coram:</w:t>
            </w:r>
          </w:p>
        </w:tc>
        <w:tc>
          <w:tcPr>
            <w:tcW w:w="4457" w:type="pct"/>
          </w:tcPr>
          <w:p w:rsidR="00AD1C76" w:rsidRDefault="00083F3E" w:rsidP="00CA774A">
            <w:pPr>
              <w:pStyle w:val="SCCLsocParty"/>
              <w:jc w:val="both"/>
              <w:rPr>
                <w:sz w:val="20"/>
                <w:szCs w:val="20"/>
              </w:rPr>
            </w:pPr>
            <w:r w:rsidRPr="00F91A92">
              <w:rPr>
                <w:sz w:val="20"/>
                <w:szCs w:val="20"/>
              </w:rPr>
              <w:t xml:space="preserve">La juge en chef </w:t>
            </w:r>
            <w:proofErr w:type="spellStart"/>
            <w:r w:rsidRPr="00F91A92">
              <w:rPr>
                <w:sz w:val="20"/>
                <w:szCs w:val="20"/>
              </w:rPr>
              <w:t>McLachlin</w:t>
            </w:r>
            <w:proofErr w:type="spellEnd"/>
            <w:r w:rsidRPr="00F91A92">
              <w:rPr>
                <w:sz w:val="20"/>
                <w:szCs w:val="20"/>
              </w:rPr>
              <w:t xml:space="preserve"> et les juges Abella, </w:t>
            </w:r>
            <w:proofErr w:type="spellStart"/>
            <w:r w:rsidRPr="00F91A92">
              <w:rPr>
                <w:sz w:val="20"/>
                <w:szCs w:val="20"/>
              </w:rPr>
              <w:t>Moldaver</w:t>
            </w:r>
            <w:proofErr w:type="spellEnd"/>
            <w:r w:rsidRPr="00F91A92">
              <w:rPr>
                <w:sz w:val="20"/>
                <w:szCs w:val="20"/>
              </w:rPr>
              <w:t xml:space="preserve">, </w:t>
            </w:r>
            <w:proofErr w:type="spellStart"/>
            <w:r w:rsidRPr="00F91A92">
              <w:rPr>
                <w:sz w:val="20"/>
                <w:szCs w:val="20"/>
              </w:rPr>
              <w:t>Karakatsanis</w:t>
            </w:r>
            <w:proofErr w:type="spellEnd"/>
            <w:r w:rsidRPr="00F91A92">
              <w:rPr>
                <w:sz w:val="20"/>
                <w:szCs w:val="20"/>
              </w:rPr>
              <w:t>, Wagner, Gascon, Côté, Brown et Rowe</w:t>
            </w:r>
          </w:p>
          <w:p w:rsidR="00083F3E" w:rsidRPr="00083F3E" w:rsidRDefault="00083F3E" w:rsidP="00083F3E">
            <w:pPr>
              <w:rPr>
                <w:lang w:val="fr-CA"/>
              </w:rPr>
            </w:pPr>
          </w:p>
        </w:tc>
      </w:tr>
      <w:tr w:rsidR="00AD1C76" w:rsidRPr="00F964D5" w:rsidTr="00AD1C76">
        <w:tc>
          <w:tcPr>
            <w:tcW w:w="5000" w:type="pct"/>
            <w:gridSpan w:val="2"/>
          </w:tcPr>
          <w:p w:rsidR="00AD1C76" w:rsidRDefault="00083F3E" w:rsidP="00CA774A">
            <w:pPr>
              <w:pStyle w:val="SCCLsocParty"/>
              <w:jc w:val="both"/>
              <w:rPr>
                <w:sz w:val="20"/>
                <w:szCs w:val="20"/>
              </w:rPr>
            </w:pPr>
            <w:r w:rsidRPr="00F91A92">
              <w:rPr>
                <w:sz w:val="20"/>
                <w:szCs w:val="20"/>
              </w:rPr>
              <w:t>La demande d’autorisation d’appel de l’arrêt de la Cour d’appel du Québec (Montréal), numéro 500-09-025945-163, 2017 QCCA 951, daté du 13 juin 2017, est rejeté sans dépens.</w:t>
            </w:r>
          </w:p>
          <w:p w:rsidR="00083F3E" w:rsidRPr="00083F3E" w:rsidRDefault="00083F3E" w:rsidP="00083F3E">
            <w:pPr>
              <w:rPr>
                <w:lang w:val="fr-CA"/>
              </w:rPr>
            </w:pPr>
          </w:p>
        </w:tc>
      </w:tr>
      <w:tr w:rsidR="00CA774A" w:rsidRPr="00F964D5" w:rsidTr="00CA774A">
        <w:tc>
          <w:tcPr>
            <w:tcW w:w="5000" w:type="pct"/>
            <w:gridSpan w:val="2"/>
          </w:tcPr>
          <w:p w:rsidR="00CA774A" w:rsidRPr="00CD6D96" w:rsidRDefault="00CA774A" w:rsidP="00CA774A">
            <w:pPr>
              <w:jc w:val="both"/>
              <w:rPr>
                <w:sz w:val="20"/>
                <w:szCs w:val="20"/>
                <w:lang w:val="fr-CA"/>
              </w:rPr>
            </w:pPr>
            <w:r w:rsidRPr="00CD6D96">
              <w:rPr>
                <w:sz w:val="20"/>
                <w:szCs w:val="20"/>
                <w:lang w:val="fr-CA"/>
              </w:rPr>
              <w:t>Dommages-intérêts – Dommages-intérêts punitifs – Diffamation – Atteinte à la réputation – L’État peut-il poursuivre un citoyen personnellement pour diffamation lors d’un litige commercial? – Quels sont les délais maximum d’un procès au civil que l’État a initié?</w:t>
            </w:r>
          </w:p>
          <w:p w:rsidR="00CA774A" w:rsidRPr="00CD6D96" w:rsidRDefault="00CA774A" w:rsidP="00CA774A">
            <w:pPr>
              <w:jc w:val="both"/>
              <w:rPr>
                <w:sz w:val="20"/>
                <w:szCs w:val="20"/>
                <w:lang w:val="fr-CA"/>
              </w:rPr>
            </w:pPr>
          </w:p>
        </w:tc>
      </w:tr>
      <w:tr w:rsidR="00CA774A" w:rsidRPr="00F964D5" w:rsidTr="00CA774A">
        <w:tc>
          <w:tcPr>
            <w:tcW w:w="5000" w:type="pct"/>
            <w:gridSpan w:val="2"/>
          </w:tcPr>
          <w:p w:rsidR="00CA774A" w:rsidRPr="00CD6D96" w:rsidRDefault="00CA774A" w:rsidP="00CA774A">
            <w:pPr>
              <w:jc w:val="both"/>
              <w:rPr>
                <w:sz w:val="20"/>
                <w:szCs w:val="20"/>
                <w:lang w:val="fr-CA"/>
              </w:rPr>
            </w:pPr>
            <w:r w:rsidRPr="00CD6D96">
              <w:rPr>
                <w:sz w:val="20"/>
                <w:szCs w:val="20"/>
                <w:lang w:val="fr-CA"/>
              </w:rPr>
              <w:t xml:space="preserve">Poker </w:t>
            </w:r>
            <w:proofErr w:type="spellStart"/>
            <w:r w:rsidRPr="00CD6D96">
              <w:rPr>
                <w:sz w:val="20"/>
                <w:szCs w:val="20"/>
                <w:lang w:val="fr-CA"/>
              </w:rPr>
              <w:t>Trail</w:t>
            </w:r>
            <w:proofErr w:type="spellEnd"/>
            <w:r w:rsidRPr="00CD6D96">
              <w:rPr>
                <w:sz w:val="20"/>
                <w:szCs w:val="20"/>
                <w:lang w:val="fr-CA"/>
              </w:rPr>
              <w:t xml:space="preserve"> Management, André Boyer et Pierre Martel sont poursuivis par Loto-Québec et Société du jeu virtuel du Québec </w:t>
            </w:r>
            <w:proofErr w:type="spellStart"/>
            <w:r w:rsidRPr="00CD6D96">
              <w:rPr>
                <w:sz w:val="20"/>
                <w:szCs w:val="20"/>
                <w:lang w:val="fr-CA"/>
              </w:rPr>
              <w:t>inc.</w:t>
            </w:r>
            <w:proofErr w:type="spellEnd"/>
            <w:r w:rsidRPr="00CD6D96">
              <w:rPr>
                <w:sz w:val="20"/>
                <w:szCs w:val="20"/>
                <w:lang w:val="fr-CA"/>
              </w:rPr>
              <w:t xml:space="preserve"> (« La Société ») en dommages pour diffamation. Poker </w:t>
            </w:r>
            <w:proofErr w:type="spellStart"/>
            <w:r w:rsidRPr="00CD6D96">
              <w:rPr>
                <w:sz w:val="20"/>
                <w:szCs w:val="20"/>
                <w:lang w:val="fr-CA"/>
              </w:rPr>
              <w:t>Trail</w:t>
            </w:r>
            <w:proofErr w:type="spellEnd"/>
            <w:r w:rsidRPr="00CD6D96">
              <w:rPr>
                <w:sz w:val="20"/>
                <w:szCs w:val="20"/>
                <w:lang w:val="fr-CA"/>
              </w:rPr>
              <w:t>, M. Boyer et M. Martel demandent que la poursuite soit rejetée parce qu’elle est abusive. Ils demandent aussi de condamner Loto-Québec, ses dirigeants et administrateurs, à leur payer des dommages-intérêts à titre de dommages punitifs.</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La Cour supérieure a accueilli le recours en diffamation. Quant aux requêtes dirigées contre Loto-Québec, l’une en abus de procédure et l’autre en dommages-intérêts, la Cour supérieure les a rejetées et a déclaré la dernière abusive. La Cour d’appel a jugé que Poker </w:t>
            </w:r>
            <w:proofErr w:type="spellStart"/>
            <w:r w:rsidRPr="00CD6D96">
              <w:rPr>
                <w:sz w:val="20"/>
                <w:szCs w:val="20"/>
                <w:lang w:val="fr-CA"/>
              </w:rPr>
              <w:t>Trail</w:t>
            </w:r>
            <w:proofErr w:type="spellEnd"/>
            <w:r w:rsidRPr="00CD6D96">
              <w:rPr>
                <w:sz w:val="20"/>
                <w:szCs w:val="20"/>
                <w:lang w:val="fr-CA"/>
              </w:rPr>
              <w:t>, M. Boyer et M. Martel n’avait démontré aucune erreur révisable justifiant son intervention.</w:t>
            </w:r>
          </w:p>
        </w:tc>
      </w:tr>
      <w:tr w:rsidR="00CA774A" w:rsidRPr="00F964D5" w:rsidTr="00CA774A">
        <w:tc>
          <w:tcPr>
            <w:tcW w:w="5000" w:type="pct"/>
            <w:gridSpan w:val="2"/>
          </w:tcPr>
          <w:p w:rsidR="00CA774A" w:rsidRPr="00CD6D96" w:rsidRDefault="00CA774A" w:rsidP="00CA774A">
            <w:pPr>
              <w:jc w:val="both"/>
              <w:rPr>
                <w:sz w:val="20"/>
                <w:szCs w:val="20"/>
                <w:lang w:val="fr-CA"/>
              </w:rPr>
            </w:pPr>
          </w:p>
        </w:tc>
      </w:tr>
    </w:tbl>
    <w:p w:rsidR="00083F3E" w:rsidRPr="004A61F1" w:rsidRDefault="00083F3E">
      <w:pPr>
        <w:rPr>
          <w:lang w:val="fr-CA"/>
        </w:rPr>
      </w:pPr>
      <w:r w:rsidRPr="004A61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74A" w:rsidRPr="00CD6D96" w:rsidTr="00CA774A">
        <w:tc>
          <w:tcPr>
            <w:tcW w:w="2427" w:type="pct"/>
          </w:tcPr>
          <w:p w:rsidR="00CA774A" w:rsidRPr="00CD6D96" w:rsidRDefault="00CA774A" w:rsidP="00CA774A">
            <w:pPr>
              <w:jc w:val="both"/>
              <w:rPr>
                <w:sz w:val="20"/>
                <w:szCs w:val="20"/>
                <w:lang w:val="fr-CA"/>
              </w:rPr>
            </w:pPr>
            <w:r w:rsidRPr="00CD6D96">
              <w:rPr>
                <w:sz w:val="20"/>
                <w:szCs w:val="20"/>
                <w:lang w:val="fr-CA"/>
              </w:rPr>
              <w:lastRenderedPageBreak/>
              <w:t>Le 8 février 2016</w:t>
            </w:r>
          </w:p>
          <w:p w:rsidR="00CA774A" w:rsidRPr="00CD6D96" w:rsidRDefault="00CA774A" w:rsidP="00CA774A">
            <w:pPr>
              <w:jc w:val="both"/>
              <w:rPr>
                <w:sz w:val="20"/>
                <w:szCs w:val="20"/>
                <w:lang w:val="fr-CA"/>
              </w:rPr>
            </w:pPr>
            <w:r w:rsidRPr="00CD6D96">
              <w:rPr>
                <w:sz w:val="20"/>
                <w:szCs w:val="20"/>
                <w:lang w:val="fr-CA"/>
              </w:rPr>
              <w:t>Cour supérieure du Québec</w:t>
            </w:r>
          </w:p>
          <w:p w:rsidR="00CA774A" w:rsidRPr="00CD6D96" w:rsidRDefault="00CA774A" w:rsidP="00CA774A">
            <w:pPr>
              <w:jc w:val="both"/>
              <w:rPr>
                <w:sz w:val="20"/>
                <w:szCs w:val="20"/>
              </w:rPr>
            </w:pPr>
            <w:r w:rsidRPr="00CD6D96">
              <w:rPr>
                <w:sz w:val="20"/>
                <w:szCs w:val="20"/>
              </w:rPr>
              <w:t xml:space="preserve">(Le </w:t>
            </w:r>
            <w:proofErr w:type="spellStart"/>
            <w:r w:rsidRPr="00CD6D96">
              <w:rPr>
                <w:sz w:val="20"/>
                <w:szCs w:val="20"/>
              </w:rPr>
              <w:t>juge</w:t>
            </w:r>
            <w:proofErr w:type="spellEnd"/>
            <w:r w:rsidRPr="00CD6D96">
              <w:rPr>
                <w:sz w:val="20"/>
                <w:szCs w:val="20"/>
              </w:rPr>
              <w:t xml:space="preserve"> Bisson)</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proofErr w:type="spellStart"/>
            <w:r w:rsidRPr="00CD6D96">
              <w:rPr>
                <w:sz w:val="20"/>
                <w:szCs w:val="20"/>
              </w:rPr>
              <w:t>Recours</w:t>
            </w:r>
            <w:proofErr w:type="spellEnd"/>
            <w:r w:rsidRPr="00CD6D96">
              <w:rPr>
                <w:sz w:val="20"/>
                <w:szCs w:val="20"/>
              </w:rPr>
              <w:t xml:space="preserve"> </w:t>
            </w:r>
            <w:proofErr w:type="spellStart"/>
            <w:r w:rsidRPr="00CD6D96">
              <w:rPr>
                <w:sz w:val="20"/>
                <w:szCs w:val="20"/>
              </w:rPr>
              <w:t>en</w:t>
            </w:r>
            <w:proofErr w:type="spellEnd"/>
            <w:r w:rsidRPr="00CD6D96">
              <w:rPr>
                <w:sz w:val="20"/>
                <w:szCs w:val="20"/>
              </w:rPr>
              <w:t xml:space="preserve"> </w:t>
            </w:r>
            <w:proofErr w:type="spellStart"/>
            <w:r w:rsidRPr="00CD6D96">
              <w:rPr>
                <w:sz w:val="20"/>
                <w:szCs w:val="20"/>
              </w:rPr>
              <w:t>diffamation</w:t>
            </w:r>
            <w:proofErr w:type="spellEnd"/>
            <w:r w:rsidRPr="00CD6D96">
              <w:rPr>
                <w:sz w:val="20"/>
                <w:szCs w:val="20"/>
              </w:rPr>
              <w:t xml:space="preserve"> </w:t>
            </w:r>
            <w:proofErr w:type="spellStart"/>
            <w:r w:rsidRPr="00CD6D96">
              <w:rPr>
                <w:sz w:val="20"/>
                <w:szCs w:val="20"/>
              </w:rPr>
              <w:t>accueilli</w:t>
            </w:r>
            <w:proofErr w:type="spellEnd"/>
          </w:p>
          <w:p w:rsidR="00CA774A" w:rsidRPr="00CD6D96" w:rsidRDefault="00CA774A" w:rsidP="00CA774A">
            <w:pPr>
              <w:jc w:val="both"/>
              <w:rPr>
                <w:sz w:val="20"/>
                <w:szCs w:val="20"/>
              </w:rPr>
            </w:pPr>
          </w:p>
        </w:tc>
      </w:tr>
      <w:tr w:rsidR="00CA774A" w:rsidRPr="00CD6D96" w:rsidTr="00CA774A">
        <w:tc>
          <w:tcPr>
            <w:tcW w:w="2427" w:type="pct"/>
          </w:tcPr>
          <w:p w:rsidR="00CA774A" w:rsidRPr="00CD6D96" w:rsidRDefault="00CA774A" w:rsidP="00CA774A">
            <w:pPr>
              <w:jc w:val="both"/>
              <w:rPr>
                <w:sz w:val="20"/>
                <w:szCs w:val="20"/>
                <w:lang w:val="fr-CA"/>
              </w:rPr>
            </w:pPr>
            <w:r w:rsidRPr="00CD6D96">
              <w:rPr>
                <w:sz w:val="20"/>
                <w:szCs w:val="20"/>
                <w:lang w:val="fr-CA"/>
              </w:rPr>
              <w:t>Le 13 juin 2017</w:t>
            </w:r>
          </w:p>
          <w:p w:rsidR="00CA774A" w:rsidRPr="00CD6D96" w:rsidRDefault="00CA774A" w:rsidP="00CA774A">
            <w:pPr>
              <w:jc w:val="both"/>
              <w:rPr>
                <w:sz w:val="20"/>
                <w:szCs w:val="20"/>
                <w:lang w:val="fr-CA"/>
              </w:rPr>
            </w:pPr>
            <w:r w:rsidRPr="00CD6D96">
              <w:rPr>
                <w:sz w:val="20"/>
                <w:szCs w:val="20"/>
                <w:lang w:val="fr-CA"/>
              </w:rPr>
              <w:t>Cour d’appel du Québec (Montréal)</w:t>
            </w:r>
          </w:p>
          <w:p w:rsidR="00CA774A" w:rsidRPr="00CD6D96" w:rsidRDefault="00CA774A" w:rsidP="00CA774A">
            <w:pPr>
              <w:jc w:val="both"/>
              <w:rPr>
                <w:sz w:val="20"/>
                <w:szCs w:val="20"/>
                <w:lang w:val="fr-CA"/>
              </w:rPr>
            </w:pPr>
            <w:r w:rsidRPr="00CD6D96">
              <w:rPr>
                <w:sz w:val="20"/>
                <w:szCs w:val="20"/>
                <w:lang w:val="fr-CA"/>
              </w:rPr>
              <w:t xml:space="preserve">(Les juges </w:t>
            </w:r>
            <w:proofErr w:type="spellStart"/>
            <w:r w:rsidRPr="00CD6D96">
              <w:rPr>
                <w:sz w:val="20"/>
                <w:szCs w:val="20"/>
                <w:lang w:val="fr-CA"/>
              </w:rPr>
              <w:t>Kasirer</w:t>
            </w:r>
            <w:proofErr w:type="spellEnd"/>
            <w:r w:rsidRPr="00CD6D96">
              <w:rPr>
                <w:sz w:val="20"/>
                <w:szCs w:val="20"/>
                <w:lang w:val="fr-CA"/>
              </w:rPr>
              <w:t xml:space="preserve">, </w:t>
            </w:r>
            <w:proofErr w:type="spellStart"/>
            <w:r w:rsidRPr="00CD6D96">
              <w:rPr>
                <w:sz w:val="20"/>
                <w:szCs w:val="20"/>
                <w:lang w:val="fr-CA"/>
              </w:rPr>
              <w:t>Vauclair</w:t>
            </w:r>
            <w:proofErr w:type="spellEnd"/>
            <w:r w:rsidRPr="00CD6D96">
              <w:rPr>
                <w:sz w:val="20"/>
                <w:szCs w:val="20"/>
                <w:lang w:val="fr-CA"/>
              </w:rPr>
              <w:t xml:space="preserve"> et Marcotte)</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rPr>
            </w:pPr>
            <w:r w:rsidRPr="00CD6D96">
              <w:rPr>
                <w:sz w:val="20"/>
                <w:szCs w:val="20"/>
              </w:rPr>
              <w:t xml:space="preserve">Appel </w:t>
            </w:r>
            <w:proofErr w:type="spellStart"/>
            <w:r w:rsidRPr="00CD6D96">
              <w:rPr>
                <w:sz w:val="20"/>
                <w:szCs w:val="20"/>
              </w:rPr>
              <w:t>accueilli</w:t>
            </w:r>
            <w:proofErr w:type="spellEnd"/>
            <w:r w:rsidRPr="00CD6D96">
              <w:rPr>
                <w:sz w:val="20"/>
                <w:szCs w:val="20"/>
              </w:rPr>
              <w:t xml:space="preserve"> </w:t>
            </w:r>
            <w:proofErr w:type="spellStart"/>
            <w:r w:rsidRPr="00CD6D96">
              <w:rPr>
                <w:sz w:val="20"/>
                <w:szCs w:val="20"/>
              </w:rPr>
              <w:t>en</w:t>
            </w:r>
            <w:proofErr w:type="spellEnd"/>
            <w:r w:rsidRPr="00CD6D96">
              <w:rPr>
                <w:sz w:val="20"/>
                <w:szCs w:val="20"/>
              </w:rPr>
              <w:t xml:space="preserve"> </w:t>
            </w:r>
            <w:proofErr w:type="spellStart"/>
            <w:r w:rsidRPr="00CD6D96">
              <w:rPr>
                <w:sz w:val="20"/>
                <w:szCs w:val="20"/>
              </w:rPr>
              <w:t>partie</w:t>
            </w:r>
            <w:proofErr w:type="spellEnd"/>
          </w:p>
          <w:p w:rsidR="00CA774A" w:rsidRPr="00CD6D96" w:rsidRDefault="00CA774A" w:rsidP="00CA774A">
            <w:pPr>
              <w:jc w:val="both"/>
              <w:rPr>
                <w:sz w:val="20"/>
                <w:szCs w:val="20"/>
              </w:rPr>
            </w:pPr>
          </w:p>
        </w:tc>
      </w:tr>
      <w:tr w:rsidR="00CA774A" w:rsidRPr="00CD6D96" w:rsidTr="00CA774A">
        <w:tc>
          <w:tcPr>
            <w:tcW w:w="2427" w:type="pct"/>
          </w:tcPr>
          <w:p w:rsidR="00CA774A" w:rsidRPr="00CD6D96" w:rsidRDefault="00CA774A" w:rsidP="00CA774A">
            <w:pPr>
              <w:jc w:val="both"/>
              <w:rPr>
                <w:sz w:val="20"/>
                <w:szCs w:val="20"/>
                <w:lang w:val="fr-CA"/>
              </w:rPr>
            </w:pPr>
            <w:r w:rsidRPr="00CD6D96">
              <w:rPr>
                <w:sz w:val="20"/>
                <w:szCs w:val="20"/>
                <w:lang w:val="fr-CA"/>
              </w:rPr>
              <w:t>Le 12 septembre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59"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37676</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Thomas Reeves v. Her Majesty the Queen</w:t>
            </w:r>
          </w:p>
          <w:p w:rsidR="00CA774A" w:rsidRPr="00CD6D96" w:rsidRDefault="00CA774A" w:rsidP="00CA774A">
            <w:pPr>
              <w:jc w:val="both"/>
              <w:rPr>
                <w:sz w:val="20"/>
                <w:szCs w:val="20"/>
              </w:rPr>
            </w:pPr>
            <w:r w:rsidRPr="00CD6D96">
              <w:rPr>
                <w:sz w:val="20"/>
                <w:szCs w:val="20"/>
              </w:rPr>
              <w:t>(Ont.) (Criminal) (By Leave)</w:t>
            </w:r>
          </w:p>
        </w:tc>
      </w:tr>
      <w:tr w:rsidR="00AD1C76" w:rsidRPr="00CD6D96" w:rsidTr="00CA774A">
        <w:tc>
          <w:tcPr>
            <w:tcW w:w="543" w:type="pct"/>
          </w:tcPr>
          <w:p w:rsidR="00AD1C76" w:rsidRPr="00CD6D96" w:rsidRDefault="00AD1C76" w:rsidP="00CA774A">
            <w:pPr>
              <w:jc w:val="both"/>
              <w:rPr>
                <w:rStyle w:val="SCCFileNumberChar"/>
                <w:sz w:val="20"/>
                <w:szCs w:val="20"/>
              </w:rPr>
            </w:pPr>
            <w:r>
              <w:rPr>
                <w:rStyle w:val="SCCFileNumberChar"/>
                <w:sz w:val="20"/>
                <w:szCs w:val="20"/>
              </w:rPr>
              <w:t>Coram:</w:t>
            </w:r>
          </w:p>
        </w:tc>
        <w:tc>
          <w:tcPr>
            <w:tcW w:w="4457" w:type="pct"/>
            <w:gridSpan w:val="3"/>
          </w:tcPr>
          <w:p w:rsidR="00AD1C76"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AD1C76" w:rsidRPr="00CD6D96" w:rsidTr="00AD1C76">
        <w:tc>
          <w:tcPr>
            <w:tcW w:w="5000" w:type="pct"/>
            <w:gridSpan w:val="4"/>
          </w:tcPr>
          <w:p w:rsidR="00AD1C76" w:rsidRDefault="00AD1C76" w:rsidP="00CA774A">
            <w:pPr>
              <w:pStyle w:val="SCCLsocParty"/>
              <w:jc w:val="both"/>
              <w:rPr>
                <w:sz w:val="20"/>
                <w:szCs w:val="20"/>
                <w:lang w:val="en-US"/>
              </w:rPr>
            </w:pPr>
            <w:r w:rsidRPr="00AD1C76">
              <w:rPr>
                <w:sz w:val="20"/>
                <w:szCs w:val="20"/>
                <w:lang w:val="en-US"/>
              </w:rPr>
              <w:t>The application for leave to appeal from the judgment of the Court of Appeal for Ontario, Number C61510, 2017 ONCA 365, dated May 5, 2017, is granted.</w:t>
            </w:r>
          </w:p>
          <w:p w:rsidR="00AD1C76" w:rsidRPr="00AD1C76" w:rsidRDefault="00AD1C76" w:rsidP="00AD1C76">
            <w:pPr>
              <w:rPr>
                <w:lang w:val="en-US"/>
              </w:rPr>
            </w:pPr>
          </w:p>
        </w:tc>
      </w:tr>
      <w:tr w:rsidR="00CA774A" w:rsidRPr="00CD6D96" w:rsidTr="00CA774A">
        <w:tc>
          <w:tcPr>
            <w:tcW w:w="5000" w:type="pct"/>
            <w:gridSpan w:val="4"/>
          </w:tcPr>
          <w:p w:rsidR="00CA774A" w:rsidRPr="00CD6D96" w:rsidRDefault="00CA774A" w:rsidP="00CA774A">
            <w:pPr>
              <w:pStyle w:val="SCCBanSummary"/>
              <w:rPr>
                <w:sz w:val="20"/>
                <w:szCs w:val="20"/>
              </w:rPr>
            </w:pPr>
            <w:r w:rsidRPr="00CD6D96">
              <w:rPr>
                <w:sz w:val="20"/>
                <w:szCs w:val="20"/>
              </w:rPr>
              <w:t>(Publication ban in case)</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i/>
                <w:sz w:val="20"/>
                <w:szCs w:val="20"/>
              </w:rPr>
              <w:t>Charter of Rights</w:t>
            </w:r>
            <w:r w:rsidRPr="00CD6D96">
              <w:rPr>
                <w:sz w:val="20"/>
                <w:szCs w:val="20"/>
              </w:rPr>
              <w:t xml:space="preserve"> – Criminal law – Search and seizure – Consent – Where a person shares a home and its contents with others, can the state rely upon the consent of a third-party co-resident to justify a warrantless search and seizure under s. 8 of the </w:t>
            </w:r>
            <w:r w:rsidRPr="00CD6D96">
              <w:rPr>
                <w:i/>
                <w:sz w:val="20"/>
                <w:szCs w:val="20"/>
              </w:rPr>
              <w:t>Charter</w:t>
            </w:r>
            <w:r w:rsidRPr="00CD6D96">
              <w:rPr>
                <w:sz w:val="20"/>
                <w:szCs w:val="20"/>
              </w:rPr>
              <w:t xml:space="preserve"> as against the person whose consent has not been obtained – Whether a person’s reasonable expectation of privacy under s. 8 of the </w:t>
            </w:r>
            <w:r w:rsidRPr="00CD6D96">
              <w:rPr>
                <w:i/>
                <w:sz w:val="20"/>
                <w:szCs w:val="20"/>
              </w:rPr>
              <w:t>Charter</w:t>
            </w:r>
            <w:r w:rsidRPr="00CD6D96">
              <w:rPr>
                <w:sz w:val="20"/>
                <w:szCs w:val="20"/>
              </w:rPr>
              <w:t xml:space="preserve"> includes a “risk analysis” of whether the person should reasonably expect that a third party with whom he or she shares a home may become adverse to his or her interests and consent to police entry to seize property from the home, and that it would be open to agents of the state to do so without prior judicial authorization, or any other legal authority – </w:t>
            </w:r>
            <w:r w:rsidRPr="00CD6D96">
              <w:rPr>
                <w:i/>
                <w:sz w:val="20"/>
                <w:szCs w:val="20"/>
              </w:rPr>
              <w:t>Canadian Charter of Rights and Freedoms</w:t>
            </w:r>
            <w:r w:rsidRPr="00CD6D96">
              <w:rPr>
                <w:sz w:val="20"/>
                <w:szCs w:val="20"/>
              </w:rPr>
              <w:t>, s. 8.</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Mr. Reeves had shared a home with N, his common-law spouse of 20 years and their two daughters. At some point in time there was an altercation involving Mr. Reeves, N and N’s sister and Mr. Reeves was charged with domestic assault. Mr. Reeves was subject to a “no contact” order which allowed Mr. Reeves to visit the home only if N provided her prior, written and revocable consent. N had consented to visits by Mr. Reeves for some time, but later, N contacted Mr. Reeves’ probation officer in order to withdraw her consent. N also reported that she and her sister had accessed the family’s computer and found multiple videos that she believed to contain child pornography. N allowed the police to enter the residence and signed a consent form authorizing the seizure of the computer. The police retained the computer without a warrant for more than four months but they did not search the computer during the intervening time. The police later sought and obtained a warrant to re-seize the computer and search it. The police discovered 140 images of child pornography and 22 videos of child pornography.</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Mr. Reeves was charged with possessing child pornography and accessing child pornography. He, however succeeded on a pre-trial s. 8 </w:t>
            </w:r>
            <w:r w:rsidRPr="00CD6D96">
              <w:rPr>
                <w:i/>
                <w:sz w:val="20"/>
                <w:szCs w:val="20"/>
              </w:rPr>
              <w:t>Charter</w:t>
            </w:r>
            <w:r w:rsidRPr="00CD6D96">
              <w:rPr>
                <w:sz w:val="20"/>
                <w:szCs w:val="20"/>
              </w:rPr>
              <w:t xml:space="preserve"> application. His application to exclude the evidence obtained as a result of the search and seizure of his home computer as well as any evidence derived from a forensic examination of the computer was granted. Mr. Reeves was acquitted. On appeal, the exclusionary order was set aside and a new trial ordered.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November 30, 2015</w:t>
            </w:r>
          </w:p>
          <w:p w:rsidR="00CA774A" w:rsidRPr="00CD6D96" w:rsidRDefault="00CA774A" w:rsidP="00CA774A">
            <w:pPr>
              <w:jc w:val="both"/>
              <w:rPr>
                <w:sz w:val="20"/>
                <w:szCs w:val="20"/>
              </w:rPr>
            </w:pPr>
            <w:r w:rsidRPr="00CD6D96">
              <w:rPr>
                <w:sz w:val="20"/>
                <w:szCs w:val="20"/>
              </w:rPr>
              <w:t>Ontario Court of Justice</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Guay</w:t>
            </w:r>
            <w:proofErr w:type="spellEnd"/>
            <w:r w:rsidRPr="00CD6D96">
              <w:rPr>
                <w:sz w:val="20"/>
                <w:szCs w:val="20"/>
              </w:rPr>
              <w:t xml:space="preserve"> J.)</w:t>
            </w:r>
          </w:p>
          <w:p w:rsidR="00CA774A" w:rsidRPr="00CD6D96" w:rsidRDefault="00F964D5" w:rsidP="00CA774A">
            <w:pPr>
              <w:jc w:val="both"/>
              <w:rPr>
                <w:sz w:val="20"/>
                <w:szCs w:val="20"/>
              </w:rPr>
            </w:pPr>
            <w:hyperlink r:id="rId57" w:history="1">
              <w:r w:rsidR="00CA774A" w:rsidRPr="00CD6D96">
                <w:rPr>
                  <w:rStyle w:val="Hyperlink"/>
                  <w:sz w:val="20"/>
                  <w:szCs w:val="20"/>
                </w:rPr>
                <w:t>2015 ONCJ 724</w:t>
              </w:r>
            </w:hyperlink>
            <w:r w:rsidR="00CA774A" w:rsidRPr="00CD6D96">
              <w:rPr>
                <w:sz w:val="20"/>
                <w:szCs w:val="20"/>
              </w:rPr>
              <w:t>; 13-1884</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to exclude evidence granted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lastRenderedPageBreak/>
              <w:t>May 5, 2017</w:t>
            </w:r>
          </w:p>
          <w:p w:rsidR="00CA774A" w:rsidRPr="00CD6D96" w:rsidRDefault="00CA774A" w:rsidP="00CA774A">
            <w:pPr>
              <w:jc w:val="both"/>
              <w:rPr>
                <w:sz w:val="20"/>
                <w:szCs w:val="20"/>
              </w:rPr>
            </w:pPr>
            <w:r w:rsidRPr="00CD6D96">
              <w:rPr>
                <w:sz w:val="20"/>
                <w:szCs w:val="20"/>
              </w:rPr>
              <w:t>Court of Appeal for Ontario</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LaForme</w:t>
            </w:r>
            <w:proofErr w:type="spellEnd"/>
            <w:r w:rsidRPr="00CD6D96">
              <w:rPr>
                <w:sz w:val="20"/>
                <w:szCs w:val="20"/>
              </w:rPr>
              <w:t>, Rouleau and Brown JJ.A.)</w:t>
            </w:r>
          </w:p>
          <w:p w:rsidR="00CA774A" w:rsidRPr="00CD6D96" w:rsidRDefault="00CA774A" w:rsidP="00CA774A">
            <w:pPr>
              <w:jc w:val="both"/>
              <w:rPr>
                <w:sz w:val="20"/>
                <w:szCs w:val="20"/>
              </w:rPr>
            </w:pPr>
            <w:r w:rsidRPr="00CD6D96">
              <w:rPr>
                <w:sz w:val="20"/>
                <w:szCs w:val="20"/>
              </w:rPr>
              <w:t>2017 ONCA 365; C61510</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 allowed; exclusionary order set aside and new trial ordered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August 3,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60"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74A" w:rsidRPr="00CD6D96"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37676</w:t>
            </w:r>
          </w:p>
        </w:tc>
        <w:tc>
          <w:tcPr>
            <w:tcW w:w="4457" w:type="pct"/>
          </w:tcPr>
          <w:p w:rsidR="00CA774A" w:rsidRPr="00CD6D96" w:rsidRDefault="00CA774A" w:rsidP="00CA774A">
            <w:pPr>
              <w:pStyle w:val="SCCLsocParty"/>
              <w:jc w:val="both"/>
              <w:rPr>
                <w:b/>
                <w:sz w:val="20"/>
                <w:szCs w:val="20"/>
              </w:rPr>
            </w:pPr>
            <w:r w:rsidRPr="00CD6D96">
              <w:rPr>
                <w:b/>
                <w:sz w:val="20"/>
                <w:szCs w:val="20"/>
              </w:rPr>
              <w:t>Thomas Reeves c. Sa Majesté la Reine</w:t>
            </w:r>
          </w:p>
          <w:p w:rsidR="00CA774A" w:rsidRPr="00CD6D96" w:rsidRDefault="00CA774A" w:rsidP="00CA774A">
            <w:pPr>
              <w:jc w:val="both"/>
              <w:rPr>
                <w:sz w:val="20"/>
                <w:szCs w:val="20"/>
                <w:lang w:val="fr-CA"/>
              </w:rPr>
            </w:pPr>
            <w:r w:rsidRPr="00CD6D96">
              <w:rPr>
                <w:sz w:val="20"/>
                <w:szCs w:val="20"/>
                <w:lang w:val="fr-CA"/>
              </w:rPr>
              <w:t>(Ont.) (Criminelle) (Sur autorisation)</w:t>
            </w:r>
          </w:p>
        </w:tc>
      </w:tr>
      <w:tr w:rsidR="00AD1C76" w:rsidRPr="00F964D5" w:rsidTr="00CA774A">
        <w:tc>
          <w:tcPr>
            <w:tcW w:w="543" w:type="pct"/>
          </w:tcPr>
          <w:p w:rsidR="00AD1C76" w:rsidRPr="00CD6D96" w:rsidRDefault="00AD1C76" w:rsidP="00CA774A">
            <w:pPr>
              <w:jc w:val="both"/>
              <w:rPr>
                <w:rStyle w:val="SCCFileNumberChar"/>
                <w:sz w:val="20"/>
                <w:szCs w:val="20"/>
                <w:lang w:val="fr-CA"/>
              </w:rPr>
            </w:pPr>
            <w:r>
              <w:rPr>
                <w:rStyle w:val="SCCFileNumberChar"/>
                <w:sz w:val="20"/>
                <w:szCs w:val="20"/>
                <w:lang w:val="fr-CA"/>
              </w:rPr>
              <w:t>Coram :</w:t>
            </w:r>
          </w:p>
        </w:tc>
        <w:tc>
          <w:tcPr>
            <w:tcW w:w="4457" w:type="pct"/>
          </w:tcPr>
          <w:p w:rsidR="00AD1C76" w:rsidRDefault="00AD1C76" w:rsidP="00CA774A">
            <w:pPr>
              <w:pStyle w:val="SCCLsocParty"/>
              <w:jc w:val="both"/>
              <w:rPr>
                <w:sz w:val="20"/>
                <w:szCs w:val="20"/>
              </w:rPr>
            </w:pPr>
            <w:r w:rsidRPr="00932C50">
              <w:rPr>
                <w:sz w:val="20"/>
                <w:szCs w:val="20"/>
              </w:rPr>
              <w:t xml:space="preserve">La juge en chef </w:t>
            </w:r>
            <w:proofErr w:type="spellStart"/>
            <w:r w:rsidRPr="00932C50">
              <w:rPr>
                <w:sz w:val="20"/>
                <w:szCs w:val="20"/>
              </w:rPr>
              <w:t>McLachlin</w:t>
            </w:r>
            <w:proofErr w:type="spellEnd"/>
            <w:r w:rsidRPr="00932C50">
              <w:rPr>
                <w:sz w:val="20"/>
                <w:szCs w:val="20"/>
              </w:rPr>
              <w:t xml:space="preserve"> et les juges Abella, </w:t>
            </w:r>
            <w:proofErr w:type="spellStart"/>
            <w:r w:rsidRPr="00932C50">
              <w:rPr>
                <w:sz w:val="20"/>
                <w:szCs w:val="20"/>
              </w:rPr>
              <w:t>Moldaver</w:t>
            </w:r>
            <w:proofErr w:type="spellEnd"/>
            <w:r w:rsidRPr="00932C50">
              <w:rPr>
                <w:sz w:val="20"/>
                <w:szCs w:val="20"/>
              </w:rPr>
              <w:t xml:space="preserve">, </w:t>
            </w:r>
            <w:proofErr w:type="spellStart"/>
            <w:r w:rsidRPr="00932C50">
              <w:rPr>
                <w:sz w:val="20"/>
                <w:szCs w:val="20"/>
              </w:rPr>
              <w:t>Karakatsanis</w:t>
            </w:r>
            <w:proofErr w:type="spellEnd"/>
            <w:r w:rsidRPr="00932C50">
              <w:rPr>
                <w:sz w:val="20"/>
                <w:szCs w:val="20"/>
              </w:rPr>
              <w:t>, Wagner, Gascon, Côté, Brown et Rowe</w:t>
            </w:r>
          </w:p>
          <w:p w:rsidR="00AD1C76" w:rsidRPr="00AD1C76" w:rsidRDefault="00AD1C76" w:rsidP="00AD1C76">
            <w:pPr>
              <w:rPr>
                <w:lang w:val="fr-CA"/>
              </w:rPr>
            </w:pPr>
          </w:p>
        </w:tc>
      </w:tr>
      <w:tr w:rsidR="00AD1C76" w:rsidRPr="00F964D5" w:rsidTr="00AD1C76">
        <w:tc>
          <w:tcPr>
            <w:tcW w:w="5000" w:type="pct"/>
            <w:gridSpan w:val="2"/>
          </w:tcPr>
          <w:p w:rsidR="00AD1C76" w:rsidRDefault="00AD1C76" w:rsidP="00CA774A">
            <w:pPr>
              <w:pStyle w:val="SCCLsocParty"/>
              <w:jc w:val="both"/>
              <w:rPr>
                <w:sz w:val="20"/>
                <w:szCs w:val="20"/>
              </w:rPr>
            </w:pPr>
            <w:r w:rsidRPr="00932C50">
              <w:rPr>
                <w:sz w:val="20"/>
                <w:szCs w:val="20"/>
              </w:rPr>
              <w:t>La demande d’autorisation d’appel de l’arrêt de la Cour d’appel de l’Ontario, numéro C61510, 2017 ONCA 365, daté du 5 mai 2017, est accueillie.</w:t>
            </w:r>
          </w:p>
          <w:p w:rsidR="00AD1C76" w:rsidRPr="00AD1C76" w:rsidRDefault="00AD1C76" w:rsidP="00AD1C76">
            <w:pPr>
              <w:rPr>
                <w:lang w:val="fr-CA"/>
              </w:rPr>
            </w:pPr>
          </w:p>
        </w:tc>
      </w:tr>
      <w:tr w:rsidR="00CA774A" w:rsidRPr="00F964D5" w:rsidTr="00CA774A">
        <w:tc>
          <w:tcPr>
            <w:tcW w:w="5000" w:type="pct"/>
            <w:gridSpan w:val="2"/>
          </w:tcPr>
          <w:p w:rsidR="00CA774A" w:rsidRPr="00CD6D96" w:rsidRDefault="00CA774A" w:rsidP="00CA774A">
            <w:pPr>
              <w:pStyle w:val="SCCBanSummary"/>
              <w:rPr>
                <w:sz w:val="20"/>
                <w:szCs w:val="20"/>
                <w:lang w:val="fr-CA"/>
              </w:rPr>
            </w:pPr>
            <w:r w:rsidRPr="00CD6D96">
              <w:rPr>
                <w:sz w:val="20"/>
                <w:szCs w:val="20"/>
                <w:lang w:val="fr-CA"/>
              </w:rPr>
              <w:t>(Ordonnance de non-publication dans le dossier)</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i/>
                <w:sz w:val="20"/>
                <w:szCs w:val="20"/>
                <w:lang w:val="fr-CA"/>
              </w:rPr>
              <w:t>Charte des droits</w:t>
            </w:r>
            <w:r w:rsidRPr="00CD6D96">
              <w:rPr>
                <w:sz w:val="20"/>
                <w:szCs w:val="20"/>
                <w:lang w:val="fr-CA"/>
              </w:rPr>
              <w:t xml:space="preserve"> – Droit criminel – Fouilles, perquisitions et saisies – Consentement – Lorsqu’une personne partage une demeure et son contenu avec d’autres, l’État peut-il s’appuyer sur le consentement d’un </w:t>
            </w:r>
            <w:proofErr w:type="spellStart"/>
            <w:r w:rsidRPr="00CD6D96">
              <w:rPr>
                <w:sz w:val="20"/>
                <w:szCs w:val="20"/>
                <w:lang w:val="fr-CA"/>
              </w:rPr>
              <w:t>co-résident</w:t>
            </w:r>
            <w:proofErr w:type="spellEnd"/>
            <w:r w:rsidRPr="00CD6D96">
              <w:rPr>
                <w:sz w:val="20"/>
                <w:szCs w:val="20"/>
                <w:lang w:val="fr-CA"/>
              </w:rPr>
              <w:t xml:space="preserve"> tiers pour justifier une perquisition et une fouille sans mandat au regard de l’art. 8 de la  </w:t>
            </w:r>
            <w:r w:rsidRPr="00CD6D96">
              <w:rPr>
                <w:i/>
                <w:sz w:val="20"/>
                <w:szCs w:val="20"/>
                <w:lang w:val="fr-CA"/>
              </w:rPr>
              <w:t>Charte</w:t>
            </w:r>
            <w:r w:rsidRPr="00CD6D96">
              <w:rPr>
                <w:sz w:val="20"/>
                <w:szCs w:val="20"/>
                <w:lang w:val="fr-CA"/>
              </w:rPr>
              <w:t xml:space="preserve"> à l’encontre de la personne dont le consentement n’a pas été obtenu? – L’attente raisonnable d’une personne en matière de protection de la vie privée au regard de l’art. 8 de la </w:t>
            </w:r>
            <w:r w:rsidRPr="00CD6D96">
              <w:rPr>
                <w:i/>
                <w:sz w:val="20"/>
                <w:szCs w:val="20"/>
                <w:lang w:val="fr-CA"/>
              </w:rPr>
              <w:t>Charte</w:t>
            </w:r>
            <w:r w:rsidRPr="00CD6D96">
              <w:rPr>
                <w:sz w:val="20"/>
                <w:szCs w:val="20"/>
                <w:lang w:val="fr-CA"/>
              </w:rPr>
              <w:t xml:space="preserve"> comprend-elle une « analyse fondée sur risque » de la question de savoir si la personne doit raisonnablement s’attendre à ce qu’un tiers avec qui elle partage une demeure peut avoir des intérêts contraires aux siens et consentir à ce que des policiers entrent dans la demeure pour y saisir des biens et qu’il serait loisible à des mandataires de l’État de le faire sans autorisation judiciaire préalable ou quelque autre pouvoir légal que ce soit? – </w:t>
            </w:r>
            <w:r w:rsidRPr="00CD6D96">
              <w:rPr>
                <w:i/>
                <w:sz w:val="20"/>
                <w:szCs w:val="20"/>
                <w:lang w:val="fr-CA"/>
              </w:rPr>
              <w:t>Charte canadienne des droits et libertés</w:t>
            </w:r>
            <w:r w:rsidRPr="00CD6D96">
              <w:rPr>
                <w:sz w:val="20"/>
                <w:szCs w:val="20"/>
                <w:lang w:val="fr-CA"/>
              </w:rPr>
              <w:t>, art. 8.</w:t>
            </w:r>
          </w:p>
        </w:tc>
      </w:tr>
      <w:tr w:rsidR="00CA774A" w:rsidRPr="00F964D5" w:rsidTr="00CA774A">
        <w:tc>
          <w:tcPr>
            <w:tcW w:w="5000" w:type="pct"/>
            <w:gridSpan w:val="2"/>
          </w:tcPr>
          <w:p w:rsidR="00CA774A" w:rsidRPr="00CD6D96" w:rsidRDefault="00CA774A" w:rsidP="00CA774A">
            <w:pPr>
              <w:jc w:val="both"/>
              <w:rPr>
                <w:sz w:val="20"/>
                <w:szCs w:val="20"/>
                <w:lang w:val="fr-CA"/>
              </w:rPr>
            </w:pPr>
          </w:p>
        </w:tc>
      </w:tr>
      <w:tr w:rsidR="00CA774A" w:rsidRPr="00F964D5" w:rsidTr="00CA774A">
        <w:tc>
          <w:tcPr>
            <w:tcW w:w="5000" w:type="pct"/>
            <w:gridSpan w:val="2"/>
          </w:tcPr>
          <w:p w:rsidR="00CA774A" w:rsidRPr="00CD6D96" w:rsidRDefault="00CA774A" w:rsidP="00CA774A">
            <w:pPr>
              <w:jc w:val="both"/>
              <w:rPr>
                <w:sz w:val="20"/>
                <w:szCs w:val="20"/>
                <w:lang w:val="fr-CA"/>
              </w:rPr>
            </w:pPr>
            <w:r w:rsidRPr="00CD6D96">
              <w:rPr>
                <w:sz w:val="20"/>
                <w:szCs w:val="20"/>
                <w:lang w:val="fr-CA"/>
              </w:rPr>
              <w:t>Monsieur Reeves partageait une demeure avec N, sa conjointe de fait depuis vingt ans, et leurs deux filles. Il y a eu une altercation entre M. Reeves, N et la sœur de N et M. Reeves a été accusé de voies de fait contre un membre de la famille. Monsieur Reeves a été l’objet d’une ordonnance d’interdiction de tout contact en vertu de laquelle M. Reeves ne pouvait visiter la demeure que si N avait préalablement donné par écrit son consentement révocable. N avait consenti à des visites de M. Reeves pendant un certain temps, mais, plus tard, N a communiqué avec l’agent de probation de M. Reeves pour retirer son consentement. N a également déclaré qu’elle et sa sœur avaient accédé à l’ordinateur de la famille et qu’elles avaient trouvé plusieurs vidéos qui, selon N, renfermaient de la pornographie juvénile. N a permis à des policiers d’entrer dans la résidence et elle a signé une formule de consentement autorisant la saisie de l’ordinateur. Les policiers ont gardé l’ordinateur sans mandat pendant plus de quatre mois, mais ils ne l’ont pas fouillé dans l’intervalle. Plus tard, les policiers ont demandé et obtenu un mandat pour saisir de nouveau l’ordinateur et le fouiller. Les policiers ont découvert plus de 140 images de pornographie juvénile et 22 vidéos de pornographie juvénile.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Monsieur Reeves a été accusé de possession de pornographie juvénile et d’accès à de la pornographie juvénile. Toutefois, il a eu gain de cause dans sa demande préliminaire fondée sur l’art. 8 de la </w:t>
            </w:r>
            <w:r w:rsidRPr="00CD6D96">
              <w:rPr>
                <w:i/>
                <w:sz w:val="20"/>
                <w:szCs w:val="20"/>
                <w:lang w:val="fr-CA"/>
              </w:rPr>
              <w:t>Charte</w:t>
            </w:r>
            <w:r w:rsidRPr="00CD6D96">
              <w:rPr>
                <w:sz w:val="20"/>
                <w:szCs w:val="20"/>
                <w:lang w:val="fr-CA"/>
              </w:rPr>
              <w:t>. Sa demande d’exclure la preuve obtenue à la suite de la fouille et de la saisie de son ordinateur personnel ainsi que toute preuve dérivée d’une expertise judiciaire de l’ordinateur a été accueillie. Monsieur Reeves a été acquitté. En appel, la cour a annulé l’ordonnance d’exclusion et ordonné la tenue d’un nouveau procès.</w:t>
            </w:r>
          </w:p>
          <w:p w:rsidR="00CA774A" w:rsidRPr="00CD6D96" w:rsidRDefault="00CA774A" w:rsidP="00CA774A">
            <w:pPr>
              <w:jc w:val="both"/>
              <w:rPr>
                <w:sz w:val="20"/>
                <w:szCs w:val="20"/>
                <w:lang w:val="fr-CA"/>
              </w:rPr>
            </w:pPr>
          </w:p>
        </w:tc>
      </w:tr>
    </w:tbl>
    <w:p w:rsidR="00B670E4" w:rsidRPr="004A61F1" w:rsidRDefault="00B670E4">
      <w:pPr>
        <w:rPr>
          <w:lang w:val="fr-CA"/>
        </w:rPr>
      </w:pPr>
      <w:r w:rsidRPr="004A61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lastRenderedPageBreak/>
              <w:t>30 novembre 2015</w:t>
            </w:r>
          </w:p>
          <w:p w:rsidR="00CA774A" w:rsidRPr="00CD6D96" w:rsidRDefault="00CA774A" w:rsidP="00CA774A">
            <w:pPr>
              <w:jc w:val="both"/>
              <w:rPr>
                <w:sz w:val="20"/>
                <w:szCs w:val="20"/>
                <w:lang w:val="fr-CA"/>
              </w:rPr>
            </w:pPr>
            <w:r w:rsidRPr="00CD6D96">
              <w:rPr>
                <w:sz w:val="20"/>
                <w:szCs w:val="20"/>
                <w:lang w:val="fr-CA"/>
              </w:rPr>
              <w:t>Cour de justice de l’Ontario</w:t>
            </w:r>
          </w:p>
          <w:p w:rsidR="00CA774A" w:rsidRPr="00CD6D96" w:rsidRDefault="00CA774A" w:rsidP="00CA774A">
            <w:pPr>
              <w:jc w:val="both"/>
              <w:rPr>
                <w:sz w:val="20"/>
                <w:szCs w:val="20"/>
                <w:lang w:val="fr-CA"/>
              </w:rPr>
            </w:pPr>
            <w:r w:rsidRPr="00CD6D96">
              <w:rPr>
                <w:sz w:val="20"/>
                <w:szCs w:val="20"/>
                <w:lang w:val="fr-CA"/>
              </w:rPr>
              <w:t>(Juge Guay)</w:t>
            </w:r>
          </w:p>
          <w:p w:rsidR="00CA774A" w:rsidRPr="00CD6D96" w:rsidRDefault="00F964D5" w:rsidP="00CA774A">
            <w:pPr>
              <w:jc w:val="both"/>
              <w:rPr>
                <w:sz w:val="20"/>
                <w:szCs w:val="20"/>
                <w:lang w:val="fr-CA"/>
              </w:rPr>
            </w:pPr>
            <w:hyperlink r:id="rId58" w:history="1">
              <w:r w:rsidR="00CA774A" w:rsidRPr="00CD6D96">
                <w:rPr>
                  <w:rStyle w:val="Hyperlink"/>
                  <w:sz w:val="20"/>
                  <w:szCs w:val="20"/>
                  <w:lang w:val="fr-CA"/>
                </w:rPr>
                <w:t>2015 ONCJ 724</w:t>
              </w:r>
            </w:hyperlink>
            <w:r w:rsidR="00CA774A" w:rsidRPr="00CD6D96">
              <w:rPr>
                <w:sz w:val="20"/>
                <w:szCs w:val="20"/>
                <w:lang w:val="fr-CA"/>
              </w:rPr>
              <w:t>; 13-1884</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Jugement accueillant la demande d’exclusion de la preuve</w:t>
            </w:r>
          </w:p>
          <w:p w:rsidR="00CA774A" w:rsidRPr="00CD6D96" w:rsidRDefault="00CA774A" w:rsidP="00CA774A">
            <w:pPr>
              <w:jc w:val="both"/>
              <w:rPr>
                <w:sz w:val="20"/>
                <w:szCs w:val="20"/>
                <w:lang w:val="fr-CA"/>
              </w:rPr>
            </w:pPr>
          </w:p>
        </w:tc>
      </w:tr>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t>5 mai 2017</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LaForme</w:t>
            </w:r>
            <w:proofErr w:type="spellEnd"/>
            <w:r w:rsidRPr="00CD6D96">
              <w:rPr>
                <w:sz w:val="20"/>
                <w:szCs w:val="20"/>
                <w:lang w:val="fr-CA"/>
              </w:rPr>
              <w:t>, Rouleau et Brown)</w:t>
            </w:r>
          </w:p>
          <w:p w:rsidR="00CA774A" w:rsidRPr="00CD6D96" w:rsidRDefault="00CA774A" w:rsidP="00CA774A">
            <w:pPr>
              <w:jc w:val="both"/>
              <w:rPr>
                <w:sz w:val="20"/>
                <w:szCs w:val="20"/>
                <w:lang w:val="fr-CA"/>
              </w:rPr>
            </w:pPr>
            <w:r w:rsidRPr="00CD6D96">
              <w:rPr>
                <w:sz w:val="20"/>
                <w:szCs w:val="20"/>
                <w:lang w:val="fr-CA"/>
              </w:rPr>
              <w:t>2017 ONCA 365; C61510</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Arrêt accueillant l’appel, annulant l’ordonnance d’exclusion et ordonnant la tenue d’un nouveau procès</w:t>
            </w:r>
          </w:p>
          <w:p w:rsidR="00CA774A" w:rsidRPr="00CD6D96" w:rsidRDefault="00CA774A" w:rsidP="00CA774A">
            <w:pPr>
              <w:jc w:val="both"/>
              <w:rPr>
                <w:sz w:val="20"/>
                <w:szCs w:val="20"/>
                <w:lang w:val="fr-CA"/>
              </w:rPr>
            </w:pPr>
          </w:p>
        </w:tc>
      </w:tr>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t>3 août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61"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37699</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Paul </w:t>
            </w:r>
            <w:proofErr w:type="spellStart"/>
            <w:r w:rsidRPr="00CD6D96">
              <w:rPr>
                <w:b/>
                <w:sz w:val="20"/>
                <w:szCs w:val="20"/>
                <w:lang w:val="en-US"/>
              </w:rPr>
              <w:t>Azeff</w:t>
            </w:r>
            <w:proofErr w:type="spellEnd"/>
            <w:r w:rsidR="006A2954">
              <w:rPr>
                <w:b/>
                <w:sz w:val="20"/>
                <w:szCs w:val="20"/>
                <w:lang w:val="en-US"/>
              </w:rPr>
              <w:t xml:space="preserve"> and</w:t>
            </w:r>
            <w:r w:rsidRPr="00CD6D96">
              <w:rPr>
                <w:b/>
                <w:sz w:val="20"/>
                <w:szCs w:val="20"/>
                <w:lang w:val="en-US"/>
              </w:rPr>
              <w:t xml:space="preserve"> </w:t>
            </w:r>
            <w:proofErr w:type="spellStart"/>
            <w:r w:rsidRPr="00CD6D96">
              <w:rPr>
                <w:b/>
                <w:sz w:val="20"/>
                <w:szCs w:val="20"/>
                <w:lang w:val="en-US"/>
              </w:rPr>
              <w:t>Korin</w:t>
            </w:r>
            <w:proofErr w:type="spellEnd"/>
            <w:r w:rsidRPr="00CD6D96">
              <w:rPr>
                <w:b/>
                <w:sz w:val="20"/>
                <w:szCs w:val="20"/>
                <w:lang w:val="en-US"/>
              </w:rPr>
              <w:t xml:space="preserve"> </w:t>
            </w:r>
            <w:proofErr w:type="spellStart"/>
            <w:r w:rsidRPr="00CD6D96">
              <w:rPr>
                <w:b/>
                <w:sz w:val="20"/>
                <w:szCs w:val="20"/>
                <w:lang w:val="en-US"/>
              </w:rPr>
              <w:t>Bobrow</w:t>
            </w:r>
            <w:proofErr w:type="spellEnd"/>
            <w:r w:rsidRPr="00CD6D96">
              <w:rPr>
                <w:b/>
                <w:sz w:val="20"/>
                <w:szCs w:val="20"/>
                <w:lang w:val="en-US"/>
              </w:rPr>
              <w:t xml:space="preserve"> v. Ontario Securities Commission</w:t>
            </w:r>
          </w:p>
          <w:p w:rsidR="00CA774A" w:rsidRPr="00CD6D96" w:rsidRDefault="00CA774A" w:rsidP="00CA774A">
            <w:pPr>
              <w:jc w:val="both"/>
              <w:rPr>
                <w:sz w:val="20"/>
                <w:szCs w:val="20"/>
              </w:rPr>
            </w:pPr>
            <w:r w:rsidRPr="00CD6D96">
              <w:rPr>
                <w:sz w:val="20"/>
                <w:szCs w:val="20"/>
              </w:rPr>
              <w:t>(Ont.) (Civil) (By Leave)</w:t>
            </w:r>
          </w:p>
        </w:tc>
      </w:tr>
      <w:tr w:rsidR="00AD1C76" w:rsidRPr="00CD6D96" w:rsidTr="00CA774A">
        <w:tc>
          <w:tcPr>
            <w:tcW w:w="543" w:type="pct"/>
          </w:tcPr>
          <w:p w:rsidR="00AD1C76" w:rsidRPr="00CD6D96" w:rsidRDefault="00AD1C76" w:rsidP="00CA774A">
            <w:pPr>
              <w:jc w:val="both"/>
              <w:rPr>
                <w:rStyle w:val="SCCFileNumberChar"/>
                <w:sz w:val="20"/>
                <w:szCs w:val="20"/>
              </w:rPr>
            </w:pPr>
            <w:r>
              <w:rPr>
                <w:rStyle w:val="SCCFileNumberChar"/>
                <w:sz w:val="20"/>
                <w:szCs w:val="20"/>
              </w:rPr>
              <w:t>Coram:</w:t>
            </w:r>
          </w:p>
        </w:tc>
        <w:tc>
          <w:tcPr>
            <w:tcW w:w="4457" w:type="pct"/>
            <w:gridSpan w:val="3"/>
          </w:tcPr>
          <w:p w:rsidR="00AD1C76"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AD1C76" w:rsidRPr="00CD6D96" w:rsidTr="00AD1C76">
        <w:tc>
          <w:tcPr>
            <w:tcW w:w="5000" w:type="pct"/>
            <w:gridSpan w:val="4"/>
          </w:tcPr>
          <w:p w:rsidR="00AD1C76" w:rsidRDefault="00AD1C76" w:rsidP="00CA774A">
            <w:pPr>
              <w:pStyle w:val="SCCLsocParty"/>
              <w:jc w:val="both"/>
              <w:rPr>
                <w:sz w:val="20"/>
                <w:szCs w:val="20"/>
                <w:lang w:val="en-US"/>
              </w:rPr>
            </w:pPr>
            <w:r w:rsidRPr="00AD1C76">
              <w:rPr>
                <w:sz w:val="20"/>
                <w:szCs w:val="20"/>
                <w:lang w:val="en-US"/>
              </w:rPr>
              <w:t>The motion for an extension of time to file the application for leave to appeal is granted.  The application for leave to appeal from the judgment of the Court of Appeal for Ontario, Number M47316, dated March 10, 2017, is dismissed with costs.</w:t>
            </w:r>
          </w:p>
          <w:p w:rsidR="00AD1C76" w:rsidRPr="00AD1C76" w:rsidRDefault="00AD1C76" w:rsidP="00AD1C76">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Administrative law – Appeals – Procedural fairness – Natural justice – Evidence – Securities – Insider trading – Tipping – Sanctions – Divisional Court confirming a decision of Ontario Securities Commission finding that the applicants had passed along material non-public information other than in the necessary course of business, engaged in insider trading, and acted contrary to the public interest – Whether the appellate court erred in dismissing motion for leave to appeal the Divisional Court decision – </w:t>
            </w:r>
            <w:r w:rsidRPr="00CD6D96">
              <w:rPr>
                <w:i/>
                <w:sz w:val="20"/>
                <w:szCs w:val="20"/>
              </w:rPr>
              <w:t>Securities Act</w:t>
            </w:r>
            <w:r w:rsidRPr="00CD6D96">
              <w:rPr>
                <w:sz w:val="20"/>
                <w:szCs w:val="20"/>
              </w:rPr>
              <w:t>, R.S.O. 1990, c. S.5 (the “</w:t>
            </w:r>
            <w:r w:rsidRPr="00CD6D96">
              <w:rPr>
                <w:i/>
                <w:sz w:val="20"/>
                <w:szCs w:val="20"/>
              </w:rPr>
              <w:t>Act</w:t>
            </w:r>
            <w:r w:rsidRPr="00CD6D96">
              <w:rPr>
                <w:sz w:val="20"/>
                <w:szCs w:val="20"/>
              </w:rPr>
              <w:t>”), s. 76(2).</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The applicants, among others, were found by the respondent to have passed along material non-public information other than in the necessary course of business, contrary to s. 76(2) of the </w:t>
            </w:r>
            <w:r w:rsidRPr="00CD6D96">
              <w:rPr>
                <w:i/>
                <w:sz w:val="20"/>
                <w:szCs w:val="20"/>
              </w:rPr>
              <w:t>Act</w:t>
            </w:r>
            <w:r w:rsidRPr="00CD6D96">
              <w:rPr>
                <w:sz w:val="20"/>
                <w:szCs w:val="20"/>
              </w:rPr>
              <w:t xml:space="preserve">. They were also found to have engaged in insider trading and acted contrary to the public interest. During the course of the hearing, the respondent denied a motion by the applicants for an adjournment to address the loss from a computer of expert evidence developed in support of their defence. In a separate decision, the respondent imposed administrative penalties of $150,000 per incidence of tipping and insider trading ($750,000 and $300,000 on Messrs. </w:t>
            </w:r>
            <w:proofErr w:type="spellStart"/>
            <w:r w:rsidRPr="00CD6D96">
              <w:rPr>
                <w:sz w:val="20"/>
                <w:szCs w:val="20"/>
              </w:rPr>
              <w:t>Azeff</w:t>
            </w:r>
            <w:proofErr w:type="spellEnd"/>
            <w:r w:rsidRPr="00CD6D96">
              <w:rPr>
                <w:sz w:val="20"/>
                <w:szCs w:val="20"/>
              </w:rPr>
              <w:t xml:space="preserve"> and </w:t>
            </w:r>
            <w:proofErr w:type="spellStart"/>
            <w:r w:rsidRPr="00CD6D96">
              <w:rPr>
                <w:sz w:val="20"/>
                <w:szCs w:val="20"/>
              </w:rPr>
              <w:t>Bobrow</w:t>
            </w:r>
            <w:proofErr w:type="spellEnd"/>
            <w:r w:rsidRPr="00CD6D96">
              <w:rPr>
                <w:sz w:val="20"/>
                <w:szCs w:val="20"/>
              </w:rPr>
              <w:t xml:space="preserve">, respectively), ordered a disgorgement of their profits and awarded costs against them. The respondent also ordered a ten year ban on them acting as registrants or trading and acquiring securities (subject to exceptions), and a permanent prohibition on them acting as directors or officer of a reporting issuers. </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The applicants appealed the decision on the merits alleging, </w:t>
            </w:r>
            <w:r w:rsidRPr="00CD6D96">
              <w:rPr>
                <w:i/>
                <w:sz w:val="20"/>
                <w:szCs w:val="20"/>
              </w:rPr>
              <w:t>inter alia</w:t>
            </w:r>
            <w:r w:rsidRPr="00CD6D96">
              <w:rPr>
                <w:sz w:val="20"/>
                <w:szCs w:val="20"/>
              </w:rPr>
              <w:t>, errors of law, insupportable inferences of fact drawn from circumstantial evidence, and a denial of procedural fairness and natural justice because of the denial of their request for adjournment. They also appealed the decision imposing sanctions as being drastically out of line with other case law. The Ontario Superior Court of Justice, Divisional Court dismissed the appeals and the Court of Appeal for Ontario dismissed the applicants’ motions for leave to appeal.</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December 2, 2016</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Divisional Court</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Marrocco</w:t>
            </w:r>
            <w:proofErr w:type="spellEnd"/>
            <w:r w:rsidRPr="00CD6D96">
              <w:rPr>
                <w:sz w:val="20"/>
                <w:szCs w:val="20"/>
              </w:rPr>
              <w:t xml:space="preserve">, </w:t>
            </w:r>
            <w:proofErr w:type="spellStart"/>
            <w:r w:rsidRPr="00CD6D96">
              <w:rPr>
                <w:sz w:val="20"/>
                <w:szCs w:val="20"/>
              </w:rPr>
              <w:t>Nordheimer</w:t>
            </w:r>
            <w:proofErr w:type="spellEnd"/>
            <w:r w:rsidRPr="00CD6D96">
              <w:rPr>
                <w:sz w:val="20"/>
                <w:szCs w:val="20"/>
              </w:rPr>
              <w:t xml:space="preserve"> and </w:t>
            </w:r>
            <w:proofErr w:type="spellStart"/>
            <w:r w:rsidRPr="00CD6D96">
              <w:rPr>
                <w:sz w:val="20"/>
                <w:szCs w:val="20"/>
              </w:rPr>
              <w:t>Thorburn</w:t>
            </w:r>
            <w:proofErr w:type="spellEnd"/>
            <w:r w:rsidRPr="00CD6D96">
              <w:rPr>
                <w:sz w:val="20"/>
                <w:szCs w:val="20"/>
              </w:rPr>
              <w:t xml:space="preserve"> JJ.)</w:t>
            </w:r>
          </w:p>
          <w:p w:rsidR="00CA774A" w:rsidRPr="00CD6D96" w:rsidRDefault="00F964D5" w:rsidP="00CA774A">
            <w:pPr>
              <w:jc w:val="both"/>
              <w:rPr>
                <w:sz w:val="20"/>
                <w:szCs w:val="20"/>
              </w:rPr>
            </w:pPr>
            <w:hyperlink r:id="rId59" w:history="1">
              <w:r w:rsidR="00CA774A" w:rsidRPr="00CD6D96">
                <w:rPr>
                  <w:rStyle w:val="Hyperlink"/>
                  <w:sz w:val="20"/>
                  <w:szCs w:val="20"/>
                </w:rPr>
                <w:t>2016 ONSC 7508</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Appeals from decision of Ontario Securities Commission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lastRenderedPageBreak/>
              <w:t>March 10, 2017</w:t>
            </w:r>
          </w:p>
          <w:p w:rsidR="00CA774A" w:rsidRPr="00CD6D96" w:rsidRDefault="00CA774A" w:rsidP="00CA774A">
            <w:pPr>
              <w:jc w:val="both"/>
              <w:rPr>
                <w:sz w:val="20"/>
                <w:szCs w:val="20"/>
              </w:rPr>
            </w:pPr>
            <w:r w:rsidRPr="00CD6D96">
              <w:rPr>
                <w:sz w:val="20"/>
                <w:szCs w:val="20"/>
              </w:rPr>
              <w:t>Court of Appeal for Ontario</w:t>
            </w:r>
          </w:p>
          <w:p w:rsidR="00CA774A" w:rsidRPr="00CD6D96" w:rsidRDefault="00CA774A" w:rsidP="00CA774A">
            <w:pPr>
              <w:jc w:val="both"/>
              <w:rPr>
                <w:sz w:val="20"/>
                <w:szCs w:val="20"/>
              </w:rPr>
            </w:pPr>
            <w:r w:rsidRPr="00CD6D96">
              <w:rPr>
                <w:sz w:val="20"/>
                <w:szCs w:val="20"/>
              </w:rPr>
              <w:t xml:space="preserve">(Feldman, </w:t>
            </w:r>
            <w:proofErr w:type="spellStart"/>
            <w:r w:rsidRPr="00CD6D96">
              <w:rPr>
                <w:sz w:val="20"/>
                <w:szCs w:val="20"/>
              </w:rPr>
              <w:t>Gillese</w:t>
            </w:r>
            <w:proofErr w:type="spellEnd"/>
            <w:r w:rsidRPr="00CD6D96">
              <w:rPr>
                <w:sz w:val="20"/>
                <w:szCs w:val="20"/>
              </w:rPr>
              <w:t xml:space="preserve"> and Brown JJ.A.)</w:t>
            </w:r>
          </w:p>
          <w:p w:rsidR="00CA774A" w:rsidRPr="00CD6D96" w:rsidRDefault="00CA774A" w:rsidP="00CA774A">
            <w:pPr>
              <w:jc w:val="both"/>
              <w:rPr>
                <w:sz w:val="20"/>
                <w:szCs w:val="20"/>
              </w:rPr>
            </w:pPr>
            <w:r w:rsidRPr="00CD6D96">
              <w:rPr>
                <w:sz w:val="20"/>
                <w:szCs w:val="20"/>
              </w:rPr>
              <w:t>M47316</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leave to appeal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May 10,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August 21,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an extension of time to file the leave application filed</w:t>
            </w:r>
          </w:p>
        </w:tc>
      </w:tr>
    </w:tbl>
    <w:p w:rsidR="00CA774A" w:rsidRPr="00CD6D96" w:rsidRDefault="00F964D5" w:rsidP="00CA774A">
      <w:pPr>
        <w:jc w:val="both"/>
        <w:rPr>
          <w:sz w:val="20"/>
          <w:szCs w:val="20"/>
        </w:rPr>
      </w:pPr>
      <w:r>
        <w:rPr>
          <w:sz w:val="20"/>
          <w:szCs w:val="20"/>
        </w:rPr>
        <w:pict>
          <v:rect id="_x0000_i1062"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74A" w:rsidRPr="00CD6D96"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37699</w:t>
            </w:r>
          </w:p>
        </w:tc>
        <w:tc>
          <w:tcPr>
            <w:tcW w:w="4457" w:type="pct"/>
          </w:tcPr>
          <w:p w:rsidR="00CA774A" w:rsidRPr="00CD6D96" w:rsidRDefault="00CA774A" w:rsidP="00CA774A">
            <w:pPr>
              <w:pStyle w:val="SCCLsocParty"/>
              <w:jc w:val="both"/>
              <w:rPr>
                <w:b/>
                <w:sz w:val="20"/>
                <w:szCs w:val="20"/>
              </w:rPr>
            </w:pPr>
            <w:r w:rsidRPr="00CD6D96">
              <w:rPr>
                <w:b/>
                <w:sz w:val="20"/>
                <w:szCs w:val="20"/>
              </w:rPr>
              <w:t xml:space="preserve">Paul </w:t>
            </w:r>
            <w:proofErr w:type="spellStart"/>
            <w:r w:rsidRPr="00CD6D96">
              <w:rPr>
                <w:b/>
                <w:sz w:val="20"/>
                <w:szCs w:val="20"/>
              </w:rPr>
              <w:t>Azeff</w:t>
            </w:r>
            <w:proofErr w:type="spellEnd"/>
            <w:r w:rsidR="006A2954">
              <w:rPr>
                <w:b/>
                <w:sz w:val="20"/>
                <w:szCs w:val="20"/>
              </w:rPr>
              <w:t xml:space="preserve"> et</w:t>
            </w:r>
            <w:r w:rsidRPr="00CD6D96">
              <w:rPr>
                <w:b/>
                <w:sz w:val="20"/>
                <w:szCs w:val="20"/>
              </w:rPr>
              <w:t xml:space="preserve"> </w:t>
            </w:r>
            <w:proofErr w:type="spellStart"/>
            <w:r w:rsidRPr="00CD6D96">
              <w:rPr>
                <w:b/>
                <w:sz w:val="20"/>
                <w:szCs w:val="20"/>
              </w:rPr>
              <w:t>Korin</w:t>
            </w:r>
            <w:proofErr w:type="spellEnd"/>
            <w:r w:rsidRPr="00CD6D96">
              <w:rPr>
                <w:b/>
                <w:sz w:val="20"/>
                <w:szCs w:val="20"/>
              </w:rPr>
              <w:t xml:space="preserve"> </w:t>
            </w:r>
            <w:proofErr w:type="spellStart"/>
            <w:r w:rsidRPr="00CD6D96">
              <w:rPr>
                <w:b/>
                <w:sz w:val="20"/>
                <w:szCs w:val="20"/>
              </w:rPr>
              <w:t>Bobrow</w:t>
            </w:r>
            <w:proofErr w:type="spellEnd"/>
            <w:r w:rsidRPr="00CD6D96">
              <w:rPr>
                <w:b/>
                <w:sz w:val="20"/>
                <w:szCs w:val="20"/>
              </w:rPr>
              <w:t xml:space="preserve"> c. Commission des valeurs mobilières de l’Ontario</w:t>
            </w:r>
          </w:p>
          <w:p w:rsidR="00CA774A" w:rsidRPr="00CD6D96" w:rsidRDefault="00CA774A" w:rsidP="00CA774A">
            <w:pPr>
              <w:jc w:val="both"/>
              <w:rPr>
                <w:sz w:val="20"/>
                <w:szCs w:val="20"/>
                <w:lang w:val="fr-CA"/>
              </w:rPr>
            </w:pPr>
            <w:r w:rsidRPr="00CD6D96">
              <w:rPr>
                <w:sz w:val="20"/>
                <w:szCs w:val="20"/>
                <w:lang w:val="fr-CA"/>
              </w:rPr>
              <w:t>(Ont.) (Civile) (Sur autorisation)</w:t>
            </w:r>
          </w:p>
        </w:tc>
      </w:tr>
      <w:tr w:rsidR="00AD1C76" w:rsidRPr="00F964D5" w:rsidTr="00CA774A">
        <w:tc>
          <w:tcPr>
            <w:tcW w:w="543" w:type="pct"/>
          </w:tcPr>
          <w:p w:rsidR="00AD1C76" w:rsidRPr="00CD6D96" w:rsidRDefault="00AD1C76" w:rsidP="00CA774A">
            <w:pPr>
              <w:jc w:val="both"/>
              <w:rPr>
                <w:rStyle w:val="SCCFileNumberChar"/>
                <w:sz w:val="20"/>
                <w:szCs w:val="20"/>
                <w:lang w:val="fr-CA"/>
              </w:rPr>
            </w:pPr>
            <w:r>
              <w:rPr>
                <w:rStyle w:val="SCCFileNumberChar"/>
                <w:sz w:val="20"/>
                <w:szCs w:val="20"/>
                <w:lang w:val="fr-CA"/>
              </w:rPr>
              <w:t xml:space="preserve">Coram : </w:t>
            </w:r>
          </w:p>
        </w:tc>
        <w:tc>
          <w:tcPr>
            <w:tcW w:w="4457" w:type="pct"/>
          </w:tcPr>
          <w:p w:rsidR="00AD1C76" w:rsidRDefault="00AD1C76" w:rsidP="00CA774A">
            <w:pPr>
              <w:pStyle w:val="SCCLsocParty"/>
              <w:jc w:val="both"/>
              <w:rPr>
                <w:sz w:val="20"/>
                <w:szCs w:val="20"/>
              </w:rPr>
            </w:pPr>
            <w:r w:rsidRPr="00116949">
              <w:rPr>
                <w:sz w:val="20"/>
                <w:szCs w:val="20"/>
              </w:rPr>
              <w:t xml:space="preserve">La juge en chef </w:t>
            </w:r>
            <w:proofErr w:type="spellStart"/>
            <w:r w:rsidRPr="00116949">
              <w:rPr>
                <w:sz w:val="20"/>
                <w:szCs w:val="20"/>
              </w:rPr>
              <w:t>McLachlin</w:t>
            </w:r>
            <w:proofErr w:type="spellEnd"/>
            <w:r w:rsidRPr="00116949">
              <w:rPr>
                <w:sz w:val="20"/>
                <w:szCs w:val="20"/>
              </w:rPr>
              <w:t xml:space="preserve"> et les juges Abella, </w:t>
            </w:r>
            <w:proofErr w:type="spellStart"/>
            <w:r w:rsidRPr="00116949">
              <w:rPr>
                <w:sz w:val="20"/>
                <w:szCs w:val="20"/>
              </w:rPr>
              <w:t>Moldaver</w:t>
            </w:r>
            <w:proofErr w:type="spellEnd"/>
            <w:r w:rsidRPr="00116949">
              <w:rPr>
                <w:sz w:val="20"/>
                <w:szCs w:val="20"/>
              </w:rPr>
              <w:t xml:space="preserve">, </w:t>
            </w:r>
            <w:proofErr w:type="spellStart"/>
            <w:r w:rsidRPr="00116949">
              <w:rPr>
                <w:sz w:val="20"/>
                <w:szCs w:val="20"/>
              </w:rPr>
              <w:t>Karakatsanis</w:t>
            </w:r>
            <w:proofErr w:type="spellEnd"/>
            <w:r w:rsidRPr="00116949">
              <w:rPr>
                <w:sz w:val="20"/>
                <w:szCs w:val="20"/>
              </w:rPr>
              <w:t>, Wagner, Gascon, Côté, Brown et Rowe</w:t>
            </w:r>
          </w:p>
          <w:p w:rsidR="00AD1C76" w:rsidRPr="00AD1C76" w:rsidRDefault="00AD1C76" w:rsidP="00AD1C76">
            <w:pPr>
              <w:rPr>
                <w:lang w:val="fr-CA"/>
              </w:rPr>
            </w:pPr>
          </w:p>
        </w:tc>
      </w:tr>
      <w:tr w:rsidR="00AD1C76" w:rsidRPr="00F964D5" w:rsidTr="00AD1C76">
        <w:tc>
          <w:tcPr>
            <w:tcW w:w="5000" w:type="pct"/>
            <w:gridSpan w:val="2"/>
          </w:tcPr>
          <w:p w:rsidR="00AD1C76" w:rsidRDefault="00AD1C76" w:rsidP="00CA774A">
            <w:pPr>
              <w:pStyle w:val="SCCLsocParty"/>
              <w:jc w:val="both"/>
              <w:rPr>
                <w:sz w:val="20"/>
                <w:szCs w:val="20"/>
              </w:rPr>
            </w:pPr>
            <w:r w:rsidRPr="00116949">
              <w:rPr>
                <w:sz w:val="20"/>
                <w:szCs w:val="20"/>
              </w:rPr>
              <w:t>La requête en prorogation du délai de dépôt de la demande d’autorisation d’appel est accueillie.  La demande d’autorisation d’appel de l’arrêt de la Cour d’appel de l’Ontario, numéro M47316, daté du 10 mars 2017, est rejetée avec dépens.</w:t>
            </w:r>
          </w:p>
          <w:p w:rsidR="00AD1C76" w:rsidRPr="00AD1C76" w:rsidRDefault="00AD1C76" w:rsidP="00AD1C76">
            <w:pPr>
              <w:rPr>
                <w:lang w:val="fr-CA"/>
              </w:rPr>
            </w:pPr>
          </w:p>
        </w:tc>
      </w:tr>
      <w:tr w:rsidR="00CA774A" w:rsidRPr="00AD1C76" w:rsidTr="00CA774A">
        <w:tc>
          <w:tcPr>
            <w:tcW w:w="5000" w:type="pct"/>
            <w:gridSpan w:val="2"/>
          </w:tcPr>
          <w:p w:rsidR="00CA774A" w:rsidRPr="00CD6D96" w:rsidRDefault="00CA774A" w:rsidP="00CA774A">
            <w:pPr>
              <w:jc w:val="both"/>
              <w:rPr>
                <w:sz w:val="20"/>
                <w:szCs w:val="20"/>
                <w:lang w:val="fr-CA"/>
              </w:rPr>
            </w:pPr>
            <w:r w:rsidRPr="00CD6D96">
              <w:rPr>
                <w:sz w:val="20"/>
                <w:szCs w:val="20"/>
                <w:lang w:val="fr-CA"/>
              </w:rPr>
              <w:t xml:space="preserve">Droit administratif – Appels – Équité procédurale – Justice naturelle – Preuve – Valeurs mobilières – Opérations d’initié – Tuyautage – Sanctions – La Cour divisionnaire a confirmé une décision de la Commission des valeurs mobilières de l’Ontario concluant que les demandeurs avaient transmis des renseignements importants non publics autrement que dans le cours normal de leurs activités commerciales, qu’ils s’étaient livrés à des opérations d’initié et qu’ils avaient agi de façon contraire à l’intérêt public – La cour d’appel a-t-elle eu tort de rejeter la motion en autorisation d’interjeter appel de la décision de la Cour divisionnaire? – </w:t>
            </w:r>
            <w:r w:rsidRPr="00CD6D96">
              <w:rPr>
                <w:i/>
                <w:sz w:val="20"/>
                <w:szCs w:val="20"/>
                <w:lang w:val="fr-CA"/>
              </w:rPr>
              <w:t>Loi sur les valeurs mobilières</w:t>
            </w:r>
            <w:r w:rsidRPr="00CD6D96">
              <w:rPr>
                <w:sz w:val="20"/>
                <w:szCs w:val="20"/>
                <w:lang w:val="fr-CA"/>
              </w:rPr>
              <w:t>, L.R.O. 1990, ch. S.5 (la « </w:t>
            </w:r>
            <w:r w:rsidRPr="00CD6D96">
              <w:rPr>
                <w:i/>
                <w:sz w:val="20"/>
                <w:szCs w:val="20"/>
                <w:lang w:val="fr-CA"/>
              </w:rPr>
              <w:t>Loi</w:t>
            </w:r>
            <w:r w:rsidRPr="00CD6D96">
              <w:rPr>
                <w:sz w:val="20"/>
                <w:szCs w:val="20"/>
                <w:lang w:val="fr-CA"/>
              </w:rPr>
              <w:t> »), par. 76(2).</w:t>
            </w:r>
          </w:p>
        </w:tc>
      </w:tr>
      <w:tr w:rsidR="00CA774A" w:rsidRPr="00AD1C76" w:rsidTr="00CA774A">
        <w:tc>
          <w:tcPr>
            <w:tcW w:w="5000" w:type="pct"/>
            <w:gridSpan w:val="2"/>
          </w:tcPr>
          <w:p w:rsidR="00CA774A" w:rsidRPr="00CD6D96" w:rsidRDefault="00CA774A" w:rsidP="00CA774A">
            <w:pPr>
              <w:jc w:val="both"/>
              <w:rPr>
                <w:sz w:val="20"/>
                <w:szCs w:val="20"/>
                <w:lang w:val="fr-CA"/>
              </w:rPr>
            </w:pPr>
          </w:p>
        </w:tc>
      </w:tr>
      <w:tr w:rsidR="00CA774A" w:rsidRPr="00F964D5" w:rsidTr="00CA774A">
        <w:tc>
          <w:tcPr>
            <w:tcW w:w="5000" w:type="pct"/>
            <w:gridSpan w:val="2"/>
          </w:tcPr>
          <w:p w:rsidR="00CA774A" w:rsidRPr="00CD6D96" w:rsidRDefault="00CA774A" w:rsidP="00CA774A">
            <w:pPr>
              <w:jc w:val="both"/>
              <w:rPr>
                <w:sz w:val="20"/>
                <w:szCs w:val="20"/>
                <w:lang w:val="fr-CA"/>
              </w:rPr>
            </w:pPr>
            <w:r w:rsidRPr="00CD6D96">
              <w:rPr>
                <w:sz w:val="20"/>
                <w:szCs w:val="20"/>
                <w:lang w:val="fr-CA"/>
              </w:rPr>
              <w:t xml:space="preserve">L’intimée a conclu que les demandeurs, parmi d’autres, avaient transmis des renseignements importants non publics autrement que dans le cours normal de leurs activités commerciales, contrairement au </w:t>
            </w:r>
            <w:proofErr w:type="spellStart"/>
            <w:r w:rsidRPr="00CD6D96">
              <w:rPr>
                <w:sz w:val="20"/>
                <w:szCs w:val="20"/>
                <w:lang w:val="fr-CA"/>
              </w:rPr>
              <w:t>par</w:t>
            </w:r>
            <w:proofErr w:type="spellEnd"/>
            <w:r w:rsidRPr="00CD6D96">
              <w:rPr>
                <w:sz w:val="20"/>
                <w:szCs w:val="20"/>
                <w:lang w:val="fr-CA"/>
              </w:rPr>
              <w:t xml:space="preserve">. 76(2) de la </w:t>
            </w:r>
            <w:r w:rsidRPr="00CD6D96">
              <w:rPr>
                <w:i/>
                <w:sz w:val="20"/>
                <w:szCs w:val="20"/>
                <w:lang w:val="fr-CA"/>
              </w:rPr>
              <w:t>Loi</w:t>
            </w:r>
            <w:r w:rsidRPr="00CD6D96">
              <w:rPr>
                <w:sz w:val="20"/>
                <w:szCs w:val="20"/>
                <w:lang w:val="fr-CA"/>
              </w:rPr>
              <w:t>. L’intimée a également conclu que les demandeurs s’étaient livrés à des opérations d’initié et avaient agi contrairement à l’intérêt public. À l’audience, l’intimée a rejeté une motion en ajournement, présentée par les demandeurs, pour leur permettre de récupérer une preuve d’expert perdue, qui se trouvait dans un ordinateur, élaborée au soutien de leur défense. Dans une décision distincte, l’intimée a imposé des pénalités administratives de 150 000 $ par occurrence de tuyautage et d’opérations d’initié (soit 750 000 $ et 300 000 $ à MM. </w:t>
            </w:r>
            <w:proofErr w:type="spellStart"/>
            <w:r w:rsidRPr="00CD6D96">
              <w:rPr>
                <w:sz w:val="20"/>
                <w:szCs w:val="20"/>
                <w:lang w:val="fr-CA"/>
              </w:rPr>
              <w:t>Azeff</w:t>
            </w:r>
            <w:proofErr w:type="spellEnd"/>
            <w:r w:rsidRPr="00CD6D96">
              <w:rPr>
                <w:sz w:val="20"/>
                <w:szCs w:val="20"/>
                <w:lang w:val="fr-CA"/>
              </w:rPr>
              <w:t xml:space="preserve"> et </w:t>
            </w:r>
            <w:proofErr w:type="spellStart"/>
            <w:r w:rsidRPr="00CD6D96">
              <w:rPr>
                <w:sz w:val="20"/>
                <w:szCs w:val="20"/>
                <w:lang w:val="fr-CA"/>
              </w:rPr>
              <w:t>Bobrow</w:t>
            </w:r>
            <w:proofErr w:type="spellEnd"/>
            <w:r w:rsidRPr="00CD6D96">
              <w:rPr>
                <w:sz w:val="20"/>
                <w:szCs w:val="20"/>
                <w:lang w:val="fr-CA"/>
              </w:rPr>
              <w:t xml:space="preserve">, respectivement), ordonné la restitution de leurs profits et les a condamnés aux dépens. L’intimé a également ordonné à leur égard une interdiction de dix ans d’agir comme personnes ou compagnies inscrites ou de négocier ou d’acquérir des valeurs mobilières (sous réserve d’exceptions) et une interdiction permanente d’agir comme administrateurs ou dirigeants d’un émetteur assujetti. </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Les demandeurs ont interjeté appel de la décision sur le fond, alléguant notamment des erreurs de droit, des inférences de fait injustifiables tirées d’une preuve circonstancielle et un déni d’équité procédurale et de justice naturelle en raison du rejet de leur demande d’ajournement. Ils ont également interjeté appel de la décision d’imposer des sanctions, alléguant que celles-ci étaient radicalement disproportionnées par rapport aux sanctions imposées dans d’autres décisions. La Cour supérieure de justice, Cour divisionnaire, a rejeté les appels et la Cour d’appel de l’Ontario a rejeté les motions des demandeurs en autorisation d’interjeter appel.</w:t>
            </w:r>
          </w:p>
          <w:p w:rsidR="00CA774A" w:rsidRPr="00CD6D96" w:rsidRDefault="00CA774A" w:rsidP="00CA774A">
            <w:pPr>
              <w:jc w:val="both"/>
              <w:rPr>
                <w:sz w:val="20"/>
                <w:szCs w:val="20"/>
                <w:lang w:val="fr-CA"/>
              </w:rPr>
            </w:pPr>
          </w:p>
        </w:tc>
      </w:tr>
    </w:tbl>
    <w:p w:rsidR="00083F3E" w:rsidRPr="004A61F1" w:rsidRDefault="00083F3E">
      <w:pPr>
        <w:rPr>
          <w:lang w:val="fr-CA"/>
        </w:rPr>
      </w:pPr>
      <w:r w:rsidRPr="004A61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lastRenderedPageBreak/>
              <w:t>2 décembre 2016</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Cour divisionnaire</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Marrocco</w:t>
            </w:r>
            <w:proofErr w:type="spellEnd"/>
            <w:r w:rsidRPr="00CD6D96">
              <w:rPr>
                <w:sz w:val="20"/>
                <w:szCs w:val="20"/>
                <w:lang w:val="fr-CA"/>
              </w:rPr>
              <w:t xml:space="preserve">, </w:t>
            </w:r>
            <w:proofErr w:type="spellStart"/>
            <w:r w:rsidRPr="00CD6D96">
              <w:rPr>
                <w:sz w:val="20"/>
                <w:szCs w:val="20"/>
                <w:lang w:val="fr-CA"/>
              </w:rPr>
              <w:t>Nordheimer</w:t>
            </w:r>
            <w:proofErr w:type="spellEnd"/>
            <w:r w:rsidRPr="00CD6D96">
              <w:rPr>
                <w:sz w:val="20"/>
                <w:szCs w:val="20"/>
                <w:lang w:val="fr-CA"/>
              </w:rPr>
              <w:t xml:space="preserve"> et </w:t>
            </w:r>
            <w:proofErr w:type="spellStart"/>
            <w:r w:rsidRPr="00CD6D96">
              <w:rPr>
                <w:sz w:val="20"/>
                <w:szCs w:val="20"/>
                <w:lang w:val="fr-CA"/>
              </w:rPr>
              <w:t>Thorburn</w:t>
            </w:r>
            <w:proofErr w:type="spellEnd"/>
            <w:r w:rsidRPr="00CD6D96">
              <w:rPr>
                <w:sz w:val="20"/>
                <w:szCs w:val="20"/>
                <w:lang w:val="fr-CA"/>
              </w:rPr>
              <w:t>)</w:t>
            </w:r>
          </w:p>
          <w:p w:rsidR="00CA774A" w:rsidRPr="00CD6D96" w:rsidRDefault="00F964D5" w:rsidP="00CA774A">
            <w:pPr>
              <w:jc w:val="both"/>
              <w:rPr>
                <w:sz w:val="20"/>
                <w:szCs w:val="20"/>
                <w:lang w:val="fr-CA"/>
              </w:rPr>
            </w:pPr>
            <w:hyperlink r:id="rId60" w:history="1">
              <w:r w:rsidR="00CA774A" w:rsidRPr="00CD6D96">
                <w:rPr>
                  <w:rStyle w:val="Hyperlink"/>
                  <w:sz w:val="20"/>
                  <w:szCs w:val="20"/>
                  <w:lang w:val="fr-CA"/>
                </w:rPr>
                <w:t>2016 ONSC 7508</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des appels de la décision de la Commission des valeurs mobilières de l’Ontario</w:t>
            </w:r>
          </w:p>
          <w:p w:rsidR="00CA774A" w:rsidRPr="00CD6D96" w:rsidRDefault="00CA774A" w:rsidP="00CA774A">
            <w:pPr>
              <w:jc w:val="both"/>
              <w:rPr>
                <w:sz w:val="20"/>
                <w:szCs w:val="20"/>
                <w:lang w:val="fr-CA"/>
              </w:rPr>
            </w:pPr>
          </w:p>
        </w:tc>
      </w:tr>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t>10 mars 2017</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Feldman</w:t>
            </w:r>
            <w:proofErr w:type="spellEnd"/>
            <w:r w:rsidRPr="00CD6D96">
              <w:rPr>
                <w:sz w:val="20"/>
                <w:szCs w:val="20"/>
                <w:lang w:val="fr-CA"/>
              </w:rPr>
              <w:t xml:space="preserve">, </w:t>
            </w:r>
            <w:proofErr w:type="spellStart"/>
            <w:r w:rsidRPr="00CD6D96">
              <w:rPr>
                <w:sz w:val="20"/>
                <w:szCs w:val="20"/>
                <w:lang w:val="fr-CA"/>
              </w:rPr>
              <w:t>Gillese</w:t>
            </w:r>
            <w:proofErr w:type="spellEnd"/>
            <w:r w:rsidRPr="00CD6D96">
              <w:rPr>
                <w:sz w:val="20"/>
                <w:szCs w:val="20"/>
                <w:lang w:val="fr-CA"/>
              </w:rPr>
              <w:t xml:space="preserve"> et Brown)</w:t>
            </w:r>
          </w:p>
          <w:p w:rsidR="00CA774A" w:rsidRPr="00CD6D96" w:rsidRDefault="00CA774A" w:rsidP="00CA774A">
            <w:pPr>
              <w:jc w:val="both"/>
              <w:rPr>
                <w:sz w:val="20"/>
                <w:szCs w:val="20"/>
                <w:lang w:val="fr-CA"/>
              </w:rPr>
            </w:pPr>
            <w:r w:rsidRPr="00CD6D96">
              <w:rPr>
                <w:sz w:val="20"/>
                <w:szCs w:val="20"/>
                <w:lang w:val="fr-CA"/>
              </w:rPr>
              <w:t>M47316</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 motion en autorisation d’interjeter appel</w:t>
            </w:r>
          </w:p>
          <w:p w:rsidR="00CA774A" w:rsidRPr="00CD6D96" w:rsidRDefault="00CA774A" w:rsidP="00CA774A">
            <w:pPr>
              <w:jc w:val="both"/>
              <w:rPr>
                <w:sz w:val="20"/>
                <w:szCs w:val="20"/>
                <w:lang w:val="fr-CA"/>
              </w:rPr>
            </w:pPr>
          </w:p>
        </w:tc>
      </w:tr>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t>May 10, 2017</w:t>
            </w:r>
          </w:p>
          <w:p w:rsidR="00CA774A" w:rsidRPr="00CD6D96" w:rsidRDefault="00CA774A" w:rsidP="00CA774A">
            <w:pPr>
              <w:jc w:val="both"/>
              <w:rPr>
                <w:sz w:val="20"/>
                <w:szCs w:val="20"/>
                <w:lang w:val="fr-CA"/>
              </w:rPr>
            </w:pPr>
            <w:r w:rsidRPr="00CD6D96">
              <w:rPr>
                <w:sz w:val="20"/>
                <w:szCs w:val="20"/>
                <w:lang w:val="fr-CA"/>
              </w:rPr>
              <w:t>Cour suprême du Canada</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r w:rsidR="00CA774A" w:rsidRPr="00F964D5" w:rsidTr="00CA774A">
        <w:tc>
          <w:tcPr>
            <w:tcW w:w="2427" w:type="pct"/>
          </w:tcPr>
          <w:p w:rsidR="00CA774A" w:rsidRPr="00CD6D96" w:rsidRDefault="00CA774A" w:rsidP="00CA774A">
            <w:pPr>
              <w:jc w:val="both"/>
              <w:rPr>
                <w:sz w:val="20"/>
                <w:szCs w:val="20"/>
                <w:lang w:val="fr-CA"/>
              </w:rPr>
            </w:pPr>
            <w:r w:rsidRPr="00CD6D96">
              <w:rPr>
                <w:sz w:val="20"/>
                <w:szCs w:val="20"/>
                <w:lang w:val="fr-CA"/>
              </w:rPr>
              <w:t>21 août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requête en prorogation du délai de dépôt de la demande d’autorisation</w:t>
            </w:r>
          </w:p>
        </w:tc>
      </w:tr>
    </w:tbl>
    <w:p w:rsidR="00CA774A" w:rsidRPr="00CD6D96" w:rsidRDefault="00F964D5" w:rsidP="00CA774A">
      <w:pPr>
        <w:jc w:val="both"/>
        <w:rPr>
          <w:sz w:val="20"/>
          <w:szCs w:val="20"/>
          <w:lang w:val="fr-CA"/>
        </w:rPr>
      </w:pPr>
      <w:r>
        <w:rPr>
          <w:sz w:val="20"/>
          <w:szCs w:val="20"/>
        </w:rPr>
        <w:pict>
          <v:rect id="_x0000_i1063"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37761</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Ade </w:t>
            </w:r>
            <w:proofErr w:type="spellStart"/>
            <w:r w:rsidRPr="00CD6D96">
              <w:rPr>
                <w:b/>
                <w:sz w:val="20"/>
                <w:szCs w:val="20"/>
                <w:lang w:val="en-US"/>
              </w:rPr>
              <w:t>Olumide</w:t>
            </w:r>
            <w:proofErr w:type="spellEnd"/>
            <w:r w:rsidRPr="00CD6D96">
              <w:rPr>
                <w:b/>
                <w:sz w:val="20"/>
                <w:szCs w:val="20"/>
                <w:lang w:val="en-US"/>
              </w:rPr>
              <w:t xml:space="preserve"> v. Supreme Court of Canada, Federal Court of Canada</w:t>
            </w:r>
            <w:r w:rsidR="006A2954">
              <w:rPr>
                <w:b/>
                <w:sz w:val="20"/>
                <w:szCs w:val="20"/>
                <w:lang w:val="en-US"/>
              </w:rPr>
              <w:t xml:space="preserve"> and</w:t>
            </w:r>
            <w:r w:rsidRPr="00CD6D96">
              <w:rPr>
                <w:b/>
                <w:sz w:val="20"/>
                <w:szCs w:val="20"/>
                <w:lang w:val="en-US"/>
              </w:rPr>
              <w:t xml:space="preserve"> Conservative Fund Canada</w:t>
            </w:r>
          </w:p>
          <w:p w:rsidR="00CA774A" w:rsidRPr="00CD6D96" w:rsidRDefault="00CA774A" w:rsidP="00CA774A">
            <w:pPr>
              <w:jc w:val="both"/>
              <w:rPr>
                <w:sz w:val="20"/>
                <w:szCs w:val="20"/>
              </w:rPr>
            </w:pPr>
            <w:r w:rsidRPr="00CD6D96">
              <w:rPr>
                <w:sz w:val="20"/>
                <w:szCs w:val="20"/>
              </w:rPr>
              <w:t>(F</w:t>
            </w:r>
            <w:r w:rsidR="00AD1C76">
              <w:rPr>
                <w:sz w:val="20"/>
                <w:szCs w:val="20"/>
              </w:rPr>
              <w:t>.</w:t>
            </w:r>
            <w:r w:rsidRPr="00CD6D96">
              <w:rPr>
                <w:sz w:val="20"/>
                <w:szCs w:val="20"/>
              </w:rPr>
              <w:t>C</w:t>
            </w:r>
            <w:r w:rsidR="00AD1C76">
              <w:rPr>
                <w:sz w:val="20"/>
                <w:szCs w:val="20"/>
              </w:rPr>
              <w:t>.</w:t>
            </w:r>
            <w:r w:rsidRPr="00CD6D96">
              <w:rPr>
                <w:sz w:val="20"/>
                <w:szCs w:val="20"/>
              </w:rPr>
              <w:t>) (Civil) (By Leave)</w:t>
            </w:r>
          </w:p>
        </w:tc>
      </w:tr>
      <w:tr w:rsidR="00AD1C76" w:rsidRPr="00CD6D96" w:rsidTr="00CA774A">
        <w:tc>
          <w:tcPr>
            <w:tcW w:w="543" w:type="pct"/>
          </w:tcPr>
          <w:p w:rsidR="00AD1C76" w:rsidRPr="00CD6D96" w:rsidRDefault="00083F3E" w:rsidP="00CA774A">
            <w:pPr>
              <w:jc w:val="both"/>
              <w:rPr>
                <w:rStyle w:val="SCCFileNumberChar"/>
                <w:sz w:val="20"/>
                <w:szCs w:val="20"/>
              </w:rPr>
            </w:pPr>
            <w:r>
              <w:rPr>
                <w:rStyle w:val="SCCFileNumberChar"/>
                <w:sz w:val="20"/>
                <w:szCs w:val="20"/>
              </w:rPr>
              <w:t>Coram:</w:t>
            </w:r>
          </w:p>
        </w:tc>
        <w:tc>
          <w:tcPr>
            <w:tcW w:w="4457" w:type="pct"/>
            <w:gridSpan w:val="3"/>
          </w:tcPr>
          <w:p w:rsidR="00AD1C76" w:rsidRDefault="00AD1C76" w:rsidP="00CA774A">
            <w:pPr>
              <w:pStyle w:val="SCCLsocParty"/>
              <w:jc w:val="both"/>
              <w:rPr>
                <w:sz w:val="20"/>
                <w:szCs w:val="20"/>
                <w:lang w:val="en-US"/>
              </w:rPr>
            </w:pPr>
            <w:proofErr w:type="spellStart"/>
            <w:r w:rsidRPr="00AD1C76">
              <w:rPr>
                <w:sz w:val="20"/>
                <w:szCs w:val="20"/>
                <w:lang w:val="en-US"/>
              </w:rPr>
              <w:t>McLachlin</w:t>
            </w:r>
            <w:proofErr w:type="spellEnd"/>
            <w:r w:rsidRPr="00AD1C76">
              <w:rPr>
                <w:sz w:val="20"/>
                <w:szCs w:val="20"/>
                <w:lang w:val="en-US"/>
              </w:rPr>
              <w:t xml:space="preserve"> C.J. and </w:t>
            </w:r>
            <w:proofErr w:type="spellStart"/>
            <w:r w:rsidRPr="00AD1C76">
              <w:rPr>
                <w:sz w:val="20"/>
                <w:szCs w:val="20"/>
                <w:lang w:val="en-US"/>
              </w:rPr>
              <w:t>Abella</w:t>
            </w:r>
            <w:proofErr w:type="spellEnd"/>
            <w:r w:rsidRPr="00AD1C76">
              <w:rPr>
                <w:sz w:val="20"/>
                <w:szCs w:val="20"/>
                <w:lang w:val="en-US"/>
              </w:rPr>
              <w:t xml:space="preserve">, </w:t>
            </w:r>
            <w:proofErr w:type="spellStart"/>
            <w:r w:rsidRPr="00AD1C76">
              <w:rPr>
                <w:sz w:val="20"/>
                <w:szCs w:val="20"/>
                <w:lang w:val="en-US"/>
              </w:rPr>
              <w:t>Moldaver</w:t>
            </w:r>
            <w:proofErr w:type="spellEnd"/>
            <w:r w:rsidRPr="00AD1C76">
              <w:rPr>
                <w:sz w:val="20"/>
                <w:szCs w:val="20"/>
                <w:lang w:val="en-US"/>
              </w:rPr>
              <w:t xml:space="preserve">, </w:t>
            </w:r>
            <w:proofErr w:type="spellStart"/>
            <w:r w:rsidRPr="00AD1C76">
              <w:rPr>
                <w:sz w:val="20"/>
                <w:szCs w:val="20"/>
                <w:lang w:val="en-US"/>
              </w:rPr>
              <w:t>Karakatsanis</w:t>
            </w:r>
            <w:proofErr w:type="spellEnd"/>
            <w:r w:rsidRPr="00AD1C76">
              <w:rPr>
                <w:sz w:val="20"/>
                <w:szCs w:val="20"/>
                <w:lang w:val="en-US"/>
              </w:rPr>
              <w:t xml:space="preserve">, Wagner, </w:t>
            </w:r>
            <w:proofErr w:type="spellStart"/>
            <w:r w:rsidRPr="00AD1C76">
              <w:rPr>
                <w:sz w:val="20"/>
                <w:szCs w:val="20"/>
                <w:lang w:val="en-US"/>
              </w:rPr>
              <w:t>Gascon</w:t>
            </w:r>
            <w:proofErr w:type="spellEnd"/>
            <w:r w:rsidRPr="00AD1C76">
              <w:rPr>
                <w:sz w:val="20"/>
                <w:szCs w:val="20"/>
                <w:lang w:val="en-US"/>
              </w:rPr>
              <w:t xml:space="preserve">, </w:t>
            </w:r>
            <w:proofErr w:type="spellStart"/>
            <w:r w:rsidRPr="00AD1C76">
              <w:rPr>
                <w:sz w:val="20"/>
                <w:szCs w:val="20"/>
                <w:lang w:val="en-US"/>
              </w:rPr>
              <w:t>Côté</w:t>
            </w:r>
            <w:proofErr w:type="spellEnd"/>
            <w:r w:rsidRPr="00AD1C76">
              <w:rPr>
                <w:sz w:val="20"/>
                <w:szCs w:val="20"/>
                <w:lang w:val="en-US"/>
              </w:rPr>
              <w:t>, Brown and Rowe JJ.</w:t>
            </w:r>
          </w:p>
          <w:p w:rsidR="00AD1C76" w:rsidRPr="00AD1C76" w:rsidRDefault="00AD1C76" w:rsidP="00AD1C76">
            <w:pPr>
              <w:rPr>
                <w:lang w:val="en-US"/>
              </w:rPr>
            </w:pPr>
          </w:p>
        </w:tc>
      </w:tr>
      <w:tr w:rsidR="00083F3E" w:rsidRPr="00CD6D96" w:rsidTr="00083F3E">
        <w:tc>
          <w:tcPr>
            <w:tcW w:w="5000" w:type="pct"/>
            <w:gridSpan w:val="4"/>
          </w:tcPr>
          <w:p w:rsidR="00083F3E" w:rsidRDefault="00083F3E" w:rsidP="00CA774A">
            <w:pPr>
              <w:pStyle w:val="SCCLsocParty"/>
              <w:jc w:val="both"/>
              <w:rPr>
                <w:sz w:val="20"/>
                <w:szCs w:val="20"/>
                <w:lang w:val="en-US"/>
              </w:rPr>
            </w:pPr>
            <w:r w:rsidRPr="00083F3E">
              <w:rPr>
                <w:sz w:val="20"/>
                <w:szCs w:val="20"/>
                <w:lang w:val="en-US"/>
              </w:rPr>
              <w:t>The application for leave to appeal is dismissed for want of jurisdiction, without costs.</w:t>
            </w:r>
          </w:p>
          <w:p w:rsidR="00083F3E" w:rsidRPr="00083F3E" w:rsidRDefault="00083F3E" w:rsidP="00083F3E">
            <w:pPr>
              <w:rPr>
                <w:lang w:val="en-US"/>
              </w:rPr>
            </w:pPr>
          </w:p>
        </w:tc>
      </w:tr>
      <w:tr w:rsidR="00CA774A" w:rsidRPr="00CD6D96" w:rsidTr="00CA774A">
        <w:tc>
          <w:tcPr>
            <w:tcW w:w="5000" w:type="pct"/>
            <w:gridSpan w:val="4"/>
          </w:tcPr>
          <w:p w:rsidR="00CA774A" w:rsidRPr="00CD6D96" w:rsidRDefault="00CA774A" w:rsidP="00CA774A">
            <w:pPr>
              <w:pStyle w:val="SCCBanSummary"/>
              <w:rPr>
                <w:smallCaps w:val="0"/>
                <w:sz w:val="20"/>
                <w:szCs w:val="20"/>
              </w:rPr>
            </w:pPr>
            <w:r w:rsidRPr="00CD6D96">
              <w:rPr>
                <w:smallCaps w:val="0"/>
                <w:sz w:val="20"/>
                <w:szCs w:val="20"/>
              </w:rPr>
              <w:t>Civil procedure – appeals – decision of a registry officer – vexatious litigant – federal court ordering stay of all proceedings – applicant attempting to file notice of appeal – federal court of appeal directing registry not to accept materials for filing – whether this leave application raises an issue of national importance.</w:t>
            </w:r>
          </w:p>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In 2016, Mr. </w:t>
            </w:r>
            <w:proofErr w:type="spellStart"/>
            <w:r w:rsidRPr="00CD6D96">
              <w:rPr>
                <w:sz w:val="20"/>
                <w:szCs w:val="20"/>
              </w:rPr>
              <w:t>Olumide</w:t>
            </w:r>
            <w:proofErr w:type="spellEnd"/>
            <w:r w:rsidRPr="00CD6D96">
              <w:rPr>
                <w:sz w:val="20"/>
                <w:szCs w:val="20"/>
              </w:rPr>
              <w:t xml:space="preserve"> filed a statement of claim initiating an action before the Federal Court against the Supreme Court of Canada, the Federal Court and the Conservative Fund Canada making various allegations of fraud, discrimination and judicial misconduct.</w:t>
            </w:r>
          </w:p>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On October 4, 2016, the Federal Court granted</w:t>
            </w:r>
            <w:r w:rsidRPr="00CD6D96">
              <w:rPr>
                <w:spacing w:val="49"/>
                <w:sz w:val="20"/>
                <w:szCs w:val="20"/>
              </w:rPr>
              <w:t xml:space="preserve"> </w:t>
            </w:r>
            <w:r w:rsidRPr="00CD6D96">
              <w:rPr>
                <w:sz w:val="20"/>
                <w:szCs w:val="20"/>
              </w:rPr>
              <w:t>a</w:t>
            </w:r>
            <w:r w:rsidRPr="00CD6D96">
              <w:rPr>
                <w:spacing w:val="41"/>
                <w:sz w:val="20"/>
                <w:szCs w:val="20"/>
              </w:rPr>
              <w:t xml:space="preserve"> </w:t>
            </w:r>
            <w:r w:rsidRPr="00CD6D96">
              <w:rPr>
                <w:sz w:val="20"/>
                <w:szCs w:val="20"/>
              </w:rPr>
              <w:t>vexatious</w:t>
            </w:r>
            <w:r w:rsidRPr="00CD6D96">
              <w:rPr>
                <w:spacing w:val="55"/>
                <w:sz w:val="20"/>
                <w:szCs w:val="20"/>
              </w:rPr>
              <w:t xml:space="preserve"> </w:t>
            </w:r>
            <w:r w:rsidRPr="00CD6D96">
              <w:rPr>
                <w:sz w:val="20"/>
                <w:szCs w:val="20"/>
              </w:rPr>
              <w:t>litigant</w:t>
            </w:r>
            <w:r w:rsidRPr="00CD6D96">
              <w:rPr>
                <w:spacing w:val="46"/>
                <w:sz w:val="20"/>
                <w:szCs w:val="20"/>
              </w:rPr>
              <w:t xml:space="preserve"> </w:t>
            </w:r>
            <w:r w:rsidRPr="00CD6D96">
              <w:rPr>
                <w:sz w:val="20"/>
                <w:szCs w:val="20"/>
              </w:rPr>
              <w:t>application,</w:t>
            </w:r>
            <w:r w:rsidRPr="00CD6D96">
              <w:rPr>
                <w:spacing w:val="53"/>
                <w:sz w:val="20"/>
                <w:szCs w:val="20"/>
              </w:rPr>
              <w:t xml:space="preserve"> </w:t>
            </w:r>
            <w:r w:rsidRPr="00CD6D96">
              <w:rPr>
                <w:sz w:val="20"/>
                <w:szCs w:val="20"/>
              </w:rPr>
              <w:t>stayed</w:t>
            </w:r>
            <w:r w:rsidRPr="00CD6D96">
              <w:rPr>
                <w:spacing w:val="44"/>
                <w:sz w:val="20"/>
                <w:szCs w:val="20"/>
              </w:rPr>
              <w:t xml:space="preserve"> </w:t>
            </w:r>
            <w:r w:rsidRPr="00CD6D96">
              <w:rPr>
                <w:sz w:val="20"/>
                <w:szCs w:val="20"/>
              </w:rPr>
              <w:t>all existing</w:t>
            </w:r>
            <w:r w:rsidRPr="00CD6D96">
              <w:rPr>
                <w:spacing w:val="39"/>
                <w:sz w:val="20"/>
                <w:szCs w:val="20"/>
              </w:rPr>
              <w:t xml:space="preserve"> </w:t>
            </w:r>
            <w:r w:rsidRPr="00CD6D96">
              <w:rPr>
                <w:sz w:val="20"/>
                <w:szCs w:val="20"/>
              </w:rPr>
              <w:t>proceedings</w:t>
            </w:r>
            <w:r w:rsidRPr="00CD6D96">
              <w:rPr>
                <w:spacing w:val="22"/>
                <w:sz w:val="20"/>
                <w:szCs w:val="20"/>
              </w:rPr>
              <w:t xml:space="preserve"> </w:t>
            </w:r>
            <w:r w:rsidRPr="00CD6D96">
              <w:rPr>
                <w:sz w:val="20"/>
                <w:szCs w:val="20"/>
              </w:rPr>
              <w:t>initiated</w:t>
            </w:r>
            <w:r w:rsidRPr="00CD6D96">
              <w:rPr>
                <w:spacing w:val="45"/>
                <w:sz w:val="20"/>
                <w:szCs w:val="20"/>
              </w:rPr>
              <w:t xml:space="preserve"> </w:t>
            </w:r>
            <w:r w:rsidRPr="00CD6D96">
              <w:rPr>
                <w:sz w:val="20"/>
                <w:szCs w:val="20"/>
              </w:rPr>
              <w:t>by</w:t>
            </w:r>
            <w:r w:rsidRPr="00CD6D96">
              <w:rPr>
                <w:spacing w:val="54"/>
                <w:sz w:val="20"/>
                <w:szCs w:val="20"/>
              </w:rPr>
              <w:t xml:space="preserve"> </w:t>
            </w:r>
            <w:r w:rsidRPr="00CD6D96">
              <w:rPr>
                <w:sz w:val="20"/>
                <w:szCs w:val="20"/>
              </w:rPr>
              <w:t>Mr. </w:t>
            </w:r>
            <w:proofErr w:type="spellStart"/>
            <w:r w:rsidRPr="00CD6D96">
              <w:rPr>
                <w:sz w:val="20"/>
                <w:szCs w:val="20"/>
              </w:rPr>
              <w:t>Olumide</w:t>
            </w:r>
            <w:proofErr w:type="spellEnd"/>
            <w:r w:rsidRPr="00CD6D96">
              <w:rPr>
                <w:spacing w:val="15"/>
                <w:sz w:val="20"/>
                <w:szCs w:val="20"/>
              </w:rPr>
              <w:t xml:space="preserve"> </w:t>
            </w:r>
            <w:r w:rsidRPr="00CD6D96">
              <w:rPr>
                <w:sz w:val="20"/>
                <w:szCs w:val="20"/>
              </w:rPr>
              <w:t>and</w:t>
            </w:r>
            <w:r w:rsidRPr="00CD6D96">
              <w:rPr>
                <w:spacing w:val="56"/>
                <w:sz w:val="20"/>
                <w:szCs w:val="20"/>
              </w:rPr>
              <w:t xml:space="preserve"> </w:t>
            </w:r>
            <w:r w:rsidRPr="00CD6D96">
              <w:rPr>
                <w:sz w:val="20"/>
                <w:szCs w:val="20"/>
              </w:rPr>
              <w:t>enjoined</w:t>
            </w:r>
            <w:r w:rsidRPr="00CD6D96">
              <w:rPr>
                <w:spacing w:val="2"/>
                <w:sz w:val="20"/>
                <w:szCs w:val="20"/>
              </w:rPr>
              <w:t xml:space="preserve"> </w:t>
            </w:r>
            <w:r w:rsidRPr="00CD6D96">
              <w:rPr>
                <w:sz w:val="20"/>
                <w:szCs w:val="20"/>
              </w:rPr>
              <w:t>him</w:t>
            </w:r>
            <w:r w:rsidRPr="00CD6D96">
              <w:rPr>
                <w:spacing w:val="54"/>
                <w:sz w:val="20"/>
                <w:szCs w:val="20"/>
              </w:rPr>
              <w:t xml:space="preserve"> </w:t>
            </w:r>
            <w:r w:rsidRPr="00CD6D96">
              <w:rPr>
                <w:sz w:val="20"/>
                <w:szCs w:val="20"/>
              </w:rPr>
              <w:t>from</w:t>
            </w:r>
            <w:r w:rsidRPr="00CD6D96">
              <w:rPr>
                <w:spacing w:val="57"/>
                <w:sz w:val="20"/>
                <w:szCs w:val="20"/>
              </w:rPr>
              <w:t xml:space="preserve"> </w:t>
            </w:r>
            <w:r w:rsidRPr="00CD6D96">
              <w:rPr>
                <w:sz w:val="20"/>
                <w:szCs w:val="20"/>
              </w:rPr>
              <w:t>initiating</w:t>
            </w:r>
            <w:r w:rsidRPr="00CD6D96">
              <w:rPr>
                <w:spacing w:val="2"/>
                <w:sz w:val="20"/>
                <w:szCs w:val="20"/>
              </w:rPr>
              <w:t xml:space="preserve"> </w:t>
            </w:r>
            <w:r w:rsidRPr="00CD6D96">
              <w:rPr>
                <w:sz w:val="20"/>
                <w:szCs w:val="20"/>
              </w:rPr>
              <w:t>new</w:t>
            </w:r>
            <w:r w:rsidRPr="00CD6D96">
              <w:rPr>
                <w:w w:val="102"/>
                <w:sz w:val="20"/>
                <w:szCs w:val="20"/>
              </w:rPr>
              <w:t xml:space="preserve"> </w:t>
            </w:r>
            <w:r w:rsidRPr="00CD6D96">
              <w:rPr>
                <w:sz w:val="20"/>
                <w:szCs w:val="20"/>
              </w:rPr>
              <w:t>proceedings</w:t>
            </w:r>
            <w:r w:rsidRPr="00CD6D96">
              <w:rPr>
                <w:spacing w:val="30"/>
                <w:sz w:val="20"/>
                <w:szCs w:val="20"/>
              </w:rPr>
              <w:t xml:space="preserve"> </w:t>
            </w:r>
            <w:r w:rsidRPr="00CD6D96">
              <w:rPr>
                <w:sz w:val="20"/>
                <w:szCs w:val="20"/>
              </w:rPr>
              <w:t>except</w:t>
            </w:r>
            <w:r w:rsidRPr="00CD6D96">
              <w:rPr>
                <w:spacing w:val="24"/>
                <w:sz w:val="20"/>
                <w:szCs w:val="20"/>
              </w:rPr>
              <w:t xml:space="preserve"> </w:t>
            </w:r>
            <w:r w:rsidRPr="00CD6D96">
              <w:rPr>
                <w:sz w:val="20"/>
                <w:szCs w:val="20"/>
              </w:rPr>
              <w:t>by</w:t>
            </w:r>
            <w:r w:rsidRPr="00CD6D96">
              <w:rPr>
                <w:spacing w:val="29"/>
                <w:sz w:val="20"/>
                <w:szCs w:val="20"/>
              </w:rPr>
              <w:t xml:space="preserve"> </w:t>
            </w:r>
            <w:r w:rsidRPr="00CD6D96">
              <w:rPr>
                <w:w w:val="80"/>
                <w:sz w:val="20"/>
                <w:szCs w:val="20"/>
              </w:rPr>
              <w:t>le</w:t>
            </w:r>
            <w:r w:rsidRPr="00CD6D96">
              <w:rPr>
                <w:sz w:val="20"/>
                <w:szCs w:val="20"/>
              </w:rPr>
              <w:t>ave</w:t>
            </w:r>
            <w:r w:rsidRPr="00CD6D96">
              <w:rPr>
                <w:spacing w:val="5"/>
                <w:sz w:val="20"/>
                <w:szCs w:val="20"/>
              </w:rPr>
              <w:t xml:space="preserve"> </w:t>
            </w:r>
            <w:r w:rsidRPr="00CD6D96">
              <w:rPr>
                <w:sz w:val="20"/>
                <w:szCs w:val="20"/>
              </w:rPr>
              <w:t>of</w:t>
            </w:r>
            <w:r w:rsidRPr="00CD6D96">
              <w:rPr>
                <w:spacing w:val="5"/>
                <w:sz w:val="20"/>
                <w:szCs w:val="20"/>
              </w:rPr>
              <w:t xml:space="preserve"> </w:t>
            </w:r>
            <w:r w:rsidRPr="00CD6D96">
              <w:rPr>
                <w:sz w:val="20"/>
                <w:szCs w:val="20"/>
              </w:rPr>
              <w:t>the</w:t>
            </w:r>
            <w:r w:rsidRPr="00CD6D96">
              <w:rPr>
                <w:spacing w:val="14"/>
                <w:sz w:val="20"/>
                <w:szCs w:val="20"/>
              </w:rPr>
              <w:t xml:space="preserve"> </w:t>
            </w:r>
            <w:r w:rsidRPr="00CD6D96">
              <w:rPr>
                <w:spacing w:val="1"/>
                <w:sz w:val="20"/>
                <w:szCs w:val="20"/>
              </w:rPr>
              <w:t>Court</w:t>
            </w:r>
            <w:r w:rsidRPr="00CD6D96">
              <w:rPr>
                <w:rFonts w:eastAsia="Arial"/>
                <w:w w:val="80"/>
                <w:sz w:val="20"/>
                <w:szCs w:val="20"/>
              </w:rPr>
              <w:t>.</w:t>
            </w:r>
            <w:r w:rsidRPr="00CD6D96">
              <w:rPr>
                <w:sz w:val="20"/>
                <w:szCs w:val="20"/>
              </w:rPr>
              <w:t xml:space="preserve"> </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October 4, 2016</w:t>
            </w:r>
          </w:p>
          <w:p w:rsidR="00CA774A" w:rsidRPr="00CD6D96" w:rsidRDefault="00CA774A" w:rsidP="00CA774A">
            <w:pPr>
              <w:jc w:val="both"/>
              <w:rPr>
                <w:sz w:val="20"/>
                <w:szCs w:val="20"/>
              </w:rPr>
            </w:pPr>
            <w:r w:rsidRPr="00CD6D96">
              <w:rPr>
                <w:sz w:val="20"/>
                <w:szCs w:val="20"/>
              </w:rPr>
              <w:t>Federal Court</w:t>
            </w:r>
          </w:p>
          <w:p w:rsidR="00CA774A" w:rsidRPr="00CD6D96" w:rsidRDefault="00CA774A" w:rsidP="00CA774A">
            <w:pPr>
              <w:jc w:val="both"/>
              <w:rPr>
                <w:sz w:val="20"/>
                <w:szCs w:val="20"/>
              </w:rPr>
            </w:pPr>
            <w:r w:rsidRPr="00CD6D96">
              <w:rPr>
                <w:sz w:val="20"/>
                <w:szCs w:val="20"/>
              </w:rPr>
              <w:t>(Martineau J.)</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Vexatious litigant application granted</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October 21, 2016</w:t>
            </w:r>
          </w:p>
          <w:p w:rsidR="00CA774A" w:rsidRPr="00CD6D96" w:rsidRDefault="00CA774A" w:rsidP="00CA774A">
            <w:pPr>
              <w:jc w:val="both"/>
              <w:rPr>
                <w:sz w:val="20"/>
                <w:szCs w:val="20"/>
              </w:rPr>
            </w:pPr>
            <w:r w:rsidRPr="00CD6D96">
              <w:rPr>
                <w:sz w:val="20"/>
                <w:szCs w:val="20"/>
              </w:rPr>
              <w:t>Federal Court of Appeal</w:t>
            </w:r>
          </w:p>
          <w:p w:rsidR="00CA774A" w:rsidRPr="00CD6D96" w:rsidRDefault="00CA774A" w:rsidP="00CA774A">
            <w:pPr>
              <w:jc w:val="both"/>
              <w:rPr>
                <w:sz w:val="20"/>
                <w:szCs w:val="20"/>
              </w:rPr>
            </w:pPr>
            <w:r w:rsidRPr="00CD6D96">
              <w:rPr>
                <w:sz w:val="20"/>
                <w:szCs w:val="20"/>
              </w:rPr>
              <w:t>(Pelletier J.A.)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Direction to Federal Court Appeal Registry to return Mr. </w:t>
            </w:r>
            <w:proofErr w:type="spellStart"/>
            <w:r w:rsidRPr="00CD6D96">
              <w:rPr>
                <w:sz w:val="20"/>
                <w:szCs w:val="20"/>
              </w:rPr>
              <w:t>Olumide’s</w:t>
            </w:r>
            <w:proofErr w:type="spellEnd"/>
            <w:r w:rsidRPr="00CD6D96">
              <w:rPr>
                <w:sz w:val="20"/>
                <w:szCs w:val="20"/>
              </w:rPr>
              <w:t xml:space="preserve"> notice of appeal</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January 27,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64" style="width:2in;height:1pt" o:hrpct="0" o:hralign="center" o:hrstd="t" o:hrnoshade="t" o:hr="t" fillcolor="black [3213]" stroked="f"/>
        </w:pict>
      </w:r>
    </w:p>
    <w:p w:rsidR="00CA774A" w:rsidRPr="00CD6D96" w:rsidRDefault="00CA774A" w:rsidP="00CA774A">
      <w:pPr>
        <w:jc w:val="both"/>
        <w:rPr>
          <w:sz w:val="20"/>
          <w:szCs w:val="20"/>
        </w:rPr>
      </w:pPr>
    </w:p>
    <w:p w:rsidR="00083F3E" w:rsidRDefault="00083F3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lastRenderedPageBreak/>
              <w:t>37761</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Ade Olumide c. Cour suprême du Canada, Cour fédérale du Canada</w:t>
            </w:r>
            <w:r w:rsidR="006A2954">
              <w:rPr>
                <w:b/>
                <w:sz w:val="20"/>
                <w:szCs w:val="20"/>
              </w:rPr>
              <w:t xml:space="preserve"> et</w:t>
            </w:r>
            <w:r w:rsidRPr="00CD6D96">
              <w:rPr>
                <w:b/>
                <w:sz w:val="20"/>
                <w:szCs w:val="20"/>
              </w:rPr>
              <w:t xml:space="preserve"> Conservative </w:t>
            </w:r>
            <w:proofErr w:type="spellStart"/>
            <w:r w:rsidRPr="00CD6D96">
              <w:rPr>
                <w:b/>
                <w:sz w:val="20"/>
                <w:szCs w:val="20"/>
              </w:rPr>
              <w:t>Fund</w:t>
            </w:r>
            <w:proofErr w:type="spellEnd"/>
            <w:r w:rsidRPr="00CD6D96">
              <w:rPr>
                <w:b/>
                <w:sz w:val="20"/>
                <w:szCs w:val="20"/>
              </w:rPr>
              <w:t xml:space="preserve"> Canada</w:t>
            </w:r>
          </w:p>
          <w:p w:rsidR="00CA774A" w:rsidRPr="00CD6D96" w:rsidRDefault="00CA774A" w:rsidP="00CA774A">
            <w:pPr>
              <w:jc w:val="both"/>
              <w:rPr>
                <w:sz w:val="20"/>
                <w:szCs w:val="20"/>
                <w:lang w:val="fr-CA"/>
              </w:rPr>
            </w:pPr>
            <w:r w:rsidRPr="00CD6D96">
              <w:rPr>
                <w:sz w:val="20"/>
                <w:szCs w:val="20"/>
                <w:lang w:val="fr-CA"/>
              </w:rPr>
              <w:t>(C</w:t>
            </w:r>
            <w:r w:rsidR="00083F3E">
              <w:rPr>
                <w:sz w:val="20"/>
                <w:szCs w:val="20"/>
                <w:lang w:val="fr-CA"/>
              </w:rPr>
              <w:t>.</w:t>
            </w:r>
            <w:r w:rsidRPr="00CD6D96">
              <w:rPr>
                <w:sz w:val="20"/>
                <w:szCs w:val="20"/>
                <w:lang w:val="fr-CA"/>
              </w:rPr>
              <w:t>F</w:t>
            </w:r>
            <w:r w:rsidR="00083F3E">
              <w:rPr>
                <w:sz w:val="20"/>
                <w:szCs w:val="20"/>
                <w:lang w:val="fr-CA"/>
              </w:rPr>
              <w:t>.</w:t>
            </w:r>
            <w:r w:rsidRPr="00CD6D96">
              <w:rPr>
                <w:sz w:val="20"/>
                <w:szCs w:val="20"/>
                <w:lang w:val="fr-CA"/>
              </w:rPr>
              <w:t>) (Civile) (Sur autorisation)</w:t>
            </w:r>
          </w:p>
        </w:tc>
      </w:tr>
      <w:tr w:rsidR="00083F3E" w:rsidRPr="00F964D5" w:rsidTr="00CA774A">
        <w:tc>
          <w:tcPr>
            <w:tcW w:w="543" w:type="pct"/>
          </w:tcPr>
          <w:p w:rsidR="00083F3E" w:rsidRPr="00CD6D96" w:rsidRDefault="00083F3E"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083F3E" w:rsidRDefault="00083F3E" w:rsidP="00CA774A">
            <w:pPr>
              <w:pStyle w:val="SCCLsocParty"/>
              <w:jc w:val="both"/>
              <w:rPr>
                <w:sz w:val="20"/>
                <w:szCs w:val="20"/>
              </w:rPr>
            </w:pPr>
            <w:r w:rsidRPr="004B33A7">
              <w:rPr>
                <w:sz w:val="20"/>
                <w:szCs w:val="20"/>
              </w:rPr>
              <w:t xml:space="preserve">La juge en chef </w:t>
            </w:r>
            <w:proofErr w:type="spellStart"/>
            <w:r w:rsidRPr="004B33A7">
              <w:rPr>
                <w:sz w:val="20"/>
                <w:szCs w:val="20"/>
              </w:rPr>
              <w:t>McLachlin</w:t>
            </w:r>
            <w:proofErr w:type="spellEnd"/>
            <w:r w:rsidRPr="004B33A7">
              <w:rPr>
                <w:sz w:val="20"/>
                <w:szCs w:val="20"/>
              </w:rPr>
              <w:t xml:space="preserve"> et les juges Abella, </w:t>
            </w:r>
            <w:proofErr w:type="spellStart"/>
            <w:r w:rsidRPr="004B33A7">
              <w:rPr>
                <w:sz w:val="20"/>
                <w:szCs w:val="20"/>
              </w:rPr>
              <w:t>Moldaver</w:t>
            </w:r>
            <w:proofErr w:type="spellEnd"/>
            <w:r w:rsidRPr="004B33A7">
              <w:rPr>
                <w:sz w:val="20"/>
                <w:szCs w:val="20"/>
              </w:rPr>
              <w:t xml:space="preserve">, </w:t>
            </w:r>
            <w:proofErr w:type="spellStart"/>
            <w:r w:rsidRPr="004B33A7">
              <w:rPr>
                <w:sz w:val="20"/>
                <w:szCs w:val="20"/>
              </w:rPr>
              <w:t>Karakatsanis</w:t>
            </w:r>
            <w:proofErr w:type="spellEnd"/>
            <w:r w:rsidRPr="004B33A7">
              <w:rPr>
                <w:sz w:val="20"/>
                <w:szCs w:val="20"/>
              </w:rPr>
              <w:t>, Wagner, Gascon, Côté, Brown et Rowe</w:t>
            </w:r>
          </w:p>
          <w:p w:rsidR="00083F3E" w:rsidRPr="00083F3E" w:rsidRDefault="00083F3E" w:rsidP="00083F3E">
            <w:pPr>
              <w:rPr>
                <w:lang w:val="fr-CA"/>
              </w:rPr>
            </w:pPr>
          </w:p>
        </w:tc>
      </w:tr>
      <w:tr w:rsidR="00083F3E" w:rsidRPr="00F964D5" w:rsidTr="00083F3E">
        <w:tc>
          <w:tcPr>
            <w:tcW w:w="5000" w:type="pct"/>
            <w:gridSpan w:val="4"/>
          </w:tcPr>
          <w:p w:rsidR="00083F3E" w:rsidRDefault="00083F3E" w:rsidP="00CA774A">
            <w:pPr>
              <w:pStyle w:val="SCCLsocParty"/>
              <w:jc w:val="both"/>
              <w:rPr>
                <w:sz w:val="20"/>
                <w:szCs w:val="20"/>
              </w:rPr>
            </w:pPr>
            <w:r w:rsidRPr="004B33A7">
              <w:rPr>
                <w:sz w:val="20"/>
                <w:szCs w:val="20"/>
              </w:rPr>
              <w:t>La demande d’autorisation d’appel est rejetée pour défaut de compétence, sans dépens.</w:t>
            </w:r>
          </w:p>
          <w:p w:rsidR="00083F3E" w:rsidRPr="00083F3E" w:rsidRDefault="00083F3E" w:rsidP="00083F3E">
            <w:pPr>
              <w:rPr>
                <w:lang w:val="fr-CA"/>
              </w:rPr>
            </w:pPr>
          </w:p>
        </w:tc>
      </w:tr>
      <w:tr w:rsidR="00CA774A" w:rsidRPr="00F964D5" w:rsidTr="00CA774A">
        <w:tc>
          <w:tcPr>
            <w:tcW w:w="5000" w:type="pct"/>
            <w:gridSpan w:val="4"/>
          </w:tcPr>
          <w:p w:rsidR="00CA774A" w:rsidRPr="00CD6D96" w:rsidRDefault="00CA774A" w:rsidP="00CA774A">
            <w:pPr>
              <w:pStyle w:val="SCCBanSummary"/>
              <w:rPr>
                <w:smallCaps w:val="0"/>
                <w:sz w:val="20"/>
                <w:szCs w:val="20"/>
                <w:lang w:val="fr-CA"/>
              </w:rPr>
            </w:pPr>
            <w:r w:rsidRPr="00CD6D96">
              <w:rPr>
                <w:smallCaps w:val="0"/>
                <w:sz w:val="20"/>
                <w:szCs w:val="20"/>
                <w:lang w:val="fr-CA"/>
              </w:rPr>
              <w:t>Procédure civile – Appels – Décision d’un agent du greffe – Plaideur quérulent – La Cour fédérale a ordonné la suspension de toutes les instances – Le demandeur tente de déposer un avis d’appel – La Cour d’appel fédérale a ordonné au greffe de ne pas accepter de documents en vue de leur dépôt – La présente demande d’autorisation d’appel soulève-t-elle des questions d’importance nationale?</w:t>
            </w:r>
          </w:p>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En 2016, M. Olumide a déposé une déclaration introduisant une action en Cour fédérale contre la Cour suprême du Canada, la Cour fédérale et le Conservative </w:t>
            </w:r>
            <w:proofErr w:type="spellStart"/>
            <w:r w:rsidRPr="00CD6D96">
              <w:rPr>
                <w:sz w:val="20"/>
                <w:szCs w:val="20"/>
                <w:lang w:val="fr-CA"/>
              </w:rPr>
              <w:t>Fund</w:t>
            </w:r>
            <w:proofErr w:type="spellEnd"/>
            <w:r w:rsidRPr="00CD6D96">
              <w:rPr>
                <w:sz w:val="20"/>
                <w:szCs w:val="20"/>
                <w:lang w:val="fr-CA"/>
              </w:rPr>
              <w:t xml:space="preserve"> Canada, faisant diverses allégations de fraude, de discrimination et d’inconduite judiciaire.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Le 4 octobre 2016, la Cour fédérale a accueilli la demande en vue de déclarer M. Olumide plaideur quérulent, a annulé toutes les instances existantes introduites par ce dernier et lui a interdit d’introduire toute nouvelle instance à moins d’avoir obtenu l’autorisation de la Cour</w:t>
            </w:r>
            <w:r w:rsidRPr="00CD6D96">
              <w:rPr>
                <w:rFonts w:eastAsia="Arial"/>
                <w:w w:val="80"/>
                <w:sz w:val="20"/>
                <w:szCs w:val="20"/>
                <w:lang w:val="fr-CA"/>
              </w:rPr>
              <w:t>.</w:t>
            </w:r>
            <w:r w:rsidRPr="00CD6D96">
              <w:rPr>
                <w:sz w:val="20"/>
                <w:szCs w:val="20"/>
                <w:lang w:val="fr-CA"/>
              </w:rPr>
              <w:t xml:space="preserve"> </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4 octobre 2016</w:t>
            </w:r>
          </w:p>
          <w:p w:rsidR="00CA774A" w:rsidRPr="00CD6D96" w:rsidRDefault="00CA774A" w:rsidP="00CA774A">
            <w:pPr>
              <w:jc w:val="both"/>
              <w:rPr>
                <w:sz w:val="20"/>
                <w:szCs w:val="20"/>
                <w:lang w:val="fr-CA"/>
              </w:rPr>
            </w:pPr>
            <w:r w:rsidRPr="00CD6D96">
              <w:rPr>
                <w:sz w:val="20"/>
                <w:szCs w:val="20"/>
                <w:lang w:val="fr-CA"/>
              </w:rPr>
              <w:t>Cour fédérale</w:t>
            </w:r>
          </w:p>
          <w:p w:rsidR="00CA774A" w:rsidRPr="00CD6D96" w:rsidRDefault="00CA774A" w:rsidP="00CA774A">
            <w:pPr>
              <w:jc w:val="both"/>
              <w:rPr>
                <w:sz w:val="20"/>
                <w:szCs w:val="20"/>
                <w:lang w:val="fr-CA"/>
              </w:rPr>
            </w:pPr>
            <w:r w:rsidRPr="00CD6D96">
              <w:rPr>
                <w:sz w:val="20"/>
                <w:szCs w:val="20"/>
                <w:lang w:val="fr-CA"/>
              </w:rPr>
              <w:t>(Juge Martineau)</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Jugement accueillant la demande de déclaration de plaideur vexatoire</w:t>
            </w: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21 octobre 2016</w:t>
            </w:r>
          </w:p>
          <w:p w:rsidR="00CA774A" w:rsidRPr="00CD6D96" w:rsidRDefault="00CA774A" w:rsidP="00CA774A">
            <w:pPr>
              <w:jc w:val="both"/>
              <w:rPr>
                <w:sz w:val="20"/>
                <w:szCs w:val="20"/>
                <w:lang w:val="fr-CA"/>
              </w:rPr>
            </w:pPr>
            <w:r w:rsidRPr="00CD6D96">
              <w:rPr>
                <w:sz w:val="20"/>
                <w:szCs w:val="20"/>
                <w:lang w:val="fr-CA"/>
              </w:rPr>
              <w:t>Cour d’appel fédérale</w:t>
            </w:r>
          </w:p>
          <w:p w:rsidR="00CA774A" w:rsidRPr="00CD6D96" w:rsidRDefault="00CA774A" w:rsidP="00CA774A">
            <w:pPr>
              <w:jc w:val="both"/>
              <w:rPr>
                <w:sz w:val="20"/>
                <w:szCs w:val="20"/>
                <w:lang w:val="fr-CA"/>
              </w:rPr>
            </w:pPr>
            <w:r w:rsidRPr="00CD6D96">
              <w:rPr>
                <w:sz w:val="20"/>
                <w:szCs w:val="20"/>
                <w:lang w:val="fr-CA"/>
              </w:rPr>
              <w:t>(Juge Pelletier)</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Directive au greffe de la Cour d’appel fédérale de retourner l’avis d’appel de M. Olumide</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27 janvier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65"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37687</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Her Majesty the Queen v. Douglas Morrison</w:t>
            </w:r>
          </w:p>
          <w:p w:rsidR="00CA774A" w:rsidRPr="00CD6D96" w:rsidRDefault="00CA774A" w:rsidP="00CA774A">
            <w:pPr>
              <w:jc w:val="both"/>
              <w:rPr>
                <w:sz w:val="20"/>
                <w:szCs w:val="20"/>
              </w:rPr>
            </w:pPr>
            <w:r w:rsidRPr="00CD6D96">
              <w:rPr>
                <w:sz w:val="20"/>
                <w:szCs w:val="20"/>
              </w:rPr>
              <w:t>(Ont.) (Criminal) (By Leave)</w:t>
            </w:r>
          </w:p>
        </w:tc>
      </w:tr>
      <w:tr w:rsidR="00083F3E" w:rsidRPr="00CD6D96" w:rsidTr="00CA774A">
        <w:tc>
          <w:tcPr>
            <w:tcW w:w="543" w:type="pct"/>
          </w:tcPr>
          <w:p w:rsidR="00083F3E" w:rsidRPr="00CD6D96" w:rsidRDefault="00083F3E" w:rsidP="00CA774A">
            <w:pPr>
              <w:jc w:val="both"/>
              <w:rPr>
                <w:rStyle w:val="SCCFileNumberChar"/>
                <w:sz w:val="20"/>
                <w:szCs w:val="20"/>
              </w:rPr>
            </w:pPr>
            <w:r>
              <w:rPr>
                <w:rStyle w:val="SCCFileNumberChar"/>
                <w:sz w:val="20"/>
                <w:szCs w:val="20"/>
              </w:rPr>
              <w:t>Coram:</w:t>
            </w:r>
          </w:p>
        </w:tc>
        <w:tc>
          <w:tcPr>
            <w:tcW w:w="4457" w:type="pct"/>
            <w:gridSpan w:val="3"/>
          </w:tcPr>
          <w:p w:rsidR="00083F3E" w:rsidRDefault="00FB48F9" w:rsidP="00CA774A">
            <w:pPr>
              <w:pStyle w:val="SCCLsocParty"/>
              <w:jc w:val="both"/>
              <w:rPr>
                <w:sz w:val="20"/>
                <w:szCs w:val="20"/>
                <w:lang w:val="en-US"/>
              </w:rPr>
            </w:pPr>
            <w:proofErr w:type="spellStart"/>
            <w:r w:rsidRPr="00FB48F9">
              <w:rPr>
                <w:sz w:val="20"/>
                <w:szCs w:val="20"/>
                <w:lang w:val="en-US"/>
              </w:rPr>
              <w:t>McLachlin</w:t>
            </w:r>
            <w:proofErr w:type="spellEnd"/>
            <w:r w:rsidRPr="00FB48F9">
              <w:rPr>
                <w:sz w:val="20"/>
                <w:szCs w:val="20"/>
                <w:lang w:val="en-US"/>
              </w:rPr>
              <w:t xml:space="preserve"> C.J. and </w:t>
            </w:r>
            <w:proofErr w:type="spellStart"/>
            <w:r w:rsidRPr="00FB48F9">
              <w:rPr>
                <w:sz w:val="20"/>
                <w:szCs w:val="20"/>
                <w:lang w:val="en-US"/>
              </w:rPr>
              <w:t>Abella</w:t>
            </w:r>
            <w:proofErr w:type="spellEnd"/>
            <w:r w:rsidRPr="00FB48F9">
              <w:rPr>
                <w:sz w:val="20"/>
                <w:szCs w:val="20"/>
                <w:lang w:val="en-US"/>
              </w:rPr>
              <w:t xml:space="preserve">, </w:t>
            </w:r>
            <w:proofErr w:type="spellStart"/>
            <w:r w:rsidRPr="00FB48F9">
              <w:rPr>
                <w:sz w:val="20"/>
                <w:szCs w:val="20"/>
                <w:lang w:val="en-US"/>
              </w:rPr>
              <w:t>Moldaver</w:t>
            </w:r>
            <w:proofErr w:type="spellEnd"/>
            <w:r w:rsidRPr="00FB48F9">
              <w:rPr>
                <w:sz w:val="20"/>
                <w:szCs w:val="20"/>
                <w:lang w:val="en-US"/>
              </w:rPr>
              <w:t xml:space="preserve">, </w:t>
            </w:r>
            <w:proofErr w:type="spellStart"/>
            <w:r w:rsidRPr="00FB48F9">
              <w:rPr>
                <w:sz w:val="20"/>
                <w:szCs w:val="20"/>
                <w:lang w:val="en-US"/>
              </w:rPr>
              <w:t>Karakatsanis</w:t>
            </w:r>
            <w:proofErr w:type="spellEnd"/>
            <w:r w:rsidRPr="00FB48F9">
              <w:rPr>
                <w:sz w:val="20"/>
                <w:szCs w:val="20"/>
                <w:lang w:val="en-US"/>
              </w:rPr>
              <w:t xml:space="preserve">, Wagner, </w:t>
            </w:r>
            <w:proofErr w:type="spellStart"/>
            <w:r w:rsidRPr="00FB48F9">
              <w:rPr>
                <w:sz w:val="20"/>
                <w:szCs w:val="20"/>
                <w:lang w:val="en-US"/>
              </w:rPr>
              <w:t>Gascon</w:t>
            </w:r>
            <w:proofErr w:type="spellEnd"/>
            <w:r w:rsidRPr="00FB48F9">
              <w:rPr>
                <w:sz w:val="20"/>
                <w:szCs w:val="20"/>
                <w:lang w:val="en-US"/>
              </w:rPr>
              <w:t xml:space="preserve">, </w:t>
            </w:r>
            <w:proofErr w:type="spellStart"/>
            <w:r w:rsidRPr="00FB48F9">
              <w:rPr>
                <w:sz w:val="20"/>
                <w:szCs w:val="20"/>
                <w:lang w:val="en-US"/>
              </w:rPr>
              <w:t>Côté</w:t>
            </w:r>
            <w:proofErr w:type="spellEnd"/>
            <w:r w:rsidRPr="00FB48F9">
              <w:rPr>
                <w:sz w:val="20"/>
                <w:szCs w:val="20"/>
                <w:lang w:val="en-US"/>
              </w:rPr>
              <w:t>, Brown and Rowe JJ.</w:t>
            </w:r>
          </w:p>
          <w:p w:rsidR="00FB48F9" w:rsidRPr="00FB48F9" w:rsidRDefault="00FB48F9" w:rsidP="00FB48F9">
            <w:pPr>
              <w:rPr>
                <w:lang w:val="en-US"/>
              </w:rPr>
            </w:pPr>
          </w:p>
        </w:tc>
      </w:tr>
      <w:tr w:rsidR="00083F3E" w:rsidRPr="00CD6D96" w:rsidTr="00083F3E">
        <w:tc>
          <w:tcPr>
            <w:tcW w:w="5000" w:type="pct"/>
            <w:gridSpan w:val="4"/>
          </w:tcPr>
          <w:p w:rsidR="00083F3E" w:rsidRDefault="00FB48F9" w:rsidP="00CA774A">
            <w:pPr>
              <w:pStyle w:val="SCCLsocParty"/>
              <w:jc w:val="both"/>
              <w:rPr>
                <w:sz w:val="20"/>
                <w:szCs w:val="20"/>
                <w:lang w:val="en-US"/>
              </w:rPr>
            </w:pPr>
            <w:r w:rsidRPr="00FB48F9">
              <w:rPr>
                <w:sz w:val="20"/>
                <w:szCs w:val="20"/>
                <w:lang w:val="en-US"/>
              </w:rPr>
              <w:t xml:space="preserve">The motion to appoint an </w:t>
            </w:r>
            <w:r w:rsidRPr="00FB48F9">
              <w:rPr>
                <w:i/>
                <w:sz w:val="20"/>
                <w:szCs w:val="20"/>
                <w:lang w:val="en-US"/>
              </w:rPr>
              <w:t>amicus curiae</w:t>
            </w:r>
            <w:r w:rsidRPr="00FB48F9">
              <w:rPr>
                <w:sz w:val="20"/>
                <w:szCs w:val="20"/>
                <w:lang w:val="en-US"/>
              </w:rPr>
              <w:t xml:space="preserve"> is granted.  The application for leave to appeal and the application for leave to cross-appeal from the judgments of the Court of Appeal for Ontario, Numbers C61097 and C61110, 2017 ONCA 582, dated July 10, 2017, are granted.</w:t>
            </w:r>
          </w:p>
          <w:p w:rsidR="00FB48F9" w:rsidRPr="00FB48F9" w:rsidRDefault="00FB48F9" w:rsidP="00FB48F9">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i/>
                <w:sz w:val="20"/>
                <w:szCs w:val="20"/>
              </w:rPr>
              <w:t>Charter of Rights</w:t>
            </w:r>
            <w:r w:rsidRPr="00CD6D96">
              <w:rPr>
                <w:sz w:val="20"/>
                <w:szCs w:val="20"/>
              </w:rPr>
              <w:t xml:space="preserve"> – Constitutional law – Criminal law – Right to life, liberty and security of the person – Right to a fair hearing – Cruel and unusual punishment – Sentencing – Child luring – Whether the Court of Appeal erred in finding that the presumption of belief in age in s. 172.1(3) of the </w:t>
            </w:r>
            <w:r w:rsidRPr="00CD6D96">
              <w:rPr>
                <w:i/>
                <w:sz w:val="20"/>
                <w:szCs w:val="20"/>
              </w:rPr>
              <w:t>Criminal Code,</w:t>
            </w:r>
            <w:r w:rsidRPr="00CD6D96">
              <w:rPr>
                <w:b/>
                <w:i/>
                <w:sz w:val="20"/>
                <w:szCs w:val="20"/>
              </w:rPr>
              <w:t xml:space="preserve"> </w:t>
            </w:r>
            <w:r w:rsidRPr="00CD6D96">
              <w:rPr>
                <w:sz w:val="20"/>
                <w:szCs w:val="20"/>
                <w:lang w:val="en"/>
              </w:rPr>
              <w:t xml:space="preserve">R.S.C. c. C-46 </w:t>
            </w:r>
            <w:r w:rsidRPr="00CD6D96">
              <w:rPr>
                <w:sz w:val="20"/>
                <w:szCs w:val="20"/>
              </w:rPr>
              <w:t xml:space="preserve">infringes the right to be presumed innocent under s. 11(d) of the </w:t>
            </w:r>
            <w:r w:rsidRPr="00CD6D96">
              <w:rPr>
                <w:i/>
                <w:sz w:val="20"/>
                <w:szCs w:val="20"/>
              </w:rPr>
              <w:t>Charter</w:t>
            </w:r>
            <w:r w:rsidRPr="00CD6D96">
              <w:rPr>
                <w:sz w:val="20"/>
                <w:szCs w:val="20"/>
              </w:rPr>
              <w:t xml:space="preserve"> – In the alternative, if there is a s.11(d) </w:t>
            </w:r>
            <w:r w:rsidRPr="00CD6D96">
              <w:rPr>
                <w:i/>
                <w:sz w:val="20"/>
                <w:szCs w:val="20"/>
              </w:rPr>
              <w:t>Charter</w:t>
            </w:r>
            <w:r w:rsidRPr="00CD6D96">
              <w:rPr>
                <w:sz w:val="20"/>
                <w:szCs w:val="20"/>
              </w:rPr>
              <w:t xml:space="preserve"> infringement, did the Court of Appeal err in finding that it is not justified under s. 1 of the </w:t>
            </w:r>
            <w:r w:rsidRPr="00CD6D96">
              <w:rPr>
                <w:i/>
                <w:sz w:val="20"/>
                <w:szCs w:val="20"/>
              </w:rPr>
              <w:t>Charter</w:t>
            </w:r>
            <w:r w:rsidRPr="00CD6D96">
              <w:rPr>
                <w:sz w:val="20"/>
                <w:szCs w:val="20"/>
              </w:rPr>
              <w:t xml:space="preserve"> – Whether the Court of Appeal erred in declaring the mandatory minimum sentence of one year under s. 172.1 (2)(a) of the </w:t>
            </w:r>
            <w:r w:rsidRPr="00CD6D96">
              <w:rPr>
                <w:i/>
                <w:sz w:val="20"/>
                <w:szCs w:val="20"/>
              </w:rPr>
              <w:t>Criminal Code</w:t>
            </w:r>
            <w:r w:rsidRPr="00CD6D96">
              <w:rPr>
                <w:sz w:val="20"/>
                <w:szCs w:val="20"/>
              </w:rPr>
              <w:t xml:space="preserve"> to be of no force or effect as infringing the right not to be subjected to cruel and unusual punishment under s. 12 of the </w:t>
            </w:r>
            <w:r w:rsidRPr="00CD6D96">
              <w:rPr>
                <w:i/>
                <w:sz w:val="20"/>
                <w:szCs w:val="20"/>
              </w:rPr>
              <w:t>Charter</w:t>
            </w:r>
            <w:r w:rsidRPr="00CD6D96">
              <w:rPr>
                <w:sz w:val="20"/>
                <w:szCs w:val="20"/>
              </w:rPr>
              <w:t xml:space="preserve"> – Whether the Court of Appeal erred in finding that the reasonable steps requirement in s. 172.1(4) of the </w:t>
            </w:r>
            <w:r w:rsidRPr="00CD6D96">
              <w:rPr>
                <w:i/>
                <w:sz w:val="20"/>
                <w:szCs w:val="20"/>
              </w:rPr>
              <w:t>Criminal Code</w:t>
            </w:r>
            <w:r w:rsidRPr="00CD6D96">
              <w:rPr>
                <w:sz w:val="20"/>
                <w:szCs w:val="20"/>
              </w:rPr>
              <w:t xml:space="preserve"> did not </w:t>
            </w:r>
            <w:r w:rsidRPr="00CD6D96">
              <w:rPr>
                <w:sz w:val="20"/>
                <w:szCs w:val="20"/>
              </w:rPr>
              <w:lastRenderedPageBreak/>
              <w:t xml:space="preserve">infringe the right to life, liberty and security of the person under s. 7 of the </w:t>
            </w:r>
            <w:r w:rsidRPr="00CD6D96">
              <w:rPr>
                <w:i/>
                <w:sz w:val="20"/>
                <w:szCs w:val="20"/>
              </w:rPr>
              <w:t>Charter</w:t>
            </w:r>
            <w:r w:rsidRPr="00CD6D96">
              <w:rPr>
                <w:sz w:val="20"/>
                <w:szCs w:val="20"/>
              </w:rPr>
              <w:t xml:space="preserve"> – </w:t>
            </w:r>
            <w:r w:rsidRPr="00CD6D96">
              <w:rPr>
                <w:i/>
                <w:sz w:val="20"/>
                <w:szCs w:val="20"/>
              </w:rPr>
              <w:t>Charter of Rights</w:t>
            </w:r>
            <w:r w:rsidRPr="00CD6D96">
              <w:rPr>
                <w:sz w:val="20"/>
                <w:szCs w:val="20"/>
              </w:rPr>
              <w:t xml:space="preserve">, ss. 1, 7, 11(d), 12; </w:t>
            </w:r>
            <w:r w:rsidRPr="00CD6D96">
              <w:rPr>
                <w:i/>
                <w:sz w:val="20"/>
                <w:szCs w:val="20"/>
                <w:lang w:val="en"/>
              </w:rPr>
              <w:t>Constitution Act, 1982</w:t>
            </w:r>
            <w:r w:rsidRPr="00CD6D96">
              <w:rPr>
                <w:sz w:val="20"/>
                <w:szCs w:val="20"/>
                <w:lang w:val="en"/>
              </w:rPr>
              <w:t>, s. 52(1).</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lang w:val="en"/>
              </w:rPr>
            </w:pPr>
            <w:r w:rsidRPr="00CD6D96">
              <w:rPr>
                <w:sz w:val="20"/>
                <w:szCs w:val="20"/>
                <w:lang w:val="en"/>
              </w:rPr>
              <w:t>The respondent posted a personal advertisement on the website “Craigslist” in the section “casual encounters.” A person calling herself “Mia Andrews” responded to the ad, writing that she was 14 years old. Unbeknownst to Morrison, “Mia” was in fact a police officer. The respondent testified that he thought he was participating in a sexual role-playing exchange with an adult female.</w:t>
            </w:r>
          </w:p>
          <w:p w:rsidR="00CA774A" w:rsidRPr="00CD6D96" w:rsidRDefault="00CA774A" w:rsidP="00CA774A">
            <w:pPr>
              <w:jc w:val="both"/>
              <w:rPr>
                <w:sz w:val="20"/>
                <w:szCs w:val="20"/>
                <w:lang w:val="en"/>
              </w:rPr>
            </w:pPr>
          </w:p>
          <w:p w:rsidR="00CA774A" w:rsidRPr="00CD6D96" w:rsidRDefault="00CA774A" w:rsidP="00CA774A">
            <w:pPr>
              <w:jc w:val="both"/>
              <w:rPr>
                <w:sz w:val="20"/>
                <w:szCs w:val="20"/>
                <w:lang w:val="en"/>
              </w:rPr>
            </w:pPr>
            <w:r w:rsidRPr="00CD6D96">
              <w:rPr>
                <w:sz w:val="20"/>
                <w:szCs w:val="20"/>
                <w:lang w:val="en"/>
              </w:rPr>
              <w:t xml:space="preserve">The trial judge held that subsection 172.1(3) of the </w:t>
            </w:r>
            <w:r w:rsidRPr="00CD6D96">
              <w:rPr>
                <w:i/>
                <w:sz w:val="20"/>
                <w:szCs w:val="20"/>
                <w:lang w:val="en"/>
              </w:rPr>
              <w:t>Criminal Code</w:t>
            </w:r>
            <w:r w:rsidRPr="00CD6D96">
              <w:rPr>
                <w:sz w:val="20"/>
                <w:szCs w:val="20"/>
                <w:lang w:val="en"/>
              </w:rPr>
              <w:t xml:space="preserve">, R.S.C. c. C-46 – the presumption of belief – infringed the respondent’s s. 11(d) of the </w:t>
            </w:r>
            <w:r w:rsidRPr="00CD6D96">
              <w:rPr>
                <w:i/>
                <w:sz w:val="20"/>
                <w:szCs w:val="20"/>
                <w:lang w:val="en"/>
              </w:rPr>
              <w:t xml:space="preserve">Charter </w:t>
            </w:r>
            <w:r w:rsidRPr="00CD6D96">
              <w:rPr>
                <w:sz w:val="20"/>
                <w:szCs w:val="20"/>
                <w:lang w:val="en"/>
              </w:rPr>
              <w:t xml:space="preserve">right. However, the trial judge held that the reasonable steps requirement in subsection 172.1 (4) of the </w:t>
            </w:r>
            <w:r w:rsidRPr="00CD6D96">
              <w:rPr>
                <w:i/>
                <w:sz w:val="20"/>
                <w:szCs w:val="20"/>
                <w:lang w:val="en"/>
              </w:rPr>
              <w:t>Code</w:t>
            </w:r>
            <w:r w:rsidRPr="00CD6D96">
              <w:rPr>
                <w:sz w:val="20"/>
                <w:szCs w:val="20"/>
                <w:lang w:val="en"/>
              </w:rPr>
              <w:t xml:space="preserve"> is constitutionally valid. The trial judge concluded, however, that the Crown had proven the elements of the child luring offence even without the benefit of the presumption of belief. The trial judge was satisfied beyond a reasonable doubt that the respondent did not take reasonable steps to ascertain the age of the person he was communicating with over the internet as required by s. 172 (4) of the </w:t>
            </w:r>
            <w:r w:rsidRPr="00CD6D96">
              <w:rPr>
                <w:i/>
                <w:sz w:val="20"/>
                <w:szCs w:val="20"/>
                <w:lang w:val="en"/>
              </w:rPr>
              <w:t>Code</w:t>
            </w:r>
            <w:r w:rsidRPr="00CD6D96">
              <w:rPr>
                <w:sz w:val="20"/>
                <w:szCs w:val="20"/>
                <w:lang w:val="en"/>
              </w:rPr>
              <w:t>. The respondent was convicted of child luring by means of a computer contrary to s. 172.1(1</w:t>
            </w:r>
            <w:proofErr w:type="gramStart"/>
            <w:r w:rsidRPr="00CD6D96">
              <w:rPr>
                <w:sz w:val="20"/>
                <w:szCs w:val="20"/>
                <w:lang w:val="en"/>
              </w:rPr>
              <w:t>)(</w:t>
            </w:r>
            <w:proofErr w:type="gramEnd"/>
            <w:r w:rsidRPr="00CD6D96">
              <w:rPr>
                <w:sz w:val="20"/>
                <w:szCs w:val="20"/>
                <w:lang w:val="en"/>
              </w:rPr>
              <w:t xml:space="preserve">b) of the </w:t>
            </w:r>
            <w:r w:rsidRPr="00CD6D96">
              <w:rPr>
                <w:i/>
                <w:sz w:val="20"/>
                <w:szCs w:val="20"/>
                <w:lang w:val="en"/>
              </w:rPr>
              <w:t>Criminal Code</w:t>
            </w:r>
            <w:r w:rsidRPr="00CD6D96">
              <w:rPr>
                <w:sz w:val="20"/>
                <w:szCs w:val="20"/>
                <w:lang w:val="en"/>
              </w:rPr>
              <w:t>. The designated offence referred to in s. 172.1(1</w:t>
            </w:r>
            <w:proofErr w:type="gramStart"/>
            <w:r w:rsidRPr="00CD6D96">
              <w:rPr>
                <w:sz w:val="20"/>
                <w:szCs w:val="20"/>
                <w:lang w:val="en"/>
              </w:rPr>
              <w:t>)(</w:t>
            </w:r>
            <w:proofErr w:type="gramEnd"/>
            <w:r w:rsidRPr="00CD6D96">
              <w:rPr>
                <w:sz w:val="20"/>
                <w:szCs w:val="20"/>
                <w:lang w:val="en"/>
              </w:rPr>
              <w:t xml:space="preserve">b) that formed the basis of the respondent’s conviction was invitation to sexual touching at a person under 16 years of age, contrary to s. 152 of the </w:t>
            </w:r>
            <w:r w:rsidRPr="00CD6D96">
              <w:rPr>
                <w:i/>
                <w:sz w:val="20"/>
                <w:szCs w:val="20"/>
                <w:lang w:val="en"/>
              </w:rPr>
              <w:t>Code</w:t>
            </w:r>
            <w:r w:rsidRPr="00CD6D96">
              <w:rPr>
                <w:sz w:val="20"/>
                <w:szCs w:val="20"/>
                <w:lang w:val="en"/>
              </w:rPr>
              <w:t xml:space="preserve">. The sentencing judge went on to hold that the mandatory minimum sentence in subsection s. 172.1(2) of the </w:t>
            </w:r>
            <w:r w:rsidRPr="00CD6D96">
              <w:rPr>
                <w:i/>
                <w:sz w:val="20"/>
                <w:szCs w:val="20"/>
                <w:lang w:val="en"/>
              </w:rPr>
              <w:t xml:space="preserve">Code </w:t>
            </w:r>
            <w:r w:rsidRPr="00CD6D96">
              <w:rPr>
                <w:sz w:val="20"/>
                <w:szCs w:val="20"/>
                <w:lang w:val="en"/>
              </w:rPr>
              <w:t xml:space="preserve">was grossly disproportionate, contrary to s. 12 of the </w:t>
            </w:r>
            <w:r w:rsidRPr="00CD6D96">
              <w:rPr>
                <w:i/>
                <w:sz w:val="20"/>
                <w:szCs w:val="20"/>
                <w:lang w:val="en"/>
              </w:rPr>
              <w:t>Charter</w:t>
            </w:r>
            <w:r w:rsidRPr="00CD6D96">
              <w:rPr>
                <w:sz w:val="20"/>
                <w:szCs w:val="20"/>
                <w:lang w:val="en"/>
              </w:rPr>
              <w:t xml:space="preserve">. Refusing to apply it, he sentenced the respondent to 75 days’ intermittent incarceration (after credit for pre-sentence custody was deducted) and made a number of ancillary orders. The Court of Appeal dismissed both the applicant’s and the respondent’s appeals. The Court of Appeal agreed with the trial judge’s conclusions regarding the constitutionality of each of the </w:t>
            </w:r>
            <w:r w:rsidRPr="00CD6D96">
              <w:rPr>
                <w:i/>
                <w:iCs/>
                <w:sz w:val="20"/>
                <w:szCs w:val="20"/>
                <w:lang w:val="en"/>
              </w:rPr>
              <w:t>Code</w:t>
            </w:r>
            <w:r w:rsidRPr="00CD6D96">
              <w:rPr>
                <w:iCs/>
                <w:sz w:val="20"/>
                <w:szCs w:val="20"/>
                <w:lang w:val="en"/>
              </w:rPr>
              <w:t xml:space="preserve"> </w:t>
            </w:r>
            <w:r w:rsidRPr="00CD6D96">
              <w:rPr>
                <w:sz w:val="20"/>
                <w:szCs w:val="20"/>
                <w:lang w:val="en"/>
              </w:rPr>
              <w:t xml:space="preserve">provisions. The Court of Appeal held that the mandatory minimum sentence of one year of imprisonment contained in section 172.1(2)(a) of the </w:t>
            </w:r>
            <w:r w:rsidRPr="00CD6D96">
              <w:rPr>
                <w:i/>
                <w:iCs/>
                <w:sz w:val="20"/>
                <w:szCs w:val="20"/>
                <w:lang w:val="en"/>
              </w:rPr>
              <w:t>Code</w:t>
            </w:r>
            <w:r w:rsidRPr="00CD6D96">
              <w:rPr>
                <w:sz w:val="20"/>
                <w:szCs w:val="20"/>
                <w:lang w:val="en"/>
              </w:rPr>
              <w:t xml:space="preserve"> is therefore of no force or effect pursuant to s. 52(1) of the </w:t>
            </w:r>
            <w:r w:rsidRPr="00CD6D96">
              <w:rPr>
                <w:i/>
                <w:sz w:val="20"/>
                <w:szCs w:val="20"/>
                <w:lang w:val="en"/>
              </w:rPr>
              <w:t>Constitution Act, 1982</w:t>
            </w:r>
            <w:r w:rsidRPr="00CD6D96">
              <w:rPr>
                <w:sz w:val="20"/>
                <w:szCs w:val="20"/>
                <w:lang w:val="en"/>
              </w:rPr>
              <w:t xml:space="preserve">. </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January 16, 2015</w:t>
            </w:r>
          </w:p>
          <w:p w:rsidR="00CA774A" w:rsidRPr="00CD6D96" w:rsidRDefault="00CA774A" w:rsidP="00CA774A">
            <w:pPr>
              <w:jc w:val="both"/>
              <w:rPr>
                <w:sz w:val="20"/>
                <w:szCs w:val="20"/>
              </w:rPr>
            </w:pPr>
            <w:r w:rsidRPr="00CD6D96">
              <w:rPr>
                <w:sz w:val="20"/>
                <w:szCs w:val="20"/>
              </w:rPr>
              <w:t>Ontario Court of Justice</w:t>
            </w:r>
          </w:p>
          <w:p w:rsidR="00CA774A" w:rsidRPr="00CD6D96" w:rsidRDefault="00CA774A" w:rsidP="00CA774A">
            <w:pPr>
              <w:jc w:val="both"/>
              <w:rPr>
                <w:sz w:val="20"/>
                <w:szCs w:val="20"/>
              </w:rPr>
            </w:pPr>
            <w:r w:rsidRPr="00CD6D96">
              <w:rPr>
                <w:sz w:val="20"/>
                <w:szCs w:val="20"/>
              </w:rPr>
              <w:t>(Gage J.)</w:t>
            </w:r>
          </w:p>
          <w:p w:rsidR="00CA774A" w:rsidRPr="00CD6D96" w:rsidRDefault="00CA774A" w:rsidP="00CA774A">
            <w:pPr>
              <w:jc w:val="both"/>
              <w:rPr>
                <w:sz w:val="20"/>
                <w:szCs w:val="20"/>
              </w:rPr>
            </w:pPr>
            <w:r w:rsidRPr="00CD6D96">
              <w:rPr>
                <w:sz w:val="20"/>
                <w:szCs w:val="20"/>
              </w:rPr>
              <w:t>2015 ONCJ 599</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Conviction for luring a child by means of a computer</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September 8, 2015</w:t>
            </w:r>
          </w:p>
          <w:p w:rsidR="00CA774A" w:rsidRPr="00CD6D96" w:rsidRDefault="00CA774A" w:rsidP="00CA774A">
            <w:pPr>
              <w:jc w:val="both"/>
              <w:rPr>
                <w:sz w:val="20"/>
                <w:szCs w:val="20"/>
              </w:rPr>
            </w:pPr>
            <w:r w:rsidRPr="00CD6D96">
              <w:rPr>
                <w:sz w:val="20"/>
                <w:szCs w:val="20"/>
              </w:rPr>
              <w:t>Ontario Court of Justice</w:t>
            </w:r>
          </w:p>
          <w:p w:rsidR="00CA774A" w:rsidRPr="00CD6D96" w:rsidRDefault="00CA774A" w:rsidP="00CA774A">
            <w:pPr>
              <w:jc w:val="both"/>
              <w:rPr>
                <w:sz w:val="20"/>
                <w:szCs w:val="20"/>
              </w:rPr>
            </w:pPr>
            <w:r w:rsidRPr="00CD6D96">
              <w:rPr>
                <w:sz w:val="20"/>
                <w:szCs w:val="20"/>
              </w:rPr>
              <w:t>(Gage J.)</w:t>
            </w:r>
          </w:p>
          <w:p w:rsidR="00CA774A" w:rsidRPr="00CD6D96" w:rsidRDefault="00CA774A" w:rsidP="00CA774A">
            <w:pPr>
              <w:jc w:val="both"/>
              <w:rPr>
                <w:sz w:val="20"/>
                <w:szCs w:val="20"/>
              </w:rPr>
            </w:pPr>
            <w:r w:rsidRPr="00CD6D96">
              <w:rPr>
                <w:sz w:val="20"/>
                <w:szCs w:val="20"/>
              </w:rPr>
              <w:t>2015 ONCJ 598</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Sentence imposed: 75 days’ intermittent incarceration and other ancillary orders</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July 10, 2017</w:t>
            </w:r>
          </w:p>
          <w:p w:rsidR="00CA774A" w:rsidRPr="00CD6D96" w:rsidRDefault="00CA774A" w:rsidP="00CA774A">
            <w:pPr>
              <w:jc w:val="both"/>
              <w:rPr>
                <w:sz w:val="20"/>
                <w:szCs w:val="20"/>
              </w:rPr>
            </w:pPr>
            <w:r w:rsidRPr="00CD6D96">
              <w:rPr>
                <w:sz w:val="20"/>
                <w:szCs w:val="20"/>
              </w:rPr>
              <w:t>Court of Appeal for Ontario</w:t>
            </w:r>
          </w:p>
          <w:p w:rsidR="00CA774A" w:rsidRPr="00CD6D96" w:rsidRDefault="00CA774A" w:rsidP="00CA774A">
            <w:pPr>
              <w:jc w:val="both"/>
              <w:rPr>
                <w:sz w:val="20"/>
                <w:szCs w:val="20"/>
              </w:rPr>
            </w:pPr>
            <w:r w:rsidRPr="00CD6D96">
              <w:rPr>
                <w:sz w:val="20"/>
                <w:szCs w:val="20"/>
              </w:rPr>
              <w:t xml:space="preserve">(Watt, van </w:t>
            </w:r>
            <w:proofErr w:type="spellStart"/>
            <w:r w:rsidRPr="00CD6D96">
              <w:rPr>
                <w:sz w:val="20"/>
                <w:szCs w:val="20"/>
              </w:rPr>
              <w:t>Rensburg</w:t>
            </w:r>
            <w:proofErr w:type="spellEnd"/>
            <w:r w:rsidRPr="00CD6D96">
              <w:rPr>
                <w:sz w:val="20"/>
                <w:szCs w:val="20"/>
              </w:rPr>
              <w:t xml:space="preserve">, </w:t>
            </w:r>
            <w:proofErr w:type="spellStart"/>
            <w:r w:rsidRPr="00CD6D96">
              <w:rPr>
                <w:sz w:val="20"/>
                <w:szCs w:val="20"/>
              </w:rPr>
              <w:t>Pardu</w:t>
            </w:r>
            <w:proofErr w:type="spellEnd"/>
            <w:r w:rsidRPr="00CD6D96">
              <w:rPr>
                <w:sz w:val="20"/>
                <w:szCs w:val="20"/>
              </w:rPr>
              <w:t xml:space="preserve"> JJ.A.)</w:t>
            </w:r>
          </w:p>
          <w:p w:rsidR="00CA774A" w:rsidRPr="00CD6D96" w:rsidRDefault="00CA774A" w:rsidP="00CA774A">
            <w:pPr>
              <w:jc w:val="both"/>
              <w:rPr>
                <w:sz w:val="20"/>
                <w:szCs w:val="20"/>
              </w:rPr>
            </w:pPr>
            <w:r w:rsidRPr="00CD6D96">
              <w:rPr>
                <w:sz w:val="20"/>
                <w:szCs w:val="20"/>
              </w:rPr>
              <w:t>2017 ONCA 582; C61097, C61110</w:t>
            </w:r>
          </w:p>
          <w:p w:rsidR="00CA774A" w:rsidRPr="00CD6D96" w:rsidRDefault="00F964D5" w:rsidP="00CA774A">
            <w:pPr>
              <w:jc w:val="both"/>
              <w:rPr>
                <w:sz w:val="20"/>
                <w:szCs w:val="20"/>
              </w:rPr>
            </w:pPr>
            <w:hyperlink r:id="rId61" w:history="1">
              <w:r w:rsidR="00CA774A" w:rsidRPr="00CD6D96">
                <w:rPr>
                  <w:rStyle w:val="Hyperlink"/>
                  <w:rFonts w:eastAsiaTheme="majorEastAsia"/>
                  <w:sz w:val="20"/>
                  <w:szCs w:val="20"/>
                </w:rPr>
                <w:t>http://canlii.ca/t/h4pzr</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and respondent’s appeals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August 8,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September 11,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Application for leave to cross-appeal and </w:t>
            </w:r>
          </w:p>
          <w:p w:rsidR="00CA774A" w:rsidRPr="00CD6D96" w:rsidRDefault="00CA774A" w:rsidP="00CA774A">
            <w:pPr>
              <w:jc w:val="both"/>
              <w:rPr>
                <w:sz w:val="20"/>
                <w:szCs w:val="20"/>
              </w:rPr>
            </w:pPr>
            <w:r w:rsidRPr="00CD6D96">
              <w:rPr>
                <w:sz w:val="20"/>
                <w:szCs w:val="20"/>
              </w:rPr>
              <w:t xml:space="preserve">motion to appoint </w:t>
            </w:r>
            <w:r w:rsidRPr="00CD6D96">
              <w:rPr>
                <w:i/>
                <w:sz w:val="20"/>
                <w:szCs w:val="20"/>
              </w:rPr>
              <w:t>amicus curiae</w:t>
            </w:r>
            <w:r w:rsidRPr="00CD6D96">
              <w:rPr>
                <w:sz w:val="20"/>
                <w:szCs w:val="20"/>
              </w:rPr>
              <w:t xml:space="preserve"> filed</w:t>
            </w:r>
          </w:p>
        </w:tc>
      </w:tr>
    </w:tbl>
    <w:p w:rsidR="00CA774A" w:rsidRPr="00CD6D96" w:rsidRDefault="00F964D5" w:rsidP="00CA774A">
      <w:pPr>
        <w:jc w:val="both"/>
        <w:rPr>
          <w:sz w:val="20"/>
          <w:szCs w:val="20"/>
        </w:rPr>
      </w:pPr>
      <w:r>
        <w:rPr>
          <w:sz w:val="20"/>
          <w:szCs w:val="20"/>
        </w:rPr>
        <w:pict>
          <v:rect id="_x0000_i1066" style="width:2in;height:1pt" o:hrpct="0" o:hralign="center" o:hrstd="t" o:hrnoshade="t" o:hr="t" fillcolor="black [3213]" stroked="f"/>
        </w:pict>
      </w:r>
    </w:p>
    <w:p w:rsidR="00CA774A" w:rsidRPr="00CD6D96" w:rsidRDefault="00CA774A" w:rsidP="00CA774A">
      <w:pPr>
        <w:jc w:val="both"/>
        <w:rPr>
          <w:sz w:val="20"/>
          <w:szCs w:val="20"/>
        </w:rPr>
      </w:pPr>
    </w:p>
    <w:p w:rsidR="00FB48F9" w:rsidRDefault="00FB48F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lastRenderedPageBreak/>
              <w:t>37687</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Sa Majesté la Reine c. Douglas Morrison</w:t>
            </w:r>
          </w:p>
          <w:p w:rsidR="00CA774A" w:rsidRPr="00CD6D96" w:rsidRDefault="00CA774A" w:rsidP="00CA774A">
            <w:pPr>
              <w:jc w:val="both"/>
              <w:rPr>
                <w:sz w:val="20"/>
                <w:szCs w:val="20"/>
              </w:rPr>
            </w:pPr>
            <w:r w:rsidRPr="00CD6D96">
              <w:rPr>
                <w:sz w:val="20"/>
                <w:szCs w:val="20"/>
              </w:rPr>
              <w:t>(Ont.) (</w:t>
            </w:r>
            <w:proofErr w:type="spellStart"/>
            <w:r w:rsidRPr="00CD6D96">
              <w:rPr>
                <w:sz w:val="20"/>
                <w:szCs w:val="20"/>
              </w:rPr>
              <w:t>Criminelle</w:t>
            </w:r>
            <w:proofErr w:type="spellEnd"/>
            <w:r w:rsidRPr="00CD6D96">
              <w:rPr>
                <w:sz w:val="20"/>
                <w:szCs w:val="20"/>
              </w:rPr>
              <w:t xml:space="preserve">) (Sur </w:t>
            </w:r>
            <w:proofErr w:type="spellStart"/>
            <w:r w:rsidRPr="00CD6D96">
              <w:rPr>
                <w:sz w:val="20"/>
                <w:szCs w:val="20"/>
              </w:rPr>
              <w:t>autorisation</w:t>
            </w:r>
            <w:proofErr w:type="spellEnd"/>
            <w:r w:rsidRPr="00CD6D96">
              <w:rPr>
                <w:sz w:val="20"/>
                <w:szCs w:val="20"/>
              </w:rPr>
              <w:t>)</w:t>
            </w:r>
          </w:p>
        </w:tc>
      </w:tr>
      <w:tr w:rsidR="00FB48F9" w:rsidRPr="00F964D5" w:rsidTr="00CA774A">
        <w:tc>
          <w:tcPr>
            <w:tcW w:w="543" w:type="pct"/>
          </w:tcPr>
          <w:p w:rsidR="00FB48F9" w:rsidRPr="00CD6D96" w:rsidRDefault="00FB48F9" w:rsidP="00CA774A">
            <w:pPr>
              <w:jc w:val="both"/>
              <w:rPr>
                <w:rStyle w:val="SCCFileNumberChar"/>
                <w:sz w:val="20"/>
                <w:szCs w:val="20"/>
              </w:rPr>
            </w:pPr>
            <w:r>
              <w:rPr>
                <w:rStyle w:val="SCCFileNumberChar"/>
                <w:sz w:val="20"/>
                <w:szCs w:val="20"/>
              </w:rPr>
              <w:t>Coram:</w:t>
            </w:r>
          </w:p>
        </w:tc>
        <w:tc>
          <w:tcPr>
            <w:tcW w:w="4457" w:type="pct"/>
            <w:gridSpan w:val="3"/>
          </w:tcPr>
          <w:p w:rsidR="00FB48F9" w:rsidRDefault="00FB48F9" w:rsidP="00CA774A">
            <w:pPr>
              <w:pStyle w:val="SCCLsocParty"/>
              <w:jc w:val="both"/>
              <w:rPr>
                <w:sz w:val="20"/>
                <w:szCs w:val="20"/>
              </w:rPr>
            </w:pPr>
            <w:r w:rsidRPr="00B86D98">
              <w:rPr>
                <w:sz w:val="20"/>
                <w:szCs w:val="20"/>
              </w:rPr>
              <w:t xml:space="preserve">La juge en chef </w:t>
            </w:r>
            <w:proofErr w:type="spellStart"/>
            <w:r w:rsidRPr="00B86D98">
              <w:rPr>
                <w:sz w:val="20"/>
                <w:szCs w:val="20"/>
              </w:rPr>
              <w:t>McLachlin</w:t>
            </w:r>
            <w:proofErr w:type="spellEnd"/>
            <w:r w:rsidRPr="00B86D98">
              <w:rPr>
                <w:sz w:val="20"/>
                <w:szCs w:val="20"/>
              </w:rPr>
              <w:t xml:space="preserve"> et les juges Abella, </w:t>
            </w:r>
            <w:proofErr w:type="spellStart"/>
            <w:r w:rsidRPr="00B86D98">
              <w:rPr>
                <w:sz w:val="20"/>
                <w:szCs w:val="20"/>
              </w:rPr>
              <w:t>Moldaver</w:t>
            </w:r>
            <w:proofErr w:type="spellEnd"/>
            <w:r w:rsidRPr="00B86D98">
              <w:rPr>
                <w:sz w:val="20"/>
                <w:szCs w:val="20"/>
              </w:rPr>
              <w:t xml:space="preserve">, </w:t>
            </w:r>
            <w:proofErr w:type="spellStart"/>
            <w:r w:rsidRPr="00B86D98">
              <w:rPr>
                <w:sz w:val="20"/>
                <w:szCs w:val="20"/>
              </w:rPr>
              <w:t>Karakatsanis</w:t>
            </w:r>
            <w:proofErr w:type="spellEnd"/>
            <w:r w:rsidRPr="00B86D98">
              <w:rPr>
                <w:sz w:val="20"/>
                <w:szCs w:val="20"/>
              </w:rPr>
              <w:t>, Wagner, Gascon, Côté, Brown et Rowe</w:t>
            </w:r>
          </w:p>
          <w:p w:rsidR="00FB48F9" w:rsidRPr="00FB48F9" w:rsidRDefault="00FB48F9" w:rsidP="00FB48F9">
            <w:pPr>
              <w:rPr>
                <w:lang w:val="fr-CA"/>
              </w:rPr>
            </w:pPr>
          </w:p>
        </w:tc>
      </w:tr>
      <w:tr w:rsidR="00FB48F9" w:rsidRPr="00F964D5" w:rsidTr="00FB48F9">
        <w:tc>
          <w:tcPr>
            <w:tcW w:w="5000" w:type="pct"/>
            <w:gridSpan w:val="4"/>
          </w:tcPr>
          <w:p w:rsidR="00FB48F9" w:rsidRDefault="00FB48F9" w:rsidP="00CA774A">
            <w:pPr>
              <w:pStyle w:val="SCCLsocParty"/>
              <w:jc w:val="both"/>
              <w:rPr>
                <w:sz w:val="20"/>
                <w:szCs w:val="20"/>
              </w:rPr>
            </w:pPr>
            <w:r w:rsidRPr="00B86D98">
              <w:rPr>
                <w:sz w:val="20"/>
                <w:szCs w:val="20"/>
              </w:rPr>
              <w:t xml:space="preserve">La requête sollicitant qu’un </w:t>
            </w:r>
            <w:proofErr w:type="spellStart"/>
            <w:r w:rsidRPr="00B86D98">
              <w:rPr>
                <w:i/>
                <w:sz w:val="20"/>
                <w:szCs w:val="20"/>
              </w:rPr>
              <w:t>amicus</w:t>
            </w:r>
            <w:proofErr w:type="spellEnd"/>
            <w:r w:rsidRPr="00B86D98">
              <w:rPr>
                <w:i/>
                <w:sz w:val="20"/>
                <w:szCs w:val="20"/>
              </w:rPr>
              <w:t xml:space="preserve"> </w:t>
            </w:r>
            <w:proofErr w:type="spellStart"/>
            <w:r w:rsidRPr="00B86D98">
              <w:rPr>
                <w:i/>
                <w:sz w:val="20"/>
                <w:szCs w:val="20"/>
              </w:rPr>
              <w:t>curiae</w:t>
            </w:r>
            <w:proofErr w:type="spellEnd"/>
            <w:r w:rsidRPr="00B86D98">
              <w:rPr>
                <w:sz w:val="20"/>
                <w:szCs w:val="20"/>
              </w:rPr>
              <w:t xml:space="preserve"> soit nommé est accueillie.  La demande d’autorisation d’appel et la demande d’autorisation d’appel incident des arrêts de la Cour d’appel de l’Ontario, numéros C61097 et C61110, 2017 ONCA 582, datés du 10 juillet 2017, sont accueillies.</w:t>
            </w:r>
          </w:p>
          <w:p w:rsidR="00FB48F9" w:rsidRPr="00FB48F9" w:rsidRDefault="00FB48F9" w:rsidP="00FB48F9">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i/>
                <w:sz w:val="20"/>
                <w:szCs w:val="20"/>
                <w:lang w:val="fr-CA"/>
              </w:rPr>
              <w:t>Charte des droits</w:t>
            </w:r>
            <w:r w:rsidRPr="00CD6D96">
              <w:rPr>
                <w:sz w:val="20"/>
                <w:szCs w:val="20"/>
                <w:lang w:val="fr-CA"/>
              </w:rPr>
              <w:t xml:space="preserve"> – Droit constitutionnel – Droit criminel – Droit à la vie, à la liberté et à la sécurité de la personne – Droit à un procès équitable – Peine cruelle et inusitée – Détermination de la peine – Leurre d’enfant – La Cour d’appel a-t-elle conclu à tort que la présomption de croyance en l’âge prévue au </w:t>
            </w:r>
            <w:proofErr w:type="spellStart"/>
            <w:r w:rsidRPr="00CD6D96">
              <w:rPr>
                <w:sz w:val="20"/>
                <w:szCs w:val="20"/>
                <w:lang w:val="fr-CA"/>
              </w:rPr>
              <w:t>par</w:t>
            </w:r>
            <w:proofErr w:type="spellEnd"/>
            <w:r w:rsidRPr="00CD6D96">
              <w:rPr>
                <w:sz w:val="20"/>
                <w:szCs w:val="20"/>
                <w:lang w:val="fr-CA"/>
              </w:rPr>
              <w:t xml:space="preserve">. 172.1(3) du </w:t>
            </w:r>
            <w:r w:rsidRPr="00CD6D96">
              <w:rPr>
                <w:i/>
                <w:sz w:val="20"/>
                <w:szCs w:val="20"/>
                <w:lang w:val="fr-CA"/>
              </w:rPr>
              <w:t>Code criminel</w:t>
            </w:r>
            <w:r w:rsidRPr="00CD6D96">
              <w:rPr>
                <w:sz w:val="20"/>
                <w:szCs w:val="20"/>
                <w:lang w:val="fr-CA"/>
              </w:rPr>
              <w:t>, L.R.C. 1985, c. C-46, porte atteinte au droit d’être présumé innocent garanti à l’al. 11</w:t>
            </w:r>
            <w:r w:rsidRPr="00CD6D96">
              <w:rPr>
                <w:i/>
                <w:sz w:val="20"/>
                <w:szCs w:val="20"/>
                <w:lang w:val="fr-CA"/>
              </w:rPr>
              <w:t>d</w:t>
            </w:r>
            <w:r w:rsidRPr="00CD6D96">
              <w:rPr>
                <w:sz w:val="20"/>
                <w:szCs w:val="20"/>
                <w:lang w:val="fr-CA"/>
              </w:rPr>
              <w:t xml:space="preserve">) de la </w:t>
            </w:r>
            <w:r w:rsidRPr="00CD6D96">
              <w:rPr>
                <w:i/>
                <w:sz w:val="20"/>
                <w:szCs w:val="20"/>
                <w:lang w:val="fr-CA"/>
              </w:rPr>
              <w:t>Charte</w:t>
            </w:r>
            <w:r w:rsidRPr="00CD6D96">
              <w:rPr>
                <w:sz w:val="20"/>
                <w:szCs w:val="20"/>
                <w:lang w:val="fr-CA"/>
              </w:rPr>
              <w:t>? – Subsidiairement, s’il y a atteinte à l’al. 11</w:t>
            </w:r>
            <w:r w:rsidRPr="00CD6D96">
              <w:rPr>
                <w:i/>
                <w:sz w:val="20"/>
                <w:szCs w:val="20"/>
                <w:lang w:val="fr-CA"/>
              </w:rPr>
              <w:t>d</w:t>
            </w:r>
            <w:r w:rsidRPr="00CD6D96">
              <w:rPr>
                <w:sz w:val="20"/>
                <w:szCs w:val="20"/>
                <w:lang w:val="fr-CA"/>
              </w:rPr>
              <w:t xml:space="preserve">) de la </w:t>
            </w:r>
            <w:r w:rsidRPr="00CD6D96">
              <w:rPr>
                <w:i/>
                <w:sz w:val="20"/>
                <w:szCs w:val="20"/>
                <w:lang w:val="fr-CA"/>
              </w:rPr>
              <w:t>Charte</w:t>
            </w:r>
            <w:r w:rsidRPr="00CD6D96">
              <w:rPr>
                <w:sz w:val="20"/>
                <w:szCs w:val="20"/>
                <w:lang w:val="fr-CA"/>
              </w:rPr>
              <w:t xml:space="preserve">, la Cour d’appel a-t-elle commis une erreur en jugeant qu’elle n’est pas justifiée au regard de l’article premier de la </w:t>
            </w:r>
            <w:r w:rsidRPr="00CD6D96">
              <w:rPr>
                <w:i/>
                <w:sz w:val="20"/>
                <w:szCs w:val="20"/>
                <w:lang w:val="fr-CA"/>
              </w:rPr>
              <w:t>Charte</w:t>
            </w:r>
            <w:r w:rsidRPr="00CD6D96">
              <w:rPr>
                <w:sz w:val="20"/>
                <w:szCs w:val="20"/>
                <w:lang w:val="fr-CA"/>
              </w:rPr>
              <w:t>? – La Cour d’appel a-t-elle eu tort de déclarer que la peine minimale obligatoire d’un an prescrite à l’al. 172.1(2)</w:t>
            </w:r>
            <w:r w:rsidRPr="00CD6D96">
              <w:rPr>
                <w:i/>
                <w:sz w:val="20"/>
                <w:szCs w:val="20"/>
                <w:lang w:val="fr-CA"/>
              </w:rPr>
              <w:t>a</w:t>
            </w:r>
            <w:r w:rsidRPr="00CD6D96">
              <w:rPr>
                <w:sz w:val="20"/>
                <w:szCs w:val="20"/>
                <w:lang w:val="fr-CA"/>
              </w:rPr>
              <w:t xml:space="preserve">) du </w:t>
            </w:r>
            <w:r w:rsidRPr="00CD6D96">
              <w:rPr>
                <w:i/>
                <w:sz w:val="20"/>
                <w:szCs w:val="20"/>
                <w:lang w:val="fr-CA"/>
              </w:rPr>
              <w:t>Code criminel</w:t>
            </w:r>
            <w:r w:rsidRPr="00CD6D96">
              <w:rPr>
                <w:sz w:val="20"/>
                <w:szCs w:val="20"/>
                <w:lang w:val="fr-CA"/>
              </w:rPr>
              <w:t xml:space="preserve"> est inopérante du fait qu’elle porte atteinte au droit à la protection contre les peines cruelles et inusitées garanti à l’art. 12 de la </w:t>
            </w:r>
            <w:r w:rsidRPr="00CD6D96">
              <w:rPr>
                <w:i/>
                <w:sz w:val="20"/>
                <w:szCs w:val="20"/>
                <w:lang w:val="fr-CA"/>
              </w:rPr>
              <w:t>Charte</w:t>
            </w:r>
            <w:r w:rsidRPr="00CD6D96">
              <w:rPr>
                <w:sz w:val="20"/>
                <w:szCs w:val="20"/>
                <w:lang w:val="fr-CA"/>
              </w:rPr>
              <w:t xml:space="preserve">? – La Cour d’appel a-t-elle fait erreur en jugeant que l’obligation de prendre des mesures raisonnables énoncée au </w:t>
            </w:r>
            <w:proofErr w:type="spellStart"/>
            <w:r w:rsidRPr="00CD6D96">
              <w:rPr>
                <w:sz w:val="20"/>
                <w:szCs w:val="20"/>
                <w:lang w:val="fr-CA"/>
              </w:rPr>
              <w:t>par</w:t>
            </w:r>
            <w:proofErr w:type="spellEnd"/>
            <w:r w:rsidRPr="00CD6D96">
              <w:rPr>
                <w:sz w:val="20"/>
                <w:szCs w:val="20"/>
                <w:lang w:val="fr-CA"/>
              </w:rPr>
              <w:t xml:space="preserve">. 172.1(4) du </w:t>
            </w:r>
            <w:r w:rsidRPr="00CD6D96">
              <w:rPr>
                <w:i/>
                <w:sz w:val="20"/>
                <w:szCs w:val="20"/>
                <w:lang w:val="fr-CA"/>
              </w:rPr>
              <w:t>Code criminel</w:t>
            </w:r>
            <w:r w:rsidRPr="00CD6D96">
              <w:rPr>
                <w:sz w:val="20"/>
                <w:szCs w:val="20"/>
                <w:lang w:val="fr-CA"/>
              </w:rPr>
              <w:t xml:space="preserve"> ne portait pas atteinte au droit à la vie, à la liberté et à la sécurité de la personne garanti à l’art. 7 de la </w:t>
            </w:r>
            <w:r w:rsidRPr="00CD6D96">
              <w:rPr>
                <w:i/>
                <w:sz w:val="20"/>
                <w:szCs w:val="20"/>
                <w:lang w:val="fr-CA"/>
              </w:rPr>
              <w:t>Charte</w:t>
            </w:r>
            <w:r w:rsidRPr="00CD6D96">
              <w:rPr>
                <w:sz w:val="20"/>
                <w:szCs w:val="20"/>
                <w:lang w:val="fr-CA"/>
              </w:rPr>
              <w:t xml:space="preserve">? – </w:t>
            </w:r>
            <w:r w:rsidRPr="00CD6D96">
              <w:rPr>
                <w:i/>
                <w:sz w:val="20"/>
                <w:szCs w:val="20"/>
                <w:lang w:val="fr-CA"/>
              </w:rPr>
              <w:t>Charte des droits</w:t>
            </w:r>
            <w:r w:rsidRPr="00CD6D96">
              <w:rPr>
                <w:sz w:val="20"/>
                <w:szCs w:val="20"/>
                <w:lang w:val="fr-CA"/>
              </w:rPr>
              <w:t>, article premier, art. 7, 11</w:t>
            </w:r>
            <w:r w:rsidRPr="00CD6D96">
              <w:rPr>
                <w:i/>
                <w:sz w:val="20"/>
                <w:szCs w:val="20"/>
                <w:lang w:val="fr-CA"/>
              </w:rPr>
              <w:t>d</w:t>
            </w:r>
            <w:r w:rsidRPr="00CD6D96">
              <w:rPr>
                <w:sz w:val="20"/>
                <w:szCs w:val="20"/>
                <w:lang w:val="fr-CA"/>
              </w:rPr>
              <w:t xml:space="preserve">), 12; </w:t>
            </w:r>
            <w:r w:rsidRPr="00CD6D96">
              <w:rPr>
                <w:i/>
                <w:sz w:val="20"/>
                <w:szCs w:val="20"/>
                <w:lang w:val="fr-CA"/>
              </w:rPr>
              <w:t>Loi constitutionnelle de 1982</w:t>
            </w:r>
            <w:r w:rsidRPr="00CD6D96">
              <w:rPr>
                <w:sz w:val="20"/>
                <w:szCs w:val="20"/>
                <w:lang w:val="fr-CA"/>
              </w:rPr>
              <w:t>, art. 52(1).</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L’intimé a publié une annonce personnelle sur le site Web « </w:t>
            </w:r>
            <w:proofErr w:type="spellStart"/>
            <w:r w:rsidRPr="00CD6D96">
              <w:rPr>
                <w:sz w:val="20"/>
                <w:szCs w:val="20"/>
                <w:lang w:val="fr-CA"/>
              </w:rPr>
              <w:t>Craigslist</w:t>
            </w:r>
            <w:proofErr w:type="spellEnd"/>
            <w:r w:rsidRPr="00CD6D96">
              <w:rPr>
                <w:sz w:val="20"/>
                <w:szCs w:val="20"/>
                <w:lang w:val="fr-CA"/>
              </w:rPr>
              <w:t> » dans la section « brèves rencontres ». Une personne se présentant sous le nom de « Mia Andrews » a répondu à l’annonce, écrivant qu’elle était âgée de 14 ans. Ce que M. Morrison ignorait, c’est que « Mia » était en fait une policière. L’intimé a affirmé croire qu’il participait à un jeu de rôles sexuels avec une femme adulte.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Selon le juge du procès, le par. 172.1(3) du </w:t>
            </w:r>
            <w:r w:rsidRPr="00CD6D96">
              <w:rPr>
                <w:i/>
                <w:sz w:val="20"/>
                <w:szCs w:val="20"/>
                <w:lang w:val="fr-CA"/>
              </w:rPr>
              <w:t>Code criminel</w:t>
            </w:r>
            <w:r w:rsidRPr="00CD6D96">
              <w:rPr>
                <w:sz w:val="20"/>
                <w:szCs w:val="20"/>
                <w:lang w:val="fr-CA"/>
              </w:rPr>
              <w:t>, R.S.C. c. C-46, la présomption de croyance, porte atteinte au droit garanti à l’intimé par l’al. 11</w:t>
            </w:r>
            <w:r w:rsidRPr="00CD6D96">
              <w:rPr>
                <w:i/>
                <w:sz w:val="20"/>
                <w:szCs w:val="20"/>
                <w:lang w:val="fr-CA"/>
              </w:rPr>
              <w:t>d</w:t>
            </w:r>
            <w:r w:rsidRPr="00CD6D96">
              <w:rPr>
                <w:sz w:val="20"/>
                <w:szCs w:val="20"/>
                <w:lang w:val="fr-CA"/>
              </w:rPr>
              <w:t xml:space="preserve">) de la </w:t>
            </w:r>
            <w:r w:rsidRPr="00CD6D96">
              <w:rPr>
                <w:i/>
                <w:sz w:val="20"/>
                <w:szCs w:val="20"/>
                <w:lang w:val="fr-CA"/>
              </w:rPr>
              <w:t>Charte</w:t>
            </w:r>
            <w:r w:rsidRPr="00CD6D96">
              <w:rPr>
                <w:sz w:val="20"/>
                <w:szCs w:val="20"/>
                <w:lang w:val="fr-CA"/>
              </w:rPr>
              <w:t xml:space="preserve">. Par contre, il a décidé que l’obligation de prendre des mesures raisonnables énoncée au </w:t>
            </w:r>
            <w:proofErr w:type="spellStart"/>
            <w:r w:rsidRPr="00CD6D96">
              <w:rPr>
                <w:sz w:val="20"/>
                <w:szCs w:val="20"/>
                <w:lang w:val="fr-CA"/>
              </w:rPr>
              <w:t>par</w:t>
            </w:r>
            <w:proofErr w:type="spellEnd"/>
            <w:r w:rsidRPr="00CD6D96">
              <w:rPr>
                <w:sz w:val="20"/>
                <w:szCs w:val="20"/>
                <w:lang w:val="fr-CA"/>
              </w:rPr>
              <w:t xml:space="preserve">. 172.1(4) du </w:t>
            </w:r>
            <w:r w:rsidRPr="00CD6D96">
              <w:rPr>
                <w:i/>
                <w:sz w:val="20"/>
                <w:szCs w:val="20"/>
                <w:lang w:val="fr-CA"/>
              </w:rPr>
              <w:t>Code</w:t>
            </w:r>
            <w:r w:rsidRPr="00CD6D96">
              <w:rPr>
                <w:sz w:val="20"/>
                <w:szCs w:val="20"/>
                <w:lang w:val="fr-CA"/>
              </w:rPr>
              <w:t xml:space="preserve"> est constitutionnellement valide. Il a toutefois conclu que le ministère public avait prouvé les éléments de l’infraction de leurre d’enfant même sans invoquer la présomption de croyance. Il était convaincu hors de tout doute raisonnable que l’intimé n’avait pas pris de mesures raisonnables pour s’assurer de l’âge de la personne avec qui il communiquait sur Internet, comme l’exige le par. 172(4) du </w:t>
            </w:r>
            <w:r w:rsidRPr="00CD6D96">
              <w:rPr>
                <w:i/>
                <w:sz w:val="20"/>
                <w:szCs w:val="20"/>
                <w:lang w:val="fr-CA"/>
              </w:rPr>
              <w:t>Code</w:t>
            </w:r>
            <w:r w:rsidRPr="00CD6D96">
              <w:rPr>
                <w:sz w:val="20"/>
                <w:szCs w:val="20"/>
                <w:lang w:val="fr-CA"/>
              </w:rPr>
              <w:t>. L’intimé a été reconnu coupable de leurre d’enfant au moyen d’un ordinateur, une infraction à l’al. 172.1(1)</w:t>
            </w:r>
            <w:r w:rsidRPr="00CD6D96">
              <w:rPr>
                <w:i/>
                <w:sz w:val="20"/>
                <w:szCs w:val="20"/>
                <w:lang w:val="fr-CA"/>
              </w:rPr>
              <w:t>b</w:t>
            </w:r>
            <w:r w:rsidRPr="00CD6D96">
              <w:rPr>
                <w:sz w:val="20"/>
                <w:szCs w:val="20"/>
                <w:lang w:val="fr-CA"/>
              </w:rPr>
              <w:t xml:space="preserve">) du </w:t>
            </w:r>
            <w:r w:rsidRPr="00CD6D96">
              <w:rPr>
                <w:i/>
                <w:sz w:val="20"/>
                <w:szCs w:val="20"/>
                <w:lang w:val="fr-CA"/>
              </w:rPr>
              <w:t>Code criminel</w:t>
            </w:r>
            <w:r w:rsidRPr="00CD6D96">
              <w:rPr>
                <w:sz w:val="20"/>
                <w:szCs w:val="20"/>
                <w:lang w:val="fr-CA"/>
              </w:rPr>
              <w:t xml:space="preserve">. L’infraction désignée dont il est question à cet alinéa et sur laquelle repose la déclaration de culpabilité de l’intimé était le fait d’avoir invité une personne âgée de moins de 16 ans à avoir des contacts sexuels, contrairement à l’art. 152 du </w:t>
            </w:r>
            <w:r w:rsidRPr="00CD6D96">
              <w:rPr>
                <w:i/>
                <w:sz w:val="20"/>
                <w:szCs w:val="20"/>
                <w:lang w:val="fr-CA"/>
              </w:rPr>
              <w:t>Code</w:t>
            </w:r>
            <w:r w:rsidRPr="00CD6D96">
              <w:rPr>
                <w:sz w:val="20"/>
                <w:szCs w:val="20"/>
                <w:lang w:val="fr-CA"/>
              </w:rPr>
              <w:t xml:space="preserve">. Le juge chargé de déterminer la peine a ensuite statué que la peine minimale obligatoire prévue au </w:t>
            </w:r>
            <w:proofErr w:type="spellStart"/>
            <w:r w:rsidRPr="00CD6D96">
              <w:rPr>
                <w:sz w:val="20"/>
                <w:szCs w:val="20"/>
                <w:lang w:val="fr-CA"/>
              </w:rPr>
              <w:t>par</w:t>
            </w:r>
            <w:proofErr w:type="spellEnd"/>
            <w:r w:rsidRPr="00CD6D96">
              <w:rPr>
                <w:sz w:val="20"/>
                <w:szCs w:val="20"/>
                <w:lang w:val="fr-CA"/>
              </w:rPr>
              <w:t xml:space="preserve">. 172.1(2) du </w:t>
            </w:r>
            <w:r w:rsidRPr="00CD6D96">
              <w:rPr>
                <w:i/>
                <w:sz w:val="20"/>
                <w:szCs w:val="20"/>
                <w:lang w:val="fr-CA"/>
              </w:rPr>
              <w:t xml:space="preserve">Code </w:t>
            </w:r>
            <w:r w:rsidRPr="00CD6D96">
              <w:rPr>
                <w:sz w:val="20"/>
                <w:szCs w:val="20"/>
                <w:lang w:val="fr-CA"/>
              </w:rPr>
              <w:t xml:space="preserve">était totalement disproportionnée, en contravention de l’art. 12 de la </w:t>
            </w:r>
            <w:r w:rsidRPr="00CD6D96">
              <w:rPr>
                <w:i/>
                <w:sz w:val="20"/>
                <w:szCs w:val="20"/>
                <w:lang w:val="fr-CA"/>
              </w:rPr>
              <w:t>Charte</w:t>
            </w:r>
            <w:r w:rsidRPr="00CD6D96">
              <w:rPr>
                <w:sz w:val="20"/>
                <w:szCs w:val="20"/>
                <w:lang w:val="fr-CA"/>
              </w:rPr>
              <w:t xml:space="preserve">. Refusant de l’appliquer, il a condamné l’intimé à 75 jours de détention intermittente (compte tenu de la détention </w:t>
            </w:r>
            <w:proofErr w:type="spellStart"/>
            <w:r w:rsidRPr="00CD6D96">
              <w:rPr>
                <w:sz w:val="20"/>
                <w:szCs w:val="20"/>
                <w:lang w:val="fr-CA"/>
              </w:rPr>
              <w:t>présentencielle</w:t>
            </w:r>
            <w:proofErr w:type="spellEnd"/>
            <w:r w:rsidRPr="00CD6D96">
              <w:rPr>
                <w:sz w:val="20"/>
                <w:szCs w:val="20"/>
                <w:lang w:val="fr-CA"/>
              </w:rPr>
              <w:t xml:space="preserve">) et rendu plusieurs ordonnances accessoires. La Cour d’appel a rejeté tant l’appel de la demanderesse que celui de l’intimé. Elle a souscrit aux conclusions du juge du procès au sujet de la constitutionnalité de chaque disposition pertinente du </w:t>
            </w:r>
            <w:r w:rsidRPr="00CD6D96">
              <w:rPr>
                <w:i/>
                <w:iCs/>
                <w:sz w:val="20"/>
                <w:szCs w:val="20"/>
                <w:lang w:val="fr-CA"/>
              </w:rPr>
              <w:t>Code</w:t>
            </w:r>
            <w:r w:rsidRPr="00CD6D96">
              <w:rPr>
                <w:sz w:val="20"/>
                <w:szCs w:val="20"/>
                <w:lang w:val="fr-CA"/>
              </w:rPr>
              <w:t>. La Cour d’appel a donc jugé que la peine minimale obligatoire d’un an d’emprisonnement prévue à l’al. 172.1(2)</w:t>
            </w:r>
            <w:r w:rsidRPr="00CD6D96">
              <w:rPr>
                <w:i/>
                <w:sz w:val="20"/>
                <w:szCs w:val="20"/>
                <w:lang w:val="fr-CA"/>
              </w:rPr>
              <w:t>a</w:t>
            </w:r>
            <w:r w:rsidRPr="00CD6D96">
              <w:rPr>
                <w:sz w:val="20"/>
                <w:szCs w:val="20"/>
                <w:lang w:val="fr-CA"/>
              </w:rPr>
              <w:t xml:space="preserve">) du </w:t>
            </w:r>
            <w:r w:rsidRPr="00CD6D96">
              <w:rPr>
                <w:i/>
                <w:iCs/>
                <w:sz w:val="20"/>
                <w:szCs w:val="20"/>
                <w:lang w:val="fr-CA"/>
              </w:rPr>
              <w:t>Code</w:t>
            </w:r>
            <w:r w:rsidRPr="00CD6D96">
              <w:rPr>
                <w:sz w:val="20"/>
                <w:szCs w:val="20"/>
                <w:lang w:val="fr-CA"/>
              </w:rPr>
              <w:t xml:space="preserve"> est inopérante en application du par. 52(1) de la </w:t>
            </w:r>
            <w:r w:rsidRPr="00CD6D96">
              <w:rPr>
                <w:i/>
                <w:sz w:val="20"/>
                <w:szCs w:val="20"/>
                <w:lang w:val="fr-CA"/>
              </w:rPr>
              <w:t>Loi</w:t>
            </w:r>
            <w:r w:rsidRPr="00CD6D96">
              <w:rPr>
                <w:sz w:val="20"/>
                <w:szCs w:val="20"/>
                <w:lang w:val="fr-CA"/>
              </w:rPr>
              <w:t xml:space="preserve"> </w:t>
            </w:r>
            <w:r w:rsidRPr="00CD6D96">
              <w:rPr>
                <w:i/>
                <w:sz w:val="20"/>
                <w:szCs w:val="20"/>
                <w:lang w:val="fr-CA"/>
              </w:rPr>
              <w:t>constitutionnelle de</w:t>
            </w:r>
            <w:r w:rsidRPr="00CD6D96">
              <w:rPr>
                <w:sz w:val="20"/>
                <w:szCs w:val="20"/>
                <w:lang w:val="fr-CA"/>
              </w:rPr>
              <w:t xml:space="preserve"> </w:t>
            </w:r>
            <w:r w:rsidRPr="00CD6D96">
              <w:rPr>
                <w:i/>
                <w:sz w:val="20"/>
                <w:szCs w:val="20"/>
                <w:lang w:val="fr-CA"/>
              </w:rPr>
              <w:t>1982</w:t>
            </w:r>
            <w:r w:rsidRPr="00CD6D96">
              <w:rPr>
                <w:sz w:val="20"/>
                <w:szCs w:val="20"/>
                <w:lang w:val="fr-CA"/>
              </w:rPr>
              <w:t xml:space="preserve">. </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24569C">
        <w:tc>
          <w:tcPr>
            <w:tcW w:w="2427" w:type="pct"/>
            <w:gridSpan w:val="2"/>
          </w:tcPr>
          <w:p w:rsidR="00CA774A" w:rsidRPr="00CD6D96" w:rsidRDefault="00CA774A" w:rsidP="00CA774A">
            <w:pPr>
              <w:jc w:val="both"/>
              <w:rPr>
                <w:sz w:val="20"/>
                <w:szCs w:val="20"/>
                <w:lang w:val="fr-CA"/>
              </w:rPr>
            </w:pPr>
            <w:r w:rsidRPr="00CD6D96">
              <w:rPr>
                <w:sz w:val="20"/>
                <w:szCs w:val="20"/>
                <w:lang w:val="fr-CA"/>
              </w:rPr>
              <w:t>16 janvier 2015</w:t>
            </w:r>
          </w:p>
          <w:p w:rsidR="00CA774A" w:rsidRPr="00CD6D96" w:rsidRDefault="00CA774A" w:rsidP="00CA774A">
            <w:pPr>
              <w:jc w:val="both"/>
              <w:rPr>
                <w:sz w:val="20"/>
                <w:szCs w:val="20"/>
                <w:lang w:val="fr-CA"/>
              </w:rPr>
            </w:pPr>
            <w:r w:rsidRPr="00CD6D96">
              <w:rPr>
                <w:sz w:val="20"/>
                <w:szCs w:val="20"/>
                <w:lang w:val="fr-CA"/>
              </w:rPr>
              <w:t>Cour de justice de l’Ontario</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Juge</w:t>
            </w:r>
            <w:proofErr w:type="spellEnd"/>
            <w:r w:rsidRPr="00CD6D96">
              <w:rPr>
                <w:sz w:val="20"/>
                <w:szCs w:val="20"/>
              </w:rPr>
              <w:t xml:space="preserve"> Gage)</w:t>
            </w:r>
          </w:p>
          <w:p w:rsidR="00CA774A" w:rsidRPr="00CD6D96" w:rsidRDefault="00CA774A" w:rsidP="00CA774A">
            <w:pPr>
              <w:jc w:val="both"/>
              <w:rPr>
                <w:sz w:val="20"/>
                <w:szCs w:val="20"/>
              </w:rPr>
            </w:pPr>
            <w:r w:rsidRPr="00CD6D96">
              <w:rPr>
                <w:sz w:val="20"/>
                <w:szCs w:val="20"/>
              </w:rPr>
              <w:t>2015 ONCJ 599</w:t>
            </w:r>
          </w:p>
          <w:p w:rsidR="00CA774A" w:rsidRPr="00CD6D96" w:rsidRDefault="00CA774A" w:rsidP="00CA774A">
            <w:pPr>
              <w:jc w:val="both"/>
              <w:rPr>
                <w:sz w:val="20"/>
                <w:szCs w:val="20"/>
              </w:rPr>
            </w:pPr>
          </w:p>
        </w:tc>
        <w:tc>
          <w:tcPr>
            <w:tcW w:w="195" w:type="pct"/>
          </w:tcPr>
          <w:p w:rsidR="00CA774A" w:rsidRPr="00CD6D96" w:rsidRDefault="00CA774A" w:rsidP="00CA774A">
            <w:pPr>
              <w:jc w:val="both"/>
              <w:rPr>
                <w:sz w:val="20"/>
                <w:szCs w:val="20"/>
              </w:rPr>
            </w:pPr>
          </w:p>
        </w:tc>
        <w:tc>
          <w:tcPr>
            <w:tcW w:w="2378" w:type="pct"/>
          </w:tcPr>
          <w:p w:rsidR="00CA774A" w:rsidRPr="00CD6D96" w:rsidRDefault="00CA774A" w:rsidP="00CA774A">
            <w:pPr>
              <w:jc w:val="both"/>
              <w:rPr>
                <w:sz w:val="20"/>
                <w:szCs w:val="20"/>
                <w:lang w:val="fr-CA"/>
              </w:rPr>
            </w:pPr>
            <w:r w:rsidRPr="00CD6D96">
              <w:rPr>
                <w:sz w:val="20"/>
                <w:szCs w:val="20"/>
                <w:lang w:val="fr-CA"/>
              </w:rPr>
              <w:t>Déclaration de culpabilité pour leurre d’enfant au moyen d’un ordinateur</w:t>
            </w:r>
          </w:p>
        </w:tc>
      </w:tr>
    </w:tbl>
    <w:p w:rsidR="00FB48F9" w:rsidRPr="004A61F1" w:rsidRDefault="00FB48F9">
      <w:pPr>
        <w:rPr>
          <w:lang w:val="fr-CA"/>
        </w:rPr>
      </w:pPr>
      <w:r w:rsidRPr="004A61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372"/>
        <w:gridCol w:w="4531"/>
      </w:tblGrid>
      <w:tr w:rsidR="00CA774A" w:rsidRPr="00F964D5" w:rsidTr="0024569C">
        <w:tc>
          <w:tcPr>
            <w:tcW w:w="2427" w:type="pct"/>
          </w:tcPr>
          <w:p w:rsidR="00CA774A" w:rsidRPr="00CD6D96" w:rsidRDefault="00CA774A" w:rsidP="00CA774A">
            <w:pPr>
              <w:jc w:val="both"/>
              <w:rPr>
                <w:sz w:val="20"/>
                <w:szCs w:val="20"/>
                <w:lang w:val="fr-CA"/>
              </w:rPr>
            </w:pPr>
            <w:r w:rsidRPr="00CD6D96">
              <w:rPr>
                <w:sz w:val="20"/>
                <w:szCs w:val="20"/>
                <w:lang w:val="fr-CA"/>
              </w:rPr>
              <w:lastRenderedPageBreak/>
              <w:t>8 septembre 2015</w:t>
            </w:r>
          </w:p>
          <w:p w:rsidR="00CA774A" w:rsidRPr="00CD6D96" w:rsidRDefault="00CA774A" w:rsidP="00CA774A">
            <w:pPr>
              <w:jc w:val="both"/>
              <w:rPr>
                <w:sz w:val="20"/>
                <w:szCs w:val="20"/>
                <w:lang w:val="fr-CA"/>
              </w:rPr>
            </w:pPr>
            <w:r w:rsidRPr="00CD6D96">
              <w:rPr>
                <w:sz w:val="20"/>
                <w:szCs w:val="20"/>
                <w:lang w:val="fr-CA"/>
              </w:rPr>
              <w:t>Cour de justice de l’Ontario</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Juge</w:t>
            </w:r>
            <w:proofErr w:type="spellEnd"/>
            <w:r w:rsidRPr="00CD6D96">
              <w:rPr>
                <w:sz w:val="20"/>
                <w:szCs w:val="20"/>
              </w:rPr>
              <w:t xml:space="preserve"> Gage)</w:t>
            </w:r>
          </w:p>
          <w:p w:rsidR="00CA774A" w:rsidRPr="00CD6D96" w:rsidRDefault="00CA774A" w:rsidP="00CA774A">
            <w:pPr>
              <w:jc w:val="both"/>
              <w:rPr>
                <w:sz w:val="20"/>
                <w:szCs w:val="20"/>
              </w:rPr>
            </w:pPr>
            <w:r w:rsidRPr="00CD6D96">
              <w:rPr>
                <w:sz w:val="20"/>
                <w:szCs w:val="20"/>
              </w:rPr>
              <w:t>2015 ONCJ 598</w:t>
            </w:r>
          </w:p>
          <w:p w:rsidR="00CA774A" w:rsidRPr="00CD6D96" w:rsidRDefault="00CA774A" w:rsidP="00CA774A">
            <w:pPr>
              <w:jc w:val="both"/>
              <w:rPr>
                <w:sz w:val="20"/>
                <w:szCs w:val="20"/>
              </w:rPr>
            </w:pPr>
          </w:p>
        </w:tc>
        <w:tc>
          <w:tcPr>
            <w:tcW w:w="195" w:type="pct"/>
          </w:tcPr>
          <w:p w:rsidR="00CA774A" w:rsidRPr="00CD6D96" w:rsidRDefault="00CA774A" w:rsidP="00CA774A">
            <w:pPr>
              <w:jc w:val="both"/>
              <w:rPr>
                <w:sz w:val="20"/>
                <w:szCs w:val="20"/>
              </w:rPr>
            </w:pPr>
          </w:p>
        </w:tc>
        <w:tc>
          <w:tcPr>
            <w:tcW w:w="2378" w:type="pct"/>
          </w:tcPr>
          <w:p w:rsidR="00CA774A" w:rsidRPr="00CD6D96" w:rsidRDefault="00CA774A" w:rsidP="00CA774A">
            <w:pPr>
              <w:jc w:val="both"/>
              <w:rPr>
                <w:sz w:val="20"/>
                <w:szCs w:val="20"/>
                <w:lang w:val="fr-CA"/>
              </w:rPr>
            </w:pPr>
            <w:r w:rsidRPr="00CD6D96">
              <w:rPr>
                <w:sz w:val="20"/>
                <w:szCs w:val="20"/>
                <w:lang w:val="fr-CA"/>
              </w:rPr>
              <w:t>Peine infligée : 75 jours de détention intermittente et autres ordonnances accessoires</w:t>
            </w:r>
          </w:p>
          <w:p w:rsidR="00CA774A" w:rsidRPr="00CD6D96" w:rsidRDefault="00CA774A" w:rsidP="00CA774A">
            <w:pPr>
              <w:jc w:val="both"/>
              <w:rPr>
                <w:sz w:val="20"/>
                <w:szCs w:val="20"/>
                <w:lang w:val="fr-CA"/>
              </w:rPr>
            </w:pPr>
          </w:p>
        </w:tc>
      </w:tr>
      <w:tr w:rsidR="00CA774A" w:rsidRPr="00F964D5" w:rsidTr="0024569C">
        <w:tc>
          <w:tcPr>
            <w:tcW w:w="2427" w:type="pct"/>
          </w:tcPr>
          <w:p w:rsidR="00CA774A" w:rsidRPr="00CD6D96" w:rsidRDefault="00CA774A" w:rsidP="00CA774A">
            <w:pPr>
              <w:jc w:val="both"/>
              <w:rPr>
                <w:sz w:val="20"/>
                <w:szCs w:val="20"/>
                <w:lang w:val="fr-CA"/>
              </w:rPr>
            </w:pPr>
            <w:r w:rsidRPr="00CD6D96">
              <w:rPr>
                <w:sz w:val="20"/>
                <w:szCs w:val="20"/>
                <w:lang w:val="fr-CA"/>
              </w:rPr>
              <w:t>10 juillet 2017</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(Juge Watt, van </w:t>
            </w:r>
            <w:proofErr w:type="spellStart"/>
            <w:r w:rsidRPr="00CD6D96">
              <w:rPr>
                <w:sz w:val="20"/>
                <w:szCs w:val="20"/>
                <w:lang w:val="fr-CA"/>
              </w:rPr>
              <w:t>Rensburg</w:t>
            </w:r>
            <w:proofErr w:type="spellEnd"/>
            <w:r w:rsidRPr="00CD6D96">
              <w:rPr>
                <w:sz w:val="20"/>
                <w:szCs w:val="20"/>
                <w:lang w:val="fr-CA"/>
              </w:rPr>
              <w:t xml:space="preserve"> et </w:t>
            </w:r>
            <w:proofErr w:type="spellStart"/>
            <w:r w:rsidRPr="00CD6D96">
              <w:rPr>
                <w:sz w:val="20"/>
                <w:szCs w:val="20"/>
                <w:lang w:val="fr-CA"/>
              </w:rPr>
              <w:t>Pardu</w:t>
            </w:r>
            <w:proofErr w:type="spellEnd"/>
            <w:r w:rsidRPr="00CD6D96">
              <w:rPr>
                <w:sz w:val="20"/>
                <w:szCs w:val="20"/>
                <w:lang w:val="fr-CA"/>
              </w:rPr>
              <w:t>)</w:t>
            </w:r>
          </w:p>
          <w:p w:rsidR="00CA774A" w:rsidRPr="00CD6D96" w:rsidRDefault="00CA774A" w:rsidP="00CA774A">
            <w:pPr>
              <w:jc w:val="both"/>
              <w:rPr>
                <w:sz w:val="20"/>
                <w:szCs w:val="20"/>
              </w:rPr>
            </w:pPr>
            <w:r w:rsidRPr="00CD6D96">
              <w:rPr>
                <w:sz w:val="20"/>
                <w:szCs w:val="20"/>
              </w:rPr>
              <w:t>2017 ONCA 582; C61097, C61110</w:t>
            </w:r>
          </w:p>
          <w:p w:rsidR="00CA774A" w:rsidRPr="00CD6D96" w:rsidRDefault="00F964D5" w:rsidP="00CA774A">
            <w:pPr>
              <w:jc w:val="both"/>
              <w:rPr>
                <w:sz w:val="20"/>
                <w:szCs w:val="20"/>
              </w:rPr>
            </w:pPr>
            <w:hyperlink r:id="rId62" w:history="1">
              <w:r w:rsidR="00CA774A" w:rsidRPr="00CD6D96">
                <w:rPr>
                  <w:rStyle w:val="Hyperlink"/>
                  <w:rFonts w:eastAsiaTheme="majorEastAsia"/>
                  <w:sz w:val="20"/>
                  <w:szCs w:val="20"/>
                </w:rPr>
                <w:t>http://canlii.ca/t/h4pzr</w:t>
              </w:r>
            </w:hyperlink>
          </w:p>
          <w:p w:rsidR="00CA774A" w:rsidRPr="00CD6D96" w:rsidRDefault="00CA774A" w:rsidP="00CA774A">
            <w:pPr>
              <w:jc w:val="both"/>
              <w:rPr>
                <w:sz w:val="20"/>
                <w:szCs w:val="20"/>
              </w:rPr>
            </w:pPr>
          </w:p>
        </w:tc>
        <w:tc>
          <w:tcPr>
            <w:tcW w:w="195" w:type="pct"/>
          </w:tcPr>
          <w:p w:rsidR="00CA774A" w:rsidRPr="00CD6D96" w:rsidRDefault="00CA774A" w:rsidP="00CA774A">
            <w:pPr>
              <w:jc w:val="both"/>
              <w:rPr>
                <w:sz w:val="20"/>
                <w:szCs w:val="20"/>
              </w:rPr>
            </w:pPr>
          </w:p>
        </w:tc>
        <w:tc>
          <w:tcPr>
            <w:tcW w:w="2378" w:type="pct"/>
          </w:tcPr>
          <w:p w:rsidR="00CA774A" w:rsidRPr="00CD6D96" w:rsidRDefault="00CA774A" w:rsidP="00CA774A">
            <w:pPr>
              <w:jc w:val="both"/>
              <w:rPr>
                <w:sz w:val="20"/>
                <w:szCs w:val="20"/>
                <w:lang w:val="fr-CA"/>
              </w:rPr>
            </w:pPr>
            <w:r w:rsidRPr="00CD6D96">
              <w:rPr>
                <w:sz w:val="20"/>
                <w:szCs w:val="20"/>
                <w:lang w:val="fr-CA"/>
              </w:rPr>
              <w:t>Rejet des appels de la demanderesse et de l’intimé</w:t>
            </w:r>
          </w:p>
          <w:p w:rsidR="00CA774A" w:rsidRPr="00CD6D96" w:rsidRDefault="00CA774A" w:rsidP="00CA774A">
            <w:pPr>
              <w:jc w:val="both"/>
              <w:rPr>
                <w:sz w:val="20"/>
                <w:szCs w:val="20"/>
                <w:lang w:val="fr-CA"/>
              </w:rPr>
            </w:pPr>
          </w:p>
        </w:tc>
      </w:tr>
      <w:tr w:rsidR="00CA774A" w:rsidRPr="00F964D5" w:rsidTr="0024569C">
        <w:tc>
          <w:tcPr>
            <w:tcW w:w="2427" w:type="pct"/>
          </w:tcPr>
          <w:p w:rsidR="00CA774A" w:rsidRPr="00CD6D96" w:rsidRDefault="00CA774A" w:rsidP="00CA774A">
            <w:pPr>
              <w:jc w:val="both"/>
              <w:rPr>
                <w:sz w:val="20"/>
                <w:szCs w:val="20"/>
              </w:rPr>
            </w:pPr>
            <w:r w:rsidRPr="00CD6D96">
              <w:rPr>
                <w:sz w:val="20"/>
                <w:szCs w:val="20"/>
              </w:rPr>
              <w:t xml:space="preserve">8 </w:t>
            </w:r>
            <w:proofErr w:type="spellStart"/>
            <w:r w:rsidRPr="00CD6D96">
              <w:rPr>
                <w:sz w:val="20"/>
                <w:szCs w:val="20"/>
              </w:rPr>
              <w:t>août</w:t>
            </w:r>
            <w:proofErr w:type="spellEnd"/>
            <w:r w:rsidRPr="00CD6D96">
              <w:rPr>
                <w:sz w:val="20"/>
                <w:szCs w:val="20"/>
              </w:rPr>
              <w:t xml:space="preserve"> 2017</w:t>
            </w:r>
          </w:p>
          <w:p w:rsidR="00CA774A" w:rsidRPr="00CD6D96" w:rsidRDefault="00CA774A" w:rsidP="00CA774A">
            <w:pPr>
              <w:jc w:val="both"/>
              <w:rPr>
                <w:sz w:val="20"/>
                <w:szCs w:val="20"/>
              </w:rPr>
            </w:pPr>
            <w:proofErr w:type="spellStart"/>
            <w:r w:rsidRPr="00CD6D96">
              <w:rPr>
                <w:sz w:val="20"/>
                <w:szCs w:val="20"/>
              </w:rPr>
              <w:t>Cour</w:t>
            </w:r>
            <w:proofErr w:type="spellEnd"/>
            <w:r w:rsidRPr="00CD6D96">
              <w:rPr>
                <w:sz w:val="20"/>
                <w:szCs w:val="20"/>
              </w:rPr>
              <w:t xml:space="preserve"> </w:t>
            </w:r>
            <w:proofErr w:type="spellStart"/>
            <w:r w:rsidRPr="00CD6D96">
              <w:rPr>
                <w:sz w:val="20"/>
                <w:szCs w:val="20"/>
              </w:rPr>
              <w:t>suprême</w:t>
            </w:r>
            <w:proofErr w:type="spellEnd"/>
            <w:r w:rsidRPr="00CD6D96">
              <w:rPr>
                <w:sz w:val="20"/>
                <w:szCs w:val="20"/>
              </w:rPr>
              <w:t xml:space="preserve"> du Canada</w:t>
            </w:r>
          </w:p>
          <w:p w:rsidR="00CA774A" w:rsidRPr="00CD6D96" w:rsidRDefault="00CA774A" w:rsidP="00CA774A">
            <w:pPr>
              <w:jc w:val="both"/>
              <w:rPr>
                <w:sz w:val="20"/>
                <w:szCs w:val="20"/>
              </w:rPr>
            </w:pPr>
          </w:p>
        </w:tc>
        <w:tc>
          <w:tcPr>
            <w:tcW w:w="195" w:type="pct"/>
          </w:tcPr>
          <w:p w:rsidR="00CA774A" w:rsidRPr="00CD6D96" w:rsidRDefault="00CA774A" w:rsidP="00CA774A">
            <w:pPr>
              <w:jc w:val="both"/>
              <w:rPr>
                <w:sz w:val="20"/>
                <w:szCs w:val="20"/>
              </w:rPr>
            </w:pPr>
          </w:p>
        </w:tc>
        <w:tc>
          <w:tcPr>
            <w:tcW w:w="2378" w:type="pct"/>
          </w:tcPr>
          <w:p w:rsidR="00CA774A" w:rsidRPr="00CD6D96" w:rsidRDefault="00CA774A" w:rsidP="00CA774A">
            <w:pPr>
              <w:jc w:val="both"/>
              <w:rPr>
                <w:sz w:val="20"/>
                <w:szCs w:val="20"/>
                <w:lang w:val="fr-CA"/>
              </w:rPr>
            </w:pPr>
            <w:r w:rsidRPr="00CD6D96">
              <w:rPr>
                <w:sz w:val="20"/>
                <w:szCs w:val="20"/>
                <w:lang w:val="fr-CA"/>
              </w:rPr>
              <w:t xml:space="preserve">Dépôt de la demande d’autorisation d’appel </w:t>
            </w:r>
          </w:p>
          <w:p w:rsidR="00CA774A" w:rsidRPr="00CD6D96" w:rsidRDefault="00CA774A" w:rsidP="00CA774A">
            <w:pPr>
              <w:jc w:val="both"/>
              <w:rPr>
                <w:sz w:val="20"/>
                <w:szCs w:val="20"/>
                <w:lang w:val="fr-CA"/>
              </w:rPr>
            </w:pPr>
          </w:p>
        </w:tc>
      </w:tr>
      <w:tr w:rsidR="00CA774A" w:rsidRPr="00F964D5" w:rsidTr="0024569C">
        <w:tc>
          <w:tcPr>
            <w:tcW w:w="2427" w:type="pct"/>
          </w:tcPr>
          <w:p w:rsidR="00CA774A" w:rsidRPr="00CD6D96" w:rsidRDefault="00CA774A" w:rsidP="00CA774A">
            <w:pPr>
              <w:jc w:val="both"/>
              <w:rPr>
                <w:sz w:val="20"/>
                <w:szCs w:val="20"/>
              </w:rPr>
            </w:pPr>
            <w:r w:rsidRPr="00CD6D96">
              <w:rPr>
                <w:sz w:val="20"/>
                <w:szCs w:val="20"/>
              </w:rPr>
              <w:t xml:space="preserve">11 </w:t>
            </w:r>
            <w:proofErr w:type="spellStart"/>
            <w:r w:rsidRPr="00CD6D96">
              <w:rPr>
                <w:sz w:val="20"/>
                <w:szCs w:val="20"/>
              </w:rPr>
              <w:t>septembre</w:t>
            </w:r>
            <w:proofErr w:type="spellEnd"/>
            <w:r w:rsidRPr="00CD6D96">
              <w:rPr>
                <w:sz w:val="20"/>
                <w:szCs w:val="20"/>
              </w:rPr>
              <w:t xml:space="preserve"> 2017</w:t>
            </w:r>
          </w:p>
          <w:p w:rsidR="00CA774A" w:rsidRPr="00CD6D96" w:rsidRDefault="00CA774A" w:rsidP="00CA774A">
            <w:pPr>
              <w:jc w:val="both"/>
              <w:rPr>
                <w:sz w:val="20"/>
                <w:szCs w:val="20"/>
              </w:rPr>
            </w:pPr>
            <w:proofErr w:type="spellStart"/>
            <w:r w:rsidRPr="00CD6D96">
              <w:rPr>
                <w:sz w:val="20"/>
                <w:szCs w:val="20"/>
              </w:rPr>
              <w:t>Cour</w:t>
            </w:r>
            <w:proofErr w:type="spellEnd"/>
            <w:r w:rsidRPr="00CD6D96">
              <w:rPr>
                <w:sz w:val="20"/>
                <w:szCs w:val="20"/>
              </w:rPr>
              <w:t xml:space="preserve"> </w:t>
            </w:r>
            <w:proofErr w:type="spellStart"/>
            <w:r w:rsidRPr="00CD6D96">
              <w:rPr>
                <w:sz w:val="20"/>
                <w:szCs w:val="20"/>
              </w:rPr>
              <w:t>suprême</w:t>
            </w:r>
            <w:proofErr w:type="spellEnd"/>
            <w:r w:rsidRPr="00CD6D96">
              <w:rPr>
                <w:sz w:val="20"/>
                <w:szCs w:val="20"/>
              </w:rPr>
              <w:t xml:space="preserve"> du Canada</w:t>
            </w:r>
          </w:p>
          <w:p w:rsidR="00CA774A" w:rsidRPr="00CD6D96" w:rsidRDefault="00CA774A" w:rsidP="00CA774A">
            <w:pPr>
              <w:jc w:val="both"/>
              <w:rPr>
                <w:sz w:val="20"/>
                <w:szCs w:val="20"/>
              </w:rPr>
            </w:pPr>
          </w:p>
        </w:tc>
        <w:tc>
          <w:tcPr>
            <w:tcW w:w="195" w:type="pct"/>
          </w:tcPr>
          <w:p w:rsidR="00CA774A" w:rsidRPr="00CD6D96" w:rsidRDefault="00CA774A" w:rsidP="00CA774A">
            <w:pPr>
              <w:jc w:val="both"/>
              <w:rPr>
                <w:sz w:val="20"/>
                <w:szCs w:val="20"/>
              </w:rPr>
            </w:pPr>
          </w:p>
        </w:tc>
        <w:tc>
          <w:tcPr>
            <w:tcW w:w="2378" w:type="pct"/>
          </w:tcPr>
          <w:p w:rsidR="00CA774A" w:rsidRPr="00CD6D96" w:rsidRDefault="00CA774A" w:rsidP="00CA774A">
            <w:pPr>
              <w:jc w:val="both"/>
              <w:rPr>
                <w:sz w:val="20"/>
                <w:szCs w:val="20"/>
                <w:lang w:val="fr-CA"/>
              </w:rPr>
            </w:pPr>
            <w:r w:rsidRPr="00CD6D96">
              <w:rPr>
                <w:sz w:val="20"/>
                <w:szCs w:val="20"/>
                <w:lang w:val="fr-CA"/>
              </w:rPr>
              <w:t xml:space="preserve">Dépôt de la demande d’autorisation d’appel incident et de la requête en nomination d’un  </w:t>
            </w:r>
            <w:proofErr w:type="spellStart"/>
            <w:r w:rsidRPr="00CD6D96">
              <w:rPr>
                <w:i/>
                <w:sz w:val="20"/>
                <w:szCs w:val="20"/>
                <w:lang w:val="fr-CA"/>
              </w:rPr>
              <w:t>amicus</w:t>
            </w:r>
            <w:proofErr w:type="spellEnd"/>
            <w:r w:rsidRPr="00CD6D96">
              <w:rPr>
                <w:i/>
                <w:sz w:val="20"/>
                <w:szCs w:val="20"/>
                <w:lang w:val="fr-CA"/>
              </w:rPr>
              <w:t xml:space="preserve"> </w:t>
            </w:r>
            <w:proofErr w:type="spellStart"/>
            <w:r w:rsidRPr="00CD6D96">
              <w:rPr>
                <w:i/>
                <w:sz w:val="20"/>
                <w:szCs w:val="20"/>
                <w:lang w:val="fr-CA"/>
              </w:rPr>
              <w:t>curiae</w:t>
            </w:r>
            <w:proofErr w:type="spellEnd"/>
            <w:r w:rsidRPr="00CD6D96">
              <w:rPr>
                <w:sz w:val="20"/>
                <w:szCs w:val="20"/>
                <w:lang w:val="fr-CA"/>
              </w:rPr>
              <w:t xml:space="preserve"> </w:t>
            </w:r>
          </w:p>
        </w:tc>
      </w:tr>
    </w:tbl>
    <w:p w:rsidR="00CA774A" w:rsidRPr="00CD6D96" w:rsidRDefault="00F964D5" w:rsidP="00CA774A">
      <w:pPr>
        <w:jc w:val="both"/>
        <w:rPr>
          <w:sz w:val="20"/>
          <w:szCs w:val="20"/>
          <w:lang w:val="fr-CA"/>
        </w:rPr>
      </w:pPr>
      <w:r>
        <w:rPr>
          <w:sz w:val="20"/>
          <w:szCs w:val="20"/>
        </w:rPr>
        <w:pict>
          <v:rect id="_x0000_i1067"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37650</w:t>
            </w:r>
          </w:p>
        </w:tc>
        <w:tc>
          <w:tcPr>
            <w:tcW w:w="4457" w:type="pct"/>
            <w:gridSpan w:val="3"/>
          </w:tcPr>
          <w:p w:rsidR="00CA774A" w:rsidRPr="00CD6D96" w:rsidRDefault="00CA774A" w:rsidP="00CA774A">
            <w:pPr>
              <w:pStyle w:val="SCCLsocParty"/>
              <w:jc w:val="both"/>
              <w:rPr>
                <w:b/>
                <w:sz w:val="20"/>
                <w:szCs w:val="20"/>
                <w:lang w:val="en-US"/>
              </w:rPr>
            </w:pPr>
            <w:r w:rsidRPr="00CD6D96">
              <w:rPr>
                <w:b/>
                <w:sz w:val="20"/>
                <w:szCs w:val="20"/>
                <w:lang w:val="en-US"/>
              </w:rPr>
              <w:t xml:space="preserve">Diana Michelle Daniella </w:t>
            </w:r>
            <w:proofErr w:type="spellStart"/>
            <w:r w:rsidRPr="00CD6D96">
              <w:rPr>
                <w:b/>
                <w:sz w:val="20"/>
                <w:szCs w:val="20"/>
                <w:lang w:val="en-US"/>
              </w:rPr>
              <w:t>Hordo</w:t>
            </w:r>
            <w:proofErr w:type="spellEnd"/>
            <w:r w:rsidRPr="00CD6D96">
              <w:rPr>
                <w:b/>
                <w:sz w:val="20"/>
                <w:szCs w:val="20"/>
                <w:lang w:val="en-US"/>
              </w:rPr>
              <w:t xml:space="preserve"> v. State Farm Mutual Automobile Insurance Company (A United States of America Illinois Registered Mutual Insurer), Barbara </w:t>
            </w:r>
            <w:proofErr w:type="spellStart"/>
            <w:r w:rsidRPr="00CD6D96">
              <w:rPr>
                <w:b/>
                <w:sz w:val="20"/>
                <w:szCs w:val="20"/>
                <w:lang w:val="en-US"/>
              </w:rPr>
              <w:t>Bellissimo</w:t>
            </w:r>
            <w:proofErr w:type="spellEnd"/>
            <w:r w:rsidRPr="00CD6D96">
              <w:rPr>
                <w:b/>
                <w:sz w:val="20"/>
                <w:szCs w:val="20"/>
                <w:lang w:val="en-US"/>
              </w:rPr>
              <w:t xml:space="preserve"> and Edward B. Rust Jr.</w:t>
            </w:r>
          </w:p>
          <w:p w:rsidR="00CA774A" w:rsidRPr="00CD6D96" w:rsidRDefault="00CA774A" w:rsidP="00CA774A">
            <w:pPr>
              <w:jc w:val="both"/>
              <w:rPr>
                <w:sz w:val="20"/>
                <w:szCs w:val="20"/>
              </w:rPr>
            </w:pPr>
            <w:r w:rsidRPr="00CD6D96">
              <w:rPr>
                <w:sz w:val="20"/>
                <w:szCs w:val="20"/>
              </w:rPr>
              <w:t>(Ont.) (Civil) (By Leave)</w:t>
            </w:r>
          </w:p>
        </w:tc>
      </w:tr>
      <w:tr w:rsidR="00BB4B30" w:rsidRPr="00CD6D96" w:rsidTr="00CA774A">
        <w:tc>
          <w:tcPr>
            <w:tcW w:w="543" w:type="pct"/>
          </w:tcPr>
          <w:p w:rsidR="00BB4B30" w:rsidRPr="00CD6D96" w:rsidRDefault="00BB4B30" w:rsidP="00CA774A">
            <w:pPr>
              <w:jc w:val="both"/>
              <w:rPr>
                <w:rStyle w:val="SCCFileNumberChar"/>
                <w:sz w:val="20"/>
                <w:szCs w:val="20"/>
              </w:rPr>
            </w:pPr>
            <w:r>
              <w:rPr>
                <w:rStyle w:val="SCCFileNumberChar"/>
                <w:sz w:val="20"/>
                <w:szCs w:val="20"/>
              </w:rPr>
              <w:t>Coram:</w:t>
            </w:r>
          </w:p>
        </w:tc>
        <w:tc>
          <w:tcPr>
            <w:tcW w:w="4457" w:type="pct"/>
            <w:gridSpan w:val="3"/>
          </w:tcPr>
          <w:p w:rsidR="00BB4B30" w:rsidRDefault="00BB4B30" w:rsidP="00CA774A">
            <w:pPr>
              <w:pStyle w:val="SCCLsocParty"/>
              <w:jc w:val="both"/>
              <w:rPr>
                <w:sz w:val="20"/>
                <w:szCs w:val="20"/>
                <w:lang w:val="en-US"/>
              </w:rPr>
            </w:pPr>
            <w:proofErr w:type="spellStart"/>
            <w:r w:rsidRPr="00BB4B30">
              <w:rPr>
                <w:sz w:val="20"/>
                <w:szCs w:val="20"/>
                <w:lang w:val="en-US"/>
              </w:rPr>
              <w:t>McLachlin</w:t>
            </w:r>
            <w:proofErr w:type="spellEnd"/>
            <w:r w:rsidRPr="00BB4B30">
              <w:rPr>
                <w:sz w:val="20"/>
                <w:szCs w:val="20"/>
                <w:lang w:val="en-US"/>
              </w:rPr>
              <w:t xml:space="preserve"> C.J. and </w:t>
            </w:r>
            <w:proofErr w:type="spellStart"/>
            <w:r w:rsidRPr="00BB4B30">
              <w:rPr>
                <w:sz w:val="20"/>
                <w:szCs w:val="20"/>
                <w:lang w:val="en-US"/>
              </w:rPr>
              <w:t>Abella</w:t>
            </w:r>
            <w:proofErr w:type="spellEnd"/>
            <w:r w:rsidRPr="00BB4B30">
              <w:rPr>
                <w:sz w:val="20"/>
                <w:szCs w:val="20"/>
                <w:lang w:val="en-US"/>
              </w:rPr>
              <w:t xml:space="preserve">, </w:t>
            </w:r>
            <w:proofErr w:type="spellStart"/>
            <w:r w:rsidRPr="00BB4B30">
              <w:rPr>
                <w:sz w:val="20"/>
                <w:szCs w:val="20"/>
                <w:lang w:val="en-US"/>
              </w:rPr>
              <w:t>Moldaver</w:t>
            </w:r>
            <w:proofErr w:type="spellEnd"/>
            <w:r w:rsidRPr="00BB4B30">
              <w:rPr>
                <w:sz w:val="20"/>
                <w:szCs w:val="20"/>
                <w:lang w:val="en-US"/>
              </w:rPr>
              <w:t xml:space="preserve">, </w:t>
            </w:r>
            <w:proofErr w:type="spellStart"/>
            <w:r w:rsidRPr="00BB4B30">
              <w:rPr>
                <w:sz w:val="20"/>
                <w:szCs w:val="20"/>
                <w:lang w:val="en-US"/>
              </w:rPr>
              <w:t>Karakatsanis</w:t>
            </w:r>
            <w:proofErr w:type="spellEnd"/>
            <w:r w:rsidRPr="00BB4B30">
              <w:rPr>
                <w:sz w:val="20"/>
                <w:szCs w:val="20"/>
                <w:lang w:val="en-US"/>
              </w:rPr>
              <w:t xml:space="preserve">, Wagner, </w:t>
            </w:r>
            <w:proofErr w:type="spellStart"/>
            <w:r w:rsidRPr="00BB4B30">
              <w:rPr>
                <w:sz w:val="20"/>
                <w:szCs w:val="20"/>
                <w:lang w:val="en-US"/>
              </w:rPr>
              <w:t>Gascon</w:t>
            </w:r>
            <w:proofErr w:type="spellEnd"/>
            <w:r w:rsidRPr="00BB4B30">
              <w:rPr>
                <w:sz w:val="20"/>
                <w:szCs w:val="20"/>
                <w:lang w:val="en-US"/>
              </w:rPr>
              <w:t xml:space="preserve">, </w:t>
            </w:r>
            <w:proofErr w:type="spellStart"/>
            <w:r w:rsidRPr="00BB4B30">
              <w:rPr>
                <w:sz w:val="20"/>
                <w:szCs w:val="20"/>
                <w:lang w:val="en-US"/>
              </w:rPr>
              <w:t>Côté</w:t>
            </w:r>
            <w:proofErr w:type="spellEnd"/>
            <w:r w:rsidRPr="00BB4B30">
              <w:rPr>
                <w:sz w:val="20"/>
                <w:szCs w:val="20"/>
                <w:lang w:val="en-US"/>
              </w:rPr>
              <w:t>, Brown and Rowe JJ.</w:t>
            </w:r>
          </w:p>
          <w:p w:rsidR="00BB4B30" w:rsidRPr="00BB4B30" w:rsidRDefault="00BB4B30" w:rsidP="00BB4B30">
            <w:pPr>
              <w:rPr>
                <w:lang w:val="en-US"/>
              </w:rPr>
            </w:pPr>
          </w:p>
        </w:tc>
      </w:tr>
      <w:tr w:rsidR="00BB4B30" w:rsidRPr="00CD6D96" w:rsidTr="00BB4B30">
        <w:tc>
          <w:tcPr>
            <w:tcW w:w="5000" w:type="pct"/>
            <w:gridSpan w:val="4"/>
          </w:tcPr>
          <w:p w:rsidR="00BB4B30" w:rsidRPr="00CD6D96" w:rsidRDefault="00A46CA2" w:rsidP="00CA774A">
            <w:pPr>
              <w:pStyle w:val="SCCLsocParty"/>
              <w:jc w:val="both"/>
              <w:rPr>
                <w:b/>
                <w:sz w:val="20"/>
                <w:szCs w:val="20"/>
                <w:lang w:val="en-US"/>
              </w:rPr>
            </w:pPr>
            <w:r w:rsidRPr="00A46CA2">
              <w:rPr>
                <w:sz w:val="20"/>
                <w:szCs w:val="20"/>
                <w:lang w:val="en-US"/>
              </w:rPr>
              <w:t>The motion for an extension of time to serve and file the application for leave to appeal is dismissed.  In any event, had such motion been granted, the application for leave to appeal from the judgment of the Court of Appeal for Ontario, Number C60767, 2016 ONCA 238, dated March 29, 2016, and all related motions would have been dismissed with costs.</w:t>
            </w:r>
          </w:p>
        </w:tc>
      </w:tr>
      <w:tr w:rsidR="00CA774A" w:rsidRPr="00CD6D96" w:rsidTr="00CA774A">
        <w:tc>
          <w:tcPr>
            <w:tcW w:w="5000" w:type="pct"/>
            <w:gridSpan w:val="4"/>
          </w:tcPr>
          <w:p w:rsidR="00CA774A" w:rsidRPr="00CD6D96" w:rsidRDefault="00CA774A" w:rsidP="00CA774A">
            <w:pPr>
              <w:jc w:val="both"/>
              <w:rPr>
                <w:sz w:val="20"/>
                <w:szCs w:val="20"/>
              </w:rPr>
            </w:pPr>
            <w:r w:rsidRPr="00CD6D96">
              <w:rPr>
                <w:i/>
                <w:sz w:val="20"/>
                <w:szCs w:val="20"/>
              </w:rPr>
              <w:t>Charter of Rights</w:t>
            </w:r>
            <w:r w:rsidRPr="00CD6D96">
              <w:rPr>
                <w:sz w:val="20"/>
                <w:szCs w:val="20"/>
              </w:rPr>
              <w:t xml:space="preserve"> – Fundamental justice – Privacy – Judgments and orders – Interlocutory order – Applicant claiming that her private medical information provided by her to her insurer was wrongly transmitted to persons outside of Ontario without her knowledge or consent – Applicant seeking declarations against respondents – Whether lower courts erred in law in dismissing application.</w:t>
            </w:r>
          </w:p>
        </w:tc>
      </w:tr>
      <w:tr w:rsidR="00CA774A" w:rsidRPr="00CD6D96" w:rsidTr="00CA774A">
        <w:tc>
          <w:tcPr>
            <w:tcW w:w="5000" w:type="pct"/>
            <w:gridSpan w:val="4"/>
          </w:tcPr>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In 2009, Ms. </w:t>
            </w:r>
            <w:proofErr w:type="spellStart"/>
            <w:r w:rsidRPr="00CD6D96">
              <w:rPr>
                <w:sz w:val="20"/>
                <w:szCs w:val="20"/>
              </w:rPr>
              <w:t>Hordo</w:t>
            </w:r>
            <w:proofErr w:type="spellEnd"/>
            <w:r w:rsidRPr="00CD6D96">
              <w:rPr>
                <w:sz w:val="20"/>
                <w:szCs w:val="20"/>
              </w:rPr>
              <w:t xml:space="preserve"> was involved in an automobile accident. She brought an action against the driver of the other vehicle, seeking damages and an action against her insurer, State Farm Mutual Automobile Insurance Company (“State Farm”) after some of her claims for benefits were denied. She claimed to have suffered catastrophic, permanent impairments as a result of the accident.  She further claimed that confidential and private health-related information provided by her to State Farm in support of her claim for statutory accident benefits was wrongfully transmitted to persons outside of Ontario without her knowledge or consent. Ms. </w:t>
            </w:r>
            <w:proofErr w:type="spellStart"/>
            <w:r w:rsidRPr="00CD6D96">
              <w:rPr>
                <w:sz w:val="20"/>
                <w:szCs w:val="20"/>
              </w:rPr>
              <w:t>Hordo</w:t>
            </w:r>
            <w:proofErr w:type="spellEnd"/>
            <w:r w:rsidRPr="00CD6D96">
              <w:rPr>
                <w:sz w:val="20"/>
                <w:szCs w:val="20"/>
              </w:rPr>
              <w:t xml:space="preserve"> applied to the court for declarations that State Farm and its officers were in breach of the provisions of, </w:t>
            </w:r>
            <w:r w:rsidRPr="00CD6D96">
              <w:rPr>
                <w:i/>
                <w:sz w:val="20"/>
                <w:szCs w:val="20"/>
              </w:rPr>
              <w:t>inter alia</w:t>
            </w:r>
            <w:r w:rsidRPr="00CD6D96">
              <w:rPr>
                <w:sz w:val="20"/>
                <w:szCs w:val="20"/>
              </w:rPr>
              <w:t xml:space="preserve">, the </w:t>
            </w:r>
            <w:r w:rsidRPr="00CD6D96">
              <w:rPr>
                <w:i/>
                <w:sz w:val="20"/>
                <w:szCs w:val="20"/>
              </w:rPr>
              <w:t>Personal Information Protection and Electronic Documents Act</w:t>
            </w:r>
            <w:r w:rsidRPr="00CD6D96">
              <w:rPr>
                <w:sz w:val="20"/>
                <w:szCs w:val="20"/>
              </w:rPr>
              <w:t xml:space="preserve">, S.C. 2000, c. 5; the </w:t>
            </w:r>
            <w:r w:rsidRPr="00CD6D96">
              <w:rPr>
                <w:i/>
                <w:sz w:val="20"/>
                <w:szCs w:val="20"/>
              </w:rPr>
              <w:t>Insurance Act</w:t>
            </w:r>
            <w:r w:rsidRPr="00CD6D96">
              <w:rPr>
                <w:sz w:val="20"/>
                <w:szCs w:val="20"/>
              </w:rPr>
              <w:t xml:space="preserve">, R.S.O. 1990, c. I.8 and the </w:t>
            </w:r>
            <w:r w:rsidRPr="00CD6D96">
              <w:rPr>
                <w:i/>
                <w:sz w:val="20"/>
                <w:szCs w:val="20"/>
              </w:rPr>
              <w:t>Financial Administration Act</w:t>
            </w:r>
            <w:r w:rsidRPr="00CD6D96">
              <w:rPr>
                <w:sz w:val="20"/>
                <w:szCs w:val="20"/>
              </w:rPr>
              <w:t xml:space="preserve">, R.S.C. 1985, c. F-11 and the </w:t>
            </w:r>
            <w:r w:rsidRPr="00CD6D96">
              <w:rPr>
                <w:i/>
                <w:sz w:val="20"/>
                <w:szCs w:val="20"/>
              </w:rPr>
              <w:t>Charter</w:t>
            </w:r>
            <w:r w:rsidRPr="00CD6D96">
              <w:rPr>
                <w:sz w:val="20"/>
                <w:szCs w:val="20"/>
              </w:rPr>
              <w:t>.</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15, 2015</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(Pollack J.)</w:t>
            </w:r>
          </w:p>
          <w:p w:rsidR="00CA774A" w:rsidRPr="00CD6D96" w:rsidRDefault="00F964D5" w:rsidP="00CA774A">
            <w:pPr>
              <w:jc w:val="both"/>
              <w:rPr>
                <w:sz w:val="20"/>
                <w:szCs w:val="20"/>
              </w:rPr>
            </w:pPr>
            <w:hyperlink r:id="rId63" w:history="1">
              <w:r w:rsidR="00CA774A" w:rsidRPr="00CD6D96">
                <w:rPr>
                  <w:rStyle w:val="Hyperlink"/>
                  <w:sz w:val="20"/>
                  <w:szCs w:val="20"/>
                </w:rPr>
                <w:t>2015 ONSC 2530</w:t>
              </w:r>
            </w:hyperlink>
            <w:r w:rsidR="00CA774A" w:rsidRPr="00CD6D96">
              <w:rPr>
                <w:sz w:val="20"/>
                <w:szCs w:val="20"/>
              </w:rPr>
              <w:t xml:space="preserve"> </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application for declaratory relief dismissed</w:t>
            </w:r>
          </w:p>
          <w:p w:rsidR="00CA774A" w:rsidRPr="00CD6D96" w:rsidRDefault="00CA774A" w:rsidP="00CA774A">
            <w:pPr>
              <w:jc w:val="both"/>
              <w:rPr>
                <w:sz w:val="20"/>
                <w:szCs w:val="20"/>
              </w:rPr>
            </w:pPr>
          </w:p>
          <w:p w:rsidR="00CA774A" w:rsidRPr="00CD6D96" w:rsidRDefault="00CA774A" w:rsidP="00CA774A">
            <w:pPr>
              <w:jc w:val="both"/>
              <w:rPr>
                <w:sz w:val="20"/>
                <w:szCs w:val="20"/>
              </w:rPr>
            </w:pPr>
          </w:p>
        </w:tc>
      </w:tr>
    </w:tbl>
    <w:p w:rsidR="00A46CA2" w:rsidRDefault="00A46CA2">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A774A" w:rsidRPr="00CD6D96" w:rsidTr="00CA774A">
        <w:tc>
          <w:tcPr>
            <w:tcW w:w="2427" w:type="pct"/>
          </w:tcPr>
          <w:p w:rsidR="00CA774A" w:rsidRPr="00CD6D96" w:rsidRDefault="00CA774A" w:rsidP="00CA774A">
            <w:pPr>
              <w:jc w:val="both"/>
              <w:rPr>
                <w:sz w:val="20"/>
                <w:szCs w:val="20"/>
              </w:rPr>
            </w:pPr>
            <w:r w:rsidRPr="00CD6D96">
              <w:rPr>
                <w:sz w:val="20"/>
                <w:szCs w:val="20"/>
              </w:rPr>
              <w:lastRenderedPageBreak/>
              <w:t>March 29, 2016</w:t>
            </w:r>
          </w:p>
          <w:p w:rsidR="00CA774A" w:rsidRPr="00CD6D96" w:rsidRDefault="00CA774A" w:rsidP="00CA774A">
            <w:pPr>
              <w:jc w:val="both"/>
              <w:rPr>
                <w:sz w:val="20"/>
                <w:szCs w:val="20"/>
              </w:rPr>
            </w:pPr>
            <w:r w:rsidRPr="00CD6D96">
              <w:rPr>
                <w:sz w:val="20"/>
                <w:szCs w:val="20"/>
              </w:rPr>
              <w:t>Court of Appeal for Ontario</w:t>
            </w:r>
          </w:p>
          <w:p w:rsidR="00CA774A" w:rsidRPr="00CD6D96" w:rsidRDefault="00CA774A" w:rsidP="00CA774A">
            <w:pPr>
              <w:jc w:val="both"/>
              <w:rPr>
                <w:sz w:val="20"/>
                <w:szCs w:val="20"/>
              </w:rPr>
            </w:pPr>
            <w:r w:rsidRPr="00CD6D96">
              <w:rPr>
                <w:sz w:val="20"/>
                <w:szCs w:val="20"/>
              </w:rPr>
              <w:t xml:space="preserve">(Doherty, Cronk and </w:t>
            </w:r>
            <w:proofErr w:type="spellStart"/>
            <w:r w:rsidRPr="00CD6D96">
              <w:rPr>
                <w:sz w:val="20"/>
                <w:szCs w:val="20"/>
              </w:rPr>
              <w:t>Pepall</w:t>
            </w:r>
            <w:proofErr w:type="spellEnd"/>
            <w:r w:rsidRPr="00CD6D96">
              <w:rPr>
                <w:sz w:val="20"/>
                <w:szCs w:val="20"/>
              </w:rPr>
              <w:t xml:space="preserve"> JJ.A.)</w:t>
            </w:r>
          </w:p>
          <w:p w:rsidR="00CA774A" w:rsidRPr="00CD6D96" w:rsidRDefault="00F964D5" w:rsidP="00CA774A">
            <w:pPr>
              <w:jc w:val="both"/>
              <w:rPr>
                <w:sz w:val="20"/>
                <w:szCs w:val="20"/>
              </w:rPr>
            </w:pPr>
            <w:hyperlink r:id="rId64" w:history="1">
              <w:r w:rsidR="00CA774A" w:rsidRPr="00CD6D96">
                <w:rPr>
                  <w:rStyle w:val="Hyperlink"/>
                  <w:sz w:val="20"/>
                  <w:szCs w:val="20"/>
                </w:rPr>
                <w:t>2016 ONCA 238</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Applicant’s appeal dismissed</w:t>
            </w:r>
          </w:p>
          <w:p w:rsidR="00CA774A" w:rsidRPr="00CD6D96" w:rsidRDefault="00CA774A" w:rsidP="00CA774A">
            <w:pPr>
              <w:jc w:val="both"/>
              <w:rPr>
                <w:sz w:val="20"/>
                <w:szCs w:val="20"/>
              </w:rPr>
            </w:pPr>
          </w:p>
        </w:tc>
      </w:tr>
      <w:tr w:rsidR="00CA774A" w:rsidRPr="00CD6D96" w:rsidTr="00CA774A">
        <w:tc>
          <w:tcPr>
            <w:tcW w:w="2427" w:type="pct"/>
          </w:tcPr>
          <w:p w:rsidR="00CA774A" w:rsidRPr="00CD6D96" w:rsidRDefault="00CA774A" w:rsidP="00CA774A">
            <w:pPr>
              <w:jc w:val="both"/>
              <w:rPr>
                <w:sz w:val="20"/>
                <w:szCs w:val="20"/>
              </w:rPr>
            </w:pPr>
            <w:r w:rsidRPr="00CD6D96">
              <w:rPr>
                <w:sz w:val="20"/>
                <w:szCs w:val="20"/>
              </w:rPr>
              <w:t>May 26, 2017</w:t>
            </w:r>
          </w:p>
          <w:p w:rsidR="00CA774A" w:rsidRPr="00CD6D96" w:rsidRDefault="00CA774A" w:rsidP="00CA774A">
            <w:pPr>
              <w:jc w:val="both"/>
              <w:rPr>
                <w:sz w:val="20"/>
                <w:szCs w:val="20"/>
              </w:rPr>
            </w:pPr>
            <w:r w:rsidRPr="00CD6D96">
              <w:rPr>
                <w:sz w:val="20"/>
                <w:szCs w:val="20"/>
              </w:rPr>
              <w:t>Supreme Court of Canada</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extension of time in which to serve and file application for leave to appeal and application for leave to appeal filed</w:t>
            </w:r>
          </w:p>
        </w:tc>
      </w:tr>
    </w:tbl>
    <w:p w:rsidR="00CA774A" w:rsidRPr="00CD6D96" w:rsidRDefault="00F964D5" w:rsidP="00CA774A">
      <w:pPr>
        <w:jc w:val="both"/>
        <w:rPr>
          <w:sz w:val="20"/>
          <w:szCs w:val="20"/>
        </w:rPr>
      </w:pPr>
      <w:r>
        <w:rPr>
          <w:sz w:val="20"/>
          <w:szCs w:val="20"/>
        </w:rPr>
        <w:pict>
          <v:rect id="_x0000_i1068"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37650</w:t>
            </w:r>
          </w:p>
        </w:tc>
        <w:tc>
          <w:tcPr>
            <w:tcW w:w="4457" w:type="pct"/>
            <w:gridSpan w:val="3"/>
          </w:tcPr>
          <w:p w:rsidR="00CA774A" w:rsidRPr="00CD6D96" w:rsidRDefault="00CA774A" w:rsidP="00A46CA2">
            <w:pPr>
              <w:pStyle w:val="SCCLsocParty"/>
              <w:jc w:val="both"/>
              <w:rPr>
                <w:sz w:val="20"/>
                <w:szCs w:val="20"/>
              </w:rPr>
            </w:pPr>
            <w:r w:rsidRPr="00CD6D96">
              <w:rPr>
                <w:b/>
                <w:sz w:val="20"/>
                <w:szCs w:val="20"/>
              </w:rPr>
              <w:t xml:space="preserve">Diana Michelle Daniella </w:t>
            </w:r>
            <w:proofErr w:type="spellStart"/>
            <w:r w:rsidRPr="00CD6D96">
              <w:rPr>
                <w:b/>
                <w:sz w:val="20"/>
                <w:szCs w:val="20"/>
              </w:rPr>
              <w:t>Hordo</w:t>
            </w:r>
            <w:proofErr w:type="spellEnd"/>
            <w:r w:rsidRPr="00CD6D96">
              <w:rPr>
                <w:b/>
                <w:sz w:val="20"/>
                <w:szCs w:val="20"/>
              </w:rPr>
              <w:t xml:space="preserve"> c. State </w:t>
            </w:r>
            <w:proofErr w:type="spellStart"/>
            <w:r w:rsidRPr="00CD6D96">
              <w:rPr>
                <w:b/>
                <w:sz w:val="20"/>
                <w:szCs w:val="20"/>
              </w:rPr>
              <w:t>Farm</w:t>
            </w:r>
            <w:proofErr w:type="spellEnd"/>
            <w:r w:rsidRPr="00CD6D96">
              <w:rPr>
                <w:b/>
                <w:sz w:val="20"/>
                <w:szCs w:val="20"/>
              </w:rPr>
              <w:t xml:space="preserve"> </w:t>
            </w:r>
            <w:proofErr w:type="spellStart"/>
            <w:r w:rsidRPr="00CD6D96">
              <w:rPr>
                <w:b/>
                <w:sz w:val="20"/>
                <w:szCs w:val="20"/>
              </w:rPr>
              <w:t>Mutual</w:t>
            </w:r>
            <w:proofErr w:type="spellEnd"/>
            <w:r w:rsidRPr="00CD6D96">
              <w:rPr>
                <w:b/>
                <w:sz w:val="20"/>
                <w:szCs w:val="20"/>
              </w:rPr>
              <w:t xml:space="preserve"> Automobile </w:t>
            </w:r>
            <w:proofErr w:type="spellStart"/>
            <w:r w:rsidRPr="00CD6D96">
              <w:rPr>
                <w:b/>
                <w:sz w:val="20"/>
                <w:szCs w:val="20"/>
              </w:rPr>
              <w:t>Insurance</w:t>
            </w:r>
            <w:proofErr w:type="spellEnd"/>
            <w:r w:rsidRPr="00CD6D96">
              <w:rPr>
                <w:b/>
                <w:sz w:val="20"/>
                <w:szCs w:val="20"/>
              </w:rPr>
              <w:t xml:space="preserve"> </w:t>
            </w:r>
            <w:proofErr w:type="spellStart"/>
            <w:r w:rsidRPr="00CD6D96">
              <w:rPr>
                <w:b/>
                <w:sz w:val="20"/>
                <w:szCs w:val="20"/>
              </w:rPr>
              <w:t>Company</w:t>
            </w:r>
            <w:proofErr w:type="spellEnd"/>
            <w:r w:rsidRPr="00CD6D96">
              <w:rPr>
                <w:b/>
                <w:sz w:val="20"/>
                <w:szCs w:val="20"/>
              </w:rPr>
              <w:t xml:space="preserve"> (une société mutuelle d’assurances des États-Unis d’Amérique inscrite en Illinois), Barbara </w:t>
            </w:r>
            <w:proofErr w:type="spellStart"/>
            <w:r w:rsidRPr="00CD6D96">
              <w:rPr>
                <w:b/>
                <w:sz w:val="20"/>
                <w:szCs w:val="20"/>
              </w:rPr>
              <w:t>Bellissimo</w:t>
            </w:r>
            <w:proofErr w:type="spellEnd"/>
            <w:r w:rsidRPr="00CD6D96">
              <w:rPr>
                <w:b/>
                <w:sz w:val="20"/>
                <w:szCs w:val="20"/>
              </w:rPr>
              <w:t xml:space="preserve"> et Edward B. Rust Jr.</w:t>
            </w:r>
            <w:r w:rsidR="00A46CA2">
              <w:rPr>
                <w:b/>
                <w:sz w:val="20"/>
                <w:szCs w:val="20"/>
              </w:rPr>
              <w:t xml:space="preserve"> </w:t>
            </w:r>
            <w:r w:rsidRPr="00CD6D96">
              <w:rPr>
                <w:sz w:val="20"/>
                <w:szCs w:val="20"/>
              </w:rPr>
              <w:t>(Ont.) (Civile) (Sur autorisation)</w:t>
            </w:r>
          </w:p>
        </w:tc>
      </w:tr>
      <w:tr w:rsidR="00A46CA2" w:rsidRPr="00F964D5" w:rsidTr="00CA774A">
        <w:tc>
          <w:tcPr>
            <w:tcW w:w="543" w:type="pct"/>
          </w:tcPr>
          <w:p w:rsidR="00A46CA2" w:rsidRPr="00CD6D96" w:rsidRDefault="00A46CA2"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A46CA2" w:rsidRDefault="00A46CA2" w:rsidP="00A46CA2">
            <w:pPr>
              <w:pStyle w:val="SCCLsocParty"/>
              <w:jc w:val="both"/>
              <w:rPr>
                <w:sz w:val="20"/>
                <w:szCs w:val="20"/>
              </w:rPr>
            </w:pPr>
            <w:r w:rsidRPr="00FA44A0">
              <w:rPr>
                <w:sz w:val="20"/>
                <w:szCs w:val="20"/>
              </w:rPr>
              <w:t xml:space="preserve">La juge en chef </w:t>
            </w:r>
            <w:proofErr w:type="spellStart"/>
            <w:r w:rsidRPr="00FA44A0">
              <w:rPr>
                <w:sz w:val="20"/>
                <w:szCs w:val="20"/>
              </w:rPr>
              <w:t>McLachlin</w:t>
            </w:r>
            <w:proofErr w:type="spellEnd"/>
            <w:r w:rsidRPr="00FA44A0">
              <w:rPr>
                <w:sz w:val="20"/>
                <w:szCs w:val="20"/>
              </w:rPr>
              <w:t xml:space="preserve"> et les juges Abella, </w:t>
            </w:r>
            <w:proofErr w:type="spellStart"/>
            <w:r w:rsidRPr="00FA44A0">
              <w:rPr>
                <w:sz w:val="20"/>
                <w:szCs w:val="20"/>
              </w:rPr>
              <w:t>Moldaver</w:t>
            </w:r>
            <w:proofErr w:type="spellEnd"/>
            <w:r w:rsidRPr="00FA44A0">
              <w:rPr>
                <w:sz w:val="20"/>
                <w:szCs w:val="20"/>
              </w:rPr>
              <w:t xml:space="preserve">, </w:t>
            </w:r>
            <w:proofErr w:type="spellStart"/>
            <w:r w:rsidRPr="00FA44A0">
              <w:rPr>
                <w:sz w:val="20"/>
                <w:szCs w:val="20"/>
              </w:rPr>
              <w:t>Karakatsanis</w:t>
            </w:r>
            <w:proofErr w:type="spellEnd"/>
            <w:r w:rsidRPr="00FA44A0">
              <w:rPr>
                <w:sz w:val="20"/>
                <w:szCs w:val="20"/>
              </w:rPr>
              <w:t>, Wagner, Gascon, Côté, Brown et Rowe</w:t>
            </w:r>
          </w:p>
          <w:p w:rsidR="00A46CA2" w:rsidRPr="00A46CA2" w:rsidRDefault="00A46CA2" w:rsidP="00A46CA2">
            <w:pPr>
              <w:rPr>
                <w:lang w:val="fr-CA"/>
              </w:rPr>
            </w:pPr>
          </w:p>
        </w:tc>
      </w:tr>
      <w:tr w:rsidR="00A46CA2" w:rsidRPr="00F964D5" w:rsidTr="00A46CA2">
        <w:tc>
          <w:tcPr>
            <w:tcW w:w="5000" w:type="pct"/>
            <w:gridSpan w:val="4"/>
          </w:tcPr>
          <w:p w:rsidR="00A46CA2" w:rsidRDefault="00A46CA2" w:rsidP="00A46CA2">
            <w:pPr>
              <w:pStyle w:val="SCCLsocParty"/>
              <w:jc w:val="both"/>
              <w:rPr>
                <w:sz w:val="20"/>
                <w:szCs w:val="20"/>
              </w:rPr>
            </w:pPr>
            <w:r w:rsidRPr="00FA44A0">
              <w:rPr>
                <w:sz w:val="20"/>
                <w:szCs w:val="20"/>
              </w:rPr>
              <w:t xml:space="preserve">La requête en prorogation du délai de signification et de dépôt de la demande d’autorisation d’appel est rejetée. Quoi qu’il en soit, même si la requête avait été accueillie, la demande d’autorisation d’appel de l’arrêt de la Cour d’appel de l’Ontario, numéro C60767, 2016 ONCA 238, daté du 29 mars 2016, et les requêtes qui s’y rattachent, auraient été rejetées avec dépens.  </w:t>
            </w:r>
          </w:p>
          <w:p w:rsidR="00A46CA2" w:rsidRPr="00A46CA2" w:rsidRDefault="00A46CA2" w:rsidP="00A46CA2">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i/>
                <w:sz w:val="20"/>
                <w:szCs w:val="20"/>
                <w:lang w:val="fr-CA"/>
              </w:rPr>
              <w:t>Charte des droits</w:t>
            </w:r>
            <w:r w:rsidRPr="00CD6D96">
              <w:rPr>
                <w:sz w:val="20"/>
                <w:szCs w:val="20"/>
                <w:lang w:val="fr-CA"/>
              </w:rPr>
              <w:t xml:space="preserve"> – Justice fondamentale – Vie privée – Jugements et ordonnances – Ordonnance interlocutoire – La demanderesse allègue que des renseignements médicaux privés à son sujet qu’elle avait fournis à son assureur ont été transmis à tort à des personnes à l’extérieur de l’Ontario à son insu et sans son consentement – La demanderesse sollicite un jugement déclaratoire contre les intimés – Les juridictions inférieures </w:t>
            </w:r>
            <w:proofErr w:type="spellStart"/>
            <w:r w:rsidRPr="00CD6D96">
              <w:rPr>
                <w:sz w:val="20"/>
                <w:szCs w:val="20"/>
                <w:lang w:val="fr-CA"/>
              </w:rPr>
              <w:t>ont-elles</w:t>
            </w:r>
            <w:proofErr w:type="spellEnd"/>
            <w:r w:rsidRPr="00CD6D96">
              <w:rPr>
                <w:sz w:val="20"/>
                <w:szCs w:val="20"/>
                <w:lang w:val="fr-CA"/>
              </w:rPr>
              <w:t xml:space="preserve"> commis des erreurs de droit en rejetant sa demande?</w:t>
            </w:r>
          </w:p>
        </w:tc>
      </w:tr>
      <w:tr w:rsidR="00CA774A" w:rsidRPr="00CD6D96" w:rsidTr="00CA774A">
        <w:tc>
          <w:tcPr>
            <w:tcW w:w="5000"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En 2009, Mme </w:t>
            </w:r>
            <w:proofErr w:type="spellStart"/>
            <w:r w:rsidRPr="00CD6D96">
              <w:rPr>
                <w:sz w:val="20"/>
                <w:szCs w:val="20"/>
                <w:lang w:val="fr-CA"/>
              </w:rPr>
              <w:t>Hordo</w:t>
            </w:r>
            <w:proofErr w:type="spellEnd"/>
            <w:r w:rsidRPr="00CD6D96">
              <w:rPr>
                <w:sz w:val="20"/>
                <w:szCs w:val="20"/>
                <w:lang w:val="fr-CA"/>
              </w:rPr>
              <w:t xml:space="preserve"> a été impliquée dans un accident d’automobile. Elle a intenté une action en dommages-intérêts contre le conducteur de l’autre véhicule, et une action contre son assureur, State </w:t>
            </w:r>
            <w:proofErr w:type="spellStart"/>
            <w:r w:rsidRPr="00CD6D96">
              <w:rPr>
                <w:sz w:val="20"/>
                <w:szCs w:val="20"/>
                <w:lang w:val="fr-CA"/>
              </w:rPr>
              <w:t>Farm</w:t>
            </w:r>
            <w:proofErr w:type="spellEnd"/>
            <w:r w:rsidRPr="00CD6D96">
              <w:rPr>
                <w:sz w:val="20"/>
                <w:szCs w:val="20"/>
                <w:lang w:val="fr-CA"/>
              </w:rPr>
              <w:t xml:space="preserve"> </w:t>
            </w:r>
            <w:proofErr w:type="spellStart"/>
            <w:r w:rsidRPr="00CD6D96">
              <w:rPr>
                <w:sz w:val="20"/>
                <w:szCs w:val="20"/>
                <w:lang w:val="fr-CA"/>
              </w:rPr>
              <w:t>Mutual</w:t>
            </w:r>
            <w:proofErr w:type="spellEnd"/>
            <w:r w:rsidRPr="00CD6D96">
              <w:rPr>
                <w:sz w:val="20"/>
                <w:szCs w:val="20"/>
                <w:lang w:val="fr-CA"/>
              </w:rPr>
              <w:t xml:space="preserve"> Automobile </w:t>
            </w:r>
            <w:proofErr w:type="spellStart"/>
            <w:r w:rsidRPr="00CD6D96">
              <w:rPr>
                <w:sz w:val="20"/>
                <w:szCs w:val="20"/>
                <w:lang w:val="fr-CA"/>
              </w:rPr>
              <w:t>Insurance</w:t>
            </w:r>
            <w:proofErr w:type="spellEnd"/>
            <w:r w:rsidRPr="00CD6D96">
              <w:rPr>
                <w:sz w:val="20"/>
                <w:szCs w:val="20"/>
                <w:lang w:val="fr-CA"/>
              </w:rPr>
              <w:t xml:space="preserve"> </w:t>
            </w:r>
            <w:proofErr w:type="spellStart"/>
            <w:r w:rsidRPr="00CD6D96">
              <w:rPr>
                <w:sz w:val="20"/>
                <w:szCs w:val="20"/>
                <w:lang w:val="fr-CA"/>
              </w:rPr>
              <w:t>Company</w:t>
            </w:r>
            <w:proofErr w:type="spellEnd"/>
            <w:r w:rsidRPr="00CD6D96">
              <w:rPr>
                <w:sz w:val="20"/>
                <w:szCs w:val="20"/>
                <w:lang w:val="fr-CA"/>
              </w:rPr>
              <w:t xml:space="preserve"> (« State </w:t>
            </w:r>
            <w:proofErr w:type="spellStart"/>
            <w:r w:rsidRPr="00CD6D96">
              <w:rPr>
                <w:sz w:val="20"/>
                <w:szCs w:val="20"/>
                <w:lang w:val="fr-CA"/>
              </w:rPr>
              <w:t>Farm</w:t>
            </w:r>
            <w:proofErr w:type="spellEnd"/>
            <w:r w:rsidRPr="00CD6D96">
              <w:rPr>
                <w:sz w:val="20"/>
                <w:szCs w:val="20"/>
                <w:lang w:val="fr-CA"/>
              </w:rPr>
              <w:t xml:space="preserve"> ») après que certaines de ses demandes de prestations lui ont été refusées. Elle allègue avoir subi des séquelles graves et permanentes à la suite de l’accident. Elle allègue en outre que des renseignements relatifs à la santé confidentiels et privés qu’elle a fournis à State </w:t>
            </w:r>
            <w:proofErr w:type="spellStart"/>
            <w:r w:rsidRPr="00CD6D96">
              <w:rPr>
                <w:sz w:val="20"/>
                <w:szCs w:val="20"/>
                <w:lang w:val="fr-CA"/>
              </w:rPr>
              <w:t>Farm</w:t>
            </w:r>
            <w:proofErr w:type="spellEnd"/>
            <w:r w:rsidRPr="00CD6D96">
              <w:rPr>
                <w:sz w:val="20"/>
                <w:szCs w:val="20"/>
                <w:lang w:val="fr-CA"/>
              </w:rPr>
              <w:t xml:space="preserve"> au soutien de sa demande d’indemnités d’accident légales ont été transmis à tort à des personnes à l’extérieur de l’Ontario, à son insu et sans son consentement. Mme </w:t>
            </w:r>
            <w:proofErr w:type="spellStart"/>
            <w:r w:rsidRPr="00CD6D96">
              <w:rPr>
                <w:sz w:val="20"/>
                <w:szCs w:val="20"/>
                <w:lang w:val="fr-CA"/>
              </w:rPr>
              <w:t>Hordo</w:t>
            </w:r>
            <w:proofErr w:type="spellEnd"/>
            <w:r w:rsidRPr="00CD6D96">
              <w:rPr>
                <w:sz w:val="20"/>
                <w:szCs w:val="20"/>
                <w:lang w:val="fr-CA"/>
              </w:rPr>
              <w:t xml:space="preserve"> a présenté au tribunal une demande de jugement déclarant que State </w:t>
            </w:r>
            <w:proofErr w:type="spellStart"/>
            <w:r w:rsidRPr="00CD6D96">
              <w:rPr>
                <w:sz w:val="20"/>
                <w:szCs w:val="20"/>
                <w:lang w:val="fr-CA"/>
              </w:rPr>
              <w:t>Farm</w:t>
            </w:r>
            <w:proofErr w:type="spellEnd"/>
            <w:r w:rsidRPr="00CD6D96">
              <w:rPr>
                <w:sz w:val="20"/>
                <w:szCs w:val="20"/>
                <w:lang w:val="fr-CA"/>
              </w:rPr>
              <w:t xml:space="preserve"> et ses dirigeants avaient violé, notamment, les articles de la </w:t>
            </w:r>
            <w:r w:rsidRPr="00CD6D96">
              <w:rPr>
                <w:i/>
                <w:sz w:val="20"/>
                <w:szCs w:val="20"/>
                <w:lang w:val="fr-CA"/>
              </w:rPr>
              <w:t>Loi sur la protection des renseignements personnels et les documents électroniques</w:t>
            </w:r>
            <w:r w:rsidRPr="00CD6D96">
              <w:rPr>
                <w:sz w:val="20"/>
                <w:szCs w:val="20"/>
                <w:lang w:val="fr-CA"/>
              </w:rPr>
              <w:t xml:space="preserve">, L.C. 2000, ch. 5, de la </w:t>
            </w:r>
            <w:r w:rsidRPr="00CD6D96">
              <w:rPr>
                <w:i/>
                <w:sz w:val="20"/>
                <w:szCs w:val="20"/>
                <w:lang w:val="fr-CA"/>
              </w:rPr>
              <w:t>Loi sur les assurances</w:t>
            </w:r>
            <w:r w:rsidRPr="00CD6D96">
              <w:rPr>
                <w:sz w:val="20"/>
                <w:szCs w:val="20"/>
                <w:lang w:val="fr-CA"/>
              </w:rPr>
              <w:t xml:space="preserve">, L.R.O. 1990, ch. I.8, de la </w:t>
            </w:r>
            <w:r w:rsidRPr="00CD6D96">
              <w:rPr>
                <w:i/>
                <w:sz w:val="20"/>
                <w:szCs w:val="20"/>
                <w:lang w:val="fr-CA"/>
              </w:rPr>
              <w:t>Loi sur la gestion des finances publiques</w:t>
            </w:r>
            <w:r w:rsidRPr="00CD6D96">
              <w:rPr>
                <w:sz w:val="20"/>
                <w:szCs w:val="20"/>
                <w:lang w:val="fr-CA"/>
              </w:rPr>
              <w:t xml:space="preserve">, L.R.C. 1985, ch. F-11 et de la </w:t>
            </w:r>
            <w:r w:rsidRPr="00CD6D96">
              <w:rPr>
                <w:i/>
                <w:sz w:val="20"/>
                <w:szCs w:val="20"/>
                <w:lang w:val="fr-CA"/>
              </w:rPr>
              <w:t>Charte</w:t>
            </w:r>
            <w:r w:rsidRPr="00CD6D96">
              <w:rPr>
                <w:sz w:val="20"/>
                <w:szCs w:val="20"/>
                <w:lang w:val="fr-CA"/>
              </w:rPr>
              <w:t>.</w:t>
            </w:r>
          </w:p>
        </w:tc>
      </w:tr>
      <w:tr w:rsidR="00CA774A" w:rsidRPr="00CD6D96"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15 juin 2015</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(Juge Pollack)</w:t>
            </w:r>
          </w:p>
          <w:p w:rsidR="00CA774A" w:rsidRPr="00CD6D96" w:rsidRDefault="00F964D5" w:rsidP="00CA774A">
            <w:pPr>
              <w:jc w:val="both"/>
              <w:rPr>
                <w:sz w:val="20"/>
                <w:szCs w:val="20"/>
                <w:lang w:val="fr-CA"/>
              </w:rPr>
            </w:pPr>
            <w:hyperlink r:id="rId65" w:history="1">
              <w:r w:rsidR="00CA774A" w:rsidRPr="00CD6D96">
                <w:rPr>
                  <w:rStyle w:val="Hyperlink"/>
                  <w:sz w:val="20"/>
                  <w:szCs w:val="20"/>
                  <w:lang w:val="fr-CA"/>
                </w:rPr>
                <w:t>2015 ONSC 2530</w:t>
              </w:r>
            </w:hyperlink>
            <w:r w:rsidR="00CA774A" w:rsidRPr="00CD6D96">
              <w:rPr>
                <w:sz w:val="20"/>
                <w:szCs w:val="20"/>
                <w:lang w:val="fr-CA"/>
              </w:rPr>
              <w:t xml:space="preserve"> </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 demande de jugement déclaratoire de la demanderesse</w:t>
            </w:r>
          </w:p>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29 mars 2016</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(Juges Doherty, </w:t>
            </w:r>
            <w:proofErr w:type="spellStart"/>
            <w:r w:rsidRPr="00CD6D96">
              <w:rPr>
                <w:sz w:val="20"/>
                <w:szCs w:val="20"/>
                <w:lang w:val="fr-CA"/>
              </w:rPr>
              <w:t>Cronk</w:t>
            </w:r>
            <w:proofErr w:type="spellEnd"/>
            <w:r w:rsidRPr="00CD6D96">
              <w:rPr>
                <w:sz w:val="20"/>
                <w:szCs w:val="20"/>
                <w:lang w:val="fr-CA"/>
              </w:rPr>
              <w:t xml:space="preserve"> et </w:t>
            </w:r>
            <w:proofErr w:type="spellStart"/>
            <w:r w:rsidRPr="00CD6D96">
              <w:rPr>
                <w:sz w:val="20"/>
                <w:szCs w:val="20"/>
                <w:lang w:val="fr-CA"/>
              </w:rPr>
              <w:t>Pepall</w:t>
            </w:r>
            <w:proofErr w:type="spellEnd"/>
            <w:r w:rsidRPr="00CD6D96">
              <w:rPr>
                <w:sz w:val="20"/>
                <w:szCs w:val="20"/>
                <w:lang w:val="fr-CA"/>
              </w:rPr>
              <w:t>)</w:t>
            </w:r>
          </w:p>
          <w:p w:rsidR="00CA774A" w:rsidRPr="00CD6D96" w:rsidRDefault="00F964D5" w:rsidP="00CA774A">
            <w:pPr>
              <w:jc w:val="both"/>
              <w:rPr>
                <w:sz w:val="20"/>
                <w:szCs w:val="20"/>
                <w:lang w:val="fr-CA"/>
              </w:rPr>
            </w:pPr>
            <w:hyperlink r:id="rId66" w:history="1">
              <w:r w:rsidR="00CA774A" w:rsidRPr="00CD6D96">
                <w:rPr>
                  <w:rStyle w:val="Hyperlink"/>
                  <w:sz w:val="20"/>
                  <w:szCs w:val="20"/>
                  <w:lang w:val="fr-CA"/>
                </w:rPr>
                <w:t>2016 ONCA 238</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l’appel de la demanderesse</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lastRenderedPageBreak/>
              <w:t>26 mai 2017</w:t>
            </w:r>
          </w:p>
          <w:p w:rsidR="00CA774A" w:rsidRPr="00CD6D96" w:rsidRDefault="00CA774A" w:rsidP="00CA774A">
            <w:pPr>
              <w:jc w:val="both"/>
              <w:rPr>
                <w:sz w:val="20"/>
                <w:szCs w:val="20"/>
                <w:lang w:val="fr-CA"/>
              </w:rPr>
            </w:pPr>
            <w:r w:rsidRPr="00CD6D96">
              <w:rPr>
                <w:sz w:val="20"/>
                <w:szCs w:val="20"/>
                <w:lang w:val="fr-CA"/>
              </w:rPr>
              <w:t>Cour suprême du Canada</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requête en prorogation du délai de signification et de dépôt de la demande d’autorisation d’appel et de la demande d’autorisation d’appel</w:t>
            </w:r>
          </w:p>
        </w:tc>
      </w:tr>
    </w:tbl>
    <w:p w:rsidR="00CA774A" w:rsidRPr="00CD6D96" w:rsidRDefault="00F964D5" w:rsidP="00CA774A">
      <w:pPr>
        <w:jc w:val="both"/>
        <w:rPr>
          <w:sz w:val="20"/>
          <w:szCs w:val="20"/>
          <w:lang w:val="fr-CA"/>
        </w:rPr>
      </w:pPr>
      <w:r>
        <w:rPr>
          <w:sz w:val="20"/>
          <w:szCs w:val="20"/>
        </w:rPr>
        <w:pict>
          <v:rect id="_x0000_i1069"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37651</w:t>
            </w:r>
          </w:p>
        </w:tc>
        <w:tc>
          <w:tcPr>
            <w:tcW w:w="4457" w:type="pct"/>
            <w:gridSpan w:val="3"/>
          </w:tcPr>
          <w:p w:rsidR="00CA774A" w:rsidRPr="00CD6D96" w:rsidRDefault="00CA774A" w:rsidP="00CA774A">
            <w:pPr>
              <w:pStyle w:val="SCCLsocParty"/>
              <w:jc w:val="both"/>
              <w:rPr>
                <w:b/>
                <w:sz w:val="20"/>
                <w:szCs w:val="20"/>
                <w:lang w:val="en-US"/>
              </w:rPr>
            </w:pPr>
            <w:proofErr w:type="spellStart"/>
            <w:r w:rsidRPr="00CD6D96">
              <w:rPr>
                <w:b/>
                <w:sz w:val="20"/>
                <w:szCs w:val="20"/>
                <w:lang w:val="en-US"/>
              </w:rPr>
              <w:t>Veena</w:t>
            </w:r>
            <w:proofErr w:type="spellEnd"/>
            <w:r w:rsidRPr="00CD6D96">
              <w:rPr>
                <w:b/>
                <w:sz w:val="20"/>
                <w:szCs w:val="20"/>
                <w:lang w:val="en-US"/>
              </w:rPr>
              <w:t xml:space="preserve"> Malhotra v. Paul Stunt</w:t>
            </w:r>
          </w:p>
          <w:p w:rsidR="00CA774A" w:rsidRPr="00CD6D96" w:rsidRDefault="00CA774A" w:rsidP="00CA774A">
            <w:pPr>
              <w:jc w:val="both"/>
              <w:rPr>
                <w:sz w:val="20"/>
                <w:szCs w:val="20"/>
              </w:rPr>
            </w:pPr>
            <w:r w:rsidRPr="00CD6D96">
              <w:rPr>
                <w:sz w:val="20"/>
                <w:szCs w:val="20"/>
              </w:rPr>
              <w:t>(Ont.) (Civil) (By Leave)</w:t>
            </w:r>
          </w:p>
        </w:tc>
      </w:tr>
      <w:tr w:rsidR="005B72EF" w:rsidRPr="00CD6D96" w:rsidTr="00CA774A">
        <w:tc>
          <w:tcPr>
            <w:tcW w:w="543" w:type="pct"/>
          </w:tcPr>
          <w:p w:rsidR="005B72EF" w:rsidRPr="00CD6D96" w:rsidRDefault="005B72EF" w:rsidP="00CA774A">
            <w:pPr>
              <w:jc w:val="both"/>
              <w:rPr>
                <w:rStyle w:val="SCCFileNumberChar"/>
                <w:sz w:val="20"/>
                <w:szCs w:val="20"/>
              </w:rPr>
            </w:pPr>
            <w:r>
              <w:rPr>
                <w:rStyle w:val="SCCFileNumberChar"/>
                <w:sz w:val="20"/>
                <w:szCs w:val="20"/>
              </w:rPr>
              <w:t>Coram:</w:t>
            </w:r>
          </w:p>
        </w:tc>
        <w:tc>
          <w:tcPr>
            <w:tcW w:w="4457" w:type="pct"/>
            <w:gridSpan w:val="3"/>
          </w:tcPr>
          <w:p w:rsidR="005B72EF" w:rsidRDefault="005B72EF" w:rsidP="00CA774A">
            <w:pPr>
              <w:pStyle w:val="SCCLsocParty"/>
              <w:jc w:val="both"/>
              <w:rPr>
                <w:sz w:val="20"/>
                <w:szCs w:val="20"/>
                <w:lang w:val="en-US"/>
              </w:rPr>
            </w:pPr>
            <w:proofErr w:type="spellStart"/>
            <w:r w:rsidRPr="005B72EF">
              <w:rPr>
                <w:sz w:val="20"/>
                <w:szCs w:val="20"/>
                <w:lang w:val="en-US"/>
              </w:rPr>
              <w:t>McLachlin</w:t>
            </w:r>
            <w:proofErr w:type="spellEnd"/>
            <w:r w:rsidRPr="005B72EF">
              <w:rPr>
                <w:sz w:val="20"/>
                <w:szCs w:val="20"/>
                <w:lang w:val="en-US"/>
              </w:rPr>
              <w:t xml:space="preserve"> C.J. and </w:t>
            </w:r>
            <w:proofErr w:type="spellStart"/>
            <w:r w:rsidRPr="005B72EF">
              <w:rPr>
                <w:sz w:val="20"/>
                <w:szCs w:val="20"/>
                <w:lang w:val="en-US"/>
              </w:rPr>
              <w:t>Abella</w:t>
            </w:r>
            <w:proofErr w:type="spellEnd"/>
            <w:r w:rsidRPr="005B72EF">
              <w:rPr>
                <w:sz w:val="20"/>
                <w:szCs w:val="20"/>
                <w:lang w:val="en-US"/>
              </w:rPr>
              <w:t xml:space="preserve">, </w:t>
            </w:r>
            <w:proofErr w:type="spellStart"/>
            <w:r w:rsidRPr="005B72EF">
              <w:rPr>
                <w:sz w:val="20"/>
                <w:szCs w:val="20"/>
                <w:lang w:val="en-US"/>
              </w:rPr>
              <w:t>Moldaver</w:t>
            </w:r>
            <w:proofErr w:type="spellEnd"/>
            <w:r w:rsidRPr="005B72EF">
              <w:rPr>
                <w:sz w:val="20"/>
                <w:szCs w:val="20"/>
                <w:lang w:val="en-US"/>
              </w:rPr>
              <w:t xml:space="preserve">, </w:t>
            </w:r>
            <w:proofErr w:type="spellStart"/>
            <w:r w:rsidRPr="005B72EF">
              <w:rPr>
                <w:sz w:val="20"/>
                <w:szCs w:val="20"/>
                <w:lang w:val="en-US"/>
              </w:rPr>
              <w:t>Karakatsanis</w:t>
            </w:r>
            <w:proofErr w:type="spellEnd"/>
            <w:r w:rsidRPr="005B72EF">
              <w:rPr>
                <w:sz w:val="20"/>
                <w:szCs w:val="20"/>
                <w:lang w:val="en-US"/>
              </w:rPr>
              <w:t xml:space="preserve">, Wagner, </w:t>
            </w:r>
            <w:proofErr w:type="spellStart"/>
            <w:r w:rsidRPr="005B72EF">
              <w:rPr>
                <w:sz w:val="20"/>
                <w:szCs w:val="20"/>
                <w:lang w:val="en-US"/>
              </w:rPr>
              <w:t>Gascon</w:t>
            </w:r>
            <w:proofErr w:type="spellEnd"/>
            <w:r w:rsidRPr="005B72EF">
              <w:rPr>
                <w:sz w:val="20"/>
                <w:szCs w:val="20"/>
                <w:lang w:val="en-US"/>
              </w:rPr>
              <w:t xml:space="preserve">, </w:t>
            </w:r>
            <w:proofErr w:type="spellStart"/>
            <w:r w:rsidRPr="005B72EF">
              <w:rPr>
                <w:sz w:val="20"/>
                <w:szCs w:val="20"/>
                <w:lang w:val="en-US"/>
              </w:rPr>
              <w:t>Côté</w:t>
            </w:r>
            <w:proofErr w:type="spellEnd"/>
            <w:r w:rsidRPr="005B72EF">
              <w:rPr>
                <w:sz w:val="20"/>
                <w:szCs w:val="20"/>
                <w:lang w:val="en-US"/>
              </w:rPr>
              <w:t>, Brown and Rowe JJ.</w:t>
            </w:r>
          </w:p>
          <w:p w:rsidR="005B72EF" w:rsidRPr="005B72EF" w:rsidRDefault="005B72EF" w:rsidP="005B72EF">
            <w:pPr>
              <w:rPr>
                <w:lang w:val="en-US"/>
              </w:rPr>
            </w:pPr>
          </w:p>
        </w:tc>
      </w:tr>
      <w:tr w:rsidR="005B72EF" w:rsidRPr="00CD6D96" w:rsidTr="005B72EF">
        <w:tc>
          <w:tcPr>
            <w:tcW w:w="5000" w:type="pct"/>
            <w:gridSpan w:val="4"/>
          </w:tcPr>
          <w:p w:rsidR="005B72EF" w:rsidRDefault="005B72EF" w:rsidP="00CA774A">
            <w:pPr>
              <w:pStyle w:val="SCCLsocParty"/>
              <w:jc w:val="both"/>
              <w:rPr>
                <w:sz w:val="20"/>
                <w:szCs w:val="20"/>
                <w:lang w:val="en-US"/>
              </w:rPr>
            </w:pPr>
            <w:r w:rsidRPr="005B72EF">
              <w:rPr>
                <w:sz w:val="20"/>
                <w:szCs w:val="20"/>
                <w:lang w:val="en-US"/>
              </w:rPr>
              <w:t>The motion for an extension of time to serve and file the application for leave to appeal is granted.  The application for leave to appeal from the judgment of the Court of Appeal for Ontario, Number M47146, dated March 1, 2017, is dismissed with costs.</w:t>
            </w:r>
          </w:p>
          <w:p w:rsidR="005B72EF" w:rsidRPr="005B72EF" w:rsidRDefault="005B72EF" w:rsidP="005B72EF">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Property — Real property — Appeal — Application for leave to appeal — Respondent bringing action for damages for trees cut on his property without his permission — Respondent awarded damages — Appeal of award dismissed for delay — Whether a legal issue is raised — Whether issue raised is of national importance — Whether lower courts erred in reasoning and findings.  </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lang w:eastAsia="en-CA"/>
              </w:rPr>
            </w:pPr>
            <w:r w:rsidRPr="00CD6D96">
              <w:rPr>
                <w:sz w:val="20"/>
                <w:szCs w:val="20"/>
                <w:lang w:eastAsia="en-CA"/>
              </w:rPr>
              <w:t xml:space="preserve">The respondent, Mr. Stunt brought an action against the applicant, Ms. Malhotra for cutting his trees without permission. </w:t>
            </w:r>
          </w:p>
          <w:p w:rsidR="00CA774A" w:rsidRPr="00CD6D96" w:rsidRDefault="00CA774A" w:rsidP="00CA774A">
            <w:pPr>
              <w:jc w:val="both"/>
              <w:rPr>
                <w:b/>
                <w:sz w:val="20"/>
                <w:szCs w:val="20"/>
                <w:lang w:eastAsia="en-CA"/>
              </w:rPr>
            </w:pPr>
          </w:p>
          <w:p w:rsidR="00CA774A" w:rsidRPr="00CD6D96" w:rsidRDefault="00CA774A" w:rsidP="00CA774A">
            <w:pPr>
              <w:jc w:val="both"/>
              <w:rPr>
                <w:sz w:val="20"/>
                <w:szCs w:val="20"/>
                <w:lang w:eastAsia="en-CA"/>
              </w:rPr>
            </w:pPr>
            <w:r w:rsidRPr="00CD6D96">
              <w:rPr>
                <w:sz w:val="20"/>
                <w:szCs w:val="20"/>
                <w:lang w:eastAsia="en-CA"/>
              </w:rPr>
              <w:t xml:space="preserve">The Small Claims Court awarded Mr. Stunt $3,500 in damages. The court found that the trees that were cut did not have a trunk on the property line and were cut on Mr. Stunt’s property. </w:t>
            </w:r>
          </w:p>
          <w:p w:rsidR="00CA774A" w:rsidRPr="00CD6D96" w:rsidRDefault="00CA774A" w:rsidP="00CA774A">
            <w:pPr>
              <w:jc w:val="both"/>
              <w:rPr>
                <w:sz w:val="20"/>
                <w:szCs w:val="20"/>
                <w:lang w:eastAsia="en-CA"/>
              </w:rPr>
            </w:pPr>
          </w:p>
          <w:p w:rsidR="00CA774A" w:rsidRPr="00CD6D96" w:rsidRDefault="00CA774A" w:rsidP="00CA774A">
            <w:pPr>
              <w:jc w:val="both"/>
              <w:rPr>
                <w:sz w:val="20"/>
                <w:szCs w:val="20"/>
                <w:lang w:eastAsia="en-CA"/>
              </w:rPr>
            </w:pPr>
            <w:r w:rsidRPr="00CD6D96">
              <w:rPr>
                <w:sz w:val="20"/>
                <w:szCs w:val="20"/>
                <w:lang w:eastAsia="en-CA"/>
              </w:rPr>
              <w:t xml:space="preserve">On July 16, 2013, Ms. Malhotra filed a notice of appeal at the Ontario Superior Court. On August 13, 2015, Ms. Malhotra’s appeal was dismissed for delay on the basis she failed to perfect the appeal. Ms. Malhotra brought a motion before three judges of the Ontario Superior Court to have the order dismissing her appeal set aside. That motion was dismissed. </w:t>
            </w:r>
          </w:p>
          <w:p w:rsidR="00CA774A" w:rsidRPr="00CD6D96" w:rsidRDefault="00CA774A" w:rsidP="00CA774A">
            <w:pPr>
              <w:jc w:val="both"/>
              <w:rPr>
                <w:sz w:val="20"/>
                <w:szCs w:val="20"/>
                <w:lang w:eastAsia="en-CA"/>
              </w:rPr>
            </w:pPr>
          </w:p>
          <w:p w:rsidR="00CA774A" w:rsidRPr="00CD6D96" w:rsidRDefault="00CA774A" w:rsidP="00CA774A">
            <w:pPr>
              <w:jc w:val="both"/>
              <w:rPr>
                <w:sz w:val="20"/>
                <w:szCs w:val="20"/>
              </w:rPr>
            </w:pPr>
            <w:r w:rsidRPr="00CD6D96">
              <w:rPr>
                <w:sz w:val="20"/>
                <w:szCs w:val="20"/>
                <w:lang w:eastAsia="en-CA"/>
              </w:rPr>
              <w:t>A motion for leave to appeal to set aside this order was also dismissed by the Court of Appeal without reasons.</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February 12, 2013</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(Small Claims Court)</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Upenieks</w:t>
            </w:r>
            <w:proofErr w:type="spellEnd"/>
            <w:r w:rsidRPr="00CD6D96">
              <w:rPr>
                <w:sz w:val="20"/>
                <w:szCs w:val="20"/>
              </w:rPr>
              <w:t>, Deputy Judge)</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Mr. Stunt awarded $3,500 in damages.</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August 13, 2015</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Baltman</w:t>
            </w:r>
            <w:proofErr w:type="spellEnd"/>
            <w:r w:rsidRPr="00CD6D96">
              <w:rPr>
                <w:sz w:val="20"/>
                <w:szCs w:val="20"/>
              </w:rPr>
              <w:t xml:space="preserve"> J.)</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 dismissed for delay.</w:t>
            </w: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October 18, 2016</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Dambrot</w:t>
            </w:r>
            <w:proofErr w:type="spellEnd"/>
            <w:r w:rsidRPr="00CD6D96">
              <w:rPr>
                <w:sz w:val="20"/>
                <w:szCs w:val="20"/>
              </w:rPr>
              <w:t xml:space="preserve">, </w:t>
            </w:r>
            <w:proofErr w:type="spellStart"/>
            <w:r w:rsidRPr="00CD6D96">
              <w:rPr>
                <w:sz w:val="20"/>
                <w:szCs w:val="20"/>
              </w:rPr>
              <w:t>Hambly</w:t>
            </w:r>
            <w:proofErr w:type="spellEnd"/>
            <w:r w:rsidRPr="00CD6D96">
              <w:rPr>
                <w:sz w:val="20"/>
                <w:szCs w:val="20"/>
              </w:rPr>
              <w:t xml:space="preserve"> and Mew JJ.)</w:t>
            </w:r>
          </w:p>
          <w:p w:rsidR="00CA774A" w:rsidRPr="00CD6D96" w:rsidRDefault="00F964D5" w:rsidP="00CA774A">
            <w:pPr>
              <w:jc w:val="both"/>
              <w:rPr>
                <w:sz w:val="20"/>
                <w:szCs w:val="20"/>
              </w:rPr>
            </w:pPr>
            <w:hyperlink r:id="rId67" w:history="1">
              <w:r w:rsidR="00CA774A" w:rsidRPr="00CD6D96">
                <w:rPr>
                  <w:rStyle w:val="Hyperlink"/>
                  <w:sz w:val="20"/>
                  <w:szCs w:val="20"/>
                </w:rPr>
                <w:t>2016 ONSC 7378</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Motion to set aside order of </w:t>
            </w:r>
            <w:proofErr w:type="spellStart"/>
            <w:r w:rsidRPr="00CD6D96">
              <w:rPr>
                <w:sz w:val="20"/>
                <w:szCs w:val="20"/>
              </w:rPr>
              <w:t>Baltman</w:t>
            </w:r>
            <w:proofErr w:type="spellEnd"/>
            <w:r w:rsidRPr="00CD6D96">
              <w:rPr>
                <w:sz w:val="20"/>
                <w:szCs w:val="20"/>
              </w:rPr>
              <w:t> J. dismissing the appeal for delay,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lang w:eastAsia="en-CA"/>
              </w:rPr>
            </w:pPr>
            <w:r w:rsidRPr="00CD6D96">
              <w:rPr>
                <w:sz w:val="20"/>
                <w:szCs w:val="20"/>
                <w:lang w:eastAsia="en-CA"/>
              </w:rPr>
              <w:t>March 1, 2017</w:t>
            </w:r>
          </w:p>
          <w:p w:rsidR="00CA774A" w:rsidRPr="00CD6D96" w:rsidRDefault="00CA774A" w:rsidP="00CA774A">
            <w:pPr>
              <w:jc w:val="both"/>
              <w:rPr>
                <w:sz w:val="20"/>
                <w:szCs w:val="20"/>
                <w:lang w:eastAsia="en-CA"/>
              </w:rPr>
            </w:pPr>
            <w:r w:rsidRPr="00CD6D96">
              <w:rPr>
                <w:sz w:val="20"/>
                <w:szCs w:val="20"/>
                <w:lang w:eastAsia="en-CA"/>
              </w:rPr>
              <w:t>Court of Appeal for Ontario</w:t>
            </w:r>
          </w:p>
          <w:p w:rsidR="00CA774A" w:rsidRPr="00CD6D96" w:rsidRDefault="00CA774A" w:rsidP="00CA774A">
            <w:pPr>
              <w:jc w:val="both"/>
              <w:rPr>
                <w:sz w:val="20"/>
                <w:szCs w:val="20"/>
                <w:lang w:eastAsia="en-CA"/>
              </w:rPr>
            </w:pPr>
            <w:r w:rsidRPr="00CD6D96">
              <w:rPr>
                <w:sz w:val="20"/>
                <w:szCs w:val="20"/>
                <w:lang w:eastAsia="en-CA"/>
              </w:rPr>
              <w:t xml:space="preserve">(Sharpe, </w:t>
            </w:r>
            <w:proofErr w:type="spellStart"/>
            <w:r w:rsidRPr="00CD6D96">
              <w:rPr>
                <w:sz w:val="20"/>
                <w:szCs w:val="20"/>
                <w:lang w:eastAsia="en-CA"/>
              </w:rPr>
              <w:t>Lauwers</w:t>
            </w:r>
            <w:proofErr w:type="spellEnd"/>
            <w:r w:rsidRPr="00CD6D96">
              <w:rPr>
                <w:sz w:val="20"/>
                <w:szCs w:val="20"/>
                <w:lang w:eastAsia="en-CA"/>
              </w:rPr>
              <w:t xml:space="preserve"> and Hourigan JJ.A.)</w:t>
            </w:r>
          </w:p>
          <w:p w:rsidR="00CA774A" w:rsidRPr="00CD6D96" w:rsidRDefault="00CA774A" w:rsidP="00CA774A">
            <w:pPr>
              <w:jc w:val="both"/>
              <w:rPr>
                <w:sz w:val="20"/>
                <w:szCs w:val="20"/>
                <w:lang w:eastAsia="en-CA"/>
              </w:rPr>
            </w:pPr>
            <w:r w:rsidRPr="00CD6D96">
              <w:rPr>
                <w:sz w:val="20"/>
                <w:szCs w:val="20"/>
                <w:lang w:eastAsia="en-CA"/>
              </w:rPr>
              <w:t>File No.: M47146</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leave to appeal to set aside order of Superior Court,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lang w:eastAsia="en-CA"/>
              </w:rPr>
            </w:pPr>
            <w:r w:rsidRPr="00CD6D96">
              <w:rPr>
                <w:sz w:val="20"/>
                <w:szCs w:val="20"/>
                <w:lang w:eastAsia="en-CA"/>
              </w:rPr>
              <w:lastRenderedPageBreak/>
              <w:t>June 22, 2017</w:t>
            </w:r>
          </w:p>
          <w:p w:rsidR="00CA774A" w:rsidRPr="00CD6D96" w:rsidRDefault="00CA774A" w:rsidP="00CA774A">
            <w:pPr>
              <w:jc w:val="both"/>
              <w:rPr>
                <w:sz w:val="20"/>
                <w:szCs w:val="20"/>
                <w:lang w:eastAsia="en-CA"/>
              </w:rPr>
            </w:pPr>
            <w:r w:rsidRPr="00CD6D96">
              <w:rPr>
                <w:sz w:val="20"/>
                <w:szCs w:val="20"/>
                <w:lang w:eastAsia="en-CA"/>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an extension of time to file and/or serve leave application and application for leave to appeal filed.</w:t>
            </w:r>
          </w:p>
        </w:tc>
      </w:tr>
    </w:tbl>
    <w:p w:rsidR="00CA774A" w:rsidRPr="00CD6D96" w:rsidRDefault="00F964D5" w:rsidP="00CA774A">
      <w:pPr>
        <w:jc w:val="both"/>
        <w:rPr>
          <w:sz w:val="20"/>
          <w:szCs w:val="20"/>
        </w:rPr>
      </w:pPr>
      <w:r>
        <w:rPr>
          <w:sz w:val="20"/>
          <w:szCs w:val="20"/>
        </w:rPr>
        <w:pict>
          <v:rect id="_x0000_i1070"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37651</w:t>
            </w:r>
          </w:p>
        </w:tc>
        <w:tc>
          <w:tcPr>
            <w:tcW w:w="4457" w:type="pct"/>
            <w:gridSpan w:val="3"/>
          </w:tcPr>
          <w:p w:rsidR="00CA774A" w:rsidRPr="00CD6D96" w:rsidRDefault="00CA774A" w:rsidP="00CA774A">
            <w:pPr>
              <w:pStyle w:val="SCCLsocParty"/>
              <w:jc w:val="both"/>
              <w:rPr>
                <w:b/>
                <w:sz w:val="20"/>
                <w:szCs w:val="20"/>
              </w:rPr>
            </w:pPr>
            <w:proofErr w:type="spellStart"/>
            <w:r w:rsidRPr="00CD6D96">
              <w:rPr>
                <w:b/>
                <w:sz w:val="20"/>
                <w:szCs w:val="20"/>
              </w:rPr>
              <w:t>Veena</w:t>
            </w:r>
            <w:proofErr w:type="spellEnd"/>
            <w:r w:rsidRPr="00CD6D96">
              <w:rPr>
                <w:b/>
                <w:sz w:val="20"/>
                <w:szCs w:val="20"/>
              </w:rPr>
              <w:t xml:space="preserve"> Malhotra c. Paul </w:t>
            </w:r>
            <w:proofErr w:type="spellStart"/>
            <w:r w:rsidRPr="00CD6D96">
              <w:rPr>
                <w:b/>
                <w:sz w:val="20"/>
                <w:szCs w:val="20"/>
              </w:rPr>
              <w:t>Stunt</w:t>
            </w:r>
            <w:proofErr w:type="spellEnd"/>
          </w:p>
          <w:p w:rsidR="00CA774A" w:rsidRPr="00CD6D96" w:rsidRDefault="00CA774A" w:rsidP="00CA774A">
            <w:pPr>
              <w:jc w:val="both"/>
              <w:rPr>
                <w:sz w:val="20"/>
                <w:szCs w:val="20"/>
                <w:lang w:val="fr-CA"/>
              </w:rPr>
            </w:pPr>
            <w:r w:rsidRPr="00CD6D96">
              <w:rPr>
                <w:sz w:val="20"/>
                <w:szCs w:val="20"/>
                <w:lang w:val="fr-CA"/>
              </w:rPr>
              <w:t>(Ont.) (Civile) (Sur autorisation)</w:t>
            </w:r>
          </w:p>
        </w:tc>
      </w:tr>
      <w:tr w:rsidR="005B72EF" w:rsidRPr="00F964D5" w:rsidTr="00CA774A">
        <w:tc>
          <w:tcPr>
            <w:tcW w:w="543" w:type="pct"/>
          </w:tcPr>
          <w:p w:rsidR="005B72EF" w:rsidRPr="00CD6D96" w:rsidRDefault="005B72EF" w:rsidP="00CA774A">
            <w:pPr>
              <w:jc w:val="both"/>
              <w:rPr>
                <w:rStyle w:val="SCCFileNumberChar"/>
                <w:sz w:val="20"/>
                <w:szCs w:val="20"/>
                <w:lang w:val="fr-CA"/>
              </w:rPr>
            </w:pPr>
            <w:r>
              <w:rPr>
                <w:rStyle w:val="SCCFileNumberChar"/>
                <w:sz w:val="20"/>
                <w:szCs w:val="20"/>
                <w:lang w:val="fr-CA"/>
              </w:rPr>
              <w:t xml:space="preserve">Coram : </w:t>
            </w:r>
          </w:p>
        </w:tc>
        <w:tc>
          <w:tcPr>
            <w:tcW w:w="4457" w:type="pct"/>
            <w:gridSpan w:val="3"/>
          </w:tcPr>
          <w:p w:rsidR="005B72EF" w:rsidRDefault="005B72EF" w:rsidP="00CA774A">
            <w:pPr>
              <w:pStyle w:val="SCCLsocParty"/>
              <w:jc w:val="both"/>
              <w:rPr>
                <w:sz w:val="20"/>
                <w:szCs w:val="20"/>
              </w:rPr>
            </w:pPr>
            <w:r w:rsidRPr="005E7E71">
              <w:rPr>
                <w:sz w:val="20"/>
                <w:szCs w:val="20"/>
              </w:rPr>
              <w:t xml:space="preserve">La juge en chef </w:t>
            </w:r>
            <w:proofErr w:type="spellStart"/>
            <w:r w:rsidRPr="005E7E71">
              <w:rPr>
                <w:sz w:val="20"/>
                <w:szCs w:val="20"/>
              </w:rPr>
              <w:t>McLachlin</w:t>
            </w:r>
            <w:proofErr w:type="spellEnd"/>
            <w:r w:rsidRPr="005E7E71">
              <w:rPr>
                <w:sz w:val="20"/>
                <w:szCs w:val="20"/>
              </w:rPr>
              <w:t xml:space="preserve"> et les juges Abella, </w:t>
            </w:r>
            <w:proofErr w:type="spellStart"/>
            <w:r w:rsidRPr="005E7E71">
              <w:rPr>
                <w:sz w:val="20"/>
                <w:szCs w:val="20"/>
              </w:rPr>
              <w:t>Moldaver</w:t>
            </w:r>
            <w:proofErr w:type="spellEnd"/>
            <w:r w:rsidRPr="005E7E71">
              <w:rPr>
                <w:sz w:val="20"/>
                <w:szCs w:val="20"/>
              </w:rPr>
              <w:t xml:space="preserve">, </w:t>
            </w:r>
            <w:proofErr w:type="spellStart"/>
            <w:r w:rsidRPr="005E7E71">
              <w:rPr>
                <w:sz w:val="20"/>
                <w:szCs w:val="20"/>
              </w:rPr>
              <w:t>Karakatsanis</w:t>
            </w:r>
            <w:proofErr w:type="spellEnd"/>
            <w:r w:rsidRPr="005E7E71">
              <w:rPr>
                <w:sz w:val="20"/>
                <w:szCs w:val="20"/>
              </w:rPr>
              <w:t>, Wagner, Gascon, Côté, Brown et Rowe</w:t>
            </w:r>
          </w:p>
          <w:p w:rsidR="005B72EF" w:rsidRPr="005B72EF" w:rsidRDefault="005B72EF" w:rsidP="005B72EF">
            <w:pPr>
              <w:rPr>
                <w:lang w:val="fr-CA"/>
              </w:rPr>
            </w:pPr>
          </w:p>
        </w:tc>
      </w:tr>
      <w:tr w:rsidR="005B72EF" w:rsidRPr="00F964D5" w:rsidTr="005B72EF">
        <w:tc>
          <w:tcPr>
            <w:tcW w:w="5000" w:type="pct"/>
            <w:gridSpan w:val="4"/>
          </w:tcPr>
          <w:p w:rsidR="005B72EF" w:rsidRDefault="005B72EF" w:rsidP="00CA774A">
            <w:pPr>
              <w:pStyle w:val="SCCLsocParty"/>
              <w:jc w:val="both"/>
              <w:rPr>
                <w:sz w:val="20"/>
                <w:szCs w:val="20"/>
              </w:rPr>
            </w:pPr>
            <w:r w:rsidRPr="005E7E71">
              <w:rPr>
                <w:sz w:val="20"/>
                <w:szCs w:val="20"/>
              </w:rPr>
              <w:t>La requête en prorogation du délai de signification et de dépôt de la demande d’autorisation d’appel est accueillie.  La demande d’autorisation d’appel de l’arrêt de la Cour d’appel de l’Ontario, numéro M47146, daté du 1 mars 2017, est rejetée avec dépens.</w:t>
            </w:r>
          </w:p>
          <w:p w:rsidR="005B72EF" w:rsidRPr="005B72EF" w:rsidRDefault="005B72EF" w:rsidP="005B72EF">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Biens — Biens réels — Appel — Demande d’autorisation d’appel — L’intimé a intenté une action en dommages-intérêts relativement à des arbres qui avaient été coupés sur sa propriété sans sa permission — L’intimé s’est vu accorder des dommages-intérêts — L’appel du jugement a été rejeté pour cause de retard — L’affaire soulève-t-elle une question de droit? — L’affaire soulève-t-elle une question d’importance nationale? — Les juridictions inférieures </w:t>
            </w:r>
            <w:proofErr w:type="spellStart"/>
            <w:r w:rsidRPr="00CD6D96">
              <w:rPr>
                <w:sz w:val="20"/>
                <w:szCs w:val="20"/>
                <w:lang w:val="fr-CA"/>
              </w:rPr>
              <w:t>ont-elles</w:t>
            </w:r>
            <w:proofErr w:type="spellEnd"/>
            <w:r w:rsidRPr="00CD6D96">
              <w:rPr>
                <w:sz w:val="20"/>
                <w:szCs w:val="20"/>
                <w:lang w:val="fr-CA"/>
              </w:rPr>
              <w:t xml:space="preserve"> commis des erreurs dans leurs raisonnements et leurs conclusions?  </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eastAsia="en-CA"/>
              </w:rPr>
            </w:pPr>
            <w:r w:rsidRPr="00CD6D96">
              <w:rPr>
                <w:sz w:val="20"/>
                <w:szCs w:val="20"/>
                <w:lang w:val="fr-CA" w:eastAsia="en-CA"/>
              </w:rPr>
              <w:t>L’intimé, M. </w:t>
            </w:r>
            <w:proofErr w:type="spellStart"/>
            <w:r w:rsidRPr="00CD6D96">
              <w:rPr>
                <w:sz w:val="20"/>
                <w:szCs w:val="20"/>
                <w:lang w:val="fr-CA" w:eastAsia="en-CA"/>
              </w:rPr>
              <w:t>Stunt</w:t>
            </w:r>
            <w:proofErr w:type="spellEnd"/>
            <w:r w:rsidRPr="00CD6D96">
              <w:rPr>
                <w:sz w:val="20"/>
                <w:szCs w:val="20"/>
                <w:lang w:val="fr-CA" w:eastAsia="en-CA"/>
              </w:rPr>
              <w:t xml:space="preserve"> a intenté une action contre la demanderesse, Mme Malhotra, pour avoir coupé des arbres sans sa permission. </w:t>
            </w:r>
          </w:p>
          <w:p w:rsidR="00CA774A" w:rsidRPr="00CD6D96" w:rsidRDefault="00CA774A" w:rsidP="00CA774A">
            <w:pPr>
              <w:jc w:val="both"/>
              <w:rPr>
                <w:b/>
                <w:sz w:val="20"/>
                <w:szCs w:val="20"/>
                <w:lang w:val="fr-CA" w:eastAsia="en-CA"/>
              </w:rPr>
            </w:pPr>
          </w:p>
          <w:p w:rsidR="00CA774A" w:rsidRPr="00CD6D96" w:rsidRDefault="00CA774A" w:rsidP="00CA774A">
            <w:pPr>
              <w:jc w:val="both"/>
              <w:rPr>
                <w:sz w:val="20"/>
                <w:szCs w:val="20"/>
                <w:lang w:val="fr-CA" w:eastAsia="en-CA"/>
              </w:rPr>
            </w:pPr>
            <w:r w:rsidRPr="00CD6D96">
              <w:rPr>
                <w:sz w:val="20"/>
                <w:szCs w:val="20"/>
                <w:lang w:val="fr-CA" w:eastAsia="en-CA"/>
              </w:rPr>
              <w:t>La Cour des petites créances a accordé à M. </w:t>
            </w:r>
            <w:proofErr w:type="spellStart"/>
            <w:r w:rsidRPr="00CD6D96">
              <w:rPr>
                <w:sz w:val="20"/>
                <w:szCs w:val="20"/>
                <w:lang w:val="fr-CA" w:eastAsia="en-CA"/>
              </w:rPr>
              <w:t>Stunt</w:t>
            </w:r>
            <w:proofErr w:type="spellEnd"/>
            <w:r w:rsidRPr="00CD6D96">
              <w:rPr>
                <w:sz w:val="20"/>
                <w:szCs w:val="20"/>
                <w:lang w:val="fr-CA" w:eastAsia="en-CA"/>
              </w:rPr>
              <w:t xml:space="preserve"> des dommages-intérêts de 3 500 $. Le tribunal a conclu que les troncs des arbres coupés ne se trouvaient pas sur la limite de propriété et que les arbres avaient été coupés sur la propriété de  M. </w:t>
            </w:r>
            <w:proofErr w:type="spellStart"/>
            <w:r w:rsidRPr="00CD6D96">
              <w:rPr>
                <w:sz w:val="20"/>
                <w:szCs w:val="20"/>
                <w:lang w:val="fr-CA" w:eastAsia="en-CA"/>
              </w:rPr>
              <w:t>Stunt</w:t>
            </w:r>
            <w:proofErr w:type="spellEnd"/>
            <w:r w:rsidRPr="00CD6D96">
              <w:rPr>
                <w:sz w:val="20"/>
                <w:szCs w:val="20"/>
                <w:lang w:val="fr-CA" w:eastAsia="en-CA"/>
              </w:rPr>
              <w:t xml:space="preserve">. </w:t>
            </w:r>
          </w:p>
          <w:p w:rsidR="00CA774A" w:rsidRPr="00CD6D96" w:rsidRDefault="00CA774A" w:rsidP="00CA774A">
            <w:pPr>
              <w:jc w:val="both"/>
              <w:rPr>
                <w:sz w:val="20"/>
                <w:szCs w:val="20"/>
                <w:lang w:val="fr-CA" w:eastAsia="en-CA"/>
              </w:rPr>
            </w:pPr>
          </w:p>
          <w:p w:rsidR="00CA774A" w:rsidRPr="00CD6D96" w:rsidRDefault="00CA774A" w:rsidP="00CA774A">
            <w:pPr>
              <w:jc w:val="both"/>
              <w:rPr>
                <w:sz w:val="20"/>
                <w:szCs w:val="20"/>
                <w:lang w:val="fr-CA" w:eastAsia="en-CA"/>
              </w:rPr>
            </w:pPr>
            <w:r w:rsidRPr="00CD6D96">
              <w:rPr>
                <w:sz w:val="20"/>
                <w:szCs w:val="20"/>
                <w:lang w:val="fr-CA" w:eastAsia="en-CA"/>
              </w:rPr>
              <w:t xml:space="preserve">Le 16 juillet 2013, Mme Malhotra a déposé un avis d’appel à la Cour supérieure de justice de l’Ontario. Le 13 août 2015, l’appel de Mme Malhotra a été rejeté pour cause de retard parce qu’elle n’avait pas mis l’appel en état. Madame Malhotra a présenté une motion à trois juges de la Cour supérieure de l’Ontario pour faire annuler l’ordonnance rejetant son appel. Cette motion a été rejetée. </w:t>
            </w:r>
          </w:p>
          <w:p w:rsidR="00CA774A" w:rsidRPr="00CD6D96" w:rsidRDefault="00CA774A" w:rsidP="00CA774A">
            <w:pPr>
              <w:jc w:val="both"/>
              <w:rPr>
                <w:sz w:val="20"/>
                <w:szCs w:val="20"/>
                <w:lang w:val="fr-CA" w:eastAsia="en-CA"/>
              </w:rPr>
            </w:pPr>
          </w:p>
          <w:p w:rsidR="00CA774A" w:rsidRPr="00CD6D96" w:rsidRDefault="00CA774A" w:rsidP="00CA774A">
            <w:pPr>
              <w:jc w:val="both"/>
              <w:rPr>
                <w:sz w:val="20"/>
                <w:szCs w:val="20"/>
                <w:lang w:val="fr-CA"/>
              </w:rPr>
            </w:pPr>
            <w:r w:rsidRPr="00CD6D96">
              <w:rPr>
                <w:sz w:val="20"/>
                <w:szCs w:val="20"/>
                <w:lang w:val="fr-CA" w:eastAsia="en-CA"/>
              </w:rPr>
              <w:t>La Cour d’appel a rejeté, sans fournir de motifs, une motion en autorisation d’interjeter appel de cette ordonnance.</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12 février 2013</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(Cour des petites créances)</w:t>
            </w:r>
          </w:p>
          <w:p w:rsidR="00CA774A" w:rsidRPr="00CD6D96" w:rsidRDefault="00CA774A" w:rsidP="00CA774A">
            <w:pPr>
              <w:jc w:val="both"/>
              <w:rPr>
                <w:sz w:val="20"/>
                <w:szCs w:val="20"/>
                <w:lang w:val="fr-CA"/>
              </w:rPr>
            </w:pPr>
            <w:r w:rsidRPr="00CD6D96">
              <w:rPr>
                <w:sz w:val="20"/>
                <w:szCs w:val="20"/>
                <w:lang w:val="fr-CA"/>
              </w:rPr>
              <w:t xml:space="preserve">(Juge adjoint </w:t>
            </w:r>
            <w:proofErr w:type="spellStart"/>
            <w:r w:rsidRPr="00CD6D96">
              <w:rPr>
                <w:sz w:val="20"/>
                <w:szCs w:val="20"/>
                <w:lang w:val="fr-CA"/>
              </w:rPr>
              <w:t>Upenieks</w:t>
            </w:r>
            <w:proofErr w:type="spellEnd"/>
            <w:r w:rsidRPr="00CD6D96">
              <w:rPr>
                <w:sz w:val="20"/>
                <w:szCs w:val="20"/>
                <w:lang w:val="fr-CA"/>
              </w:rPr>
              <w:t>)</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Jugement accordant à M. </w:t>
            </w:r>
            <w:proofErr w:type="spellStart"/>
            <w:r w:rsidRPr="00CD6D96">
              <w:rPr>
                <w:sz w:val="20"/>
                <w:szCs w:val="20"/>
                <w:lang w:val="fr-CA"/>
              </w:rPr>
              <w:t>Stunt</w:t>
            </w:r>
            <w:proofErr w:type="spellEnd"/>
            <w:r w:rsidRPr="00CD6D96">
              <w:rPr>
                <w:sz w:val="20"/>
                <w:szCs w:val="20"/>
                <w:lang w:val="fr-CA"/>
              </w:rPr>
              <w:t xml:space="preserve"> des dommages-intérêts de 3 500 $.</w:t>
            </w: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13 août 2015</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 xml:space="preserve">(Juge </w:t>
            </w:r>
            <w:proofErr w:type="spellStart"/>
            <w:r w:rsidRPr="00CD6D96">
              <w:rPr>
                <w:sz w:val="20"/>
                <w:szCs w:val="20"/>
                <w:lang w:val="fr-CA"/>
              </w:rPr>
              <w:t>Baltman</w:t>
            </w:r>
            <w:proofErr w:type="spellEnd"/>
            <w:r w:rsidRPr="00CD6D96">
              <w:rPr>
                <w:sz w:val="20"/>
                <w:szCs w:val="20"/>
                <w:lang w:val="fr-CA"/>
              </w:rPr>
              <w:t>)</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l’appel pour cause de retard.</w:t>
            </w: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18 octobre 2016</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 xml:space="preserve">(Juges </w:t>
            </w:r>
            <w:proofErr w:type="spellStart"/>
            <w:r w:rsidRPr="00CD6D96">
              <w:rPr>
                <w:sz w:val="20"/>
                <w:szCs w:val="20"/>
                <w:lang w:val="fr-CA"/>
              </w:rPr>
              <w:t>Dambrot</w:t>
            </w:r>
            <w:proofErr w:type="spellEnd"/>
            <w:r w:rsidRPr="00CD6D96">
              <w:rPr>
                <w:sz w:val="20"/>
                <w:szCs w:val="20"/>
                <w:lang w:val="fr-CA"/>
              </w:rPr>
              <w:t xml:space="preserve">, </w:t>
            </w:r>
            <w:proofErr w:type="spellStart"/>
            <w:r w:rsidRPr="00CD6D96">
              <w:rPr>
                <w:sz w:val="20"/>
                <w:szCs w:val="20"/>
                <w:lang w:val="fr-CA"/>
              </w:rPr>
              <w:t>Hambly</w:t>
            </w:r>
            <w:proofErr w:type="spellEnd"/>
            <w:r w:rsidRPr="00CD6D96">
              <w:rPr>
                <w:sz w:val="20"/>
                <w:szCs w:val="20"/>
                <w:lang w:val="fr-CA"/>
              </w:rPr>
              <w:t xml:space="preserve"> et Mew)</w:t>
            </w:r>
          </w:p>
          <w:p w:rsidR="00CA774A" w:rsidRPr="00CD6D96" w:rsidRDefault="00F964D5" w:rsidP="00CA774A">
            <w:pPr>
              <w:jc w:val="both"/>
              <w:rPr>
                <w:sz w:val="20"/>
                <w:szCs w:val="20"/>
                <w:lang w:val="fr-CA"/>
              </w:rPr>
            </w:pPr>
            <w:hyperlink r:id="rId68" w:history="1">
              <w:r w:rsidR="00CA774A" w:rsidRPr="00CD6D96">
                <w:rPr>
                  <w:rStyle w:val="Hyperlink"/>
                  <w:sz w:val="20"/>
                  <w:szCs w:val="20"/>
                  <w:lang w:val="fr-CA"/>
                </w:rPr>
                <w:t>2016 ONSC 7378</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Rejet de la motion en annulation de l’ordonnance du juge </w:t>
            </w:r>
            <w:proofErr w:type="spellStart"/>
            <w:r w:rsidRPr="00CD6D96">
              <w:rPr>
                <w:sz w:val="20"/>
                <w:szCs w:val="20"/>
                <w:lang w:val="fr-CA"/>
              </w:rPr>
              <w:t>Baltman</w:t>
            </w:r>
            <w:proofErr w:type="spellEnd"/>
            <w:r w:rsidRPr="00CD6D96">
              <w:rPr>
                <w:sz w:val="20"/>
                <w:szCs w:val="20"/>
                <w:lang w:val="fr-CA"/>
              </w:rPr>
              <w:t xml:space="preserve"> rejetant l’appel pour cause de retard.</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eastAsia="en-CA"/>
              </w:rPr>
            </w:pPr>
            <w:r w:rsidRPr="00CD6D96">
              <w:rPr>
                <w:sz w:val="20"/>
                <w:szCs w:val="20"/>
                <w:lang w:val="fr-CA" w:eastAsia="en-CA"/>
              </w:rPr>
              <w:lastRenderedPageBreak/>
              <w:t>1</w:t>
            </w:r>
            <w:r w:rsidRPr="00CD6D96">
              <w:rPr>
                <w:sz w:val="20"/>
                <w:szCs w:val="20"/>
                <w:vertAlign w:val="superscript"/>
                <w:lang w:val="fr-CA" w:eastAsia="en-CA"/>
              </w:rPr>
              <w:t>er</w:t>
            </w:r>
            <w:r w:rsidRPr="00CD6D96">
              <w:rPr>
                <w:sz w:val="20"/>
                <w:szCs w:val="20"/>
                <w:lang w:val="fr-CA" w:eastAsia="en-CA"/>
              </w:rPr>
              <w:t xml:space="preserve"> mars 2017</w:t>
            </w:r>
          </w:p>
          <w:p w:rsidR="00CA774A" w:rsidRPr="00CD6D96" w:rsidRDefault="00CA774A" w:rsidP="00CA774A">
            <w:pPr>
              <w:jc w:val="both"/>
              <w:rPr>
                <w:sz w:val="20"/>
                <w:szCs w:val="20"/>
                <w:lang w:val="fr-CA" w:eastAsia="en-CA"/>
              </w:rPr>
            </w:pPr>
            <w:r w:rsidRPr="00CD6D96">
              <w:rPr>
                <w:sz w:val="20"/>
                <w:szCs w:val="20"/>
                <w:lang w:val="fr-CA" w:eastAsia="en-CA"/>
              </w:rPr>
              <w:t>Cour d’appel de l’Ontario</w:t>
            </w:r>
          </w:p>
          <w:p w:rsidR="00CA774A" w:rsidRPr="00CD6D96" w:rsidRDefault="00CA774A" w:rsidP="00CA774A">
            <w:pPr>
              <w:jc w:val="both"/>
              <w:rPr>
                <w:sz w:val="20"/>
                <w:szCs w:val="20"/>
                <w:lang w:val="fr-CA" w:eastAsia="en-CA"/>
              </w:rPr>
            </w:pPr>
            <w:r w:rsidRPr="00CD6D96">
              <w:rPr>
                <w:sz w:val="20"/>
                <w:szCs w:val="20"/>
                <w:lang w:val="fr-CA" w:eastAsia="en-CA"/>
              </w:rPr>
              <w:t xml:space="preserve">(Juges Sharpe, </w:t>
            </w:r>
            <w:proofErr w:type="spellStart"/>
            <w:r w:rsidRPr="00CD6D96">
              <w:rPr>
                <w:sz w:val="20"/>
                <w:szCs w:val="20"/>
                <w:lang w:val="fr-CA" w:eastAsia="en-CA"/>
              </w:rPr>
              <w:t>Lauwers</w:t>
            </w:r>
            <w:proofErr w:type="spellEnd"/>
            <w:r w:rsidRPr="00CD6D96">
              <w:rPr>
                <w:sz w:val="20"/>
                <w:szCs w:val="20"/>
                <w:lang w:val="fr-CA" w:eastAsia="en-CA"/>
              </w:rPr>
              <w:t xml:space="preserve"> et </w:t>
            </w:r>
            <w:proofErr w:type="spellStart"/>
            <w:r w:rsidRPr="00CD6D96">
              <w:rPr>
                <w:sz w:val="20"/>
                <w:szCs w:val="20"/>
                <w:lang w:val="fr-CA" w:eastAsia="en-CA"/>
              </w:rPr>
              <w:t>Hourigan</w:t>
            </w:r>
            <w:proofErr w:type="spellEnd"/>
            <w:r w:rsidRPr="00CD6D96">
              <w:rPr>
                <w:sz w:val="20"/>
                <w:szCs w:val="20"/>
                <w:lang w:val="fr-CA" w:eastAsia="en-CA"/>
              </w:rPr>
              <w:t>)</w:t>
            </w:r>
          </w:p>
          <w:p w:rsidR="00CA774A" w:rsidRPr="00CD6D96" w:rsidRDefault="00CA774A" w:rsidP="00CA774A">
            <w:pPr>
              <w:jc w:val="both"/>
              <w:rPr>
                <w:sz w:val="20"/>
                <w:szCs w:val="20"/>
                <w:lang w:val="fr-CA" w:eastAsia="en-CA"/>
              </w:rPr>
            </w:pPr>
            <w:r w:rsidRPr="00CD6D96">
              <w:rPr>
                <w:sz w:val="20"/>
                <w:szCs w:val="20"/>
                <w:lang w:val="fr-CA" w:eastAsia="en-CA"/>
              </w:rPr>
              <w:t>N</w:t>
            </w:r>
            <w:r w:rsidRPr="00CD6D96">
              <w:rPr>
                <w:sz w:val="20"/>
                <w:szCs w:val="20"/>
                <w:vertAlign w:val="superscript"/>
                <w:lang w:val="fr-CA" w:eastAsia="en-CA"/>
              </w:rPr>
              <w:t>o</w:t>
            </w:r>
            <w:r w:rsidRPr="00CD6D96">
              <w:rPr>
                <w:sz w:val="20"/>
                <w:szCs w:val="20"/>
                <w:lang w:val="fr-CA" w:eastAsia="en-CA"/>
              </w:rPr>
              <w:t xml:space="preserve"> de dossier : M47146</w:t>
            </w:r>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Rejet de la motion en autorisation d’interjeter appel de l’ordonnance de la Cour supérieure.</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eastAsia="en-CA"/>
              </w:rPr>
            </w:pPr>
            <w:r w:rsidRPr="00CD6D96">
              <w:rPr>
                <w:sz w:val="20"/>
                <w:szCs w:val="20"/>
                <w:lang w:val="fr-CA" w:eastAsia="en-CA"/>
              </w:rPr>
              <w:t>22 juin 2017</w:t>
            </w:r>
          </w:p>
          <w:p w:rsidR="00CA774A" w:rsidRPr="00CD6D96" w:rsidRDefault="00CA774A" w:rsidP="00CA774A">
            <w:pPr>
              <w:jc w:val="both"/>
              <w:rPr>
                <w:sz w:val="20"/>
                <w:szCs w:val="20"/>
                <w:lang w:val="fr-CA" w:eastAsia="en-CA"/>
              </w:rPr>
            </w:pPr>
            <w:r w:rsidRPr="00CD6D96">
              <w:rPr>
                <w:sz w:val="20"/>
                <w:szCs w:val="20"/>
                <w:lang w:val="fr-CA" w:eastAsia="en-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requête en prorogation du délai de dépôt et de signification de la demande d’autorisation d’appel et de la demande d’autorisation d’appel.</w:t>
            </w:r>
          </w:p>
        </w:tc>
      </w:tr>
    </w:tbl>
    <w:p w:rsidR="00CA774A" w:rsidRPr="00CD6D96" w:rsidRDefault="00F964D5" w:rsidP="00CA774A">
      <w:pPr>
        <w:jc w:val="both"/>
        <w:rPr>
          <w:sz w:val="20"/>
          <w:szCs w:val="20"/>
          <w:lang w:val="fr-CA"/>
        </w:rPr>
      </w:pPr>
      <w:r>
        <w:rPr>
          <w:sz w:val="20"/>
          <w:szCs w:val="20"/>
        </w:rPr>
        <w:pict>
          <v:rect id="_x0000_i1071"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37599</w:t>
            </w:r>
          </w:p>
        </w:tc>
        <w:tc>
          <w:tcPr>
            <w:tcW w:w="4457" w:type="pct"/>
            <w:gridSpan w:val="3"/>
          </w:tcPr>
          <w:p w:rsidR="00CA774A" w:rsidRPr="00CD6D96" w:rsidRDefault="00CA774A" w:rsidP="00CA774A">
            <w:pPr>
              <w:pStyle w:val="SCCLsocParty"/>
              <w:jc w:val="both"/>
              <w:rPr>
                <w:b/>
                <w:sz w:val="20"/>
                <w:szCs w:val="20"/>
                <w:lang w:val="en-CA"/>
              </w:rPr>
            </w:pPr>
            <w:proofErr w:type="spellStart"/>
            <w:r w:rsidRPr="00CD6D96">
              <w:rPr>
                <w:b/>
                <w:sz w:val="20"/>
                <w:szCs w:val="20"/>
                <w:lang w:val="en-CA"/>
              </w:rPr>
              <w:t>Tahar</w:t>
            </w:r>
            <w:proofErr w:type="spellEnd"/>
            <w:r w:rsidRPr="00CD6D96">
              <w:rPr>
                <w:b/>
                <w:sz w:val="20"/>
                <w:szCs w:val="20"/>
                <w:lang w:val="en-CA"/>
              </w:rPr>
              <w:t xml:space="preserve"> </w:t>
            </w:r>
            <w:proofErr w:type="spellStart"/>
            <w:r w:rsidRPr="00CD6D96">
              <w:rPr>
                <w:b/>
                <w:sz w:val="20"/>
                <w:szCs w:val="20"/>
                <w:lang w:val="en-CA"/>
              </w:rPr>
              <w:t>Amrane</w:t>
            </w:r>
            <w:proofErr w:type="spellEnd"/>
            <w:r w:rsidRPr="00CD6D96">
              <w:rPr>
                <w:b/>
                <w:sz w:val="20"/>
                <w:szCs w:val="20"/>
                <w:lang w:val="en-CA"/>
              </w:rPr>
              <w:t xml:space="preserve"> v. York University</w:t>
            </w:r>
          </w:p>
          <w:p w:rsidR="00CA774A" w:rsidRPr="00CD6D96" w:rsidRDefault="00CA774A" w:rsidP="00CA774A">
            <w:pPr>
              <w:jc w:val="both"/>
              <w:rPr>
                <w:sz w:val="20"/>
                <w:szCs w:val="20"/>
              </w:rPr>
            </w:pPr>
            <w:r w:rsidRPr="00CD6D96">
              <w:rPr>
                <w:sz w:val="20"/>
                <w:szCs w:val="20"/>
              </w:rPr>
              <w:t>(Ont.) (Civil) (By Leave)</w:t>
            </w:r>
          </w:p>
        </w:tc>
      </w:tr>
      <w:tr w:rsidR="00F80D52" w:rsidRPr="00CD6D96" w:rsidTr="00CA774A">
        <w:tc>
          <w:tcPr>
            <w:tcW w:w="543" w:type="pct"/>
          </w:tcPr>
          <w:p w:rsidR="00F80D52" w:rsidRPr="00CD6D96" w:rsidRDefault="00F80D52" w:rsidP="00CA774A">
            <w:pPr>
              <w:jc w:val="both"/>
              <w:rPr>
                <w:rStyle w:val="SCCFileNumberChar"/>
                <w:sz w:val="20"/>
                <w:szCs w:val="20"/>
              </w:rPr>
            </w:pPr>
            <w:r>
              <w:rPr>
                <w:rStyle w:val="SCCFileNumberChar"/>
                <w:sz w:val="20"/>
                <w:szCs w:val="20"/>
              </w:rPr>
              <w:t>Coram:</w:t>
            </w:r>
          </w:p>
        </w:tc>
        <w:tc>
          <w:tcPr>
            <w:tcW w:w="4457" w:type="pct"/>
            <w:gridSpan w:val="3"/>
          </w:tcPr>
          <w:p w:rsidR="00F80D52" w:rsidRDefault="00F80D52" w:rsidP="00CA774A">
            <w:pPr>
              <w:pStyle w:val="SCCLsocParty"/>
              <w:jc w:val="both"/>
              <w:rPr>
                <w:sz w:val="20"/>
                <w:szCs w:val="20"/>
                <w:lang w:val="en-CA"/>
              </w:rPr>
            </w:pPr>
            <w:proofErr w:type="spellStart"/>
            <w:r w:rsidRPr="000F047F">
              <w:rPr>
                <w:sz w:val="20"/>
                <w:szCs w:val="20"/>
                <w:lang w:val="en-CA"/>
              </w:rPr>
              <w:t>McLachlin</w:t>
            </w:r>
            <w:proofErr w:type="spellEnd"/>
            <w:r w:rsidRPr="000F047F">
              <w:rPr>
                <w:sz w:val="20"/>
                <w:szCs w:val="20"/>
                <w:lang w:val="en-CA"/>
              </w:rPr>
              <w:t xml:space="preserve"> C.J. and </w:t>
            </w:r>
            <w:proofErr w:type="spellStart"/>
            <w:r w:rsidRPr="000F047F">
              <w:rPr>
                <w:sz w:val="20"/>
                <w:szCs w:val="20"/>
                <w:lang w:val="en-CA"/>
              </w:rPr>
              <w:t>Moldaver</w:t>
            </w:r>
            <w:proofErr w:type="spellEnd"/>
            <w:r w:rsidRPr="000F047F">
              <w:rPr>
                <w:sz w:val="20"/>
                <w:szCs w:val="20"/>
                <w:lang w:val="en-CA"/>
              </w:rPr>
              <w:t xml:space="preserve">, </w:t>
            </w:r>
            <w:proofErr w:type="spellStart"/>
            <w:r w:rsidRPr="000F047F">
              <w:rPr>
                <w:sz w:val="20"/>
                <w:szCs w:val="20"/>
                <w:lang w:val="en-CA"/>
              </w:rPr>
              <w:t>Karakatsanis</w:t>
            </w:r>
            <w:proofErr w:type="spellEnd"/>
            <w:r w:rsidRPr="000F047F">
              <w:rPr>
                <w:sz w:val="20"/>
                <w:szCs w:val="20"/>
                <w:lang w:val="en-CA"/>
              </w:rPr>
              <w:t xml:space="preserve">, Wagner, </w:t>
            </w:r>
            <w:proofErr w:type="spellStart"/>
            <w:r w:rsidRPr="000F047F">
              <w:rPr>
                <w:sz w:val="20"/>
                <w:szCs w:val="20"/>
                <w:lang w:val="en-CA"/>
              </w:rPr>
              <w:t>Gascon</w:t>
            </w:r>
            <w:proofErr w:type="spellEnd"/>
            <w:r w:rsidRPr="000F047F">
              <w:rPr>
                <w:sz w:val="20"/>
                <w:szCs w:val="20"/>
                <w:lang w:val="en-CA"/>
              </w:rPr>
              <w:t xml:space="preserve">, </w:t>
            </w:r>
            <w:proofErr w:type="spellStart"/>
            <w:r w:rsidRPr="000F047F">
              <w:rPr>
                <w:sz w:val="20"/>
                <w:szCs w:val="20"/>
                <w:lang w:val="en-CA"/>
              </w:rPr>
              <w:t>Côté</w:t>
            </w:r>
            <w:proofErr w:type="spellEnd"/>
            <w:r w:rsidRPr="000F047F">
              <w:rPr>
                <w:sz w:val="20"/>
                <w:szCs w:val="20"/>
                <w:lang w:val="en-CA"/>
              </w:rPr>
              <w:t>, Brown and Rowe JJ.</w:t>
            </w:r>
          </w:p>
          <w:p w:rsidR="00F80D52" w:rsidRPr="00F80D52" w:rsidRDefault="00F80D52" w:rsidP="00F80D52"/>
        </w:tc>
      </w:tr>
      <w:tr w:rsidR="00F80D52" w:rsidRPr="00CD6D96" w:rsidTr="00F80D52">
        <w:tc>
          <w:tcPr>
            <w:tcW w:w="5000" w:type="pct"/>
            <w:gridSpan w:val="4"/>
          </w:tcPr>
          <w:p w:rsidR="00F80D52" w:rsidRDefault="00F80D52" w:rsidP="00CA774A">
            <w:pPr>
              <w:pStyle w:val="SCCLsocParty"/>
              <w:jc w:val="both"/>
              <w:rPr>
                <w:sz w:val="20"/>
                <w:szCs w:val="20"/>
                <w:lang w:val="en-CA"/>
              </w:rPr>
            </w:pPr>
            <w:r w:rsidRPr="000F047F">
              <w:rPr>
                <w:sz w:val="20"/>
                <w:szCs w:val="20"/>
                <w:lang w:val="en-CA"/>
              </w:rPr>
              <w:t>The application for leave to appeal from the judgment of the Court of Appeal for Ontario, Number M47350, dated March 31, 2017, is dismissed with costs.</w:t>
            </w:r>
          </w:p>
          <w:p w:rsidR="00F80D52" w:rsidRPr="00F80D52" w:rsidRDefault="00F80D52" w:rsidP="00F80D52"/>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Education law – Universities – Contracts – Limitation of actions – Whether applicant raising </w:t>
            </w:r>
            <w:r w:rsidRPr="00CD6D96">
              <w:rPr>
                <w:sz w:val="20"/>
                <w:szCs w:val="20"/>
                <w:lang w:val="en-GB"/>
              </w:rPr>
              <w:t>issue of public importance.</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The applicant alleged that the respondent, an academic institution he had attended as a student, had committed a breach of their contract in relation to the process of assessing written work. The respondent opposed the applicant’s action in damages by filing a motion to strike his statement of claim on the ground that his action was statute</w:t>
            </w:r>
            <w:r w:rsidRPr="00CD6D96">
              <w:rPr>
                <w:sz w:val="20"/>
                <w:szCs w:val="20"/>
              </w:rPr>
              <w:noBreakHyphen/>
              <w:t>barred and without merit.</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January 15, 2016</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Faieta</w:t>
            </w:r>
            <w:proofErr w:type="spellEnd"/>
            <w:r w:rsidRPr="00CD6D96">
              <w:rPr>
                <w:sz w:val="20"/>
                <w:szCs w:val="20"/>
              </w:rPr>
              <w:t xml:space="preserve"> J.)</w:t>
            </w:r>
          </w:p>
          <w:p w:rsidR="00CA774A" w:rsidRPr="00CD6D96" w:rsidRDefault="00CA774A" w:rsidP="00CA774A">
            <w:pPr>
              <w:jc w:val="both"/>
              <w:rPr>
                <w:sz w:val="20"/>
                <w:szCs w:val="20"/>
              </w:rPr>
            </w:pPr>
            <w:r w:rsidRPr="00CD6D96">
              <w:rPr>
                <w:sz w:val="20"/>
                <w:szCs w:val="20"/>
              </w:rPr>
              <w:t>No. CV-15-533650</w:t>
            </w:r>
          </w:p>
          <w:p w:rsidR="00CA774A" w:rsidRPr="00CD6D96" w:rsidRDefault="00F964D5" w:rsidP="00CA774A">
            <w:pPr>
              <w:jc w:val="both"/>
              <w:rPr>
                <w:sz w:val="20"/>
                <w:szCs w:val="20"/>
              </w:rPr>
            </w:pPr>
            <w:hyperlink r:id="rId69" w:history="1">
              <w:r w:rsidR="00CA774A" w:rsidRPr="00CD6D96">
                <w:rPr>
                  <w:rStyle w:val="Hyperlink"/>
                  <w:sz w:val="20"/>
                  <w:szCs w:val="20"/>
                </w:rPr>
                <w:t>2016 ONSC 395</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to strike applicant’s statement of claim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December 15, 2016</w:t>
            </w:r>
          </w:p>
          <w:p w:rsidR="00CA774A" w:rsidRPr="00CD6D96" w:rsidRDefault="00CA774A" w:rsidP="00CA774A">
            <w:pPr>
              <w:jc w:val="both"/>
              <w:rPr>
                <w:sz w:val="20"/>
                <w:szCs w:val="20"/>
              </w:rPr>
            </w:pPr>
            <w:r w:rsidRPr="00CD6D96">
              <w:rPr>
                <w:sz w:val="20"/>
                <w:szCs w:val="20"/>
              </w:rPr>
              <w:t>Ontario Superior Court of Justice</w:t>
            </w:r>
          </w:p>
          <w:p w:rsidR="00CA774A" w:rsidRPr="00CD6D96" w:rsidRDefault="00CA774A" w:rsidP="00CA774A">
            <w:pPr>
              <w:jc w:val="both"/>
              <w:rPr>
                <w:sz w:val="20"/>
                <w:szCs w:val="20"/>
              </w:rPr>
            </w:pPr>
            <w:r w:rsidRPr="00CD6D96">
              <w:rPr>
                <w:sz w:val="20"/>
                <w:szCs w:val="20"/>
              </w:rPr>
              <w:t xml:space="preserve">(Sachs, </w:t>
            </w:r>
            <w:proofErr w:type="spellStart"/>
            <w:r w:rsidRPr="00CD6D96">
              <w:rPr>
                <w:sz w:val="20"/>
                <w:szCs w:val="20"/>
              </w:rPr>
              <w:t>Thorburn</w:t>
            </w:r>
            <w:proofErr w:type="spellEnd"/>
            <w:r w:rsidRPr="00CD6D96">
              <w:rPr>
                <w:sz w:val="20"/>
                <w:szCs w:val="20"/>
              </w:rPr>
              <w:t xml:space="preserve"> and </w:t>
            </w:r>
            <w:proofErr w:type="spellStart"/>
            <w:r w:rsidRPr="00CD6D96">
              <w:rPr>
                <w:sz w:val="20"/>
                <w:szCs w:val="20"/>
              </w:rPr>
              <w:t>Ricchetti</w:t>
            </w:r>
            <w:proofErr w:type="spellEnd"/>
            <w:r w:rsidRPr="00CD6D96">
              <w:rPr>
                <w:sz w:val="20"/>
                <w:szCs w:val="20"/>
              </w:rPr>
              <w:t xml:space="preserve"> JJ.)</w:t>
            </w:r>
          </w:p>
          <w:p w:rsidR="00CA774A" w:rsidRPr="00CD6D96" w:rsidRDefault="00CA774A" w:rsidP="00CA774A">
            <w:pPr>
              <w:jc w:val="both"/>
              <w:rPr>
                <w:sz w:val="20"/>
                <w:szCs w:val="20"/>
              </w:rPr>
            </w:pPr>
            <w:r w:rsidRPr="00CD6D96">
              <w:rPr>
                <w:sz w:val="20"/>
                <w:szCs w:val="20"/>
              </w:rPr>
              <w:t>No. 066/16</w:t>
            </w:r>
          </w:p>
          <w:p w:rsidR="00CA774A" w:rsidRPr="00CD6D96" w:rsidRDefault="00F964D5" w:rsidP="00CA774A">
            <w:pPr>
              <w:jc w:val="both"/>
              <w:rPr>
                <w:sz w:val="20"/>
                <w:szCs w:val="20"/>
              </w:rPr>
            </w:pPr>
            <w:hyperlink r:id="rId70" w:history="1">
              <w:r w:rsidR="00CA774A" w:rsidRPr="00CD6D96">
                <w:rPr>
                  <w:rStyle w:val="Hyperlink"/>
                  <w:sz w:val="20"/>
                  <w:szCs w:val="20"/>
                </w:rPr>
                <w:t>2016 ONSC 7847</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Appeal allowed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March 31, 2017</w:t>
            </w:r>
          </w:p>
          <w:p w:rsidR="00CA774A" w:rsidRPr="00CD6D96" w:rsidRDefault="00CA774A" w:rsidP="00CA774A">
            <w:pPr>
              <w:jc w:val="both"/>
              <w:rPr>
                <w:sz w:val="20"/>
                <w:szCs w:val="20"/>
              </w:rPr>
            </w:pPr>
            <w:r w:rsidRPr="00CD6D96">
              <w:rPr>
                <w:sz w:val="20"/>
                <w:szCs w:val="20"/>
              </w:rPr>
              <w:t>Ontario Court of Appeal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Juriansz</w:t>
            </w:r>
            <w:proofErr w:type="spellEnd"/>
            <w:r w:rsidRPr="00CD6D96">
              <w:rPr>
                <w:sz w:val="20"/>
                <w:szCs w:val="20"/>
              </w:rPr>
              <w:t xml:space="preserve">, </w:t>
            </w:r>
            <w:proofErr w:type="spellStart"/>
            <w:r w:rsidRPr="00CD6D96">
              <w:rPr>
                <w:sz w:val="20"/>
                <w:szCs w:val="20"/>
              </w:rPr>
              <w:t>Lauwers</w:t>
            </w:r>
            <w:proofErr w:type="spellEnd"/>
            <w:r w:rsidRPr="00CD6D96">
              <w:rPr>
                <w:sz w:val="20"/>
                <w:szCs w:val="20"/>
              </w:rPr>
              <w:t xml:space="preserve"> and Hourigan JJ.A.)</w:t>
            </w:r>
          </w:p>
          <w:p w:rsidR="00CA774A" w:rsidRPr="00CD6D96" w:rsidRDefault="00CA774A" w:rsidP="00CA774A">
            <w:pPr>
              <w:jc w:val="both"/>
              <w:rPr>
                <w:sz w:val="20"/>
                <w:szCs w:val="20"/>
              </w:rPr>
            </w:pPr>
            <w:r w:rsidRPr="00CD6D96">
              <w:rPr>
                <w:sz w:val="20"/>
                <w:szCs w:val="20"/>
              </w:rPr>
              <w:t>No. M47350</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Motion for leave to appeal dismissed</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May 29,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72" style="width:2in;height:1pt" o:hrpct="0" o:hralign="center" o:hrstd="t" o:hrnoshade="t" o:hr="t" fillcolor="black [3213]" stroked="f"/>
        </w:pict>
      </w:r>
    </w:p>
    <w:p w:rsidR="00CA774A" w:rsidRPr="00CD6D96" w:rsidRDefault="00CA774A" w:rsidP="00CA774A">
      <w:pPr>
        <w:jc w:val="both"/>
        <w:rPr>
          <w:sz w:val="20"/>
          <w:szCs w:val="20"/>
        </w:rPr>
      </w:pPr>
    </w:p>
    <w:p w:rsidR="00F80D52" w:rsidRDefault="00F80D5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rPr>
            </w:pPr>
            <w:r w:rsidRPr="00CD6D96">
              <w:rPr>
                <w:rStyle w:val="SCCFileNumberChar"/>
                <w:sz w:val="20"/>
                <w:szCs w:val="20"/>
              </w:rPr>
              <w:lastRenderedPageBreak/>
              <w:t>37599</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 xml:space="preserve">Tahar </w:t>
            </w:r>
            <w:proofErr w:type="spellStart"/>
            <w:r w:rsidRPr="00CD6D96">
              <w:rPr>
                <w:b/>
                <w:sz w:val="20"/>
                <w:szCs w:val="20"/>
              </w:rPr>
              <w:t>Amrane</w:t>
            </w:r>
            <w:proofErr w:type="spellEnd"/>
            <w:r w:rsidRPr="00CD6D96">
              <w:rPr>
                <w:b/>
                <w:sz w:val="20"/>
                <w:szCs w:val="20"/>
              </w:rPr>
              <w:t xml:space="preserve"> c. Université York</w:t>
            </w:r>
          </w:p>
          <w:p w:rsidR="00CA774A" w:rsidRPr="00CD6D96" w:rsidRDefault="00CA774A" w:rsidP="00CA774A">
            <w:pPr>
              <w:jc w:val="both"/>
              <w:rPr>
                <w:sz w:val="20"/>
                <w:szCs w:val="20"/>
                <w:lang w:val="fr-CA"/>
              </w:rPr>
            </w:pPr>
            <w:r w:rsidRPr="00CD6D96">
              <w:rPr>
                <w:sz w:val="20"/>
                <w:szCs w:val="20"/>
                <w:lang w:val="fr-CA"/>
              </w:rPr>
              <w:t>(Ont.) (Civile) (Autorisation)</w:t>
            </w:r>
          </w:p>
        </w:tc>
      </w:tr>
      <w:tr w:rsidR="00F80D52" w:rsidRPr="00F964D5" w:rsidTr="00CA774A">
        <w:tc>
          <w:tcPr>
            <w:tcW w:w="543" w:type="pct"/>
          </w:tcPr>
          <w:p w:rsidR="00F80D52" w:rsidRPr="00CD6D96" w:rsidRDefault="00F80D52" w:rsidP="00CA774A">
            <w:pPr>
              <w:jc w:val="both"/>
              <w:rPr>
                <w:rStyle w:val="SCCFileNumberChar"/>
                <w:sz w:val="20"/>
                <w:szCs w:val="20"/>
              </w:rPr>
            </w:pPr>
            <w:r>
              <w:rPr>
                <w:rStyle w:val="SCCFileNumberChar"/>
                <w:sz w:val="20"/>
                <w:szCs w:val="20"/>
              </w:rPr>
              <w:t>Coram:</w:t>
            </w:r>
          </w:p>
        </w:tc>
        <w:tc>
          <w:tcPr>
            <w:tcW w:w="4457" w:type="pct"/>
            <w:gridSpan w:val="3"/>
          </w:tcPr>
          <w:p w:rsidR="00F80D52" w:rsidRDefault="00F80D52" w:rsidP="00CA774A">
            <w:pPr>
              <w:pStyle w:val="SCCLsocParty"/>
              <w:jc w:val="both"/>
              <w:rPr>
                <w:sz w:val="20"/>
                <w:szCs w:val="20"/>
              </w:rPr>
            </w:pPr>
            <w:r w:rsidRPr="000F047F">
              <w:rPr>
                <w:sz w:val="20"/>
                <w:szCs w:val="20"/>
              </w:rPr>
              <w:t xml:space="preserve">La juge en chef </w:t>
            </w:r>
            <w:proofErr w:type="spellStart"/>
            <w:r w:rsidRPr="000F047F">
              <w:rPr>
                <w:sz w:val="20"/>
                <w:szCs w:val="20"/>
              </w:rPr>
              <w:t>McLachlin</w:t>
            </w:r>
            <w:proofErr w:type="spellEnd"/>
            <w:r w:rsidRPr="000F047F">
              <w:rPr>
                <w:sz w:val="20"/>
                <w:szCs w:val="20"/>
              </w:rPr>
              <w:t xml:space="preserve"> et les juges </w:t>
            </w:r>
            <w:proofErr w:type="spellStart"/>
            <w:r w:rsidRPr="000F047F">
              <w:rPr>
                <w:sz w:val="20"/>
                <w:szCs w:val="20"/>
              </w:rPr>
              <w:t>Moldaver</w:t>
            </w:r>
            <w:proofErr w:type="spellEnd"/>
            <w:r w:rsidRPr="000F047F">
              <w:rPr>
                <w:sz w:val="20"/>
                <w:szCs w:val="20"/>
              </w:rPr>
              <w:t xml:space="preserve">, </w:t>
            </w:r>
            <w:proofErr w:type="spellStart"/>
            <w:r w:rsidRPr="000F047F">
              <w:rPr>
                <w:sz w:val="20"/>
                <w:szCs w:val="20"/>
              </w:rPr>
              <w:t>Karakatsanis</w:t>
            </w:r>
            <w:proofErr w:type="spellEnd"/>
            <w:r w:rsidRPr="000F047F">
              <w:rPr>
                <w:sz w:val="20"/>
                <w:szCs w:val="20"/>
              </w:rPr>
              <w:t>, Wagner, Gascon, Côté, Brown et Rowe</w:t>
            </w:r>
          </w:p>
          <w:p w:rsidR="00F80D52" w:rsidRPr="00F80D52" w:rsidRDefault="00F80D52" w:rsidP="00F80D52">
            <w:pPr>
              <w:rPr>
                <w:lang w:val="fr-CA"/>
              </w:rPr>
            </w:pPr>
          </w:p>
        </w:tc>
      </w:tr>
      <w:tr w:rsidR="00F80D52" w:rsidRPr="00F964D5" w:rsidTr="00F80D52">
        <w:tc>
          <w:tcPr>
            <w:tcW w:w="5000" w:type="pct"/>
            <w:gridSpan w:val="4"/>
          </w:tcPr>
          <w:p w:rsidR="00F80D52" w:rsidRDefault="00F80D52" w:rsidP="00CA774A">
            <w:pPr>
              <w:pStyle w:val="SCCLsocParty"/>
              <w:jc w:val="both"/>
              <w:rPr>
                <w:sz w:val="20"/>
                <w:szCs w:val="20"/>
              </w:rPr>
            </w:pPr>
            <w:r w:rsidRPr="000F047F">
              <w:rPr>
                <w:sz w:val="20"/>
                <w:szCs w:val="20"/>
              </w:rPr>
              <w:t>La demande d’autorisation d’appel de l’arrêt de la Cour d’appel de l’Ontario, numéro M47350, daté du 31 mars 2017, est rejetée avec dépens.</w:t>
            </w:r>
          </w:p>
          <w:p w:rsidR="00F80D52" w:rsidRPr="00F80D52" w:rsidRDefault="00F80D52" w:rsidP="00F80D52">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Droit de l’éducation – Universités – Contrats – Prescription – Le demandeur soulève-t-il une question d’importance pour le public?</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Le demandeur reproche à l’intimée, une institution universitaire que fréquentait le demandeur en tant qu’étudiant, une violation de leur contrat eu égard au processus d’évaluation des travaux écrits.  L’intimée s’est objectée à l’action en dommages-intérêts du demandeur par voie de motion en radiation de sa déclaration au motif que l’action du demandeur est prescrite et sans fondement.</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Le 15 janvier 2016</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 xml:space="preserve">(Le juge </w:t>
            </w:r>
            <w:proofErr w:type="spellStart"/>
            <w:r w:rsidRPr="00CD6D96">
              <w:rPr>
                <w:sz w:val="20"/>
                <w:szCs w:val="20"/>
                <w:lang w:val="fr-CA"/>
              </w:rPr>
              <w:t>Faieta</w:t>
            </w:r>
            <w:proofErr w:type="spellEnd"/>
            <w:r w:rsidRPr="00CD6D96">
              <w:rPr>
                <w:sz w:val="20"/>
                <w:szCs w:val="20"/>
                <w:lang w:val="fr-CA"/>
              </w:rPr>
              <w:t>)</w:t>
            </w:r>
          </w:p>
          <w:p w:rsidR="00CA774A" w:rsidRPr="00CD6D96" w:rsidRDefault="00CA774A" w:rsidP="00CA774A">
            <w:pPr>
              <w:jc w:val="both"/>
              <w:rPr>
                <w:sz w:val="20"/>
                <w:szCs w:val="20"/>
                <w:lang w:val="fr-CA"/>
              </w:rPr>
            </w:pPr>
            <w:r w:rsidRPr="00CD6D96">
              <w:rPr>
                <w:sz w:val="20"/>
                <w:szCs w:val="20"/>
                <w:lang w:val="fr-CA"/>
              </w:rPr>
              <w:t>No. CV-15-533650</w:t>
            </w:r>
          </w:p>
          <w:p w:rsidR="00CA774A" w:rsidRPr="00CD6D96" w:rsidRDefault="00F964D5" w:rsidP="00CA774A">
            <w:pPr>
              <w:jc w:val="both"/>
              <w:rPr>
                <w:sz w:val="20"/>
                <w:szCs w:val="20"/>
              </w:rPr>
            </w:pPr>
            <w:hyperlink r:id="rId71" w:history="1">
              <w:r w:rsidR="00CA774A" w:rsidRPr="00CD6D96">
                <w:rPr>
                  <w:rStyle w:val="Hyperlink"/>
                  <w:sz w:val="20"/>
                  <w:szCs w:val="20"/>
                </w:rPr>
                <w:t>2016 ONSC 395</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lang w:val="fr-CA"/>
              </w:rPr>
            </w:pPr>
            <w:r w:rsidRPr="00CD6D96">
              <w:rPr>
                <w:sz w:val="20"/>
                <w:szCs w:val="20"/>
                <w:lang w:val="fr-CA"/>
              </w:rPr>
              <w:t>Motion en radiation de la déclaration du demandeur rejetée.</w:t>
            </w:r>
          </w:p>
          <w:p w:rsidR="00CA774A" w:rsidRPr="00CD6D96" w:rsidRDefault="00CA774A" w:rsidP="00CA774A">
            <w:pPr>
              <w:jc w:val="both"/>
              <w:rPr>
                <w:sz w:val="20"/>
                <w:szCs w:val="20"/>
                <w:lang w:val="fr-CA"/>
              </w:rPr>
            </w:pPr>
          </w:p>
        </w:tc>
      </w:tr>
      <w:tr w:rsidR="00CA774A" w:rsidRPr="00CD6D96"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Le 15 décembre 2016</w:t>
            </w:r>
          </w:p>
          <w:p w:rsidR="00CA774A" w:rsidRPr="00CD6D96" w:rsidRDefault="00CA774A" w:rsidP="00CA774A">
            <w:pPr>
              <w:jc w:val="both"/>
              <w:rPr>
                <w:sz w:val="20"/>
                <w:szCs w:val="20"/>
                <w:lang w:val="fr-CA"/>
              </w:rPr>
            </w:pPr>
            <w:r w:rsidRPr="00CD6D96">
              <w:rPr>
                <w:sz w:val="20"/>
                <w:szCs w:val="20"/>
                <w:lang w:val="fr-CA"/>
              </w:rPr>
              <w:t>Cour supérieure de justice de l’Ontario</w:t>
            </w:r>
          </w:p>
          <w:p w:rsidR="00CA774A" w:rsidRPr="00CD6D96" w:rsidRDefault="00CA774A" w:rsidP="00CA774A">
            <w:pPr>
              <w:jc w:val="both"/>
              <w:rPr>
                <w:sz w:val="20"/>
                <w:szCs w:val="20"/>
                <w:lang w:val="fr-CA"/>
              </w:rPr>
            </w:pPr>
            <w:r w:rsidRPr="00CD6D96">
              <w:rPr>
                <w:sz w:val="20"/>
                <w:szCs w:val="20"/>
                <w:lang w:val="fr-CA"/>
              </w:rPr>
              <w:t xml:space="preserve">(Les juges Sachs, </w:t>
            </w:r>
            <w:proofErr w:type="spellStart"/>
            <w:r w:rsidRPr="00CD6D96">
              <w:rPr>
                <w:sz w:val="20"/>
                <w:szCs w:val="20"/>
                <w:lang w:val="fr-CA"/>
              </w:rPr>
              <w:t>Thorburn</w:t>
            </w:r>
            <w:proofErr w:type="spellEnd"/>
            <w:r w:rsidRPr="00CD6D96">
              <w:rPr>
                <w:sz w:val="20"/>
                <w:szCs w:val="20"/>
                <w:lang w:val="fr-CA"/>
              </w:rPr>
              <w:t xml:space="preserve"> et </w:t>
            </w:r>
            <w:proofErr w:type="spellStart"/>
            <w:r w:rsidRPr="00CD6D96">
              <w:rPr>
                <w:sz w:val="20"/>
                <w:szCs w:val="20"/>
                <w:lang w:val="fr-CA"/>
              </w:rPr>
              <w:t>Ricchetti</w:t>
            </w:r>
            <w:proofErr w:type="spellEnd"/>
            <w:r w:rsidRPr="00CD6D96">
              <w:rPr>
                <w:sz w:val="20"/>
                <w:szCs w:val="20"/>
                <w:lang w:val="fr-CA"/>
              </w:rPr>
              <w:t>)</w:t>
            </w:r>
          </w:p>
          <w:p w:rsidR="00CA774A" w:rsidRPr="00CD6D96" w:rsidRDefault="00CA774A" w:rsidP="00CA774A">
            <w:pPr>
              <w:jc w:val="both"/>
              <w:rPr>
                <w:sz w:val="20"/>
                <w:szCs w:val="20"/>
              </w:rPr>
            </w:pPr>
            <w:r w:rsidRPr="00CD6D96">
              <w:rPr>
                <w:sz w:val="20"/>
                <w:szCs w:val="20"/>
              </w:rPr>
              <w:t xml:space="preserve">No. </w:t>
            </w:r>
            <w:r w:rsidRPr="00CD6D96">
              <w:rPr>
                <w:sz w:val="20"/>
                <w:szCs w:val="20"/>
                <w:lang w:val="en"/>
              </w:rPr>
              <w:t>066/16</w:t>
            </w:r>
          </w:p>
          <w:p w:rsidR="00CA774A" w:rsidRPr="00CD6D96" w:rsidRDefault="00F964D5" w:rsidP="00CA774A">
            <w:pPr>
              <w:jc w:val="both"/>
              <w:rPr>
                <w:sz w:val="20"/>
                <w:szCs w:val="20"/>
              </w:rPr>
            </w:pPr>
            <w:hyperlink r:id="rId72" w:history="1">
              <w:r w:rsidR="00CA774A" w:rsidRPr="00CD6D96">
                <w:rPr>
                  <w:rStyle w:val="Hyperlink"/>
                  <w:sz w:val="20"/>
                  <w:szCs w:val="20"/>
                  <w:lang w:val="en"/>
                </w:rPr>
                <w:t>2016 ONSC 7847</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Appel </w:t>
            </w:r>
            <w:proofErr w:type="spellStart"/>
            <w:r w:rsidRPr="00CD6D96">
              <w:rPr>
                <w:sz w:val="20"/>
                <w:szCs w:val="20"/>
              </w:rPr>
              <w:t>accueilli</w:t>
            </w:r>
            <w:proofErr w:type="spellEnd"/>
            <w:r w:rsidRPr="00CD6D96">
              <w:rPr>
                <w:sz w:val="20"/>
                <w:szCs w:val="20"/>
              </w:rPr>
              <w:t>.</w:t>
            </w:r>
          </w:p>
          <w:p w:rsidR="00CA774A" w:rsidRPr="00CD6D96" w:rsidRDefault="00CA774A" w:rsidP="00CA774A">
            <w:pPr>
              <w:jc w:val="both"/>
              <w:rPr>
                <w:sz w:val="20"/>
                <w:szCs w:val="20"/>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Le 31 mars 2017</w:t>
            </w:r>
          </w:p>
          <w:p w:rsidR="00CA774A" w:rsidRPr="00CD6D96" w:rsidRDefault="00CA774A" w:rsidP="00CA774A">
            <w:pPr>
              <w:jc w:val="both"/>
              <w:rPr>
                <w:sz w:val="20"/>
                <w:szCs w:val="20"/>
                <w:lang w:val="fr-CA"/>
              </w:rPr>
            </w:pPr>
            <w:r w:rsidRPr="00CD6D96">
              <w:rPr>
                <w:sz w:val="20"/>
                <w:szCs w:val="20"/>
                <w:lang w:val="fr-CA"/>
              </w:rPr>
              <w:t>Cour d’appel de l’Ontario</w:t>
            </w:r>
          </w:p>
          <w:p w:rsidR="00CA774A" w:rsidRPr="00CD6D96" w:rsidRDefault="00CA774A" w:rsidP="00CA774A">
            <w:pPr>
              <w:jc w:val="both"/>
              <w:rPr>
                <w:sz w:val="20"/>
                <w:szCs w:val="20"/>
                <w:lang w:val="fr-CA"/>
              </w:rPr>
            </w:pPr>
            <w:r w:rsidRPr="00CD6D96">
              <w:rPr>
                <w:sz w:val="20"/>
                <w:szCs w:val="20"/>
                <w:lang w:val="fr-CA"/>
              </w:rPr>
              <w:t xml:space="preserve">(les juges </w:t>
            </w:r>
            <w:proofErr w:type="spellStart"/>
            <w:r w:rsidRPr="00CD6D96">
              <w:rPr>
                <w:sz w:val="20"/>
                <w:szCs w:val="20"/>
                <w:lang w:val="fr-CA"/>
              </w:rPr>
              <w:t>Juriansz</w:t>
            </w:r>
            <w:proofErr w:type="spellEnd"/>
            <w:r w:rsidRPr="00CD6D96">
              <w:rPr>
                <w:sz w:val="20"/>
                <w:szCs w:val="20"/>
                <w:lang w:val="fr-CA"/>
              </w:rPr>
              <w:t xml:space="preserve">, </w:t>
            </w:r>
            <w:proofErr w:type="spellStart"/>
            <w:r w:rsidRPr="00CD6D96">
              <w:rPr>
                <w:sz w:val="20"/>
                <w:szCs w:val="20"/>
                <w:lang w:val="fr-CA"/>
              </w:rPr>
              <w:t>Lauwers</w:t>
            </w:r>
            <w:proofErr w:type="spellEnd"/>
            <w:r w:rsidRPr="00CD6D96">
              <w:rPr>
                <w:sz w:val="20"/>
                <w:szCs w:val="20"/>
                <w:lang w:val="fr-CA"/>
              </w:rPr>
              <w:t xml:space="preserve"> et </w:t>
            </w:r>
            <w:proofErr w:type="spellStart"/>
            <w:r w:rsidRPr="00CD6D96">
              <w:rPr>
                <w:sz w:val="20"/>
                <w:szCs w:val="20"/>
                <w:lang w:val="fr-CA"/>
              </w:rPr>
              <w:t>Hourigan</w:t>
            </w:r>
            <w:proofErr w:type="spellEnd"/>
            <w:r w:rsidRPr="00CD6D96">
              <w:rPr>
                <w:sz w:val="20"/>
                <w:szCs w:val="20"/>
                <w:lang w:val="fr-CA"/>
              </w:rPr>
              <w:t>)</w:t>
            </w:r>
          </w:p>
          <w:p w:rsidR="00CA774A" w:rsidRPr="00CD6D96" w:rsidRDefault="00CA774A" w:rsidP="00CA774A">
            <w:pPr>
              <w:jc w:val="both"/>
              <w:rPr>
                <w:sz w:val="20"/>
                <w:szCs w:val="20"/>
              </w:rPr>
            </w:pPr>
            <w:r w:rsidRPr="00CD6D96">
              <w:rPr>
                <w:sz w:val="20"/>
                <w:szCs w:val="20"/>
              </w:rPr>
              <w:t>No. M47350</w:t>
            </w:r>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lang w:val="fr-CA"/>
              </w:rPr>
            </w:pPr>
            <w:r w:rsidRPr="00CD6D96">
              <w:rPr>
                <w:sz w:val="20"/>
                <w:szCs w:val="20"/>
                <w:lang w:val="fr-CA"/>
              </w:rPr>
              <w:t>Motion pour permission d’en appeler rejetée.</w:t>
            </w:r>
          </w:p>
          <w:p w:rsidR="00CA774A" w:rsidRPr="00CD6D96" w:rsidRDefault="00CA774A" w:rsidP="00CA774A">
            <w:pPr>
              <w:jc w:val="both"/>
              <w:rPr>
                <w:sz w:val="20"/>
                <w:szCs w:val="20"/>
                <w:lang w:val="fr-CA"/>
              </w:rPr>
            </w:pPr>
          </w:p>
        </w:tc>
      </w:tr>
      <w:tr w:rsidR="00CA774A" w:rsidRPr="00CD6D96"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Le 29 mai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73"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37593</w:t>
            </w:r>
          </w:p>
        </w:tc>
        <w:tc>
          <w:tcPr>
            <w:tcW w:w="4457" w:type="pct"/>
            <w:gridSpan w:val="3"/>
          </w:tcPr>
          <w:p w:rsidR="00CA774A" w:rsidRPr="00CD6D96" w:rsidRDefault="00CA774A" w:rsidP="00CA774A">
            <w:pPr>
              <w:pStyle w:val="SCCLsocParty"/>
              <w:jc w:val="both"/>
              <w:rPr>
                <w:b/>
                <w:sz w:val="20"/>
                <w:szCs w:val="20"/>
                <w:lang w:val="en-US"/>
              </w:rPr>
            </w:pPr>
            <w:proofErr w:type="spellStart"/>
            <w:r w:rsidRPr="00CD6D96">
              <w:rPr>
                <w:b/>
                <w:sz w:val="20"/>
                <w:szCs w:val="20"/>
                <w:lang w:val="en-US"/>
              </w:rPr>
              <w:t>Apotex</w:t>
            </w:r>
            <w:proofErr w:type="spellEnd"/>
            <w:r w:rsidRPr="00CD6D96">
              <w:rPr>
                <w:b/>
                <w:sz w:val="20"/>
                <w:szCs w:val="20"/>
                <w:lang w:val="en-US"/>
              </w:rPr>
              <w:t xml:space="preserve"> Inc. v. Her Majesty the Queen</w:t>
            </w:r>
          </w:p>
          <w:p w:rsidR="00CA774A" w:rsidRPr="00CD6D96" w:rsidRDefault="00CA774A" w:rsidP="00CA774A">
            <w:pPr>
              <w:jc w:val="both"/>
              <w:rPr>
                <w:sz w:val="20"/>
                <w:szCs w:val="20"/>
              </w:rPr>
            </w:pPr>
            <w:r w:rsidRPr="00CD6D96">
              <w:rPr>
                <w:sz w:val="20"/>
                <w:szCs w:val="20"/>
              </w:rPr>
              <w:t>(F</w:t>
            </w:r>
            <w:r w:rsidR="00F80D52">
              <w:rPr>
                <w:sz w:val="20"/>
                <w:szCs w:val="20"/>
              </w:rPr>
              <w:t>.</w:t>
            </w:r>
            <w:r w:rsidRPr="00CD6D96">
              <w:rPr>
                <w:sz w:val="20"/>
                <w:szCs w:val="20"/>
              </w:rPr>
              <w:t>C</w:t>
            </w:r>
            <w:r w:rsidR="00F80D52">
              <w:rPr>
                <w:sz w:val="20"/>
                <w:szCs w:val="20"/>
              </w:rPr>
              <w:t>.</w:t>
            </w:r>
            <w:r w:rsidRPr="00CD6D96">
              <w:rPr>
                <w:sz w:val="20"/>
                <w:szCs w:val="20"/>
              </w:rPr>
              <w:t>) (Civil) (By Leave)</w:t>
            </w:r>
          </w:p>
        </w:tc>
      </w:tr>
      <w:tr w:rsidR="00F80D52" w:rsidRPr="00CD6D96" w:rsidTr="00CA774A">
        <w:tc>
          <w:tcPr>
            <w:tcW w:w="543" w:type="pct"/>
          </w:tcPr>
          <w:p w:rsidR="00F80D52" w:rsidRPr="00CD6D96" w:rsidRDefault="00F80D52" w:rsidP="00CA774A">
            <w:pPr>
              <w:jc w:val="both"/>
              <w:rPr>
                <w:rStyle w:val="SCCFileNumberChar"/>
                <w:sz w:val="20"/>
                <w:szCs w:val="20"/>
              </w:rPr>
            </w:pPr>
            <w:r>
              <w:rPr>
                <w:rStyle w:val="SCCFileNumberChar"/>
                <w:sz w:val="20"/>
                <w:szCs w:val="20"/>
              </w:rPr>
              <w:t>Coram:</w:t>
            </w:r>
          </w:p>
        </w:tc>
        <w:tc>
          <w:tcPr>
            <w:tcW w:w="4457" w:type="pct"/>
            <w:gridSpan w:val="3"/>
          </w:tcPr>
          <w:p w:rsidR="00F80D52" w:rsidRDefault="00F80D52" w:rsidP="00CA774A">
            <w:pPr>
              <w:pStyle w:val="SCCLsocParty"/>
              <w:jc w:val="both"/>
              <w:rPr>
                <w:sz w:val="20"/>
                <w:szCs w:val="20"/>
                <w:lang w:val="en-US"/>
              </w:rPr>
            </w:pPr>
            <w:proofErr w:type="spellStart"/>
            <w:r w:rsidRPr="00F80D52">
              <w:rPr>
                <w:sz w:val="20"/>
                <w:szCs w:val="20"/>
                <w:lang w:val="en-US"/>
              </w:rPr>
              <w:t>McLachlin</w:t>
            </w:r>
            <w:proofErr w:type="spellEnd"/>
            <w:r w:rsidRPr="00F80D52">
              <w:rPr>
                <w:sz w:val="20"/>
                <w:szCs w:val="20"/>
                <w:lang w:val="en-US"/>
              </w:rPr>
              <w:t xml:space="preserve"> C.J. and </w:t>
            </w:r>
            <w:proofErr w:type="spellStart"/>
            <w:r w:rsidRPr="00F80D52">
              <w:rPr>
                <w:sz w:val="20"/>
                <w:szCs w:val="20"/>
                <w:lang w:val="en-US"/>
              </w:rPr>
              <w:t>Abella</w:t>
            </w:r>
            <w:proofErr w:type="spellEnd"/>
            <w:r w:rsidRPr="00F80D52">
              <w:rPr>
                <w:sz w:val="20"/>
                <w:szCs w:val="20"/>
                <w:lang w:val="en-US"/>
              </w:rPr>
              <w:t xml:space="preserve">, </w:t>
            </w:r>
            <w:proofErr w:type="spellStart"/>
            <w:r w:rsidRPr="00F80D52">
              <w:rPr>
                <w:sz w:val="20"/>
                <w:szCs w:val="20"/>
                <w:lang w:val="en-US"/>
              </w:rPr>
              <w:t>Moldaver</w:t>
            </w:r>
            <w:proofErr w:type="spellEnd"/>
            <w:r w:rsidRPr="00F80D52">
              <w:rPr>
                <w:sz w:val="20"/>
                <w:szCs w:val="20"/>
                <w:lang w:val="en-US"/>
              </w:rPr>
              <w:t xml:space="preserve">, </w:t>
            </w:r>
            <w:proofErr w:type="spellStart"/>
            <w:r w:rsidRPr="00F80D52">
              <w:rPr>
                <w:sz w:val="20"/>
                <w:szCs w:val="20"/>
                <w:lang w:val="en-US"/>
              </w:rPr>
              <w:t>Karakatsanis</w:t>
            </w:r>
            <w:proofErr w:type="spellEnd"/>
            <w:r w:rsidRPr="00F80D52">
              <w:rPr>
                <w:sz w:val="20"/>
                <w:szCs w:val="20"/>
                <w:lang w:val="en-US"/>
              </w:rPr>
              <w:t xml:space="preserve">, Wagner, </w:t>
            </w:r>
            <w:proofErr w:type="spellStart"/>
            <w:r w:rsidRPr="00F80D52">
              <w:rPr>
                <w:sz w:val="20"/>
                <w:szCs w:val="20"/>
                <w:lang w:val="en-US"/>
              </w:rPr>
              <w:t>Gascon</w:t>
            </w:r>
            <w:proofErr w:type="spellEnd"/>
            <w:r w:rsidRPr="00F80D52">
              <w:rPr>
                <w:sz w:val="20"/>
                <w:szCs w:val="20"/>
                <w:lang w:val="en-US"/>
              </w:rPr>
              <w:t xml:space="preserve">, </w:t>
            </w:r>
            <w:proofErr w:type="spellStart"/>
            <w:r w:rsidRPr="00F80D52">
              <w:rPr>
                <w:sz w:val="20"/>
                <w:szCs w:val="20"/>
                <w:lang w:val="en-US"/>
              </w:rPr>
              <w:t>Côté</w:t>
            </w:r>
            <w:proofErr w:type="spellEnd"/>
            <w:r w:rsidRPr="00F80D52">
              <w:rPr>
                <w:sz w:val="20"/>
                <w:szCs w:val="20"/>
                <w:lang w:val="en-US"/>
              </w:rPr>
              <w:t>, Brown and Rowe JJ.</w:t>
            </w:r>
          </w:p>
          <w:p w:rsidR="00F80D52" w:rsidRPr="00F80D52" w:rsidRDefault="00F80D52" w:rsidP="00F80D52">
            <w:pPr>
              <w:rPr>
                <w:lang w:val="en-US"/>
              </w:rPr>
            </w:pPr>
          </w:p>
        </w:tc>
      </w:tr>
      <w:tr w:rsidR="00F80D52" w:rsidRPr="00CD6D96" w:rsidTr="00F80D52">
        <w:tc>
          <w:tcPr>
            <w:tcW w:w="5000" w:type="pct"/>
            <w:gridSpan w:val="4"/>
          </w:tcPr>
          <w:p w:rsidR="00F80D52" w:rsidRDefault="00F80D52" w:rsidP="00CA774A">
            <w:pPr>
              <w:pStyle w:val="SCCLsocParty"/>
              <w:jc w:val="both"/>
              <w:rPr>
                <w:sz w:val="20"/>
                <w:szCs w:val="20"/>
                <w:lang w:val="en-US"/>
              </w:rPr>
            </w:pPr>
            <w:r w:rsidRPr="00F80D52">
              <w:rPr>
                <w:sz w:val="20"/>
                <w:szCs w:val="20"/>
                <w:lang w:val="en-US"/>
              </w:rPr>
              <w:t>The application for leave to appeal from the judgment of the Federal Court of Appeal, Number A-554-14, 2017 FCA 73, dated April 6, 2017, dismissed with costs.</w:t>
            </w:r>
          </w:p>
          <w:p w:rsidR="00F80D52" w:rsidRPr="00F80D52" w:rsidRDefault="00F80D52" w:rsidP="00F80D52">
            <w:pPr>
              <w:rPr>
                <w:lang w:val="en-US"/>
              </w:rPr>
            </w:pPr>
          </w:p>
        </w:tc>
      </w:tr>
      <w:tr w:rsidR="00CA774A" w:rsidRPr="00CD6D96" w:rsidTr="00CA774A">
        <w:tc>
          <w:tcPr>
            <w:tcW w:w="5000" w:type="pct"/>
            <w:gridSpan w:val="4"/>
          </w:tcPr>
          <w:p w:rsidR="00CA774A" w:rsidRPr="00CD6D96" w:rsidRDefault="00CA774A" w:rsidP="00CA774A">
            <w:pPr>
              <w:jc w:val="both"/>
              <w:rPr>
                <w:sz w:val="20"/>
                <w:szCs w:val="20"/>
              </w:rPr>
            </w:pPr>
            <w:r w:rsidRPr="00CD6D96">
              <w:rPr>
                <w:sz w:val="20"/>
                <w:szCs w:val="20"/>
              </w:rPr>
              <w:t xml:space="preserve">Torts – Duty of care – Negligence – Misfeasance in public office – Minister of Health failing to abide by terms of settlement agreement reached with generic drug manufacturer regarding use of foreign reference product – Issuance of Notice of Compliance to generic manufacturer delayed – What is appropriate approach for determining whether a regulator and regulated party are in proximate relationship to support duty of care in negligence – Whether regulator </w:t>
            </w:r>
            <w:r w:rsidRPr="00CD6D96">
              <w:rPr>
                <w:sz w:val="20"/>
                <w:szCs w:val="20"/>
              </w:rPr>
              <w:lastRenderedPageBreak/>
              <w:t>owes a duty of care to regulated party at least to extent of making rational, evidence-based decisions following proper legislative criteria.</w:t>
            </w:r>
          </w:p>
        </w:tc>
      </w:tr>
      <w:tr w:rsidR="00CA774A" w:rsidRPr="00CD6D96" w:rsidTr="00CA774A">
        <w:tc>
          <w:tcPr>
            <w:tcW w:w="5000" w:type="pct"/>
            <w:gridSpan w:val="4"/>
          </w:tcPr>
          <w:p w:rsidR="00CA774A" w:rsidRPr="00CD6D96" w:rsidRDefault="00CA774A" w:rsidP="00CA774A">
            <w:pPr>
              <w:jc w:val="both"/>
              <w:rPr>
                <w:sz w:val="20"/>
                <w:szCs w:val="20"/>
              </w:rPr>
            </w:pPr>
          </w:p>
          <w:p w:rsidR="00CA774A" w:rsidRPr="00CD6D96" w:rsidRDefault="00CA774A" w:rsidP="00CA774A">
            <w:pPr>
              <w:jc w:val="both"/>
              <w:rPr>
                <w:sz w:val="20"/>
                <w:szCs w:val="20"/>
              </w:rPr>
            </w:pPr>
            <w:proofErr w:type="spellStart"/>
            <w:r w:rsidRPr="00CD6D96">
              <w:rPr>
                <w:sz w:val="20"/>
                <w:szCs w:val="20"/>
                <w:lang w:val="en"/>
              </w:rPr>
              <w:t>Apotex</w:t>
            </w:r>
            <w:proofErr w:type="spellEnd"/>
            <w:r w:rsidRPr="00CD6D96">
              <w:rPr>
                <w:sz w:val="20"/>
                <w:szCs w:val="20"/>
                <w:lang w:val="en"/>
              </w:rPr>
              <w:t xml:space="preserve"> Inc. is a manufacturer of generic prescription drugs. On January 25, 1988, it filed a submission with the Health Protection Branch of Health Canada (“HPB”) in which it sought approval to sell a generic version of trazodone in Canada, using an American reference product for comparison purposes. Health Canada maintained that its policy was to base its approval on Canadian reference products. It advised that if </w:t>
            </w:r>
            <w:proofErr w:type="spellStart"/>
            <w:r w:rsidRPr="00CD6D96">
              <w:rPr>
                <w:sz w:val="20"/>
                <w:szCs w:val="20"/>
                <w:lang w:val="en"/>
              </w:rPr>
              <w:t>Apotex</w:t>
            </w:r>
            <w:proofErr w:type="spellEnd"/>
            <w:r w:rsidRPr="00CD6D96">
              <w:rPr>
                <w:sz w:val="20"/>
                <w:szCs w:val="20"/>
                <w:lang w:val="en"/>
              </w:rPr>
              <w:t xml:space="preserve"> continued to rely on a foreign reference product, </w:t>
            </w:r>
            <w:proofErr w:type="spellStart"/>
            <w:r w:rsidRPr="00CD6D96">
              <w:rPr>
                <w:sz w:val="20"/>
                <w:szCs w:val="20"/>
                <w:lang w:val="en"/>
              </w:rPr>
              <w:t>Apotex</w:t>
            </w:r>
            <w:proofErr w:type="spellEnd"/>
            <w:r w:rsidRPr="00CD6D96">
              <w:rPr>
                <w:sz w:val="20"/>
                <w:szCs w:val="20"/>
                <w:lang w:val="en"/>
              </w:rPr>
              <w:t xml:space="preserve"> would have to establish that the two drugs were identical, not bioequivalent, a less stringent standard. Eventually, in 1990, the parties entered into a settlement agreement whereby the Minister agreed to compare the two drug products on the basis of bioequivalence, not </w:t>
            </w:r>
            <w:proofErr w:type="spellStart"/>
            <w:r w:rsidRPr="00CD6D96">
              <w:rPr>
                <w:sz w:val="20"/>
                <w:szCs w:val="20"/>
                <w:lang w:val="en"/>
              </w:rPr>
              <w:t>identicality</w:t>
            </w:r>
            <w:proofErr w:type="spellEnd"/>
            <w:r w:rsidRPr="00CD6D96">
              <w:rPr>
                <w:sz w:val="20"/>
                <w:szCs w:val="20"/>
                <w:lang w:val="en"/>
              </w:rPr>
              <w:t xml:space="preserve">. </w:t>
            </w:r>
            <w:proofErr w:type="spellStart"/>
            <w:r w:rsidRPr="00CD6D96">
              <w:rPr>
                <w:sz w:val="20"/>
                <w:szCs w:val="20"/>
                <w:lang w:val="en"/>
              </w:rPr>
              <w:t>Apotex</w:t>
            </w:r>
            <w:proofErr w:type="spellEnd"/>
            <w:r w:rsidRPr="00CD6D96">
              <w:rPr>
                <w:sz w:val="20"/>
                <w:szCs w:val="20"/>
                <w:lang w:val="en"/>
              </w:rPr>
              <w:t xml:space="preserve"> continued to submit data to the HPB to establish bioequivalence but still did not receive its Notice of Compliance for Apo-Trazodone until February 28, 1995. At the time, it generally took a year to two years from the date of filing for a drug manufacturer to receive Ministerial approval. </w:t>
            </w:r>
            <w:proofErr w:type="spellStart"/>
            <w:r w:rsidRPr="00CD6D96">
              <w:rPr>
                <w:sz w:val="20"/>
                <w:szCs w:val="20"/>
                <w:lang w:val="en"/>
              </w:rPr>
              <w:t>Apotex</w:t>
            </w:r>
            <w:proofErr w:type="spellEnd"/>
            <w:r w:rsidRPr="00CD6D96">
              <w:rPr>
                <w:sz w:val="20"/>
                <w:szCs w:val="20"/>
                <w:lang w:val="en"/>
              </w:rPr>
              <w:t xml:space="preserve"> commenced an action against the Minister of Health, alleging, </w:t>
            </w:r>
            <w:r w:rsidRPr="00CD6D96">
              <w:rPr>
                <w:i/>
                <w:sz w:val="20"/>
                <w:szCs w:val="20"/>
                <w:lang w:val="en"/>
              </w:rPr>
              <w:t>inter alia</w:t>
            </w:r>
            <w:r w:rsidRPr="00CD6D96">
              <w:rPr>
                <w:sz w:val="20"/>
                <w:szCs w:val="20"/>
                <w:lang w:val="en"/>
              </w:rPr>
              <w:t>, that in the course of considering its drug submission over the span of seven years, officials of the HPB committed misfeasance in a public office and also acted negligently.</w:t>
            </w:r>
          </w:p>
        </w:tc>
      </w:tr>
      <w:tr w:rsidR="00CA774A" w:rsidRPr="00CD6D96" w:rsidTr="00CA774A">
        <w:tc>
          <w:tcPr>
            <w:tcW w:w="5000" w:type="pct"/>
            <w:gridSpan w:val="4"/>
          </w:tcPr>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November 18, 2014</w:t>
            </w:r>
          </w:p>
          <w:p w:rsidR="00CA774A" w:rsidRPr="00CD6D96" w:rsidRDefault="00CA774A" w:rsidP="00CA774A">
            <w:pPr>
              <w:jc w:val="both"/>
              <w:rPr>
                <w:sz w:val="20"/>
                <w:szCs w:val="20"/>
              </w:rPr>
            </w:pPr>
            <w:r w:rsidRPr="00CD6D96">
              <w:rPr>
                <w:sz w:val="20"/>
                <w:szCs w:val="20"/>
              </w:rPr>
              <w:t>Federal Court</w:t>
            </w:r>
          </w:p>
          <w:p w:rsidR="00CA774A" w:rsidRPr="00CD6D96" w:rsidRDefault="00CA774A" w:rsidP="00CA774A">
            <w:pPr>
              <w:jc w:val="both"/>
              <w:rPr>
                <w:sz w:val="20"/>
                <w:szCs w:val="20"/>
              </w:rPr>
            </w:pPr>
            <w:r w:rsidRPr="00CD6D96">
              <w:rPr>
                <w:sz w:val="20"/>
                <w:szCs w:val="20"/>
              </w:rPr>
              <w:t>(Hughes J.)</w:t>
            </w:r>
          </w:p>
          <w:p w:rsidR="00CA774A" w:rsidRPr="00CD6D96" w:rsidRDefault="00F964D5" w:rsidP="00CA774A">
            <w:pPr>
              <w:jc w:val="both"/>
              <w:rPr>
                <w:sz w:val="20"/>
                <w:szCs w:val="20"/>
              </w:rPr>
            </w:pPr>
            <w:hyperlink r:id="rId73" w:history="1">
              <w:r w:rsidR="00CA774A" w:rsidRPr="00CD6D96">
                <w:rPr>
                  <w:rStyle w:val="Hyperlink"/>
                  <w:sz w:val="20"/>
                  <w:szCs w:val="20"/>
                </w:rPr>
                <w:t>2014 FC 1087</w:t>
              </w:r>
            </w:hyperlink>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Minister liable for damages on basis of misfeasance in public office and negligence; Damages to be calculated on basis </w:t>
            </w:r>
            <w:proofErr w:type="spellStart"/>
            <w:r w:rsidRPr="00CD6D96">
              <w:rPr>
                <w:sz w:val="20"/>
                <w:szCs w:val="20"/>
              </w:rPr>
              <w:t>Apotex</w:t>
            </w:r>
            <w:proofErr w:type="spellEnd"/>
            <w:r w:rsidRPr="00CD6D96">
              <w:rPr>
                <w:sz w:val="20"/>
                <w:szCs w:val="20"/>
              </w:rPr>
              <w:t xml:space="preserve"> failed to mitigate its damages </w:t>
            </w: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April 6, 2017</w:t>
            </w:r>
          </w:p>
          <w:p w:rsidR="00CA774A" w:rsidRPr="00CD6D96" w:rsidRDefault="00CA774A" w:rsidP="00CA774A">
            <w:pPr>
              <w:jc w:val="both"/>
              <w:rPr>
                <w:sz w:val="20"/>
                <w:szCs w:val="20"/>
              </w:rPr>
            </w:pPr>
            <w:r w:rsidRPr="00CD6D96">
              <w:rPr>
                <w:sz w:val="20"/>
                <w:szCs w:val="20"/>
              </w:rPr>
              <w:t>Federal Court of Appeal</w:t>
            </w:r>
          </w:p>
          <w:p w:rsidR="00CA774A" w:rsidRPr="00CD6D96" w:rsidRDefault="00CA774A" w:rsidP="00CA774A">
            <w:pPr>
              <w:jc w:val="both"/>
              <w:rPr>
                <w:sz w:val="20"/>
                <w:szCs w:val="20"/>
              </w:rPr>
            </w:pPr>
            <w:r w:rsidRPr="00CD6D96">
              <w:rPr>
                <w:sz w:val="20"/>
                <w:szCs w:val="20"/>
              </w:rPr>
              <w:t>(Dawson, Rennie, Woods JJ.A.)</w:t>
            </w:r>
          </w:p>
          <w:p w:rsidR="00CA774A" w:rsidRPr="00CD6D96" w:rsidRDefault="00F964D5" w:rsidP="00CA774A">
            <w:pPr>
              <w:jc w:val="both"/>
              <w:rPr>
                <w:sz w:val="20"/>
                <w:szCs w:val="20"/>
              </w:rPr>
            </w:pPr>
            <w:hyperlink r:id="rId74" w:history="1">
              <w:r w:rsidR="00CA774A" w:rsidRPr="00CD6D96">
                <w:rPr>
                  <w:rStyle w:val="Hyperlink"/>
                  <w:sz w:val="20"/>
                  <w:szCs w:val="20"/>
                </w:rPr>
                <w:t>2017 FCA 73</w:t>
              </w:r>
            </w:hyperlink>
          </w:p>
          <w:p w:rsidR="00CA774A" w:rsidRPr="00CD6D96" w:rsidRDefault="00CA774A" w:rsidP="00CA774A">
            <w:pPr>
              <w:jc w:val="both"/>
              <w:rPr>
                <w:sz w:val="20"/>
                <w:szCs w:val="20"/>
              </w:rPr>
            </w:pP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 xml:space="preserve">Appeal allowed in part; Cross-appeal dismissed; Damages to be calculated on basis </w:t>
            </w:r>
            <w:proofErr w:type="spellStart"/>
            <w:r w:rsidRPr="00CD6D96">
              <w:rPr>
                <w:sz w:val="20"/>
                <w:szCs w:val="20"/>
              </w:rPr>
              <w:t>Apotex</w:t>
            </w:r>
            <w:proofErr w:type="spellEnd"/>
            <w:r w:rsidRPr="00CD6D96">
              <w:rPr>
                <w:sz w:val="20"/>
                <w:szCs w:val="20"/>
              </w:rPr>
              <w:t xml:space="preserve"> not required to mitigate its damages</w:t>
            </w:r>
          </w:p>
          <w:p w:rsidR="00CA774A" w:rsidRPr="00CD6D96" w:rsidRDefault="00CA774A" w:rsidP="00CA774A">
            <w:pPr>
              <w:jc w:val="both"/>
              <w:rPr>
                <w:sz w:val="20"/>
                <w:szCs w:val="20"/>
              </w:rPr>
            </w:pPr>
          </w:p>
          <w:p w:rsidR="00CA774A" w:rsidRPr="00CD6D96" w:rsidRDefault="00CA774A" w:rsidP="00CA774A">
            <w:pPr>
              <w:jc w:val="both"/>
              <w:rPr>
                <w:sz w:val="20"/>
                <w:szCs w:val="20"/>
              </w:rPr>
            </w:pPr>
          </w:p>
        </w:tc>
      </w:tr>
      <w:tr w:rsidR="00CA774A" w:rsidRPr="00CD6D96" w:rsidTr="00CA774A">
        <w:tc>
          <w:tcPr>
            <w:tcW w:w="2427" w:type="pct"/>
            <w:gridSpan w:val="2"/>
          </w:tcPr>
          <w:p w:rsidR="00CA774A" w:rsidRPr="00CD6D96" w:rsidRDefault="00CA774A" w:rsidP="00CA774A">
            <w:pPr>
              <w:jc w:val="both"/>
              <w:rPr>
                <w:sz w:val="20"/>
                <w:szCs w:val="20"/>
              </w:rPr>
            </w:pPr>
            <w:r w:rsidRPr="00CD6D96">
              <w:rPr>
                <w:sz w:val="20"/>
                <w:szCs w:val="20"/>
              </w:rPr>
              <w:t>June 5, 2017</w:t>
            </w:r>
          </w:p>
          <w:p w:rsidR="00CA774A" w:rsidRPr="00CD6D96" w:rsidRDefault="00CA774A" w:rsidP="00CA774A">
            <w:pPr>
              <w:jc w:val="both"/>
              <w:rPr>
                <w:sz w:val="20"/>
                <w:szCs w:val="20"/>
              </w:rPr>
            </w:pPr>
            <w:r w:rsidRPr="00CD6D96">
              <w:rPr>
                <w:sz w:val="20"/>
                <w:szCs w:val="20"/>
              </w:rPr>
              <w:t>Supreme Court of Canada</w:t>
            </w:r>
          </w:p>
        </w:tc>
        <w:tc>
          <w:tcPr>
            <w:tcW w:w="243" w:type="pct"/>
          </w:tcPr>
          <w:p w:rsidR="00CA774A" w:rsidRPr="00CD6D96" w:rsidRDefault="00CA774A" w:rsidP="00CA774A">
            <w:pPr>
              <w:jc w:val="both"/>
              <w:rPr>
                <w:sz w:val="20"/>
                <w:szCs w:val="20"/>
              </w:rPr>
            </w:pPr>
          </w:p>
        </w:tc>
        <w:tc>
          <w:tcPr>
            <w:tcW w:w="233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74"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A774A" w:rsidRPr="00F964D5" w:rsidTr="00CA774A">
        <w:tc>
          <w:tcPr>
            <w:tcW w:w="543" w:type="pct"/>
          </w:tcPr>
          <w:p w:rsidR="00CA774A" w:rsidRPr="00CD6D96" w:rsidRDefault="00CA774A" w:rsidP="00CA774A">
            <w:pPr>
              <w:jc w:val="both"/>
              <w:rPr>
                <w:sz w:val="20"/>
                <w:szCs w:val="20"/>
                <w:lang w:val="fr-CA"/>
              </w:rPr>
            </w:pPr>
            <w:r w:rsidRPr="00CD6D96">
              <w:rPr>
                <w:rStyle w:val="SCCFileNumberChar"/>
                <w:sz w:val="20"/>
                <w:szCs w:val="20"/>
                <w:lang w:val="fr-CA"/>
              </w:rPr>
              <w:t>37593</w:t>
            </w:r>
          </w:p>
        </w:tc>
        <w:tc>
          <w:tcPr>
            <w:tcW w:w="4457" w:type="pct"/>
            <w:gridSpan w:val="3"/>
          </w:tcPr>
          <w:p w:rsidR="00CA774A" w:rsidRPr="00CD6D96" w:rsidRDefault="00CA774A" w:rsidP="00CA774A">
            <w:pPr>
              <w:pStyle w:val="SCCLsocParty"/>
              <w:jc w:val="both"/>
              <w:rPr>
                <w:b/>
                <w:sz w:val="20"/>
                <w:szCs w:val="20"/>
              </w:rPr>
            </w:pPr>
            <w:proofErr w:type="spellStart"/>
            <w:r w:rsidRPr="00CD6D96">
              <w:rPr>
                <w:b/>
                <w:sz w:val="20"/>
                <w:szCs w:val="20"/>
              </w:rPr>
              <w:t>Apotex</w:t>
            </w:r>
            <w:proofErr w:type="spellEnd"/>
            <w:r w:rsidRPr="00CD6D96">
              <w:rPr>
                <w:b/>
                <w:sz w:val="20"/>
                <w:szCs w:val="20"/>
              </w:rPr>
              <w:t xml:space="preserve"> Inc. c. Sa Majesté la Reine</w:t>
            </w:r>
          </w:p>
          <w:p w:rsidR="00CA774A" w:rsidRPr="00CD6D96" w:rsidRDefault="00CA774A" w:rsidP="00CA774A">
            <w:pPr>
              <w:jc w:val="both"/>
              <w:rPr>
                <w:sz w:val="20"/>
                <w:szCs w:val="20"/>
                <w:lang w:val="fr-CA"/>
              </w:rPr>
            </w:pPr>
            <w:r w:rsidRPr="00CD6D96">
              <w:rPr>
                <w:sz w:val="20"/>
                <w:szCs w:val="20"/>
                <w:lang w:val="fr-CA"/>
              </w:rPr>
              <w:t>(C</w:t>
            </w:r>
            <w:r w:rsidR="00F80D52">
              <w:rPr>
                <w:sz w:val="20"/>
                <w:szCs w:val="20"/>
                <w:lang w:val="fr-CA"/>
              </w:rPr>
              <w:t>.</w:t>
            </w:r>
            <w:r w:rsidRPr="00CD6D96">
              <w:rPr>
                <w:sz w:val="20"/>
                <w:szCs w:val="20"/>
                <w:lang w:val="fr-CA"/>
              </w:rPr>
              <w:t>F</w:t>
            </w:r>
            <w:r w:rsidR="00F80D52">
              <w:rPr>
                <w:sz w:val="20"/>
                <w:szCs w:val="20"/>
                <w:lang w:val="fr-CA"/>
              </w:rPr>
              <w:t>.</w:t>
            </w:r>
            <w:r w:rsidRPr="00CD6D96">
              <w:rPr>
                <w:sz w:val="20"/>
                <w:szCs w:val="20"/>
                <w:lang w:val="fr-CA"/>
              </w:rPr>
              <w:t>) (Civile) (Sur autorisation)</w:t>
            </w:r>
          </w:p>
        </w:tc>
      </w:tr>
      <w:tr w:rsidR="00F80D52" w:rsidRPr="00F964D5" w:rsidTr="00CA774A">
        <w:tc>
          <w:tcPr>
            <w:tcW w:w="543" w:type="pct"/>
          </w:tcPr>
          <w:p w:rsidR="00F80D52" w:rsidRPr="00CD6D96" w:rsidRDefault="00F80D52" w:rsidP="00CA774A">
            <w:pPr>
              <w:jc w:val="both"/>
              <w:rPr>
                <w:rStyle w:val="SCCFileNumberChar"/>
                <w:sz w:val="20"/>
                <w:szCs w:val="20"/>
                <w:lang w:val="fr-CA"/>
              </w:rPr>
            </w:pPr>
            <w:r>
              <w:rPr>
                <w:rStyle w:val="SCCFileNumberChar"/>
                <w:sz w:val="20"/>
                <w:szCs w:val="20"/>
                <w:lang w:val="fr-CA"/>
              </w:rPr>
              <w:t>Coram :</w:t>
            </w:r>
          </w:p>
        </w:tc>
        <w:tc>
          <w:tcPr>
            <w:tcW w:w="4457" w:type="pct"/>
            <w:gridSpan w:val="3"/>
          </w:tcPr>
          <w:p w:rsidR="00F80D52" w:rsidRDefault="00F80D52" w:rsidP="00CA774A">
            <w:pPr>
              <w:pStyle w:val="SCCLsocParty"/>
              <w:jc w:val="both"/>
              <w:rPr>
                <w:sz w:val="20"/>
                <w:szCs w:val="20"/>
              </w:rPr>
            </w:pPr>
            <w:r w:rsidRPr="00421349">
              <w:rPr>
                <w:sz w:val="20"/>
                <w:szCs w:val="20"/>
              </w:rPr>
              <w:t xml:space="preserve">La juge en chef </w:t>
            </w:r>
            <w:proofErr w:type="spellStart"/>
            <w:r w:rsidRPr="00421349">
              <w:rPr>
                <w:sz w:val="20"/>
                <w:szCs w:val="20"/>
              </w:rPr>
              <w:t>McLachlin</w:t>
            </w:r>
            <w:proofErr w:type="spellEnd"/>
            <w:r w:rsidRPr="00421349">
              <w:rPr>
                <w:sz w:val="20"/>
                <w:szCs w:val="20"/>
              </w:rPr>
              <w:t xml:space="preserve"> et les juges Abella, </w:t>
            </w:r>
            <w:proofErr w:type="spellStart"/>
            <w:r w:rsidRPr="00421349">
              <w:rPr>
                <w:sz w:val="20"/>
                <w:szCs w:val="20"/>
              </w:rPr>
              <w:t>Moldaver</w:t>
            </w:r>
            <w:proofErr w:type="spellEnd"/>
            <w:r w:rsidRPr="00421349">
              <w:rPr>
                <w:sz w:val="20"/>
                <w:szCs w:val="20"/>
              </w:rPr>
              <w:t xml:space="preserve">, </w:t>
            </w:r>
            <w:proofErr w:type="spellStart"/>
            <w:r w:rsidRPr="00421349">
              <w:rPr>
                <w:sz w:val="20"/>
                <w:szCs w:val="20"/>
              </w:rPr>
              <w:t>Karakatsanis</w:t>
            </w:r>
            <w:proofErr w:type="spellEnd"/>
            <w:r w:rsidRPr="00421349">
              <w:rPr>
                <w:sz w:val="20"/>
                <w:szCs w:val="20"/>
              </w:rPr>
              <w:t>, Wagner, Gascon, Côté, Brown et Rowe</w:t>
            </w:r>
          </w:p>
          <w:p w:rsidR="00F80D52" w:rsidRPr="00F80D52" w:rsidRDefault="00F80D52" w:rsidP="00F80D52">
            <w:pPr>
              <w:rPr>
                <w:lang w:val="fr-CA"/>
              </w:rPr>
            </w:pPr>
          </w:p>
        </w:tc>
      </w:tr>
      <w:tr w:rsidR="00F80D52" w:rsidRPr="00F964D5" w:rsidTr="00F80D52">
        <w:tc>
          <w:tcPr>
            <w:tcW w:w="5000" w:type="pct"/>
            <w:gridSpan w:val="4"/>
          </w:tcPr>
          <w:p w:rsidR="00F80D52" w:rsidRDefault="00F80D52" w:rsidP="00CA774A">
            <w:pPr>
              <w:pStyle w:val="SCCLsocParty"/>
              <w:jc w:val="both"/>
              <w:rPr>
                <w:sz w:val="20"/>
                <w:szCs w:val="20"/>
              </w:rPr>
            </w:pPr>
            <w:r w:rsidRPr="00421349">
              <w:rPr>
                <w:sz w:val="20"/>
                <w:szCs w:val="20"/>
              </w:rPr>
              <w:t>La demande d’autorisation d’appel de l’arrêt de la Cour d’appel fédérale, numéro A-554-14, 2017 FCA 73, daté du 6 avril 2017, est rejetée avec dépens.</w:t>
            </w:r>
          </w:p>
          <w:p w:rsidR="00F80D52" w:rsidRPr="00F80D52" w:rsidRDefault="00F80D52" w:rsidP="00F80D52">
            <w:pPr>
              <w:rPr>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 xml:space="preserve">Responsabilité délictuelle – Obligation de diligence – Négligence – Faute dans l’exercice d’une charge publique – Le ministre de la Santé n’a pas respecté les conditions d’un accord de règlement conclu avec le fabricant de médicaments génériques relativement au recours à un produit de référence étranger – La délivrance d’un avis de conformité au fabricant de médicaments génériques a été retardée – Quelle est la méthode appropriée pour déterminer s’il y a entre un organisme de réglementation et la partie assujettie à la réglementation un lien de proximité donnant naissance à une obligation de diligence procédant du droit de la négligence? – L’organisme de réglementation </w:t>
            </w:r>
            <w:proofErr w:type="spellStart"/>
            <w:r w:rsidRPr="00CD6D96">
              <w:rPr>
                <w:sz w:val="20"/>
                <w:szCs w:val="20"/>
                <w:lang w:val="fr-CA"/>
              </w:rPr>
              <w:t>a-t-il</w:t>
            </w:r>
            <w:proofErr w:type="spellEnd"/>
            <w:r w:rsidRPr="00CD6D96">
              <w:rPr>
                <w:sz w:val="20"/>
                <w:szCs w:val="20"/>
                <w:lang w:val="fr-CA"/>
              </w:rPr>
              <w:t xml:space="preserve"> envers la partie assujettie à la réglementation une obligation de diligence qui lui impose à tout le moins le devoir de prendre des décisions rationnelles, fondées sur la preuve au regard de critères législatifs valides?</w:t>
            </w:r>
          </w:p>
        </w:tc>
      </w:tr>
      <w:tr w:rsidR="00CA774A" w:rsidRPr="00F964D5" w:rsidTr="00CA774A">
        <w:tc>
          <w:tcPr>
            <w:tcW w:w="5000"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proofErr w:type="spellStart"/>
            <w:r w:rsidRPr="00CD6D96">
              <w:rPr>
                <w:sz w:val="20"/>
                <w:szCs w:val="20"/>
                <w:lang w:val="fr-CA"/>
              </w:rPr>
              <w:t>Apotex</w:t>
            </w:r>
            <w:proofErr w:type="spellEnd"/>
            <w:r w:rsidRPr="00CD6D96">
              <w:rPr>
                <w:sz w:val="20"/>
                <w:szCs w:val="20"/>
                <w:lang w:val="fr-CA"/>
              </w:rPr>
              <w:t xml:space="preserve"> Inc. est un fabricant de médicaments génériques sur ordonnance. Le 25 janvier 1988, elle a déposé à la Direction générale de la protection de la santé (la « DGPS ») de Santé Canada une présentation afin d’obtenir l’approbation nécessaire à la vente d’une version générique de la </w:t>
            </w:r>
            <w:proofErr w:type="spellStart"/>
            <w:r w:rsidRPr="00CD6D96">
              <w:rPr>
                <w:sz w:val="20"/>
                <w:szCs w:val="20"/>
                <w:lang w:val="fr-CA"/>
              </w:rPr>
              <w:t>trazodone</w:t>
            </w:r>
            <w:proofErr w:type="spellEnd"/>
            <w:r w:rsidRPr="00CD6D96">
              <w:rPr>
                <w:sz w:val="20"/>
                <w:szCs w:val="20"/>
                <w:lang w:val="fr-CA"/>
              </w:rPr>
              <w:t xml:space="preserve"> au Canada, s’appuyant sur un produit de référence </w:t>
            </w:r>
            <w:r w:rsidRPr="00CD6D96">
              <w:rPr>
                <w:sz w:val="20"/>
                <w:szCs w:val="20"/>
                <w:lang w:val="fr-CA"/>
              </w:rPr>
              <w:lastRenderedPageBreak/>
              <w:t xml:space="preserve">américain aux fins de comparaison. Santé Canada a soutenu qu’il avait pour politique de fonder son approbation sur des produits de référence canadiens. Elle a informé </w:t>
            </w:r>
            <w:proofErr w:type="spellStart"/>
            <w:r w:rsidRPr="00CD6D96">
              <w:rPr>
                <w:sz w:val="20"/>
                <w:szCs w:val="20"/>
                <w:lang w:val="fr-CA"/>
              </w:rPr>
              <w:t>Apotex</w:t>
            </w:r>
            <w:proofErr w:type="spellEnd"/>
            <w:r w:rsidRPr="00CD6D96">
              <w:rPr>
                <w:sz w:val="20"/>
                <w:szCs w:val="20"/>
                <w:lang w:val="fr-CA"/>
              </w:rPr>
              <w:t xml:space="preserve"> que si cette dernière continuait de s’appuyer sur un produit de référence étranger, </w:t>
            </w:r>
            <w:proofErr w:type="spellStart"/>
            <w:r w:rsidRPr="00CD6D96">
              <w:rPr>
                <w:sz w:val="20"/>
                <w:szCs w:val="20"/>
                <w:lang w:val="fr-CA"/>
              </w:rPr>
              <w:t>Apotex</w:t>
            </w:r>
            <w:proofErr w:type="spellEnd"/>
            <w:r w:rsidRPr="00CD6D96">
              <w:rPr>
                <w:sz w:val="20"/>
                <w:szCs w:val="20"/>
                <w:lang w:val="fr-CA"/>
              </w:rPr>
              <w:t xml:space="preserve"> allait devoir établir que les deux médicaments étaient identiques, plutôt que </w:t>
            </w:r>
            <w:proofErr w:type="spellStart"/>
            <w:r w:rsidRPr="00CD6D96">
              <w:rPr>
                <w:sz w:val="20"/>
                <w:szCs w:val="20"/>
                <w:lang w:val="fr-CA"/>
              </w:rPr>
              <w:t>bioéquivalents</w:t>
            </w:r>
            <w:proofErr w:type="spellEnd"/>
            <w:r w:rsidRPr="00CD6D96">
              <w:rPr>
                <w:sz w:val="20"/>
                <w:szCs w:val="20"/>
                <w:lang w:val="fr-CA"/>
              </w:rPr>
              <w:t xml:space="preserve">, une norme moins rigoureuse. En 1990, les parties ont fini par conclure un accord de règlement en vertu duquel le ministre acceptait de comparer les deux médicaments sur le fondement de la bioéquivalence, et non du caractère identique. </w:t>
            </w:r>
            <w:proofErr w:type="spellStart"/>
            <w:r w:rsidRPr="00CD6D96">
              <w:rPr>
                <w:sz w:val="20"/>
                <w:szCs w:val="20"/>
                <w:lang w:val="fr-CA"/>
              </w:rPr>
              <w:t>Apotex</w:t>
            </w:r>
            <w:proofErr w:type="spellEnd"/>
            <w:r w:rsidRPr="00CD6D96">
              <w:rPr>
                <w:sz w:val="20"/>
                <w:szCs w:val="20"/>
                <w:lang w:val="fr-CA"/>
              </w:rPr>
              <w:t xml:space="preserve"> a continué à communiquer des données à la DGPS pour établir la bioéquivalence, mais ce n’est que le 25 février 1995 qu’elle a reçu son avis de conformité pour l’Apo-</w:t>
            </w:r>
            <w:proofErr w:type="spellStart"/>
            <w:r w:rsidRPr="00CD6D96">
              <w:rPr>
                <w:sz w:val="20"/>
                <w:szCs w:val="20"/>
                <w:lang w:val="fr-CA"/>
              </w:rPr>
              <w:t>Trazadone</w:t>
            </w:r>
            <w:proofErr w:type="spellEnd"/>
            <w:r w:rsidRPr="00CD6D96">
              <w:rPr>
                <w:sz w:val="20"/>
                <w:szCs w:val="20"/>
                <w:lang w:val="fr-CA"/>
              </w:rPr>
              <w:t xml:space="preserve">. À l’époque, il fallait généralement un an ou deux à compter de la date de dépôt pour qu’un fabricant de médicaments reçoive l’approbation du ministre. </w:t>
            </w:r>
            <w:proofErr w:type="spellStart"/>
            <w:r w:rsidRPr="00CD6D96">
              <w:rPr>
                <w:sz w:val="20"/>
                <w:szCs w:val="20"/>
                <w:lang w:val="fr-CA"/>
              </w:rPr>
              <w:t>Apotex</w:t>
            </w:r>
            <w:proofErr w:type="spellEnd"/>
            <w:r w:rsidRPr="00CD6D96">
              <w:rPr>
                <w:sz w:val="20"/>
                <w:szCs w:val="20"/>
                <w:lang w:val="fr-CA"/>
              </w:rPr>
              <w:t xml:space="preserve"> a intenté une action contre le ministre de la Santé, alléguant notamment que dans le cours de l’examen de sa présentation de médicament sur une période de sept ans, des fonctionnaires de la DGPS avaient commis une faute dans l’exercice d’une charge publique et avaient agi de façon négligente.</w:t>
            </w:r>
          </w:p>
        </w:tc>
      </w:tr>
      <w:tr w:rsidR="00CA774A" w:rsidRPr="00F964D5" w:rsidTr="00CA774A">
        <w:tc>
          <w:tcPr>
            <w:tcW w:w="5000" w:type="pct"/>
            <w:gridSpan w:val="4"/>
          </w:tcPr>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18 novembre 2014</w:t>
            </w:r>
          </w:p>
          <w:p w:rsidR="00CA774A" w:rsidRPr="00CD6D96" w:rsidRDefault="00CA774A" w:rsidP="00CA774A">
            <w:pPr>
              <w:jc w:val="both"/>
              <w:rPr>
                <w:sz w:val="20"/>
                <w:szCs w:val="20"/>
                <w:lang w:val="fr-CA"/>
              </w:rPr>
            </w:pPr>
            <w:r w:rsidRPr="00CD6D96">
              <w:rPr>
                <w:sz w:val="20"/>
                <w:szCs w:val="20"/>
                <w:lang w:val="fr-CA"/>
              </w:rPr>
              <w:t>Cour fédérale</w:t>
            </w:r>
          </w:p>
          <w:p w:rsidR="00CA774A" w:rsidRPr="00CD6D96" w:rsidRDefault="00CA774A" w:rsidP="00CA774A">
            <w:pPr>
              <w:jc w:val="both"/>
              <w:rPr>
                <w:sz w:val="20"/>
                <w:szCs w:val="20"/>
                <w:lang w:val="fr-CA"/>
              </w:rPr>
            </w:pPr>
            <w:r w:rsidRPr="00CD6D96">
              <w:rPr>
                <w:sz w:val="20"/>
                <w:szCs w:val="20"/>
                <w:lang w:val="fr-CA"/>
              </w:rPr>
              <w:t>(Juge Hughes)</w:t>
            </w:r>
          </w:p>
          <w:p w:rsidR="00CA774A" w:rsidRPr="00CD6D96" w:rsidRDefault="00F964D5" w:rsidP="00CA774A">
            <w:pPr>
              <w:jc w:val="both"/>
              <w:rPr>
                <w:sz w:val="20"/>
                <w:szCs w:val="20"/>
                <w:lang w:val="fr-CA"/>
              </w:rPr>
            </w:pPr>
            <w:hyperlink r:id="rId75" w:history="1">
              <w:r w:rsidR="00CA774A" w:rsidRPr="00CD6D96">
                <w:rPr>
                  <w:rStyle w:val="Hyperlink"/>
                  <w:sz w:val="20"/>
                  <w:szCs w:val="20"/>
                  <w:lang w:val="fr-CA"/>
                </w:rPr>
                <w:t>2014 FC 1087</w:t>
              </w:r>
            </w:hyperlink>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Jugement concluant à la responsabilité civile du ministre fondée sur la faute dans l’exercice d’une charge publique et la négligence et statuant que les dommages-intérêts devaient être calculés en fonction du fait qu’</w:t>
            </w:r>
            <w:proofErr w:type="spellStart"/>
            <w:r w:rsidRPr="00CD6D96">
              <w:rPr>
                <w:sz w:val="20"/>
                <w:szCs w:val="20"/>
                <w:lang w:val="fr-CA"/>
              </w:rPr>
              <w:t>Apotex</w:t>
            </w:r>
            <w:proofErr w:type="spellEnd"/>
            <w:r w:rsidRPr="00CD6D96">
              <w:rPr>
                <w:sz w:val="20"/>
                <w:szCs w:val="20"/>
                <w:lang w:val="fr-CA"/>
              </w:rPr>
              <w:t xml:space="preserve"> avait omis d’atténuer son préjudice</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6 avril 2017</w:t>
            </w:r>
          </w:p>
          <w:p w:rsidR="00CA774A" w:rsidRPr="00CD6D96" w:rsidRDefault="00CA774A" w:rsidP="00CA774A">
            <w:pPr>
              <w:jc w:val="both"/>
              <w:rPr>
                <w:sz w:val="20"/>
                <w:szCs w:val="20"/>
                <w:lang w:val="fr-CA"/>
              </w:rPr>
            </w:pPr>
            <w:r w:rsidRPr="00CD6D96">
              <w:rPr>
                <w:sz w:val="20"/>
                <w:szCs w:val="20"/>
                <w:lang w:val="fr-CA"/>
              </w:rPr>
              <w:t>Cour d’appel fédérale</w:t>
            </w:r>
          </w:p>
          <w:p w:rsidR="00CA774A" w:rsidRPr="00CD6D96" w:rsidRDefault="00CA774A" w:rsidP="00CA774A">
            <w:pPr>
              <w:jc w:val="both"/>
              <w:rPr>
                <w:sz w:val="20"/>
                <w:szCs w:val="20"/>
                <w:lang w:val="fr-CA"/>
              </w:rPr>
            </w:pPr>
            <w:r w:rsidRPr="00CD6D96">
              <w:rPr>
                <w:sz w:val="20"/>
                <w:szCs w:val="20"/>
                <w:lang w:val="fr-CA"/>
              </w:rPr>
              <w:t>(Juges Dawson, Rennie et Woods)</w:t>
            </w:r>
          </w:p>
          <w:p w:rsidR="00CA774A" w:rsidRPr="00CD6D96" w:rsidRDefault="00F964D5" w:rsidP="00CA774A">
            <w:pPr>
              <w:jc w:val="both"/>
              <w:rPr>
                <w:sz w:val="20"/>
                <w:szCs w:val="20"/>
                <w:lang w:val="fr-CA"/>
              </w:rPr>
            </w:pPr>
            <w:hyperlink r:id="rId76" w:history="1">
              <w:r w:rsidR="00CA774A" w:rsidRPr="00CD6D96">
                <w:rPr>
                  <w:rStyle w:val="Hyperlink"/>
                  <w:sz w:val="20"/>
                  <w:szCs w:val="20"/>
                  <w:lang w:val="fr-CA"/>
                </w:rPr>
                <w:t>2017 FCA 73</w:t>
              </w:r>
            </w:hyperlink>
          </w:p>
          <w:p w:rsidR="00CA774A" w:rsidRPr="00CD6D96" w:rsidRDefault="00CA774A" w:rsidP="00CA774A">
            <w:pPr>
              <w:jc w:val="both"/>
              <w:rPr>
                <w:sz w:val="20"/>
                <w:szCs w:val="20"/>
                <w:lang w:val="fr-CA"/>
              </w:rPr>
            </w:pP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 xml:space="preserve">Arrêt accueillant l’appel en partie, rejetant l’appel incident et statuant que les dommages-intérêts devaient être calculés comme si </w:t>
            </w:r>
            <w:proofErr w:type="spellStart"/>
            <w:r w:rsidRPr="00CD6D96">
              <w:rPr>
                <w:sz w:val="20"/>
                <w:szCs w:val="20"/>
                <w:lang w:val="fr-CA"/>
              </w:rPr>
              <w:t>Apotex</w:t>
            </w:r>
            <w:proofErr w:type="spellEnd"/>
            <w:r w:rsidRPr="00CD6D96">
              <w:rPr>
                <w:sz w:val="20"/>
                <w:szCs w:val="20"/>
                <w:lang w:val="fr-CA"/>
              </w:rPr>
              <w:t xml:space="preserve"> n’était pas tenue d’atténuer son préjudice </w:t>
            </w:r>
          </w:p>
          <w:p w:rsidR="00CA774A" w:rsidRPr="00CD6D96" w:rsidRDefault="00CA774A" w:rsidP="00CA774A">
            <w:pPr>
              <w:jc w:val="both"/>
              <w:rPr>
                <w:sz w:val="20"/>
                <w:szCs w:val="20"/>
                <w:lang w:val="fr-CA"/>
              </w:rPr>
            </w:pPr>
          </w:p>
        </w:tc>
      </w:tr>
      <w:tr w:rsidR="00CA774A" w:rsidRPr="00F964D5" w:rsidTr="00CA774A">
        <w:tc>
          <w:tcPr>
            <w:tcW w:w="2427" w:type="pct"/>
            <w:gridSpan w:val="2"/>
          </w:tcPr>
          <w:p w:rsidR="00CA774A" w:rsidRPr="00CD6D96" w:rsidRDefault="00CA774A" w:rsidP="00CA774A">
            <w:pPr>
              <w:jc w:val="both"/>
              <w:rPr>
                <w:sz w:val="20"/>
                <w:szCs w:val="20"/>
                <w:lang w:val="fr-CA"/>
              </w:rPr>
            </w:pPr>
            <w:r w:rsidRPr="00CD6D96">
              <w:rPr>
                <w:sz w:val="20"/>
                <w:szCs w:val="20"/>
                <w:lang w:val="fr-CA"/>
              </w:rPr>
              <w:t>5 juin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43" w:type="pct"/>
          </w:tcPr>
          <w:p w:rsidR="00CA774A" w:rsidRPr="00CD6D96" w:rsidRDefault="00CA774A" w:rsidP="00CA774A">
            <w:pPr>
              <w:jc w:val="both"/>
              <w:rPr>
                <w:sz w:val="20"/>
                <w:szCs w:val="20"/>
                <w:lang w:val="fr-CA"/>
              </w:rPr>
            </w:pPr>
          </w:p>
        </w:tc>
        <w:tc>
          <w:tcPr>
            <w:tcW w:w="2330" w:type="pct"/>
          </w:tcPr>
          <w:p w:rsidR="00CA774A" w:rsidRPr="00CD6D96" w:rsidRDefault="00CA774A" w:rsidP="00CA774A">
            <w:pPr>
              <w:jc w:val="both"/>
              <w:rPr>
                <w:sz w:val="20"/>
                <w:szCs w:val="20"/>
                <w:lang w:val="fr-CA"/>
              </w:rPr>
            </w:pPr>
            <w:r w:rsidRPr="00CD6D96">
              <w:rPr>
                <w:sz w:val="20"/>
                <w:szCs w:val="20"/>
                <w:lang w:val="fr-CA"/>
              </w:rPr>
              <w:t>Dépôt de la demande d’autorisation d’appel</w:t>
            </w:r>
          </w:p>
          <w:p w:rsidR="00CA774A" w:rsidRPr="00CD6D96" w:rsidRDefault="00CA774A" w:rsidP="00CA774A">
            <w:pPr>
              <w:jc w:val="both"/>
              <w:rPr>
                <w:sz w:val="20"/>
                <w:szCs w:val="20"/>
                <w:lang w:val="fr-CA"/>
              </w:rPr>
            </w:pPr>
          </w:p>
        </w:tc>
      </w:tr>
    </w:tbl>
    <w:p w:rsidR="00CA774A" w:rsidRPr="00CD6D96" w:rsidRDefault="00F964D5" w:rsidP="00CA774A">
      <w:pPr>
        <w:jc w:val="both"/>
        <w:rPr>
          <w:sz w:val="20"/>
          <w:szCs w:val="20"/>
          <w:lang w:val="fr-CA"/>
        </w:rPr>
      </w:pPr>
      <w:r>
        <w:rPr>
          <w:sz w:val="20"/>
          <w:szCs w:val="20"/>
        </w:rPr>
        <w:pict>
          <v:rect id="_x0000_i1075" style="width:2in;height:1pt" o:hrpct="0" o:hralign="center" o:hrstd="t" o:hrnoshade="t" o:hr="t" fillcolor="black [3213]" stroked="f"/>
        </w:pict>
      </w:r>
    </w:p>
    <w:p w:rsidR="00CA774A" w:rsidRPr="00CD6D96" w:rsidRDefault="00CA774A" w:rsidP="00CA774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A774A" w:rsidRPr="00CD6D96" w:rsidTr="00CA774A">
        <w:tc>
          <w:tcPr>
            <w:tcW w:w="543" w:type="pct"/>
          </w:tcPr>
          <w:p w:rsidR="00CA774A" w:rsidRPr="00CD6D96" w:rsidRDefault="00CA774A" w:rsidP="00CA774A">
            <w:pPr>
              <w:jc w:val="both"/>
              <w:rPr>
                <w:sz w:val="20"/>
                <w:szCs w:val="20"/>
              </w:rPr>
            </w:pPr>
            <w:r w:rsidRPr="00CD6D96">
              <w:rPr>
                <w:rStyle w:val="SCCFileNumberChar"/>
                <w:sz w:val="20"/>
                <w:szCs w:val="20"/>
              </w:rPr>
              <w:t>37690</w:t>
            </w:r>
          </w:p>
        </w:tc>
        <w:tc>
          <w:tcPr>
            <w:tcW w:w="4457" w:type="pct"/>
          </w:tcPr>
          <w:p w:rsidR="00CA774A" w:rsidRPr="00CD6D96" w:rsidRDefault="00CA774A" w:rsidP="00CA774A">
            <w:pPr>
              <w:pStyle w:val="SCCLsocParty"/>
              <w:jc w:val="both"/>
              <w:rPr>
                <w:b/>
                <w:sz w:val="20"/>
                <w:szCs w:val="20"/>
                <w:lang w:val="en-CA"/>
              </w:rPr>
            </w:pPr>
            <w:r w:rsidRPr="00CD6D96">
              <w:rPr>
                <w:b/>
                <w:sz w:val="20"/>
                <w:szCs w:val="20"/>
                <w:lang w:val="en-CA"/>
              </w:rPr>
              <w:t>V.C. v. A.F.</w:t>
            </w:r>
          </w:p>
          <w:p w:rsidR="00CA774A" w:rsidRPr="00CD6D96" w:rsidRDefault="00CA774A" w:rsidP="00CA774A">
            <w:pPr>
              <w:jc w:val="both"/>
              <w:rPr>
                <w:sz w:val="20"/>
                <w:szCs w:val="20"/>
              </w:rPr>
            </w:pPr>
            <w:r w:rsidRPr="00CD6D96">
              <w:rPr>
                <w:sz w:val="20"/>
                <w:szCs w:val="20"/>
              </w:rPr>
              <w:t>(Que.) (Civil) (By Leave)</w:t>
            </w:r>
          </w:p>
        </w:tc>
      </w:tr>
      <w:tr w:rsidR="0089485C" w:rsidRPr="0089485C" w:rsidTr="00CA774A">
        <w:tc>
          <w:tcPr>
            <w:tcW w:w="543" w:type="pct"/>
          </w:tcPr>
          <w:p w:rsidR="0089485C" w:rsidRPr="00CD6D96" w:rsidRDefault="0089485C" w:rsidP="00CA774A">
            <w:pPr>
              <w:jc w:val="both"/>
              <w:rPr>
                <w:rStyle w:val="SCCFileNumberChar"/>
                <w:sz w:val="20"/>
                <w:szCs w:val="20"/>
              </w:rPr>
            </w:pPr>
            <w:r>
              <w:rPr>
                <w:rStyle w:val="SCCFileNumberChar"/>
                <w:sz w:val="20"/>
                <w:szCs w:val="20"/>
              </w:rPr>
              <w:t>Coram:</w:t>
            </w:r>
          </w:p>
        </w:tc>
        <w:tc>
          <w:tcPr>
            <w:tcW w:w="4457" w:type="pct"/>
          </w:tcPr>
          <w:p w:rsidR="0089485C" w:rsidRDefault="0089485C" w:rsidP="00CA774A">
            <w:pPr>
              <w:pStyle w:val="SCCLsocParty"/>
              <w:jc w:val="both"/>
              <w:rPr>
                <w:sz w:val="20"/>
                <w:szCs w:val="20"/>
                <w:lang w:val="en-CA"/>
              </w:rPr>
            </w:pPr>
            <w:proofErr w:type="spellStart"/>
            <w:r w:rsidRPr="007836C0">
              <w:rPr>
                <w:sz w:val="20"/>
                <w:szCs w:val="20"/>
                <w:lang w:val="en-CA"/>
              </w:rPr>
              <w:t>McLachlin</w:t>
            </w:r>
            <w:proofErr w:type="spellEnd"/>
            <w:r w:rsidRPr="007836C0">
              <w:rPr>
                <w:sz w:val="20"/>
                <w:szCs w:val="20"/>
                <w:lang w:val="en-CA"/>
              </w:rPr>
              <w:t xml:space="preserve"> C.J. and </w:t>
            </w:r>
            <w:proofErr w:type="spellStart"/>
            <w:r w:rsidRPr="007836C0">
              <w:rPr>
                <w:sz w:val="20"/>
                <w:szCs w:val="20"/>
                <w:lang w:val="en-CA"/>
              </w:rPr>
              <w:t>Abella</w:t>
            </w:r>
            <w:proofErr w:type="spellEnd"/>
            <w:r w:rsidRPr="007836C0">
              <w:rPr>
                <w:sz w:val="20"/>
                <w:szCs w:val="20"/>
                <w:lang w:val="en-CA"/>
              </w:rPr>
              <w:t xml:space="preserve">, </w:t>
            </w:r>
            <w:proofErr w:type="spellStart"/>
            <w:r w:rsidRPr="007836C0">
              <w:rPr>
                <w:sz w:val="20"/>
                <w:szCs w:val="20"/>
                <w:lang w:val="en-CA"/>
              </w:rPr>
              <w:t>Moldaver</w:t>
            </w:r>
            <w:proofErr w:type="spellEnd"/>
            <w:r w:rsidRPr="007836C0">
              <w:rPr>
                <w:sz w:val="20"/>
                <w:szCs w:val="20"/>
                <w:lang w:val="en-CA"/>
              </w:rPr>
              <w:t xml:space="preserve">, </w:t>
            </w:r>
            <w:proofErr w:type="spellStart"/>
            <w:r w:rsidRPr="007836C0">
              <w:rPr>
                <w:sz w:val="20"/>
                <w:szCs w:val="20"/>
                <w:lang w:val="en-CA"/>
              </w:rPr>
              <w:t>Karakatsanis</w:t>
            </w:r>
            <w:proofErr w:type="spellEnd"/>
            <w:r w:rsidRPr="007836C0">
              <w:rPr>
                <w:sz w:val="20"/>
                <w:szCs w:val="20"/>
                <w:lang w:val="en-CA"/>
              </w:rPr>
              <w:t xml:space="preserve">, Wagner, </w:t>
            </w:r>
            <w:proofErr w:type="spellStart"/>
            <w:r w:rsidRPr="007836C0">
              <w:rPr>
                <w:sz w:val="20"/>
                <w:szCs w:val="20"/>
                <w:lang w:val="en-CA"/>
              </w:rPr>
              <w:t>Gascon</w:t>
            </w:r>
            <w:proofErr w:type="spellEnd"/>
            <w:r w:rsidRPr="007836C0">
              <w:rPr>
                <w:sz w:val="20"/>
                <w:szCs w:val="20"/>
                <w:lang w:val="en-CA"/>
              </w:rPr>
              <w:t xml:space="preserve">, </w:t>
            </w:r>
            <w:proofErr w:type="spellStart"/>
            <w:r w:rsidRPr="007836C0">
              <w:rPr>
                <w:sz w:val="20"/>
                <w:szCs w:val="20"/>
                <w:lang w:val="en-CA"/>
              </w:rPr>
              <w:t>Côté</w:t>
            </w:r>
            <w:proofErr w:type="spellEnd"/>
            <w:r w:rsidRPr="007836C0">
              <w:rPr>
                <w:sz w:val="20"/>
                <w:szCs w:val="20"/>
                <w:lang w:val="en-CA"/>
              </w:rPr>
              <w:t>, Brown and Rowe JJ.</w:t>
            </w:r>
          </w:p>
          <w:p w:rsidR="0089485C" w:rsidRPr="0089485C" w:rsidRDefault="0089485C" w:rsidP="0089485C">
            <w:pPr>
              <w:rPr>
                <w:lang w:val="en-US"/>
              </w:rPr>
            </w:pPr>
          </w:p>
        </w:tc>
      </w:tr>
      <w:tr w:rsidR="0089485C" w:rsidRPr="0089485C" w:rsidTr="0089485C">
        <w:tc>
          <w:tcPr>
            <w:tcW w:w="5000" w:type="pct"/>
            <w:gridSpan w:val="2"/>
          </w:tcPr>
          <w:p w:rsidR="0089485C" w:rsidRPr="0089485C" w:rsidRDefault="0089485C" w:rsidP="0089485C">
            <w:pPr>
              <w:rPr>
                <w:lang w:val="en-US"/>
              </w:rPr>
            </w:pPr>
            <w:r w:rsidRPr="007836C0">
              <w:rPr>
                <w:sz w:val="20"/>
                <w:szCs w:val="20"/>
              </w:rPr>
              <w:t xml:space="preserve">The motion for an extension of time to file and serve the application for leave to appeal is dismissed. In any event, had such motion been granted, the application for leave to appeal from the judgment of the Court of Appeal of Quebec (Montréal), </w:t>
            </w:r>
            <w:proofErr w:type="gramStart"/>
            <w:r w:rsidRPr="007836C0">
              <w:rPr>
                <w:sz w:val="20"/>
                <w:szCs w:val="20"/>
              </w:rPr>
              <w:t>Number  500</w:t>
            </w:r>
            <w:proofErr w:type="gramEnd"/>
            <w:r w:rsidRPr="007836C0">
              <w:rPr>
                <w:sz w:val="20"/>
                <w:szCs w:val="20"/>
              </w:rPr>
              <w:t>-09-024717-142, 2016 QCCA 1168, dated July 7, 2016, would have been dismissed.</w:t>
            </w:r>
          </w:p>
        </w:tc>
      </w:tr>
      <w:tr w:rsidR="00CA774A" w:rsidRPr="00CD6D96" w:rsidTr="00CA774A">
        <w:tc>
          <w:tcPr>
            <w:tcW w:w="5000" w:type="pct"/>
            <w:gridSpan w:val="2"/>
          </w:tcPr>
          <w:p w:rsidR="00CA774A" w:rsidRPr="00CD6D96" w:rsidRDefault="00CA774A" w:rsidP="00CA774A">
            <w:pPr>
              <w:pStyle w:val="SCCBanSummary"/>
              <w:rPr>
                <w:sz w:val="20"/>
                <w:szCs w:val="20"/>
              </w:rPr>
            </w:pPr>
            <w:r w:rsidRPr="00CD6D96">
              <w:rPr>
                <w:sz w:val="20"/>
                <w:szCs w:val="20"/>
              </w:rPr>
              <w:t>(</w:t>
            </w:r>
            <w:r w:rsidRPr="00CD6D96">
              <w:rPr>
                <w:sz w:val="20"/>
                <w:szCs w:val="20"/>
                <w:lang w:val="en-GB"/>
              </w:rPr>
              <w:t>Publication Ban on Party</w:t>
            </w:r>
            <w:r w:rsidRPr="00CD6D96">
              <w:rPr>
                <w:sz w:val="20"/>
                <w:szCs w:val="20"/>
              </w:rPr>
              <w:t>)</w:t>
            </w:r>
          </w:p>
          <w:p w:rsidR="00CA774A" w:rsidRPr="00CD6D96" w:rsidRDefault="00CA774A" w:rsidP="00CA774A">
            <w:pPr>
              <w:jc w:val="both"/>
              <w:rPr>
                <w:sz w:val="20"/>
                <w:szCs w:val="20"/>
              </w:rPr>
            </w:pPr>
          </w:p>
        </w:tc>
      </w:tr>
      <w:tr w:rsidR="00CA774A" w:rsidRPr="00CD6D96" w:rsidTr="00CA774A">
        <w:tc>
          <w:tcPr>
            <w:tcW w:w="5000" w:type="pct"/>
            <w:gridSpan w:val="2"/>
          </w:tcPr>
          <w:p w:rsidR="00CA774A" w:rsidRPr="00CD6D96" w:rsidRDefault="00CA774A" w:rsidP="00CA774A">
            <w:pPr>
              <w:jc w:val="both"/>
              <w:rPr>
                <w:sz w:val="20"/>
                <w:szCs w:val="20"/>
              </w:rPr>
            </w:pPr>
            <w:r w:rsidRPr="00CD6D96">
              <w:rPr>
                <w:sz w:val="20"/>
                <w:szCs w:val="20"/>
              </w:rPr>
              <w:t xml:space="preserve">Civil procedure — Conclusions amended on appeal — Application for revocation of appeal judgment — Whether amendments sought should have been subject of request for correction in Superior Court rather than appeal — </w:t>
            </w:r>
            <w:r w:rsidRPr="00CD6D96">
              <w:rPr>
                <w:sz w:val="20"/>
                <w:szCs w:val="20"/>
                <w:lang w:val="en-GB"/>
              </w:rPr>
              <w:t>Whether applicant raising issue of public importance</w:t>
            </w:r>
            <w:r w:rsidRPr="00CD6D96">
              <w:rPr>
                <w:sz w:val="20"/>
                <w:szCs w:val="20"/>
              </w:rPr>
              <w:t>.</w:t>
            </w:r>
          </w:p>
        </w:tc>
      </w:tr>
      <w:tr w:rsidR="00CA774A" w:rsidRPr="00CD6D96" w:rsidTr="00CA774A">
        <w:tc>
          <w:tcPr>
            <w:tcW w:w="5000" w:type="pct"/>
            <w:gridSpan w:val="2"/>
          </w:tcPr>
          <w:p w:rsidR="00CA774A" w:rsidRPr="00CD6D96" w:rsidRDefault="00CA774A" w:rsidP="00CA774A">
            <w:pPr>
              <w:jc w:val="both"/>
              <w:rPr>
                <w:sz w:val="20"/>
                <w:szCs w:val="20"/>
              </w:rPr>
            </w:pPr>
          </w:p>
          <w:p w:rsidR="00CA774A" w:rsidRPr="00CD6D96" w:rsidRDefault="00CA774A" w:rsidP="00CA774A">
            <w:pPr>
              <w:jc w:val="both"/>
              <w:rPr>
                <w:sz w:val="20"/>
                <w:szCs w:val="20"/>
              </w:rPr>
            </w:pPr>
            <w:r w:rsidRPr="00CD6D96">
              <w:rPr>
                <w:sz w:val="20"/>
                <w:szCs w:val="20"/>
              </w:rPr>
              <w:t xml:space="preserve">The parties obtained a divorce judgment dealing with child custody, support, corollary relief and other matters. V.C. appealed the decision and A.F. filed an incidental appeal. The appeal was dismissed. The incidental appeal was allowed in part, and the Court of Appeal amended some of the conclusions of the divorce judgment. V.C. applied for the revocation of the judgment, arguing that all of the conclusions of the incidental appeal should have been the subject of a request for correction in the Superior Court rather than an appeal. </w:t>
            </w:r>
          </w:p>
          <w:p w:rsidR="00CA774A" w:rsidRPr="00CD6D96" w:rsidRDefault="00CA774A" w:rsidP="00CA774A">
            <w:pPr>
              <w:jc w:val="both"/>
              <w:rPr>
                <w:sz w:val="20"/>
                <w:szCs w:val="20"/>
              </w:rPr>
            </w:pPr>
          </w:p>
        </w:tc>
      </w:tr>
    </w:tbl>
    <w:p w:rsidR="0089485C" w:rsidRDefault="0089485C">
      <w: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CA774A" w:rsidRPr="00CD6D96" w:rsidTr="00CA774A">
        <w:tc>
          <w:tcPr>
            <w:tcW w:w="2390" w:type="pct"/>
          </w:tcPr>
          <w:p w:rsidR="00CA774A" w:rsidRPr="00CD6D96" w:rsidRDefault="00CA774A" w:rsidP="00CA774A">
            <w:pPr>
              <w:jc w:val="both"/>
              <w:rPr>
                <w:sz w:val="20"/>
                <w:szCs w:val="20"/>
              </w:rPr>
            </w:pPr>
            <w:r w:rsidRPr="00CD6D96">
              <w:rPr>
                <w:sz w:val="20"/>
                <w:szCs w:val="20"/>
              </w:rPr>
              <w:lastRenderedPageBreak/>
              <w:t>August 12, 2014</w:t>
            </w:r>
          </w:p>
          <w:p w:rsidR="00CA774A" w:rsidRPr="00CD6D96" w:rsidRDefault="00CA774A" w:rsidP="00CA774A">
            <w:pPr>
              <w:jc w:val="both"/>
              <w:rPr>
                <w:sz w:val="20"/>
                <w:szCs w:val="20"/>
              </w:rPr>
            </w:pPr>
            <w:r w:rsidRPr="00CD6D96">
              <w:rPr>
                <w:sz w:val="20"/>
                <w:szCs w:val="20"/>
              </w:rPr>
              <w:t>Quebec Superior Court</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Béliveau</w:t>
            </w:r>
            <w:proofErr w:type="spellEnd"/>
            <w:r w:rsidRPr="00CD6D96">
              <w:rPr>
                <w:sz w:val="20"/>
                <w:szCs w:val="20"/>
              </w:rPr>
              <w:t xml:space="preserve"> J.)</w:t>
            </w:r>
          </w:p>
          <w:p w:rsidR="00CA774A" w:rsidRPr="00CD6D96" w:rsidRDefault="00F964D5" w:rsidP="00CA774A">
            <w:pPr>
              <w:jc w:val="both"/>
              <w:rPr>
                <w:sz w:val="20"/>
                <w:szCs w:val="20"/>
              </w:rPr>
            </w:pPr>
            <w:hyperlink r:id="rId77" w:history="1">
              <w:r w:rsidR="00CA774A" w:rsidRPr="00CD6D96">
                <w:rPr>
                  <w:rStyle w:val="Hyperlink"/>
                  <w:sz w:val="20"/>
                  <w:szCs w:val="20"/>
                </w:rPr>
                <w:t>2014 QCCS 3773</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Divorce judgment, support and corollary relief</w:t>
            </w:r>
          </w:p>
          <w:p w:rsidR="00CA774A" w:rsidRPr="00CD6D96" w:rsidRDefault="00CA774A" w:rsidP="00CA774A">
            <w:pPr>
              <w:jc w:val="both"/>
              <w:rPr>
                <w:sz w:val="20"/>
                <w:szCs w:val="20"/>
              </w:rPr>
            </w:pPr>
          </w:p>
        </w:tc>
      </w:tr>
      <w:tr w:rsidR="00CA774A" w:rsidRPr="00CD6D96" w:rsidTr="00CA774A">
        <w:tc>
          <w:tcPr>
            <w:tcW w:w="2390" w:type="pct"/>
          </w:tcPr>
          <w:p w:rsidR="00CA774A" w:rsidRPr="00CD6D96" w:rsidRDefault="00CA774A" w:rsidP="00CA774A">
            <w:pPr>
              <w:jc w:val="both"/>
              <w:rPr>
                <w:sz w:val="20"/>
                <w:szCs w:val="20"/>
              </w:rPr>
            </w:pPr>
            <w:r w:rsidRPr="00CD6D96">
              <w:rPr>
                <w:sz w:val="20"/>
                <w:szCs w:val="20"/>
              </w:rPr>
              <w:t>September 28, 2015</w:t>
            </w:r>
          </w:p>
          <w:p w:rsidR="00CA774A" w:rsidRPr="00CD6D96" w:rsidRDefault="00CA774A" w:rsidP="00CA774A">
            <w:pPr>
              <w:jc w:val="both"/>
              <w:rPr>
                <w:sz w:val="20"/>
                <w:szCs w:val="20"/>
              </w:rPr>
            </w:pPr>
            <w:r w:rsidRPr="00CD6D96">
              <w:rPr>
                <w:sz w:val="20"/>
                <w:szCs w:val="20"/>
              </w:rPr>
              <w:t>Quebec Court of Appeal (Montréal)</w:t>
            </w:r>
          </w:p>
          <w:p w:rsidR="00CA774A" w:rsidRPr="00CD6D96" w:rsidRDefault="00CA774A" w:rsidP="00CA774A">
            <w:pPr>
              <w:jc w:val="both"/>
              <w:rPr>
                <w:sz w:val="20"/>
                <w:szCs w:val="20"/>
              </w:rPr>
            </w:pPr>
            <w:r w:rsidRPr="00CD6D96">
              <w:rPr>
                <w:sz w:val="20"/>
                <w:szCs w:val="20"/>
              </w:rPr>
              <w:t>(Doyon, Savard and Parent JJ.A.)</w:t>
            </w:r>
          </w:p>
          <w:p w:rsidR="00CA774A" w:rsidRPr="00CD6D96" w:rsidRDefault="00F964D5" w:rsidP="00CA774A">
            <w:pPr>
              <w:jc w:val="both"/>
              <w:rPr>
                <w:sz w:val="20"/>
                <w:szCs w:val="20"/>
              </w:rPr>
            </w:pPr>
            <w:hyperlink r:id="rId78" w:history="1">
              <w:r w:rsidR="00CA774A" w:rsidRPr="00CD6D96">
                <w:rPr>
                  <w:rStyle w:val="Hyperlink"/>
                  <w:sz w:val="20"/>
                  <w:szCs w:val="20"/>
                </w:rPr>
                <w:t>2015 QCCA 1630</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Appeal dismissed</w:t>
            </w:r>
          </w:p>
          <w:p w:rsidR="00CA774A" w:rsidRPr="00CD6D96" w:rsidRDefault="00CA774A" w:rsidP="00CA774A">
            <w:pPr>
              <w:jc w:val="both"/>
              <w:rPr>
                <w:sz w:val="20"/>
                <w:szCs w:val="20"/>
              </w:rPr>
            </w:pPr>
          </w:p>
        </w:tc>
      </w:tr>
      <w:tr w:rsidR="00CA774A" w:rsidRPr="00CD6D96" w:rsidTr="00CA774A">
        <w:tc>
          <w:tcPr>
            <w:tcW w:w="2390" w:type="pct"/>
          </w:tcPr>
          <w:p w:rsidR="00CA774A" w:rsidRPr="00CD6D96" w:rsidRDefault="00CA774A" w:rsidP="00CA774A">
            <w:pPr>
              <w:jc w:val="both"/>
              <w:rPr>
                <w:sz w:val="20"/>
                <w:szCs w:val="20"/>
              </w:rPr>
            </w:pPr>
            <w:r w:rsidRPr="00CD6D96">
              <w:rPr>
                <w:sz w:val="20"/>
                <w:szCs w:val="20"/>
              </w:rPr>
              <w:t>May 6, 2016</w:t>
            </w:r>
          </w:p>
          <w:p w:rsidR="00CA774A" w:rsidRPr="00CD6D96" w:rsidRDefault="00CA774A" w:rsidP="00CA774A">
            <w:pPr>
              <w:jc w:val="both"/>
              <w:rPr>
                <w:sz w:val="20"/>
                <w:szCs w:val="20"/>
              </w:rPr>
            </w:pPr>
            <w:r w:rsidRPr="00CD6D96">
              <w:rPr>
                <w:sz w:val="20"/>
                <w:szCs w:val="20"/>
              </w:rPr>
              <w:t>Quebec Court of Appeal (Montréal)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Dutil</w:t>
            </w:r>
            <w:proofErr w:type="spellEnd"/>
            <w:r w:rsidRPr="00CD6D96">
              <w:rPr>
                <w:sz w:val="20"/>
                <w:szCs w:val="20"/>
              </w:rPr>
              <w:t xml:space="preserve">, </w:t>
            </w:r>
            <w:proofErr w:type="spellStart"/>
            <w:r w:rsidRPr="00CD6D96">
              <w:rPr>
                <w:sz w:val="20"/>
                <w:szCs w:val="20"/>
              </w:rPr>
              <w:t>Vézina</w:t>
            </w:r>
            <w:proofErr w:type="spellEnd"/>
            <w:r w:rsidRPr="00CD6D96">
              <w:rPr>
                <w:sz w:val="20"/>
                <w:szCs w:val="20"/>
              </w:rPr>
              <w:t xml:space="preserve"> and </w:t>
            </w:r>
            <w:proofErr w:type="spellStart"/>
            <w:r w:rsidRPr="00CD6D96">
              <w:rPr>
                <w:sz w:val="20"/>
                <w:szCs w:val="20"/>
              </w:rPr>
              <w:t>Mainville</w:t>
            </w:r>
            <w:proofErr w:type="spellEnd"/>
            <w:r w:rsidRPr="00CD6D96">
              <w:rPr>
                <w:sz w:val="20"/>
                <w:szCs w:val="20"/>
              </w:rPr>
              <w:t xml:space="preserve"> JJ.A.)</w:t>
            </w:r>
          </w:p>
          <w:p w:rsidR="00CA774A" w:rsidRPr="00CD6D96" w:rsidRDefault="00F964D5" w:rsidP="00CA774A">
            <w:pPr>
              <w:jc w:val="both"/>
              <w:rPr>
                <w:sz w:val="20"/>
                <w:szCs w:val="20"/>
              </w:rPr>
            </w:pPr>
            <w:hyperlink r:id="rId79" w:history="1">
              <w:r w:rsidR="00CA774A" w:rsidRPr="00CD6D96">
                <w:rPr>
                  <w:rStyle w:val="Hyperlink"/>
                  <w:sz w:val="20"/>
                  <w:szCs w:val="20"/>
                </w:rPr>
                <w:t>2016 QCCA 778</w:t>
              </w:r>
            </w:hyperlink>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Incidental appeal allowed in  part; conclusions concerning corollary relief amended</w:t>
            </w:r>
          </w:p>
        </w:tc>
      </w:tr>
      <w:tr w:rsidR="00CA774A" w:rsidRPr="00CD6D96" w:rsidTr="00CA774A">
        <w:tc>
          <w:tcPr>
            <w:tcW w:w="2390" w:type="pct"/>
          </w:tcPr>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p>
        </w:tc>
      </w:tr>
      <w:tr w:rsidR="00CA774A" w:rsidRPr="00CD6D96" w:rsidTr="00CA774A">
        <w:tc>
          <w:tcPr>
            <w:tcW w:w="2390" w:type="pct"/>
          </w:tcPr>
          <w:p w:rsidR="00CA774A" w:rsidRPr="00CD6D96" w:rsidRDefault="00CA774A" w:rsidP="00CA774A">
            <w:pPr>
              <w:jc w:val="both"/>
              <w:rPr>
                <w:sz w:val="20"/>
                <w:szCs w:val="20"/>
              </w:rPr>
            </w:pPr>
            <w:r w:rsidRPr="00CD6D96">
              <w:rPr>
                <w:sz w:val="20"/>
                <w:szCs w:val="20"/>
              </w:rPr>
              <w:t>July 7, 2016</w:t>
            </w:r>
          </w:p>
          <w:p w:rsidR="00CA774A" w:rsidRPr="00CD6D96" w:rsidRDefault="00CA774A" w:rsidP="00CA774A">
            <w:pPr>
              <w:jc w:val="both"/>
              <w:rPr>
                <w:sz w:val="20"/>
                <w:szCs w:val="20"/>
              </w:rPr>
            </w:pPr>
            <w:r w:rsidRPr="00CD6D96">
              <w:rPr>
                <w:sz w:val="20"/>
                <w:szCs w:val="20"/>
              </w:rPr>
              <w:t>Quebec Court of Appeal (Montréal)</w:t>
            </w:r>
          </w:p>
          <w:p w:rsidR="00CA774A" w:rsidRPr="00CD6D96" w:rsidRDefault="00CA774A" w:rsidP="00CA774A">
            <w:pPr>
              <w:jc w:val="both"/>
              <w:rPr>
                <w:sz w:val="20"/>
                <w:szCs w:val="20"/>
              </w:rPr>
            </w:pPr>
            <w:r w:rsidRPr="00CD6D96">
              <w:rPr>
                <w:sz w:val="20"/>
                <w:szCs w:val="20"/>
              </w:rPr>
              <w:t>(</w:t>
            </w:r>
            <w:proofErr w:type="spellStart"/>
            <w:r w:rsidRPr="00CD6D96">
              <w:rPr>
                <w:sz w:val="20"/>
                <w:szCs w:val="20"/>
              </w:rPr>
              <w:t>Dutil</w:t>
            </w:r>
            <w:proofErr w:type="spellEnd"/>
            <w:r w:rsidRPr="00CD6D96">
              <w:rPr>
                <w:sz w:val="20"/>
                <w:szCs w:val="20"/>
              </w:rPr>
              <w:t xml:space="preserve">, </w:t>
            </w:r>
            <w:proofErr w:type="spellStart"/>
            <w:r w:rsidRPr="00CD6D96">
              <w:rPr>
                <w:sz w:val="20"/>
                <w:szCs w:val="20"/>
              </w:rPr>
              <w:t>Vézina</w:t>
            </w:r>
            <w:proofErr w:type="spellEnd"/>
            <w:r w:rsidRPr="00CD6D96">
              <w:rPr>
                <w:sz w:val="20"/>
                <w:szCs w:val="20"/>
              </w:rPr>
              <w:t xml:space="preserve"> and </w:t>
            </w:r>
            <w:proofErr w:type="spellStart"/>
            <w:r w:rsidRPr="00CD6D96">
              <w:rPr>
                <w:sz w:val="20"/>
                <w:szCs w:val="20"/>
              </w:rPr>
              <w:t>Mainville</w:t>
            </w:r>
            <w:proofErr w:type="spellEnd"/>
            <w:r w:rsidRPr="00CD6D96">
              <w:rPr>
                <w:sz w:val="20"/>
                <w:szCs w:val="20"/>
              </w:rPr>
              <w:t xml:space="preserve"> JJ.A.)</w:t>
            </w:r>
          </w:p>
          <w:p w:rsidR="00CA774A" w:rsidRPr="00CD6D96" w:rsidRDefault="00F964D5" w:rsidP="00CA774A">
            <w:pPr>
              <w:jc w:val="both"/>
              <w:rPr>
                <w:sz w:val="20"/>
                <w:szCs w:val="20"/>
              </w:rPr>
            </w:pPr>
            <w:hyperlink r:id="rId80" w:history="1">
              <w:r w:rsidR="00CA774A" w:rsidRPr="00CD6D96">
                <w:rPr>
                  <w:rStyle w:val="Hyperlink"/>
                  <w:sz w:val="20"/>
                  <w:szCs w:val="20"/>
                </w:rPr>
                <w:t>2016 QCCA 1168</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Application for revocation of judgment of May 6, 2016 dismissed</w:t>
            </w:r>
          </w:p>
          <w:p w:rsidR="00CA774A" w:rsidRPr="00CD6D96" w:rsidRDefault="00CA774A" w:rsidP="00CA774A">
            <w:pPr>
              <w:jc w:val="both"/>
              <w:rPr>
                <w:sz w:val="20"/>
                <w:szCs w:val="20"/>
              </w:rPr>
            </w:pPr>
          </w:p>
        </w:tc>
      </w:tr>
      <w:tr w:rsidR="00CA774A" w:rsidRPr="00CD6D96" w:rsidTr="00CA774A">
        <w:tc>
          <w:tcPr>
            <w:tcW w:w="2390" w:type="pct"/>
          </w:tcPr>
          <w:p w:rsidR="00CA774A" w:rsidRPr="00CD6D96" w:rsidRDefault="00CA774A" w:rsidP="00CA774A">
            <w:pPr>
              <w:jc w:val="both"/>
              <w:rPr>
                <w:sz w:val="20"/>
                <w:szCs w:val="20"/>
              </w:rPr>
            </w:pPr>
            <w:r w:rsidRPr="00CD6D96">
              <w:rPr>
                <w:sz w:val="20"/>
                <w:szCs w:val="20"/>
              </w:rPr>
              <w:t>July 20, 2017</w:t>
            </w:r>
          </w:p>
          <w:p w:rsidR="00CA774A" w:rsidRPr="00CD6D96" w:rsidRDefault="00CA774A" w:rsidP="00CA774A">
            <w:pPr>
              <w:jc w:val="both"/>
              <w:rPr>
                <w:sz w:val="20"/>
                <w:szCs w:val="20"/>
              </w:rPr>
            </w:pPr>
            <w:r w:rsidRPr="00CD6D96">
              <w:rPr>
                <w:sz w:val="20"/>
                <w:szCs w:val="20"/>
              </w:rPr>
              <w:t>Supreme Court of Canada</w:t>
            </w: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Application for leave to appeal filed</w:t>
            </w:r>
          </w:p>
          <w:p w:rsidR="00CA774A" w:rsidRPr="00CD6D96" w:rsidRDefault="00CA774A" w:rsidP="00CA774A">
            <w:pPr>
              <w:jc w:val="both"/>
              <w:rPr>
                <w:sz w:val="20"/>
                <w:szCs w:val="20"/>
              </w:rPr>
            </w:pPr>
          </w:p>
        </w:tc>
      </w:tr>
    </w:tbl>
    <w:p w:rsidR="00CA774A" w:rsidRPr="00CD6D96" w:rsidRDefault="00F964D5" w:rsidP="00CA774A">
      <w:pPr>
        <w:jc w:val="both"/>
        <w:rPr>
          <w:sz w:val="20"/>
          <w:szCs w:val="20"/>
        </w:rPr>
      </w:pPr>
      <w:r>
        <w:rPr>
          <w:sz w:val="20"/>
          <w:szCs w:val="20"/>
        </w:rPr>
        <w:pict>
          <v:rect id="_x0000_i1076" style="width:2in;height:1pt" o:hrpct="0" o:hralign="center" o:hrstd="t" o:hrnoshade="t" o:hr="t" fillcolor="black [3213]" stroked="f"/>
        </w:pict>
      </w:r>
    </w:p>
    <w:p w:rsidR="00CA774A" w:rsidRPr="00CD6D96" w:rsidRDefault="00CA774A" w:rsidP="00CA774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A774A" w:rsidRPr="00F964D5" w:rsidTr="00CA774A">
        <w:tc>
          <w:tcPr>
            <w:tcW w:w="543" w:type="pct"/>
          </w:tcPr>
          <w:p w:rsidR="00CA774A" w:rsidRPr="00CD6D96" w:rsidRDefault="00CA774A" w:rsidP="00CA774A">
            <w:pPr>
              <w:jc w:val="both"/>
              <w:rPr>
                <w:sz w:val="20"/>
                <w:szCs w:val="20"/>
              </w:rPr>
            </w:pPr>
            <w:r w:rsidRPr="00CD6D96">
              <w:rPr>
                <w:rStyle w:val="SCCFileNumberChar"/>
                <w:sz w:val="20"/>
                <w:szCs w:val="20"/>
              </w:rPr>
              <w:t>37690</w:t>
            </w:r>
          </w:p>
        </w:tc>
        <w:tc>
          <w:tcPr>
            <w:tcW w:w="4457" w:type="pct"/>
            <w:gridSpan w:val="3"/>
          </w:tcPr>
          <w:p w:rsidR="00CA774A" w:rsidRPr="00CD6D96" w:rsidRDefault="00CA774A" w:rsidP="00CA774A">
            <w:pPr>
              <w:pStyle w:val="SCCLsocParty"/>
              <w:jc w:val="both"/>
              <w:rPr>
                <w:b/>
                <w:sz w:val="20"/>
                <w:szCs w:val="20"/>
              </w:rPr>
            </w:pPr>
            <w:r w:rsidRPr="00CD6D96">
              <w:rPr>
                <w:b/>
                <w:sz w:val="20"/>
                <w:szCs w:val="20"/>
              </w:rPr>
              <w:t>V.C. c. A.F.</w:t>
            </w:r>
          </w:p>
          <w:p w:rsidR="00CA774A" w:rsidRPr="00CD6D96" w:rsidRDefault="00CA774A" w:rsidP="00CA774A">
            <w:pPr>
              <w:jc w:val="both"/>
              <w:rPr>
                <w:sz w:val="20"/>
                <w:szCs w:val="20"/>
                <w:lang w:val="fr-CA"/>
              </w:rPr>
            </w:pPr>
            <w:r w:rsidRPr="00CD6D96">
              <w:rPr>
                <w:sz w:val="20"/>
                <w:szCs w:val="20"/>
                <w:lang w:val="fr-CA"/>
              </w:rPr>
              <w:t>(</w:t>
            </w:r>
            <w:proofErr w:type="spellStart"/>
            <w:r w:rsidRPr="00CD6D96">
              <w:rPr>
                <w:sz w:val="20"/>
                <w:szCs w:val="20"/>
                <w:lang w:val="fr-CA"/>
              </w:rPr>
              <w:t>Qc</w:t>
            </w:r>
            <w:proofErr w:type="spellEnd"/>
            <w:r w:rsidRPr="00CD6D96">
              <w:rPr>
                <w:sz w:val="20"/>
                <w:szCs w:val="20"/>
                <w:lang w:val="fr-CA"/>
              </w:rPr>
              <w:t>) (Civile) (Autorisation)</w:t>
            </w:r>
          </w:p>
        </w:tc>
      </w:tr>
      <w:tr w:rsidR="0089485C" w:rsidRPr="0089485C" w:rsidTr="00CA774A">
        <w:tc>
          <w:tcPr>
            <w:tcW w:w="543" w:type="pct"/>
          </w:tcPr>
          <w:p w:rsidR="0089485C" w:rsidRPr="00CD6D96" w:rsidRDefault="0089485C" w:rsidP="00CA774A">
            <w:pPr>
              <w:jc w:val="both"/>
              <w:rPr>
                <w:rStyle w:val="SCCFileNumberChar"/>
                <w:sz w:val="20"/>
                <w:szCs w:val="20"/>
              </w:rPr>
            </w:pPr>
            <w:r>
              <w:rPr>
                <w:rStyle w:val="SCCFileNumberChar"/>
                <w:sz w:val="20"/>
                <w:szCs w:val="20"/>
              </w:rPr>
              <w:t>Coram:</w:t>
            </w:r>
          </w:p>
        </w:tc>
        <w:tc>
          <w:tcPr>
            <w:tcW w:w="4457" w:type="pct"/>
            <w:gridSpan w:val="3"/>
          </w:tcPr>
          <w:p w:rsidR="0089485C" w:rsidRDefault="0089485C" w:rsidP="0089485C">
            <w:pPr>
              <w:pStyle w:val="SCCLsocParty"/>
              <w:jc w:val="both"/>
              <w:rPr>
                <w:sz w:val="20"/>
                <w:szCs w:val="20"/>
              </w:rPr>
            </w:pPr>
            <w:r w:rsidRPr="007836C0">
              <w:rPr>
                <w:sz w:val="20"/>
                <w:szCs w:val="20"/>
              </w:rPr>
              <w:t xml:space="preserve">La juge en chef </w:t>
            </w:r>
            <w:proofErr w:type="spellStart"/>
            <w:r w:rsidRPr="007836C0">
              <w:rPr>
                <w:sz w:val="20"/>
                <w:szCs w:val="20"/>
              </w:rPr>
              <w:t>McLachlin</w:t>
            </w:r>
            <w:proofErr w:type="spellEnd"/>
            <w:r w:rsidRPr="007836C0">
              <w:rPr>
                <w:sz w:val="20"/>
                <w:szCs w:val="20"/>
              </w:rPr>
              <w:t xml:space="preserve"> et les juges Abella, </w:t>
            </w:r>
            <w:proofErr w:type="spellStart"/>
            <w:r w:rsidRPr="007836C0">
              <w:rPr>
                <w:sz w:val="20"/>
                <w:szCs w:val="20"/>
              </w:rPr>
              <w:t>Moldaver</w:t>
            </w:r>
            <w:proofErr w:type="spellEnd"/>
            <w:r w:rsidRPr="007836C0">
              <w:rPr>
                <w:sz w:val="20"/>
                <w:szCs w:val="20"/>
              </w:rPr>
              <w:t xml:space="preserve">, </w:t>
            </w:r>
            <w:proofErr w:type="spellStart"/>
            <w:r w:rsidRPr="007836C0">
              <w:rPr>
                <w:sz w:val="20"/>
                <w:szCs w:val="20"/>
              </w:rPr>
              <w:t>Karakatsanis</w:t>
            </w:r>
            <w:proofErr w:type="spellEnd"/>
            <w:r w:rsidRPr="007836C0">
              <w:rPr>
                <w:sz w:val="20"/>
                <w:szCs w:val="20"/>
              </w:rPr>
              <w:t>, Wagner, Gascon, Côté, Brown et Rowe</w:t>
            </w:r>
          </w:p>
          <w:p w:rsidR="0089485C" w:rsidRPr="0089485C" w:rsidRDefault="0089485C" w:rsidP="0089485C">
            <w:pPr>
              <w:rPr>
                <w:lang w:val="fr-CA"/>
              </w:rPr>
            </w:pPr>
          </w:p>
        </w:tc>
      </w:tr>
      <w:tr w:rsidR="0089485C" w:rsidRPr="0089485C" w:rsidTr="0089485C">
        <w:tc>
          <w:tcPr>
            <w:tcW w:w="5000" w:type="pct"/>
            <w:gridSpan w:val="4"/>
          </w:tcPr>
          <w:p w:rsidR="0089485C" w:rsidRDefault="0089485C" w:rsidP="00CA774A">
            <w:pPr>
              <w:pStyle w:val="SCCLsocParty"/>
              <w:jc w:val="both"/>
              <w:rPr>
                <w:sz w:val="20"/>
                <w:szCs w:val="20"/>
              </w:rPr>
            </w:pPr>
            <w:r w:rsidRPr="007836C0">
              <w:rPr>
                <w:sz w:val="20"/>
                <w:szCs w:val="20"/>
              </w:rPr>
              <w:t>La requête en prorogation du délai de dépôt et de signification de la demande d’autorisation d’appel est rejetée. Quoi qu’il en soit, même si la requête avait été accueillie, la demande d’autorisation d’appel de l’arrêt de la Cour d’appel du Québec (Montréal), numéro 500-09-024717-142, 2016 QCCA 1168, daté du 7 juillet 2016,  aurait été rejetée.</w:t>
            </w:r>
          </w:p>
          <w:p w:rsidR="0089485C" w:rsidRPr="0089485C" w:rsidRDefault="0089485C" w:rsidP="0089485C">
            <w:pPr>
              <w:rPr>
                <w:lang w:val="fr-CA"/>
              </w:rPr>
            </w:pPr>
          </w:p>
        </w:tc>
      </w:tr>
      <w:tr w:rsidR="00CA774A" w:rsidRPr="00F964D5" w:rsidTr="00CA774A">
        <w:tc>
          <w:tcPr>
            <w:tcW w:w="5000" w:type="pct"/>
            <w:gridSpan w:val="4"/>
          </w:tcPr>
          <w:p w:rsidR="00CA774A" w:rsidRPr="00CD6D96" w:rsidRDefault="00CA774A" w:rsidP="00CA774A">
            <w:pPr>
              <w:pStyle w:val="SCCBanSummary"/>
              <w:rPr>
                <w:sz w:val="20"/>
                <w:szCs w:val="20"/>
                <w:lang w:val="fr-CA"/>
              </w:rPr>
            </w:pPr>
            <w:r w:rsidRPr="00CD6D96">
              <w:rPr>
                <w:sz w:val="20"/>
                <w:szCs w:val="20"/>
                <w:lang w:val="fr-CA"/>
              </w:rPr>
              <w:t>(Ordonnance de non-publication visant une partie)</w:t>
            </w:r>
          </w:p>
          <w:p w:rsidR="00CA774A" w:rsidRPr="00CD6D96" w:rsidRDefault="00CA774A" w:rsidP="00CA774A">
            <w:pPr>
              <w:jc w:val="both"/>
              <w:rPr>
                <w:sz w:val="20"/>
                <w:szCs w:val="20"/>
                <w:lang w:val="fr-CA"/>
              </w:rPr>
            </w:pPr>
          </w:p>
        </w:tc>
      </w:tr>
      <w:tr w:rsidR="00CA774A" w:rsidRPr="00F964D5" w:rsidTr="00CA774A">
        <w:tc>
          <w:tcPr>
            <w:tcW w:w="5000" w:type="pct"/>
            <w:gridSpan w:val="4"/>
          </w:tcPr>
          <w:p w:rsidR="00CA774A" w:rsidRPr="00CD6D96" w:rsidRDefault="00CA774A" w:rsidP="00CA774A">
            <w:pPr>
              <w:jc w:val="both"/>
              <w:rPr>
                <w:sz w:val="20"/>
                <w:szCs w:val="20"/>
                <w:lang w:val="fr-CA"/>
              </w:rPr>
            </w:pPr>
            <w:r w:rsidRPr="00CD6D96">
              <w:rPr>
                <w:sz w:val="20"/>
                <w:szCs w:val="20"/>
                <w:lang w:val="fr-CA"/>
              </w:rPr>
              <w:t>Procédure civile — Modification des conclusions en appel — Demande de rétractation du jugement d’appel — Les modifications recherchées auraient-elles dû faire l’objet d’une demande de rectification en Cour supérieure plutôt que d’un appel? — Le demandeur soulève-t-il une question d’importance pour le public?</w:t>
            </w:r>
          </w:p>
        </w:tc>
      </w:tr>
      <w:tr w:rsidR="00CA774A" w:rsidRPr="00F964D5" w:rsidTr="00CA774A">
        <w:tc>
          <w:tcPr>
            <w:tcW w:w="5000" w:type="pct"/>
            <w:gridSpan w:val="4"/>
          </w:tcPr>
          <w:p w:rsidR="00CA774A" w:rsidRPr="00CD6D96" w:rsidRDefault="00CA774A" w:rsidP="00CA774A">
            <w:pPr>
              <w:jc w:val="both"/>
              <w:rPr>
                <w:sz w:val="20"/>
                <w:szCs w:val="20"/>
                <w:lang w:val="fr-CA"/>
              </w:rPr>
            </w:pPr>
          </w:p>
          <w:p w:rsidR="00CA774A" w:rsidRPr="00CD6D96" w:rsidRDefault="00CA774A" w:rsidP="00CA774A">
            <w:pPr>
              <w:jc w:val="both"/>
              <w:rPr>
                <w:sz w:val="20"/>
                <w:szCs w:val="20"/>
                <w:lang w:val="fr-CA"/>
              </w:rPr>
            </w:pPr>
            <w:r w:rsidRPr="00CD6D96">
              <w:rPr>
                <w:sz w:val="20"/>
                <w:szCs w:val="20"/>
                <w:lang w:val="fr-CA"/>
              </w:rPr>
              <w:t xml:space="preserve">Les parties font l’objet d’un jugement de divorce réglant notamment la garde des enfants, la pension alimentaire et les mesures accessoires. La partie V.C. en appel de cette décision et A.F. dépose un appel incident. L’appel est rejeté. L’appel incident est accueilli en partie. La Cour d’appel modifie ainsi certaines conclusions du jugement de divorce. La partie V.C. dépose une requête en rétractation de jugement. V.C. soutient que l’ensemble des conclusions de l’appel incident aurait dû faire l’objet d’une demande de rectification en Cour supérieure plutôt que d’un appel. </w:t>
            </w:r>
          </w:p>
          <w:p w:rsidR="00CA774A" w:rsidRPr="00CD6D96" w:rsidRDefault="00CA774A" w:rsidP="00CA774A">
            <w:pPr>
              <w:jc w:val="both"/>
              <w:rPr>
                <w:sz w:val="20"/>
                <w:szCs w:val="20"/>
                <w:lang w:val="fr-CA"/>
              </w:rPr>
            </w:pPr>
          </w:p>
        </w:tc>
      </w:tr>
      <w:tr w:rsidR="00CA774A" w:rsidRPr="00F964D5" w:rsidTr="00CA774A">
        <w:tblPrEx>
          <w:tblCellMar>
            <w:bottom w:w="0" w:type="dxa"/>
          </w:tblCellMar>
        </w:tblPrEx>
        <w:tc>
          <w:tcPr>
            <w:tcW w:w="2390" w:type="pct"/>
            <w:gridSpan w:val="2"/>
          </w:tcPr>
          <w:p w:rsidR="00CA774A" w:rsidRPr="00CD6D96" w:rsidRDefault="00CA774A" w:rsidP="00CA774A">
            <w:pPr>
              <w:jc w:val="both"/>
              <w:rPr>
                <w:sz w:val="20"/>
                <w:szCs w:val="20"/>
                <w:lang w:val="fr-CA"/>
              </w:rPr>
            </w:pPr>
            <w:r w:rsidRPr="00CD6D96">
              <w:rPr>
                <w:sz w:val="20"/>
                <w:szCs w:val="20"/>
                <w:lang w:val="fr-CA"/>
              </w:rPr>
              <w:t>Le 12 août 2014</w:t>
            </w:r>
          </w:p>
          <w:p w:rsidR="00CA774A" w:rsidRPr="00CD6D96" w:rsidRDefault="00CA774A" w:rsidP="00CA774A">
            <w:pPr>
              <w:jc w:val="both"/>
              <w:rPr>
                <w:sz w:val="20"/>
                <w:szCs w:val="20"/>
                <w:lang w:val="fr-CA"/>
              </w:rPr>
            </w:pPr>
            <w:r w:rsidRPr="00CD6D96">
              <w:rPr>
                <w:sz w:val="20"/>
                <w:szCs w:val="20"/>
                <w:lang w:val="fr-CA"/>
              </w:rPr>
              <w:t>Cour supérieure du Québec</w:t>
            </w:r>
          </w:p>
          <w:p w:rsidR="00CA774A" w:rsidRPr="00CD6D96" w:rsidRDefault="00CA774A" w:rsidP="00CA774A">
            <w:pPr>
              <w:jc w:val="both"/>
              <w:rPr>
                <w:sz w:val="20"/>
                <w:szCs w:val="20"/>
              </w:rPr>
            </w:pPr>
            <w:r w:rsidRPr="00CD6D96">
              <w:rPr>
                <w:sz w:val="20"/>
                <w:szCs w:val="20"/>
              </w:rPr>
              <w:t xml:space="preserve">(Le </w:t>
            </w:r>
            <w:proofErr w:type="spellStart"/>
            <w:r w:rsidRPr="00CD6D96">
              <w:rPr>
                <w:sz w:val="20"/>
                <w:szCs w:val="20"/>
              </w:rPr>
              <w:t>juge</w:t>
            </w:r>
            <w:proofErr w:type="spellEnd"/>
            <w:r w:rsidRPr="00CD6D96">
              <w:rPr>
                <w:sz w:val="20"/>
                <w:szCs w:val="20"/>
              </w:rPr>
              <w:t xml:space="preserve"> </w:t>
            </w:r>
            <w:proofErr w:type="spellStart"/>
            <w:r w:rsidRPr="00CD6D96">
              <w:rPr>
                <w:sz w:val="20"/>
                <w:szCs w:val="20"/>
              </w:rPr>
              <w:t>Béliveau</w:t>
            </w:r>
            <w:proofErr w:type="spellEnd"/>
            <w:r w:rsidRPr="00CD6D96">
              <w:rPr>
                <w:sz w:val="20"/>
                <w:szCs w:val="20"/>
              </w:rPr>
              <w:t>)</w:t>
            </w:r>
          </w:p>
          <w:p w:rsidR="00CA774A" w:rsidRPr="00CD6D96" w:rsidRDefault="00F964D5" w:rsidP="00CA774A">
            <w:pPr>
              <w:jc w:val="both"/>
              <w:rPr>
                <w:sz w:val="20"/>
                <w:szCs w:val="20"/>
              </w:rPr>
            </w:pPr>
            <w:hyperlink r:id="rId81" w:history="1">
              <w:r w:rsidR="00CA774A" w:rsidRPr="00CD6D96">
                <w:rPr>
                  <w:rStyle w:val="Hyperlink"/>
                  <w:sz w:val="20"/>
                  <w:szCs w:val="20"/>
                </w:rPr>
                <w:t>2014 QCCS 3773</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lang w:val="fr-CA"/>
              </w:rPr>
            </w:pPr>
            <w:r w:rsidRPr="00CD6D96">
              <w:rPr>
                <w:sz w:val="20"/>
                <w:szCs w:val="20"/>
                <w:lang w:val="fr-CA"/>
              </w:rPr>
              <w:t>Jugement de divorce, aliments et mesures accessoires</w:t>
            </w:r>
          </w:p>
          <w:p w:rsidR="00CA774A" w:rsidRPr="00CD6D96" w:rsidRDefault="00CA774A" w:rsidP="00CA774A">
            <w:pPr>
              <w:jc w:val="both"/>
              <w:rPr>
                <w:sz w:val="20"/>
                <w:szCs w:val="20"/>
                <w:lang w:val="fr-CA"/>
              </w:rPr>
            </w:pPr>
          </w:p>
        </w:tc>
      </w:tr>
    </w:tbl>
    <w:p w:rsidR="0089485C" w:rsidRDefault="0089485C">
      <w:r>
        <w:br w:type="page"/>
      </w:r>
      <w:bookmarkStart w:id="2" w:name="_GoBack"/>
      <w:bookmarkEnd w:id="2"/>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CA774A" w:rsidRPr="00CD6D96" w:rsidTr="00CA774A">
        <w:tc>
          <w:tcPr>
            <w:tcW w:w="2390" w:type="pct"/>
          </w:tcPr>
          <w:p w:rsidR="00CA774A" w:rsidRPr="00CD6D96" w:rsidRDefault="00CA774A" w:rsidP="00CA774A">
            <w:pPr>
              <w:jc w:val="both"/>
              <w:rPr>
                <w:sz w:val="20"/>
                <w:szCs w:val="20"/>
                <w:lang w:val="fr-CA"/>
              </w:rPr>
            </w:pPr>
            <w:r w:rsidRPr="00CD6D96">
              <w:rPr>
                <w:sz w:val="20"/>
                <w:szCs w:val="20"/>
                <w:lang w:val="fr-CA"/>
              </w:rPr>
              <w:lastRenderedPageBreak/>
              <w:t>Le 28 septembre 2015</w:t>
            </w:r>
          </w:p>
          <w:p w:rsidR="00CA774A" w:rsidRPr="00CD6D96" w:rsidRDefault="00CA774A" w:rsidP="00CA774A">
            <w:pPr>
              <w:jc w:val="both"/>
              <w:rPr>
                <w:sz w:val="20"/>
                <w:szCs w:val="20"/>
                <w:lang w:val="fr-CA"/>
              </w:rPr>
            </w:pPr>
            <w:r w:rsidRPr="00CD6D96">
              <w:rPr>
                <w:sz w:val="20"/>
                <w:szCs w:val="20"/>
                <w:lang w:val="fr-CA"/>
              </w:rPr>
              <w:t>Cour d’appel du Québec (Montréal)</w:t>
            </w:r>
          </w:p>
          <w:p w:rsidR="00CA774A" w:rsidRPr="00CD6D96" w:rsidRDefault="00CA774A" w:rsidP="00CA774A">
            <w:pPr>
              <w:jc w:val="both"/>
              <w:rPr>
                <w:sz w:val="20"/>
                <w:szCs w:val="20"/>
                <w:lang w:val="fr-CA"/>
              </w:rPr>
            </w:pPr>
            <w:r w:rsidRPr="00CD6D96">
              <w:rPr>
                <w:sz w:val="20"/>
                <w:szCs w:val="20"/>
                <w:lang w:val="fr-CA"/>
              </w:rPr>
              <w:t>(Les juges Doyon, Savard, Parent)</w:t>
            </w:r>
          </w:p>
          <w:p w:rsidR="00CA774A" w:rsidRPr="00CD6D96" w:rsidRDefault="00F964D5" w:rsidP="00CA774A">
            <w:pPr>
              <w:jc w:val="both"/>
              <w:rPr>
                <w:sz w:val="20"/>
                <w:szCs w:val="20"/>
              </w:rPr>
            </w:pPr>
            <w:hyperlink r:id="rId82" w:history="1">
              <w:r w:rsidR="00CA774A" w:rsidRPr="00CD6D96">
                <w:rPr>
                  <w:rStyle w:val="Hyperlink"/>
                  <w:sz w:val="20"/>
                  <w:szCs w:val="20"/>
                </w:rPr>
                <w:t>2015 QCCA 1630</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rPr>
            </w:pPr>
            <w:r w:rsidRPr="00CD6D96">
              <w:rPr>
                <w:sz w:val="20"/>
                <w:szCs w:val="20"/>
              </w:rPr>
              <w:t xml:space="preserve">Appel </w:t>
            </w:r>
            <w:proofErr w:type="spellStart"/>
            <w:r w:rsidRPr="00CD6D96">
              <w:rPr>
                <w:sz w:val="20"/>
                <w:szCs w:val="20"/>
              </w:rPr>
              <w:t>rejeté</w:t>
            </w:r>
            <w:proofErr w:type="spellEnd"/>
          </w:p>
          <w:p w:rsidR="00CA774A" w:rsidRPr="00CD6D96" w:rsidRDefault="00CA774A" w:rsidP="00CA774A">
            <w:pPr>
              <w:jc w:val="both"/>
              <w:rPr>
                <w:sz w:val="20"/>
                <w:szCs w:val="20"/>
              </w:rPr>
            </w:pPr>
          </w:p>
        </w:tc>
      </w:tr>
      <w:tr w:rsidR="00CA774A" w:rsidRPr="00F964D5" w:rsidTr="00CA774A">
        <w:tc>
          <w:tcPr>
            <w:tcW w:w="2390" w:type="pct"/>
          </w:tcPr>
          <w:p w:rsidR="00CA774A" w:rsidRPr="00CD6D96" w:rsidRDefault="00CA774A" w:rsidP="00CA774A">
            <w:pPr>
              <w:jc w:val="both"/>
              <w:rPr>
                <w:sz w:val="20"/>
                <w:szCs w:val="20"/>
                <w:lang w:val="fr-CA"/>
              </w:rPr>
            </w:pPr>
            <w:r w:rsidRPr="00CD6D96">
              <w:rPr>
                <w:sz w:val="20"/>
                <w:szCs w:val="20"/>
                <w:lang w:val="fr-CA"/>
              </w:rPr>
              <w:t>Le 6 mai 2016</w:t>
            </w:r>
          </w:p>
          <w:p w:rsidR="00CA774A" w:rsidRPr="00CD6D96" w:rsidRDefault="00CA774A" w:rsidP="00CA774A">
            <w:pPr>
              <w:jc w:val="both"/>
              <w:rPr>
                <w:sz w:val="20"/>
                <w:szCs w:val="20"/>
                <w:lang w:val="fr-CA"/>
              </w:rPr>
            </w:pPr>
            <w:r w:rsidRPr="00CD6D96">
              <w:rPr>
                <w:sz w:val="20"/>
                <w:szCs w:val="20"/>
                <w:lang w:val="fr-CA"/>
              </w:rPr>
              <w:t>Cour d’appel du Québec (Montréal)</w:t>
            </w:r>
          </w:p>
          <w:p w:rsidR="00CA774A" w:rsidRPr="00CD6D96" w:rsidRDefault="00CA774A" w:rsidP="00CA774A">
            <w:pPr>
              <w:jc w:val="both"/>
              <w:rPr>
                <w:sz w:val="20"/>
                <w:szCs w:val="20"/>
                <w:lang w:val="fr-CA"/>
              </w:rPr>
            </w:pPr>
            <w:r w:rsidRPr="00CD6D96">
              <w:rPr>
                <w:sz w:val="20"/>
                <w:szCs w:val="20"/>
                <w:lang w:val="fr-CA"/>
              </w:rPr>
              <w:t xml:space="preserve">(Les juges </w:t>
            </w:r>
            <w:proofErr w:type="spellStart"/>
            <w:r w:rsidRPr="00CD6D96">
              <w:rPr>
                <w:sz w:val="20"/>
                <w:szCs w:val="20"/>
                <w:lang w:val="fr-CA"/>
              </w:rPr>
              <w:t>Dutil</w:t>
            </w:r>
            <w:proofErr w:type="spellEnd"/>
            <w:r w:rsidRPr="00CD6D96">
              <w:rPr>
                <w:sz w:val="20"/>
                <w:szCs w:val="20"/>
                <w:lang w:val="fr-CA"/>
              </w:rPr>
              <w:t>, Vézina et Mainville)</w:t>
            </w:r>
          </w:p>
          <w:p w:rsidR="00CA774A" w:rsidRPr="00CD6D96" w:rsidRDefault="00F964D5" w:rsidP="00CA774A">
            <w:pPr>
              <w:jc w:val="both"/>
              <w:rPr>
                <w:sz w:val="20"/>
                <w:szCs w:val="20"/>
              </w:rPr>
            </w:pPr>
            <w:hyperlink r:id="rId83" w:history="1">
              <w:r w:rsidR="00CA774A" w:rsidRPr="00CD6D96">
                <w:rPr>
                  <w:rStyle w:val="Hyperlink"/>
                  <w:sz w:val="20"/>
                  <w:szCs w:val="20"/>
                </w:rPr>
                <w:t>2016 QCCA 778</w:t>
              </w:r>
            </w:hyperlink>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lang w:val="fr-CA"/>
              </w:rPr>
            </w:pPr>
            <w:r w:rsidRPr="00CD6D96">
              <w:rPr>
                <w:sz w:val="20"/>
                <w:szCs w:val="20"/>
                <w:lang w:val="fr-CA"/>
              </w:rPr>
              <w:t>Appel incident accordé en partie; modification des conclusions sur mesures accessoires</w:t>
            </w:r>
          </w:p>
        </w:tc>
      </w:tr>
      <w:tr w:rsidR="00CA774A" w:rsidRPr="00F964D5" w:rsidTr="00CA774A">
        <w:tc>
          <w:tcPr>
            <w:tcW w:w="2390" w:type="pct"/>
          </w:tcPr>
          <w:p w:rsidR="00CA774A" w:rsidRPr="00CD6D96" w:rsidRDefault="00CA774A" w:rsidP="00CA774A">
            <w:pPr>
              <w:jc w:val="both"/>
              <w:rPr>
                <w:sz w:val="20"/>
                <w:szCs w:val="20"/>
                <w:lang w:val="fr-CA"/>
              </w:rPr>
            </w:pPr>
          </w:p>
        </w:tc>
        <w:tc>
          <w:tcPr>
            <w:tcW w:w="270" w:type="pct"/>
          </w:tcPr>
          <w:p w:rsidR="00CA774A" w:rsidRPr="00CD6D96" w:rsidRDefault="00CA774A" w:rsidP="00CA774A">
            <w:pPr>
              <w:jc w:val="both"/>
              <w:rPr>
                <w:sz w:val="20"/>
                <w:szCs w:val="20"/>
                <w:lang w:val="fr-CA"/>
              </w:rPr>
            </w:pPr>
          </w:p>
        </w:tc>
        <w:tc>
          <w:tcPr>
            <w:tcW w:w="2340" w:type="pct"/>
          </w:tcPr>
          <w:p w:rsidR="00CA774A" w:rsidRPr="00CD6D96" w:rsidRDefault="00CA774A" w:rsidP="00CA774A">
            <w:pPr>
              <w:jc w:val="both"/>
              <w:rPr>
                <w:sz w:val="20"/>
                <w:szCs w:val="20"/>
                <w:lang w:val="fr-CA"/>
              </w:rPr>
            </w:pPr>
          </w:p>
        </w:tc>
      </w:tr>
      <w:tr w:rsidR="00CA774A" w:rsidRPr="00F964D5" w:rsidTr="00CA774A">
        <w:tc>
          <w:tcPr>
            <w:tcW w:w="2390" w:type="pct"/>
          </w:tcPr>
          <w:p w:rsidR="00CA774A" w:rsidRPr="00CD6D96" w:rsidRDefault="00CA774A" w:rsidP="00CA774A">
            <w:pPr>
              <w:jc w:val="both"/>
              <w:rPr>
                <w:sz w:val="20"/>
                <w:szCs w:val="20"/>
                <w:lang w:val="fr-CA"/>
              </w:rPr>
            </w:pPr>
            <w:r w:rsidRPr="00CD6D96">
              <w:rPr>
                <w:sz w:val="20"/>
                <w:szCs w:val="20"/>
                <w:lang w:val="fr-CA"/>
              </w:rPr>
              <w:t>Le 7 juillet 2016</w:t>
            </w:r>
          </w:p>
          <w:p w:rsidR="00CA774A" w:rsidRPr="00CD6D96" w:rsidRDefault="00CA774A" w:rsidP="00CA774A">
            <w:pPr>
              <w:jc w:val="both"/>
              <w:rPr>
                <w:sz w:val="20"/>
                <w:szCs w:val="20"/>
                <w:lang w:val="fr-CA"/>
              </w:rPr>
            </w:pPr>
            <w:r w:rsidRPr="00CD6D96">
              <w:rPr>
                <w:sz w:val="20"/>
                <w:szCs w:val="20"/>
                <w:lang w:val="fr-CA"/>
              </w:rPr>
              <w:t>Cour d’appel du Québec (Montréal)</w:t>
            </w:r>
          </w:p>
          <w:p w:rsidR="00CA774A" w:rsidRPr="00CD6D96" w:rsidRDefault="00CA774A" w:rsidP="00CA774A">
            <w:pPr>
              <w:jc w:val="both"/>
              <w:rPr>
                <w:sz w:val="20"/>
                <w:szCs w:val="20"/>
                <w:lang w:val="fr-CA"/>
              </w:rPr>
            </w:pPr>
            <w:r w:rsidRPr="00CD6D96">
              <w:rPr>
                <w:sz w:val="20"/>
                <w:szCs w:val="20"/>
                <w:lang w:val="fr-CA"/>
              </w:rPr>
              <w:t xml:space="preserve">(Les juges </w:t>
            </w:r>
            <w:proofErr w:type="spellStart"/>
            <w:r w:rsidRPr="00CD6D96">
              <w:rPr>
                <w:sz w:val="20"/>
                <w:szCs w:val="20"/>
                <w:lang w:val="fr-CA"/>
              </w:rPr>
              <w:t>Dutil</w:t>
            </w:r>
            <w:proofErr w:type="spellEnd"/>
            <w:r w:rsidRPr="00CD6D96">
              <w:rPr>
                <w:sz w:val="20"/>
                <w:szCs w:val="20"/>
                <w:lang w:val="fr-CA"/>
              </w:rPr>
              <w:t>, Vézina et Mainville)</w:t>
            </w:r>
          </w:p>
          <w:p w:rsidR="00CA774A" w:rsidRPr="00CD6D96" w:rsidRDefault="00F964D5" w:rsidP="00CA774A">
            <w:pPr>
              <w:jc w:val="both"/>
              <w:rPr>
                <w:sz w:val="20"/>
                <w:szCs w:val="20"/>
              </w:rPr>
            </w:pPr>
            <w:hyperlink r:id="rId84" w:history="1">
              <w:r w:rsidR="00CA774A" w:rsidRPr="00CD6D96">
                <w:rPr>
                  <w:rStyle w:val="Hyperlink"/>
                  <w:sz w:val="20"/>
                  <w:szCs w:val="20"/>
                </w:rPr>
                <w:t>2016 QCCA 1168</w:t>
              </w:r>
            </w:hyperlink>
          </w:p>
          <w:p w:rsidR="00CA774A" w:rsidRPr="00CD6D96" w:rsidRDefault="00CA774A" w:rsidP="00CA774A">
            <w:pPr>
              <w:jc w:val="both"/>
              <w:rPr>
                <w:sz w:val="20"/>
                <w:szCs w:val="20"/>
              </w:rPr>
            </w:pPr>
          </w:p>
        </w:tc>
        <w:tc>
          <w:tcPr>
            <w:tcW w:w="270" w:type="pct"/>
          </w:tcPr>
          <w:p w:rsidR="00CA774A" w:rsidRPr="00CD6D96" w:rsidRDefault="00CA774A" w:rsidP="00CA774A">
            <w:pPr>
              <w:jc w:val="both"/>
              <w:rPr>
                <w:sz w:val="20"/>
                <w:szCs w:val="20"/>
              </w:rPr>
            </w:pPr>
          </w:p>
        </w:tc>
        <w:tc>
          <w:tcPr>
            <w:tcW w:w="2340" w:type="pct"/>
          </w:tcPr>
          <w:p w:rsidR="00CA774A" w:rsidRPr="00CD6D96" w:rsidRDefault="00CA774A" w:rsidP="00CA774A">
            <w:pPr>
              <w:jc w:val="both"/>
              <w:rPr>
                <w:sz w:val="20"/>
                <w:szCs w:val="20"/>
                <w:lang w:val="fr-CA"/>
              </w:rPr>
            </w:pPr>
            <w:r w:rsidRPr="00CD6D96">
              <w:rPr>
                <w:sz w:val="20"/>
                <w:szCs w:val="20"/>
                <w:lang w:val="fr-CA"/>
              </w:rPr>
              <w:t>Demande de rétractation du jugement du 6 mai 2016 rejetée</w:t>
            </w:r>
          </w:p>
          <w:p w:rsidR="00CA774A" w:rsidRPr="00CD6D96" w:rsidRDefault="00CA774A" w:rsidP="00CA774A">
            <w:pPr>
              <w:jc w:val="both"/>
              <w:rPr>
                <w:sz w:val="20"/>
                <w:szCs w:val="20"/>
                <w:lang w:val="fr-CA"/>
              </w:rPr>
            </w:pPr>
          </w:p>
        </w:tc>
      </w:tr>
      <w:tr w:rsidR="00CA774A" w:rsidRPr="00CD6D96" w:rsidTr="00CA774A">
        <w:tc>
          <w:tcPr>
            <w:tcW w:w="2390" w:type="pct"/>
          </w:tcPr>
          <w:p w:rsidR="00CA774A" w:rsidRPr="00CD6D96" w:rsidRDefault="00CA774A" w:rsidP="00CA774A">
            <w:pPr>
              <w:jc w:val="both"/>
              <w:rPr>
                <w:sz w:val="20"/>
                <w:szCs w:val="20"/>
                <w:lang w:val="fr-CA"/>
              </w:rPr>
            </w:pPr>
            <w:r w:rsidRPr="00CD6D96">
              <w:rPr>
                <w:sz w:val="20"/>
                <w:szCs w:val="20"/>
                <w:lang w:val="fr-CA"/>
              </w:rPr>
              <w:t>Le 20 juillet 2017</w:t>
            </w:r>
          </w:p>
          <w:p w:rsidR="00CA774A" w:rsidRPr="00CD6D96" w:rsidRDefault="00CA774A" w:rsidP="00CA774A">
            <w:pPr>
              <w:jc w:val="both"/>
              <w:rPr>
                <w:sz w:val="20"/>
                <w:szCs w:val="20"/>
                <w:lang w:val="fr-CA"/>
              </w:rPr>
            </w:pPr>
            <w:r w:rsidRPr="00CD6D96">
              <w:rPr>
                <w:sz w:val="20"/>
                <w:szCs w:val="20"/>
                <w:lang w:val="fr-CA"/>
              </w:rPr>
              <w:t>Cour suprême du Canada</w:t>
            </w:r>
          </w:p>
        </w:tc>
        <w:tc>
          <w:tcPr>
            <w:tcW w:w="270" w:type="pct"/>
          </w:tcPr>
          <w:p w:rsidR="00CA774A" w:rsidRPr="00CD6D96" w:rsidRDefault="00CA774A" w:rsidP="00CA774A">
            <w:pPr>
              <w:jc w:val="both"/>
              <w:rPr>
                <w:sz w:val="20"/>
                <w:szCs w:val="20"/>
                <w:lang w:val="fr-CA"/>
              </w:rPr>
            </w:pPr>
          </w:p>
        </w:tc>
        <w:tc>
          <w:tcPr>
            <w:tcW w:w="2340" w:type="pct"/>
          </w:tcPr>
          <w:p w:rsidR="00CA774A" w:rsidRPr="00CD6D96" w:rsidRDefault="00CA774A" w:rsidP="00CA774A">
            <w:pPr>
              <w:jc w:val="both"/>
              <w:rPr>
                <w:sz w:val="20"/>
                <w:szCs w:val="20"/>
              </w:rPr>
            </w:pPr>
            <w:proofErr w:type="spellStart"/>
            <w:r w:rsidRPr="00CD6D96">
              <w:rPr>
                <w:sz w:val="20"/>
                <w:szCs w:val="20"/>
              </w:rPr>
              <w:t>Demande</w:t>
            </w:r>
            <w:proofErr w:type="spellEnd"/>
            <w:r w:rsidRPr="00CD6D96">
              <w:rPr>
                <w:sz w:val="20"/>
                <w:szCs w:val="20"/>
              </w:rPr>
              <w:t xml:space="preserve"> </w:t>
            </w:r>
            <w:proofErr w:type="spellStart"/>
            <w:r w:rsidRPr="00CD6D96">
              <w:rPr>
                <w:sz w:val="20"/>
                <w:szCs w:val="20"/>
              </w:rPr>
              <w:t>d’autorisation</w:t>
            </w:r>
            <w:proofErr w:type="spellEnd"/>
            <w:r w:rsidRPr="00CD6D96">
              <w:rPr>
                <w:sz w:val="20"/>
                <w:szCs w:val="20"/>
              </w:rPr>
              <w:t xml:space="preserve"> </w:t>
            </w:r>
            <w:proofErr w:type="spellStart"/>
            <w:r w:rsidRPr="00CD6D96">
              <w:rPr>
                <w:sz w:val="20"/>
                <w:szCs w:val="20"/>
              </w:rPr>
              <w:t>d’appel</w:t>
            </w:r>
            <w:proofErr w:type="spellEnd"/>
            <w:r w:rsidRPr="00CD6D96">
              <w:rPr>
                <w:sz w:val="20"/>
                <w:szCs w:val="20"/>
              </w:rPr>
              <w:t xml:space="preserve"> </w:t>
            </w:r>
            <w:proofErr w:type="spellStart"/>
            <w:r w:rsidRPr="00CD6D96">
              <w:rPr>
                <w:sz w:val="20"/>
                <w:szCs w:val="20"/>
              </w:rPr>
              <w:t>déposée</w:t>
            </w:r>
            <w:proofErr w:type="spellEnd"/>
          </w:p>
          <w:p w:rsidR="00CA774A" w:rsidRPr="00CD6D96" w:rsidRDefault="00CA774A" w:rsidP="00CA774A">
            <w:pPr>
              <w:jc w:val="both"/>
              <w:rPr>
                <w:sz w:val="20"/>
                <w:szCs w:val="20"/>
              </w:rPr>
            </w:pPr>
          </w:p>
        </w:tc>
      </w:tr>
    </w:tbl>
    <w:p w:rsidR="00CA774A" w:rsidRPr="00CD6D96" w:rsidRDefault="00CA774A" w:rsidP="00CA774A">
      <w:pPr>
        <w:jc w:val="both"/>
        <w:rPr>
          <w:sz w:val="20"/>
          <w:szCs w:val="20"/>
        </w:rPr>
      </w:pPr>
    </w:p>
    <w:p w:rsidR="00890FEB" w:rsidRPr="00B670E4" w:rsidRDefault="00F964D5" w:rsidP="00B670E4">
      <w:pPr>
        <w:jc w:val="both"/>
        <w:rPr>
          <w:sz w:val="20"/>
          <w:lang w:val="fr-CA"/>
        </w:rPr>
        <w:sectPr w:rsidR="00890FEB" w:rsidRPr="00B670E4" w:rsidSect="008D292F">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r>
        <w:rPr>
          <w:sz w:val="20"/>
          <w:szCs w:val="20"/>
        </w:rPr>
        <w:pict>
          <v:rect id="_x0000_i1079" style="width:2in;height:1pt" o:hrpct="0" o:hralign="center" o:hrstd="t" o:hrnoshade="t" o:hr="t" fillcolor="black" stroked="f"/>
        </w:pict>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9B4689" w:rsidP="00CA2DEA">
      <w:pPr>
        <w:widowControl w:val="0"/>
        <w:rPr>
          <w:rFonts w:eastAsia="Times New Roman" w:cs="Times New Roman"/>
          <w:sz w:val="20"/>
          <w:szCs w:val="20"/>
          <w:lang w:val="en-US" w:eastAsia="en-CA"/>
        </w:rPr>
      </w:pPr>
      <w:r>
        <w:rPr>
          <w:rFonts w:eastAsia="Times New Roman" w:cs="Times New Roman"/>
          <w:sz w:val="20"/>
          <w:szCs w:val="20"/>
          <w:lang w:val="en-US" w:eastAsia="en-CA"/>
        </w:rPr>
        <w:t>04.12.2017</w:t>
      </w:r>
    </w:p>
    <w:p w:rsidR="009B4689" w:rsidRDefault="009B4689" w:rsidP="00CA2DEA">
      <w:pPr>
        <w:widowControl w:val="0"/>
        <w:rPr>
          <w:rFonts w:eastAsia="Times New Roman" w:cs="Times New Roman"/>
          <w:sz w:val="20"/>
          <w:szCs w:val="20"/>
          <w:lang w:val="en-US" w:eastAsia="en-CA"/>
        </w:rPr>
      </w:pPr>
    </w:p>
    <w:p w:rsidR="009B4689" w:rsidRPr="009B4689" w:rsidRDefault="009B4689" w:rsidP="00CA2DEA">
      <w:pPr>
        <w:widowControl w:val="0"/>
        <w:rPr>
          <w:rFonts w:eastAsia="Times New Roman" w:cs="Times New Roman"/>
          <w:sz w:val="20"/>
          <w:szCs w:val="20"/>
          <w:lang w:val="fr-CA" w:eastAsia="en-CA"/>
        </w:rPr>
      </w:pPr>
      <w:proofErr w:type="spellStart"/>
      <w:r w:rsidRPr="009B4689">
        <w:rPr>
          <w:rFonts w:eastAsia="Times New Roman" w:cs="Times New Roman"/>
          <w:sz w:val="20"/>
          <w:szCs w:val="20"/>
          <w:lang w:val="fr-CA" w:eastAsia="en-CA"/>
        </w:rPr>
        <w:t>Before</w:t>
      </w:r>
      <w:proofErr w:type="spellEnd"/>
      <w:r w:rsidRPr="009B4689">
        <w:rPr>
          <w:rFonts w:eastAsia="Times New Roman" w:cs="Times New Roman"/>
          <w:sz w:val="20"/>
          <w:szCs w:val="20"/>
          <w:lang w:val="fr-CA" w:eastAsia="en-CA"/>
        </w:rPr>
        <w:t xml:space="preserve"> / Devant: ROWE J. / LE JUGE ROWE</w:t>
      </w:r>
    </w:p>
    <w:p w:rsidR="009B4689" w:rsidRDefault="009B4689"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B4689" w:rsidRPr="00F964D5" w:rsidTr="009B4689">
        <w:tc>
          <w:tcPr>
            <w:tcW w:w="4380" w:type="dxa"/>
            <w:tcBorders>
              <w:top w:val="nil"/>
              <w:left w:val="nil"/>
              <w:bottom w:val="nil"/>
              <w:right w:val="nil"/>
            </w:tcBorders>
          </w:tcPr>
          <w:p w:rsidR="009B4689" w:rsidRDefault="009B4689" w:rsidP="009B4689">
            <w:pPr>
              <w:jc w:val="both"/>
              <w:rPr>
                <w:rFonts w:cs="Times New Roman"/>
                <w:b/>
                <w:bCs/>
                <w:color w:val="000000"/>
                <w:sz w:val="20"/>
                <w:szCs w:val="20"/>
                <w:lang w:val="en-GB"/>
              </w:rPr>
            </w:pPr>
            <w:r w:rsidRPr="00D12F79">
              <w:rPr>
                <w:rFonts w:cs="Times New Roman"/>
                <w:b/>
                <w:bCs/>
                <w:color w:val="000000"/>
                <w:sz w:val="20"/>
                <w:szCs w:val="20"/>
                <w:lang w:val="en-GB"/>
              </w:rPr>
              <w:t>Motion to extend time</w:t>
            </w:r>
          </w:p>
          <w:p w:rsidR="009B4689" w:rsidRPr="00D12F79" w:rsidRDefault="009B4689" w:rsidP="009B4689">
            <w:pPr>
              <w:jc w:val="both"/>
              <w:rPr>
                <w:rFonts w:cs="Times New Roman"/>
                <w:color w:val="000000"/>
                <w:sz w:val="20"/>
                <w:szCs w:val="20"/>
                <w:lang w:val="en-GB"/>
              </w:rPr>
            </w:pPr>
          </w:p>
        </w:tc>
        <w:tc>
          <w:tcPr>
            <w:tcW w:w="720" w:type="dxa"/>
            <w:tcBorders>
              <w:top w:val="nil"/>
              <w:left w:val="nil"/>
              <w:bottom w:val="nil"/>
              <w:right w:val="nil"/>
            </w:tcBorders>
          </w:tcPr>
          <w:p w:rsidR="009B4689" w:rsidRPr="00D12F79" w:rsidRDefault="009B4689" w:rsidP="009B4689">
            <w:pPr>
              <w:rPr>
                <w:rFonts w:cs="Times New Roman"/>
                <w:color w:val="000000"/>
                <w:sz w:val="20"/>
                <w:szCs w:val="20"/>
                <w:lang w:val="en-GB"/>
              </w:rPr>
            </w:pPr>
          </w:p>
        </w:tc>
        <w:tc>
          <w:tcPr>
            <w:tcW w:w="4380" w:type="dxa"/>
            <w:tcBorders>
              <w:top w:val="nil"/>
              <w:left w:val="nil"/>
              <w:bottom w:val="nil"/>
              <w:right w:val="nil"/>
            </w:tcBorders>
          </w:tcPr>
          <w:p w:rsidR="009B4689" w:rsidRPr="00D12F79" w:rsidRDefault="009B4689" w:rsidP="009B4689">
            <w:pPr>
              <w:jc w:val="both"/>
              <w:rPr>
                <w:rFonts w:cs="Times New Roman"/>
                <w:color w:val="000000"/>
                <w:sz w:val="20"/>
                <w:szCs w:val="20"/>
                <w:lang w:val="fr-CA"/>
              </w:rPr>
            </w:pPr>
            <w:r w:rsidRPr="00D12F79">
              <w:rPr>
                <w:rFonts w:cs="Times New Roman"/>
                <w:b/>
                <w:bCs/>
                <w:color w:val="000000"/>
                <w:sz w:val="20"/>
                <w:szCs w:val="20"/>
                <w:lang w:val="fr-CA"/>
              </w:rPr>
              <w:t>Requête en prorogation de délai</w:t>
            </w:r>
          </w:p>
        </w:tc>
      </w:tr>
      <w:tr w:rsidR="009B4689" w:rsidRPr="00F964D5" w:rsidTr="009B4689">
        <w:tc>
          <w:tcPr>
            <w:tcW w:w="4380" w:type="dxa"/>
            <w:tcBorders>
              <w:top w:val="nil"/>
              <w:left w:val="nil"/>
              <w:bottom w:val="nil"/>
              <w:right w:val="nil"/>
            </w:tcBorders>
          </w:tcPr>
          <w:p w:rsidR="009B4689" w:rsidRDefault="009B4689" w:rsidP="009B4689">
            <w:pPr>
              <w:jc w:val="both"/>
              <w:rPr>
                <w:rFonts w:cs="Times New Roman"/>
                <w:color w:val="000000"/>
                <w:sz w:val="20"/>
                <w:szCs w:val="20"/>
                <w:lang w:val="fr-CA"/>
              </w:rPr>
            </w:pPr>
            <w:r>
              <w:rPr>
                <w:rFonts w:cs="Times New Roman"/>
                <w:color w:val="000000"/>
                <w:sz w:val="20"/>
                <w:szCs w:val="20"/>
                <w:lang w:val="fr-CA"/>
              </w:rPr>
              <w:t xml:space="preserve">Alex </w:t>
            </w:r>
            <w:proofErr w:type="spellStart"/>
            <w:r>
              <w:rPr>
                <w:rFonts w:cs="Times New Roman"/>
                <w:color w:val="000000"/>
                <w:sz w:val="20"/>
                <w:szCs w:val="20"/>
                <w:lang w:val="fr-CA"/>
              </w:rPr>
              <w:t>Boudreault</w:t>
            </w:r>
            <w:proofErr w:type="spellEnd"/>
          </w:p>
          <w:p w:rsidR="009B4689" w:rsidRDefault="009B4689" w:rsidP="009B4689">
            <w:pPr>
              <w:jc w:val="both"/>
              <w:rPr>
                <w:rFonts w:cs="Times New Roman"/>
                <w:color w:val="000000"/>
                <w:sz w:val="20"/>
                <w:szCs w:val="20"/>
                <w:lang w:val="fr-CA"/>
              </w:rPr>
            </w:pPr>
          </w:p>
          <w:p w:rsidR="009B4689" w:rsidRDefault="009B4689" w:rsidP="009B4689">
            <w:pPr>
              <w:jc w:val="both"/>
              <w:rPr>
                <w:rFonts w:cs="Times New Roman"/>
                <w:color w:val="000000"/>
                <w:sz w:val="20"/>
                <w:szCs w:val="20"/>
                <w:lang w:val="fr-CA"/>
              </w:rPr>
            </w:pPr>
            <w:r>
              <w:rPr>
                <w:rFonts w:cs="Times New Roman"/>
                <w:color w:val="000000"/>
                <w:sz w:val="20"/>
                <w:szCs w:val="20"/>
                <w:lang w:val="fr-CA"/>
              </w:rPr>
              <w:tab/>
              <w:t>c. (37427)</w:t>
            </w:r>
          </w:p>
          <w:p w:rsidR="009B4689" w:rsidRDefault="009B4689" w:rsidP="009B4689">
            <w:pPr>
              <w:jc w:val="both"/>
              <w:rPr>
                <w:rFonts w:cs="Times New Roman"/>
                <w:color w:val="000000"/>
                <w:sz w:val="20"/>
                <w:szCs w:val="20"/>
                <w:lang w:val="fr-CA"/>
              </w:rPr>
            </w:pPr>
          </w:p>
          <w:p w:rsidR="009B4689" w:rsidRPr="00D12F79" w:rsidRDefault="009B4689" w:rsidP="009B4689">
            <w:pPr>
              <w:jc w:val="both"/>
              <w:rPr>
                <w:rFonts w:cs="Times New Roman"/>
                <w:color w:val="000000"/>
                <w:sz w:val="20"/>
                <w:szCs w:val="20"/>
                <w:lang w:val="fr-CA"/>
              </w:rPr>
            </w:pPr>
            <w:r>
              <w:rPr>
                <w:rFonts w:cs="Times New Roman"/>
                <w:color w:val="000000"/>
                <w:sz w:val="20"/>
                <w:szCs w:val="20"/>
                <w:lang w:val="fr-CA"/>
              </w:rPr>
              <w:t>Sa Majesté la Reine (</w:t>
            </w:r>
            <w:proofErr w:type="spellStart"/>
            <w:r>
              <w:rPr>
                <w:rFonts w:cs="Times New Roman"/>
                <w:color w:val="000000"/>
                <w:sz w:val="20"/>
                <w:szCs w:val="20"/>
                <w:lang w:val="fr-CA"/>
              </w:rPr>
              <w:t>Qc</w:t>
            </w:r>
            <w:proofErr w:type="spellEnd"/>
            <w:r>
              <w:rPr>
                <w:rFonts w:cs="Times New Roman"/>
                <w:color w:val="000000"/>
                <w:sz w:val="20"/>
                <w:szCs w:val="20"/>
                <w:lang w:val="fr-CA"/>
              </w:rPr>
              <w:t>)</w:t>
            </w:r>
          </w:p>
        </w:tc>
        <w:tc>
          <w:tcPr>
            <w:tcW w:w="720" w:type="dxa"/>
            <w:tcBorders>
              <w:top w:val="nil"/>
              <w:left w:val="nil"/>
              <w:bottom w:val="nil"/>
              <w:right w:val="nil"/>
            </w:tcBorders>
          </w:tcPr>
          <w:p w:rsidR="009B4689" w:rsidRPr="00D12F79" w:rsidRDefault="009B4689" w:rsidP="009B4689">
            <w:pPr>
              <w:jc w:val="both"/>
              <w:rPr>
                <w:rFonts w:cs="Times New Roman"/>
                <w:color w:val="000000"/>
                <w:sz w:val="20"/>
                <w:szCs w:val="20"/>
                <w:lang w:val="fr-CA"/>
              </w:rPr>
            </w:pPr>
          </w:p>
        </w:tc>
        <w:tc>
          <w:tcPr>
            <w:tcW w:w="4380" w:type="dxa"/>
            <w:tcBorders>
              <w:top w:val="nil"/>
              <w:left w:val="nil"/>
              <w:bottom w:val="nil"/>
              <w:right w:val="nil"/>
            </w:tcBorders>
          </w:tcPr>
          <w:p w:rsidR="009B4689" w:rsidRPr="00D12F79" w:rsidRDefault="009B4689" w:rsidP="009B4689">
            <w:pPr>
              <w:jc w:val="both"/>
              <w:rPr>
                <w:rFonts w:cs="Times New Roman"/>
                <w:color w:val="000000"/>
                <w:sz w:val="20"/>
                <w:szCs w:val="20"/>
                <w:lang w:val="fr-CA"/>
              </w:rPr>
            </w:pPr>
          </w:p>
        </w:tc>
      </w:tr>
    </w:tbl>
    <w:p w:rsidR="009B4689" w:rsidRDefault="009B4689" w:rsidP="009B4689">
      <w:pPr>
        <w:widowControl w:val="0"/>
        <w:jc w:val="both"/>
        <w:rPr>
          <w:rFonts w:eastAsia="Times New Roman" w:cs="Times New Roman"/>
          <w:sz w:val="20"/>
          <w:szCs w:val="20"/>
          <w:lang w:val="fr-CA" w:eastAsia="en-CA"/>
        </w:rPr>
      </w:pPr>
    </w:p>
    <w:p w:rsidR="009B4689" w:rsidRPr="009B4689" w:rsidRDefault="009B4689" w:rsidP="009B4689">
      <w:pPr>
        <w:widowControl w:val="0"/>
        <w:jc w:val="both"/>
        <w:rPr>
          <w:rFonts w:eastAsia="Times New Roman" w:cs="Times New Roman"/>
          <w:b/>
          <w:sz w:val="20"/>
          <w:szCs w:val="20"/>
          <w:lang w:val="fr-CA" w:eastAsia="en-CA"/>
        </w:rPr>
      </w:pPr>
      <w:r w:rsidRPr="009B4689">
        <w:rPr>
          <w:rFonts w:eastAsia="Times New Roman" w:cs="Times New Roman"/>
          <w:b/>
          <w:sz w:val="20"/>
          <w:szCs w:val="20"/>
          <w:lang w:val="fr-CA" w:eastAsia="en-CA"/>
        </w:rPr>
        <w:t>GRANTED / ACCORDÉE</w:t>
      </w:r>
    </w:p>
    <w:p w:rsidR="009B4689" w:rsidRPr="00E2799E" w:rsidRDefault="009B4689" w:rsidP="009B4689">
      <w:pPr>
        <w:jc w:val="both"/>
        <w:rPr>
          <w:rFonts w:cs="Times New Roman"/>
          <w:sz w:val="20"/>
          <w:szCs w:val="20"/>
          <w:lang w:val="fr-CA"/>
        </w:rPr>
      </w:pPr>
    </w:p>
    <w:p w:rsidR="009B4689" w:rsidRPr="00E2799E" w:rsidRDefault="009B4689" w:rsidP="009B4689">
      <w:pPr>
        <w:spacing w:line="233" w:lineRule="auto"/>
        <w:jc w:val="both"/>
        <w:rPr>
          <w:rFonts w:cs="Times New Roman"/>
          <w:b/>
          <w:bCs/>
          <w:sz w:val="20"/>
          <w:szCs w:val="20"/>
          <w:lang w:val="fr-CA"/>
        </w:rPr>
      </w:pPr>
      <w:r w:rsidRPr="00E2799E">
        <w:rPr>
          <w:rFonts w:cs="Times New Roman"/>
          <w:b/>
          <w:sz w:val="20"/>
          <w:szCs w:val="20"/>
          <w:lang w:val="fr-CA"/>
        </w:rPr>
        <w:t>À LA SUITE DE LA DEMANDE</w:t>
      </w:r>
      <w:r w:rsidRPr="00E2799E">
        <w:rPr>
          <w:b/>
          <w:sz w:val="20"/>
          <w:szCs w:val="20"/>
          <w:lang w:val="fr-CA"/>
        </w:rPr>
        <w:t xml:space="preserve"> </w:t>
      </w:r>
      <w:r w:rsidRPr="00E2799E">
        <w:rPr>
          <w:rFonts w:cs="Times New Roman"/>
          <w:sz w:val="20"/>
          <w:szCs w:val="20"/>
          <w:lang w:val="fr-CA"/>
        </w:rPr>
        <w:t>présentée par l’intimée, Procureure générale du Québec, en prorogation du délai pour déposer son mémoire, dossier et recueil de sources, et pour permission de plaider en appel;</w:t>
      </w:r>
    </w:p>
    <w:p w:rsidR="009B4689" w:rsidRPr="00E2799E" w:rsidRDefault="009B4689" w:rsidP="009B4689">
      <w:pPr>
        <w:spacing w:line="233" w:lineRule="auto"/>
        <w:jc w:val="both"/>
        <w:rPr>
          <w:rFonts w:cs="Times New Roman"/>
          <w:b/>
          <w:bCs/>
          <w:sz w:val="20"/>
          <w:szCs w:val="20"/>
          <w:lang w:val="fr-CA"/>
        </w:rPr>
      </w:pPr>
    </w:p>
    <w:p w:rsidR="009B4689" w:rsidRPr="00E2799E" w:rsidRDefault="009B4689" w:rsidP="009B4689">
      <w:pPr>
        <w:spacing w:line="233" w:lineRule="auto"/>
        <w:jc w:val="both"/>
        <w:rPr>
          <w:rFonts w:cs="Times New Roman"/>
          <w:sz w:val="20"/>
          <w:szCs w:val="20"/>
          <w:lang w:val="fr-CA"/>
        </w:rPr>
      </w:pPr>
      <w:r w:rsidRPr="00E2799E">
        <w:rPr>
          <w:rFonts w:cs="Times New Roman"/>
          <w:b/>
          <w:bCs/>
          <w:sz w:val="20"/>
          <w:szCs w:val="20"/>
          <w:lang w:val="fr-CA"/>
        </w:rPr>
        <w:t xml:space="preserve">ET APRÈS EXAMEN </w:t>
      </w:r>
      <w:r w:rsidRPr="00E2799E">
        <w:rPr>
          <w:rFonts w:cs="Times New Roman"/>
          <w:sz w:val="20"/>
          <w:szCs w:val="20"/>
          <w:lang w:val="fr-CA"/>
        </w:rPr>
        <w:t xml:space="preserve">des documents déposés; </w:t>
      </w:r>
    </w:p>
    <w:p w:rsidR="009B4689" w:rsidRPr="00E2799E" w:rsidRDefault="009B4689" w:rsidP="009B4689">
      <w:pPr>
        <w:spacing w:line="233" w:lineRule="auto"/>
        <w:jc w:val="both"/>
        <w:rPr>
          <w:rFonts w:cs="Times New Roman"/>
          <w:sz w:val="20"/>
          <w:szCs w:val="20"/>
          <w:lang w:val="fr-CA"/>
        </w:rPr>
      </w:pPr>
    </w:p>
    <w:p w:rsidR="009B4689" w:rsidRPr="00E2799E" w:rsidRDefault="009B4689" w:rsidP="009B4689">
      <w:pPr>
        <w:spacing w:line="230" w:lineRule="auto"/>
        <w:jc w:val="both"/>
        <w:rPr>
          <w:rFonts w:cs="Times New Roman"/>
          <w:b/>
          <w:bCs/>
          <w:sz w:val="20"/>
          <w:szCs w:val="20"/>
          <w:lang w:val="fr-CA"/>
        </w:rPr>
      </w:pPr>
      <w:r w:rsidRPr="00E2799E">
        <w:rPr>
          <w:rFonts w:cs="Times New Roman"/>
          <w:b/>
          <w:bCs/>
          <w:sz w:val="20"/>
          <w:szCs w:val="20"/>
          <w:lang w:val="fr-CA"/>
        </w:rPr>
        <w:t>IL EST ORDONNÉ QUE:</w:t>
      </w:r>
    </w:p>
    <w:p w:rsidR="009B4689" w:rsidRPr="00E2799E" w:rsidRDefault="009B4689" w:rsidP="009B4689">
      <w:pPr>
        <w:spacing w:line="230" w:lineRule="auto"/>
        <w:ind w:left="-23"/>
        <w:jc w:val="both"/>
        <w:rPr>
          <w:rFonts w:cs="Times New Roman"/>
          <w:b/>
          <w:bCs/>
          <w:sz w:val="20"/>
          <w:szCs w:val="20"/>
          <w:lang w:val="fr-CA"/>
        </w:rPr>
      </w:pPr>
    </w:p>
    <w:p w:rsidR="009B4689" w:rsidRPr="00E2799E" w:rsidRDefault="009B4689" w:rsidP="009B4689">
      <w:pPr>
        <w:jc w:val="both"/>
        <w:rPr>
          <w:rFonts w:cs="Times New Roman"/>
          <w:sz w:val="20"/>
          <w:szCs w:val="20"/>
          <w:lang w:val="fr-CA"/>
        </w:rPr>
      </w:pPr>
      <w:r w:rsidRPr="00E2799E">
        <w:rPr>
          <w:rFonts w:cs="Times New Roman"/>
          <w:bCs/>
          <w:sz w:val="20"/>
          <w:szCs w:val="20"/>
          <w:lang w:val="fr-CA"/>
        </w:rPr>
        <w:t>La requête est accueillie</w:t>
      </w:r>
      <w:r w:rsidRPr="00E2799E">
        <w:rPr>
          <w:rFonts w:cs="Times New Roman"/>
          <w:sz w:val="20"/>
          <w:szCs w:val="20"/>
          <w:lang w:val="fr-CA"/>
        </w:rPr>
        <w:t>.</w:t>
      </w:r>
    </w:p>
    <w:p w:rsidR="009B4689" w:rsidRPr="00E2799E" w:rsidRDefault="009B4689" w:rsidP="009B4689">
      <w:pPr>
        <w:jc w:val="both"/>
        <w:rPr>
          <w:rFonts w:cs="Times New Roman"/>
          <w:sz w:val="20"/>
          <w:szCs w:val="20"/>
          <w:lang w:val="fr-CA"/>
        </w:rPr>
      </w:pPr>
    </w:p>
    <w:p w:rsidR="009B4689" w:rsidRPr="00E2799E" w:rsidRDefault="009B4689" w:rsidP="009B4689">
      <w:pPr>
        <w:jc w:val="both"/>
        <w:rPr>
          <w:rFonts w:cs="Times New Roman"/>
          <w:sz w:val="20"/>
          <w:szCs w:val="20"/>
          <w:lang w:val="fr-CA"/>
        </w:rPr>
      </w:pPr>
    </w:p>
    <w:p w:rsidR="009B4689" w:rsidRPr="00E2799E" w:rsidRDefault="009B4689" w:rsidP="009B4689">
      <w:pPr>
        <w:spacing w:line="232" w:lineRule="auto"/>
        <w:jc w:val="both"/>
        <w:rPr>
          <w:rFonts w:cs="Times New Roman"/>
          <w:sz w:val="20"/>
          <w:szCs w:val="20"/>
        </w:rPr>
      </w:pPr>
      <w:r w:rsidRPr="00E2799E">
        <w:rPr>
          <w:rFonts w:cs="Times New Roman"/>
          <w:b/>
          <w:bCs/>
          <w:sz w:val="20"/>
          <w:szCs w:val="20"/>
        </w:rPr>
        <w:t xml:space="preserve">UPON APPLICATION </w:t>
      </w:r>
      <w:r w:rsidRPr="00E2799E">
        <w:rPr>
          <w:rFonts w:cs="Times New Roman"/>
          <w:bCs/>
          <w:sz w:val="20"/>
          <w:szCs w:val="20"/>
        </w:rPr>
        <w:t>by the respondent, Attorney General of Quebec, for an order</w:t>
      </w:r>
      <w:r w:rsidRPr="00E2799E">
        <w:rPr>
          <w:rFonts w:cs="Times New Roman"/>
          <w:b/>
          <w:bCs/>
          <w:sz w:val="20"/>
          <w:szCs w:val="20"/>
        </w:rPr>
        <w:t xml:space="preserve"> </w:t>
      </w:r>
      <w:r w:rsidRPr="00E2799E">
        <w:rPr>
          <w:rFonts w:cs="Times New Roman"/>
          <w:bCs/>
          <w:sz w:val="20"/>
          <w:szCs w:val="20"/>
        </w:rPr>
        <w:t>extending the time to file its factum, record and book of authorities</w:t>
      </w:r>
      <w:r w:rsidRPr="00E2799E">
        <w:rPr>
          <w:rFonts w:cs="Times New Roman"/>
          <w:sz w:val="20"/>
          <w:szCs w:val="20"/>
          <w:lang w:eastAsia="fr-FR"/>
        </w:rPr>
        <w:t>, and for permission to present oral argument on the appeal;</w:t>
      </w:r>
    </w:p>
    <w:p w:rsidR="009B4689" w:rsidRPr="00E2799E" w:rsidRDefault="009B4689" w:rsidP="009B4689">
      <w:pPr>
        <w:spacing w:line="232" w:lineRule="auto"/>
        <w:jc w:val="both"/>
        <w:rPr>
          <w:rFonts w:cs="Times New Roman"/>
          <w:sz w:val="20"/>
          <w:szCs w:val="20"/>
        </w:rPr>
      </w:pPr>
    </w:p>
    <w:p w:rsidR="009B4689" w:rsidRPr="00E2799E" w:rsidRDefault="009B4689" w:rsidP="009B4689">
      <w:pPr>
        <w:spacing w:line="232" w:lineRule="auto"/>
        <w:jc w:val="both"/>
        <w:rPr>
          <w:rFonts w:cs="Times New Roman"/>
          <w:sz w:val="20"/>
          <w:szCs w:val="20"/>
        </w:rPr>
      </w:pPr>
      <w:r w:rsidRPr="00E2799E">
        <w:rPr>
          <w:rFonts w:cs="Times New Roman"/>
          <w:b/>
          <w:bCs/>
          <w:sz w:val="20"/>
          <w:szCs w:val="20"/>
        </w:rPr>
        <w:t xml:space="preserve">AND THE MATERIAL FILED </w:t>
      </w:r>
      <w:r w:rsidRPr="00E2799E">
        <w:rPr>
          <w:rFonts w:cs="Times New Roman"/>
          <w:bCs/>
          <w:sz w:val="20"/>
          <w:szCs w:val="20"/>
        </w:rPr>
        <w:t>having been read;</w:t>
      </w:r>
    </w:p>
    <w:p w:rsidR="009B4689" w:rsidRPr="00E2799E" w:rsidRDefault="009B4689" w:rsidP="009B4689">
      <w:pPr>
        <w:spacing w:line="232" w:lineRule="auto"/>
        <w:jc w:val="both"/>
        <w:rPr>
          <w:rFonts w:cs="Times New Roman"/>
          <w:sz w:val="20"/>
          <w:szCs w:val="20"/>
        </w:rPr>
      </w:pPr>
    </w:p>
    <w:p w:rsidR="009B4689" w:rsidRPr="00E2799E" w:rsidRDefault="009B4689" w:rsidP="009B4689">
      <w:pPr>
        <w:spacing w:line="232" w:lineRule="auto"/>
        <w:jc w:val="both"/>
        <w:rPr>
          <w:rFonts w:cs="Times New Roman"/>
          <w:sz w:val="20"/>
          <w:szCs w:val="20"/>
        </w:rPr>
      </w:pPr>
      <w:r w:rsidRPr="00E2799E">
        <w:rPr>
          <w:rFonts w:cs="Times New Roman"/>
          <w:b/>
          <w:bCs/>
          <w:sz w:val="20"/>
          <w:szCs w:val="20"/>
        </w:rPr>
        <w:t xml:space="preserve">IT IS HEREBY ORDERED THAT: </w:t>
      </w:r>
    </w:p>
    <w:p w:rsidR="009B4689" w:rsidRPr="00E2799E" w:rsidRDefault="009B4689" w:rsidP="009B4689">
      <w:pPr>
        <w:spacing w:line="232" w:lineRule="auto"/>
        <w:jc w:val="both"/>
        <w:rPr>
          <w:rFonts w:cs="Times New Roman"/>
          <w:sz w:val="20"/>
          <w:szCs w:val="20"/>
        </w:rPr>
      </w:pPr>
    </w:p>
    <w:p w:rsidR="009B4689" w:rsidRPr="00E2799E" w:rsidRDefault="009B4689" w:rsidP="009B4689">
      <w:pPr>
        <w:spacing w:line="232" w:lineRule="auto"/>
        <w:jc w:val="both"/>
        <w:rPr>
          <w:rFonts w:cs="Times New Roman"/>
          <w:sz w:val="20"/>
          <w:szCs w:val="20"/>
        </w:rPr>
      </w:pPr>
      <w:r w:rsidRPr="00E2799E">
        <w:rPr>
          <w:rFonts w:cs="Times New Roman"/>
          <w:sz w:val="20"/>
          <w:szCs w:val="20"/>
        </w:rPr>
        <w:t>The motion is granted.</w:t>
      </w:r>
    </w:p>
    <w:p w:rsidR="009B4689" w:rsidRPr="00E2799E" w:rsidRDefault="009B4689" w:rsidP="009B4689">
      <w:pPr>
        <w:rPr>
          <w:rFonts w:cs="Times New Roman"/>
          <w:sz w:val="20"/>
          <w:szCs w:val="20"/>
        </w:rPr>
      </w:pPr>
    </w:p>
    <w:p w:rsidR="00CA2DEA" w:rsidRPr="009B4689" w:rsidRDefault="00CA2DEA" w:rsidP="00CA2DEA">
      <w:pPr>
        <w:widowControl w:val="0"/>
        <w:rPr>
          <w:rFonts w:eastAsia="Times New Roman" w:cs="Times New Roman"/>
          <w:sz w:val="20"/>
          <w:szCs w:val="20"/>
          <w:lang w:eastAsia="en-CA"/>
        </w:rPr>
      </w:pPr>
    </w:p>
    <w:p w:rsidR="00CA2DEA" w:rsidRPr="006E5D7C" w:rsidRDefault="00F964D5"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9B4689" w:rsidRPr="006E5D7C" w:rsidRDefault="009B4689" w:rsidP="00CA2DEA">
      <w:pPr>
        <w:widowControl w:val="0"/>
        <w:rPr>
          <w:rFonts w:eastAsia="Times New Roman" w:cs="Times New Roman"/>
          <w:sz w:val="20"/>
          <w:szCs w:val="20"/>
          <w:lang w:val="en-US" w:eastAsia="en-CA"/>
        </w:rPr>
      </w:pPr>
    </w:p>
    <w:p w:rsidR="009B4689" w:rsidRDefault="009B4689">
      <w:pPr>
        <w:rPr>
          <w:rFonts w:eastAsia="Times New Roman" w:cs="Times New Roman"/>
          <w:sz w:val="20"/>
          <w:szCs w:val="20"/>
          <w:lang w:val="fr-CA" w:eastAsia="en-CA"/>
        </w:rPr>
      </w:pPr>
      <w:r>
        <w:rPr>
          <w:rFonts w:eastAsia="Times New Roman" w:cs="Times New Roman"/>
          <w:sz w:val="20"/>
          <w:szCs w:val="20"/>
          <w:lang w:val="fr-CA" w:eastAsia="en-CA"/>
        </w:rPr>
        <w:br w:type="page"/>
      </w:r>
    </w:p>
    <w:p w:rsidR="009B4689" w:rsidRPr="009B4689" w:rsidRDefault="009B4689" w:rsidP="009B4689">
      <w:pPr>
        <w:widowControl w:val="0"/>
        <w:rPr>
          <w:rFonts w:eastAsia="Times New Roman" w:cs="Times New Roman"/>
          <w:sz w:val="20"/>
          <w:szCs w:val="20"/>
          <w:lang w:val="fr-CA" w:eastAsia="en-CA"/>
        </w:rPr>
      </w:pPr>
      <w:r w:rsidRPr="009B4689">
        <w:rPr>
          <w:rFonts w:eastAsia="Times New Roman" w:cs="Times New Roman"/>
          <w:sz w:val="20"/>
          <w:szCs w:val="20"/>
          <w:lang w:val="fr-CA" w:eastAsia="en-CA"/>
        </w:rPr>
        <w:lastRenderedPageBreak/>
        <w:t>0</w:t>
      </w:r>
      <w:r>
        <w:rPr>
          <w:rFonts w:eastAsia="Times New Roman" w:cs="Times New Roman"/>
          <w:sz w:val="20"/>
          <w:szCs w:val="20"/>
          <w:lang w:val="fr-CA" w:eastAsia="en-CA"/>
        </w:rPr>
        <w:t>5</w:t>
      </w:r>
      <w:r w:rsidRPr="009B4689">
        <w:rPr>
          <w:rFonts w:eastAsia="Times New Roman" w:cs="Times New Roman"/>
          <w:sz w:val="20"/>
          <w:szCs w:val="20"/>
          <w:lang w:val="fr-CA" w:eastAsia="en-CA"/>
        </w:rPr>
        <w:t>.12.2017</w:t>
      </w:r>
    </w:p>
    <w:p w:rsidR="009B4689" w:rsidRPr="009B4689" w:rsidRDefault="009B4689" w:rsidP="009B4689">
      <w:pPr>
        <w:widowControl w:val="0"/>
        <w:rPr>
          <w:rFonts w:eastAsia="Times New Roman" w:cs="Times New Roman"/>
          <w:sz w:val="20"/>
          <w:szCs w:val="20"/>
          <w:lang w:val="fr-CA" w:eastAsia="en-CA"/>
        </w:rPr>
      </w:pPr>
    </w:p>
    <w:p w:rsidR="009B4689" w:rsidRDefault="009B4689" w:rsidP="009B4689">
      <w:pPr>
        <w:widowControl w:val="0"/>
        <w:rPr>
          <w:rFonts w:eastAsia="Times New Roman" w:cs="Times New Roman"/>
          <w:sz w:val="20"/>
          <w:szCs w:val="20"/>
          <w:lang w:val="fr-CA" w:eastAsia="en-CA"/>
        </w:rPr>
      </w:pPr>
      <w:proofErr w:type="spellStart"/>
      <w:r w:rsidRPr="009B4689">
        <w:rPr>
          <w:rFonts w:eastAsia="Times New Roman" w:cs="Times New Roman"/>
          <w:sz w:val="20"/>
          <w:szCs w:val="20"/>
          <w:lang w:val="fr-CA" w:eastAsia="en-CA"/>
        </w:rPr>
        <w:t>Before</w:t>
      </w:r>
      <w:proofErr w:type="spellEnd"/>
      <w:r w:rsidRPr="009B4689">
        <w:rPr>
          <w:rFonts w:eastAsia="Times New Roman" w:cs="Times New Roman"/>
          <w:sz w:val="20"/>
          <w:szCs w:val="20"/>
          <w:lang w:val="fr-CA" w:eastAsia="en-CA"/>
        </w:rPr>
        <w:t xml:space="preserve"> / Devant: ROWE J. / LE JUGE ROWE</w:t>
      </w:r>
    </w:p>
    <w:p w:rsidR="009B4689" w:rsidRDefault="009B4689" w:rsidP="009B4689">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1"/>
        <w:gridCol w:w="1138"/>
        <w:gridCol w:w="4223"/>
      </w:tblGrid>
      <w:tr w:rsidR="009B4689" w:rsidRPr="009B4689" w:rsidTr="009B4689">
        <w:tc>
          <w:tcPr>
            <w:tcW w:w="4258" w:type="dxa"/>
            <w:gridSpan w:val="2"/>
          </w:tcPr>
          <w:p w:rsidR="009B4689" w:rsidRPr="009B4689" w:rsidRDefault="009B4689" w:rsidP="009B4689">
            <w:pPr>
              <w:rPr>
                <w:b/>
                <w:sz w:val="20"/>
                <w:szCs w:val="20"/>
              </w:rPr>
            </w:pPr>
            <w:r w:rsidRPr="009B4689">
              <w:rPr>
                <w:b/>
                <w:sz w:val="20"/>
                <w:szCs w:val="20"/>
              </w:rPr>
              <w:t>Motions for leave to intervene</w:t>
            </w:r>
            <w:r w:rsidRPr="009B4689">
              <w:rPr>
                <w:sz w:val="20"/>
                <w:szCs w:val="20"/>
              </w:rPr>
              <w:t xml:space="preserve"> </w:t>
            </w:r>
            <w:r w:rsidRPr="009B4689">
              <w:rPr>
                <w:sz w:val="20"/>
                <w:szCs w:val="20"/>
              </w:rPr>
              <w:fldChar w:fldCharType="begin"/>
            </w:r>
            <w:r w:rsidRPr="009B4689">
              <w:rPr>
                <w:sz w:val="20"/>
                <w:szCs w:val="20"/>
              </w:rPr>
              <w:instrText xml:space="preserve"> SEQ CHAPTER \h \r 1</w:instrText>
            </w:r>
            <w:r w:rsidRPr="009B4689">
              <w:rPr>
                <w:sz w:val="20"/>
                <w:szCs w:val="20"/>
              </w:rPr>
              <w:fldChar w:fldCharType="end"/>
            </w:r>
          </w:p>
        </w:tc>
        <w:tc>
          <w:tcPr>
            <w:tcW w:w="1138" w:type="dxa"/>
          </w:tcPr>
          <w:p w:rsidR="009B4689" w:rsidRPr="009B4689" w:rsidRDefault="009B4689" w:rsidP="009B4689">
            <w:pPr>
              <w:rPr>
                <w:sz w:val="20"/>
                <w:szCs w:val="20"/>
              </w:rPr>
            </w:pPr>
          </w:p>
          <w:p w:rsidR="009B4689" w:rsidRPr="009B4689" w:rsidRDefault="009B4689" w:rsidP="009B4689">
            <w:pPr>
              <w:rPr>
                <w:sz w:val="20"/>
                <w:szCs w:val="20"/>
              </w:rPr>
            </w:pPr>
          </w:p>
        </w:tc>
        <w:tc>
          <w:tcPr>
            <w:tcW w:w="4223" w:type="dxa"/>
          </w:tcPr>
          <w:p w:rsidR="009B4689" w:rsidRPr="009B4689" w:rsidRDefault="009B4689" w:rsidP="009B4689">
            <w:pPr>
              <w:rPr>
                <w:b/>
                <w:sz w:val="20"/>
                <w:szCs w:val="20"/>
              </w:rPr>
            </w:pPr>
            <w:r w:rsidRPr="009B4689">
              <w:rPr>
                <w:b/>
                <w:bCs/>
                <w:sz w:val="20"/>
                <w:szCs w:val="20"/>
                <w:lang w:val="fr-CA"/>
              </w:rPr>
              <w:t>Requêtes en autorisation d’intervenir</w:t>
            </w:r>
            <w:r w:rsidRPr="009B4689">
              <w:rPr>
                <w:sz w:val="20"/>
                <w:szCs w:val="20"/>
              </w:rPr>
              <w:t xml:space="preserve"> </w:t>
            </w:r>
            <w:r w:rsidRPr="009B4689">
              <w:rPr>
                <w:sz w:val="20"/>
                <w:szCs w:val="20"/>
              </w:rPr>
              <w:fldChar w:fldCharType="begin"/>
            </w:r>
            <w:r w:rsidRPr="009B4689">
              <w:rPr>
                <w:sz w:val="20"/>
                <w:szCs w:val="20"/>
              </w:rPr>
              <w:instrText xml:space="preserve"> SEQ CHAPTER \h \r 1</w:instrText>
            </w:r>
            <w:r w:rsidRPr="009B4689">
              <w:rPr>
                <w:sz w:val="20"/>
                <w:szCs w:val="20"/>
              </w:rPr>
              <w:fldChar w:fldCharType="end"/>
            </w:r>
          </w:p>
        </w:tc>
      </w:tr>
      <w:tr w:rsidR="009B4689" w:rsidRPr="009B4689" w:rsidTr="009B4689">
        <w:tc>
          <w:tcPr>
            <w:tcW w:w="1347" w:type="dxa"/>
          </w:tcPr>
          <w:p w:rsidR="009B4689" w:rsidRPr="009B4689" w:rsidRDefault="009B4689" w:rsidP="009B4689">
            <w:pPr>
              <w:rPr>
                <w:sz w:val="20"/>
                <w:szCs w:val="20"/>
              </w:rPr>
            </w:pPr>
            <w:r w:rsidRPr="009B4689">
              <w:rPr>
                <w:sz w:val="20"/>
                <w:szCs w:val="20"/>
              </w:rPr>
              <w:t>BY / PAR</w:t>
            </w:r>
          </w:p>
        </w:tc>
        <w:tc>
          <w:tcPr>
            <w:tcW w:w="2911" w:type="dxa"/>
          </w:tcPr>
          <w:p w:rsidR="009B4689" w:rsidRPr="009B4689" w:rsidRDefault="009B4689" w:rsidP="009B4689">
            <w:pPr>
              <w:rPr>
                <w:sz w:val="20"/>
                <w:szCs w:val="20"/>
              </w:rPr>
            </w:pPr>
            <w:r w:rsidRPr="00782891">
              <w:rPr>
                <w:rFonts w:cs="Times New Roman"/>
                <w:bCs/>
                <w:sz w:val="20"/>
                <w:szCs w:val="20"/>
                <w:lang w:val="fr-CA"/>
              </w:rPr>
              <w:t xml:space="preserve">Honorable Serge </w:t>
            </w:r>
            <w:proofErr w:type="spellStart"/>
            <w:r w:rsidRPr="00782891">
              <w:rPr>
                <w:rFonts w:cs="Times New Roman"/>
                <w:bCs/>
                <w:sz w:val="20"/>
                <w:szCs w:val="20"/>
                <w:lang w:val="fr-CA"/>
              </w:rPr>
              <w:t>Joyal</w:t>
            </w:r>
            <w:proofErr w:type="spellEnd"/>
            <w:r w:rsidRPr="00782891">
              <w:rPr>
                <w:rFonts w:cs="Times New Roman"/>
                <w:bCs/>
                <w:sz w:val="20"/>
                <w:szCs w:val="20"/>
                <w:lang w:val="fr-CA"/>
              </w:rPr>
              <w:t xml:space="preserve">, </w:t>
            </w:r>
            <w:proofErr w:type="spellStart"/>
            <w:r w:rsidRPr="00782891">
              <w:rPr>
                <w:rFonts w:cs="Times New Roman"/>
                <w:bCs/>
                <w:sz w:val="20"/>
                <w:szCs w:val="20"/>
                <w:lang w:val="fr-CA"/>
              </w:rPr>
              <w:t>c.p</w:t>
            </w:r>
            <w:proofErr w:type="spellEnd"/>
            <w:r w:rsidRPr="00782891">
              <w:rPr>
                <w:rFonts w:cs="Times New Roman"/>
                <w:bCs/>
                <w:sz w:val="20"/>
                <w:szCs w:val="20"/>
                <w:lang w:val="fr-CA"/>
              </w:rPr>
              <w:t>.</w:t>
            </w:r>
          </w:p>
        </w:tc>
        <w:tc>
          <w:tcPr>
            <w:tcW w:w="1138" w:type="dxa"/>
          </w:tcPr>
          <w:p w:rsidR="009B4689" w:rsidRPr="009B4689" w:rsidRDefault="009B4689" w:rsidP="009B4689">
            <w:pPr>
              <w:rPr>
                <w:sz w:val="20"/>
                <w:szCs w:val="20"/>
              </w:rPr>
            </w:pPr>
          </w:p>
        </w:tc>
        <w:tc>
          <w:tcPr>
            <w:tcW w:w="4223" w:type="dxa"/>
          </w:tcPr>
          <w:p w:rsidR="009B4689" w:rsidRPr="009B4689" w:rsidRDefault="009B4689" w:rsidP="009B4689">
            <w:pPr>
              <w:rPr>
                <w:sz w:val="20"/>
                <w:szCs w:val="20"/>
              </w:rPr>
            </w:pPr>
          </w:p>
        </w:tc>
      </w:tr>
      <w:tr w:rsidR="009B4689" w:rsidRPr="00F964D5" w:rsidTr="009B4689">
        <w:tc>
          <w:tcPr>
            <w:tcW w:w="1347" w:type="dxa"/>
          </w:tcPr>
          <w:p w:rsidR="009B4689" w:rsidRPr="009B4689" w:rsidRDefault="009B4689" w:rsidP="009B4689">
            <w:pPr>
              <w:rPr>
                <w:sz w:val="20"/>
                <w:szCs w:val="20"/>
              </w:rPr>
            </w:pPr>
          </w:p>
        </w:tc>
        <w:tc>
          <w:tcPr>
            <w:tcW w:w="2911" w:type="dxa"/>
          </w:tcPr>
          <w:p w:rsidR="009B4689" w:rsidRPr="009B4689" w:rsidRDefault="009B4689" w:rsidP="009B4689">
            <w:pPr>
              <w:rPr>
                <w:sz w:val="20"/>
                <w:szCs w:val="20"/>
                <w:lang w:val="fr-CA"/>
              </w:rPr>
            </w:pPr>
            <w:r w:rsidRPr="00782891">
              <w:rPr>
                <w:rFonts w:cs="Times New Roman"/>
                <w:bCs/>
                <w:sz w:val="20"/>
                <w:szCs w:val="20"/>
                <w:lang w:val="fr-CA"/>
              </w:rPr>
              <w:t>Président de l’Assemblée législative de l’Ontario</w:t>
            </w:r>
          </w:p>
        </w:tc>
        <w:tc>
          <w:tcPr>
            <w:tcW w:w="1138" w:type="dxa"/>
          </w:tcPr>
          <w:p w:rsidR="009B4689" w:rsidRPr="009B4689" w:rsidRDefault="009B4689" w:rsidP="009B4689">
            <w:pPr>
              <w:rPr>
                <w:sz w:val="20"/>
                <w:szCs w:val="20"/>
                <w:lang w:val="fr-CA"/>
              </w:rPr>
            </w:pPr>
          </w:p>
        </w:tc>
        <w:tc>
          <w:tcPr>
            <w:tcW w:w="4223" w:type="dxa"/>
          </w:tcPr>
          <w:p w:rsidR="009B4689" w:rsidRPr="009B4689" w:rsidRDefault="009B4689" w:rsidP="009B4689">
            <w:pPr>
              <w:rPr>
                <w:sz w:val="20"/>
                <w:szCs w:val="20"/>
                <w:lang w:val="fr-CA"/>
              </w:rPr>
            </w:pPr>
          </w:p>
        </w:tc>
      </w:tr>
      <w:tr w:rsidR="009B4689" w:rsidRPr="00F964D5" w:rsidTr="009B4689">
        <w:tc>
          <w:tcPr>
            <w:tcW w:w="1347" w:type="dxa"/>
          </w:tcPr>
          <w:p w:rsidR="009B4689" w:rsidRPr="009B4689" w:rsidRDefault="009B4689" w:rsidP="009B4689">
            <w:pPr>
              <w:rPr>
                <w:sz w:val="20"/>
                <w:szCs w:val="20"/>
                <w:lang w:val="fr-CA"/>
              </w:rPr>
            </w:pPr>
          </w:p>
        </w:tc>
        <w:tc>
          <w:tcPr>
            <w:tcW w:w="2911" w:type="dxa"/>
          </w:tcPr>
          <w:p w:rsidR="009B4689" w:rsidRPr="009B4689" w:rsidRDefault="009B4689" w:rsidP="009B4689">
            <w:pPr>
              <w:rPr>
                <w:sz w:val="20"/>
                <w:szCs w:val="20"/>
                <w:lang w:val="fr-CA"/>
              </w:rPr>
            </w:pPr>
          </w:p>
        </w:tc>
        <w:tc>
          <w:tcPr>
            <w:tcW w:w="1138" w:type="dxa"/>
          </w:tcPr>
          <w:p w:rsidR="009B4689" w:rsidRPr="009B4689" w:rsidRDefault="009B4689" w:rsidP="009B4689">
            <w:pPr>
              <w:rPr>
                <w:sz w:val="20"/>
                <w:szCs w:val="20"/>
                <w:lang w:val="fr-CA"/>
              </w:rPr>
            </w:pPr>
          </w:p>
        </w:tc>
        <w:tc>
          <w:tcPr>
            <w:tcW w:w="4223" w:type="dxa"/>
          </w:tcPr>
          <w:p w:rsidR="009B4689" w:rsidRPr="009B4689" w:rsidRDefault="009B4689" w:rsidP="009B4689">
            <w:pPr>
              <w:rPr>
                <w:sz w:val="20"/>
                <w:szCs w:val="20"/>
                <w:lang w:val="fr-CA"/>
              </w:rPr>
            </w:pPr>
          </w:p>
        </w:tc>
      </w:tr>
      <w:tr w:rsidR="009B4689" w:rsidRPr="00F964D5" w:rsidTr="009B4689">
        <w:tc>
          <w:tcPr>
            <w:tcW w:w="1347" w:type="dxa"/>
          </w:tcPr>
          <w:p w:rsidR="009B4689" w:rsidRPr="009B4689" w:rsidRDefault="009B4689" w:rsidP="009B4689">
            <w:pPr>
              <w:rPr>
                <w:sz w:val="20"/>
                <w:szCs w:val="20"/>
              </w:rPr>
            </w:pPr>
            <w:r w:rsidRPr="009B4689">
              <w:rPr>
                <w:sz w:val="20"/>
                <w:szCs w:val="20"/>
              </w:rPr>
              <w:t>IN / DANS :</w:t>
            </w:r>
          </w:p>
        </w:tc>
        <w:tc>
          <w:tcPr>
            <w:tcW w:w="2911" w:type="dxa"/>
          </w:tcPr>
          <w:p w:rsidR="009B4689" w:rsidRPr="009B4689" w:rsidRDefault="009B4689" w:rsidP="009B4689">
            <w:pPr>
              <w:rPr>
                <w:sz w:val="20"/>
                <w:szCs w:val="20"/>
                <w:lang w:val="fr-CA"/>
              </w:rPr>
            </w:pPr>
            <w:r w:rsidRPr="009B4689">
              <w:rPr>
                <w:sz w:val="20"/>
                <w:szCs w:val="20"/>
                <w:lang w:val="fr-CA"/>
              </w:rPr>
              <w:t>Jacques Chagnon, ès qualités de président de l’assemblée nationale du Québec</w:t>
            </w:r>
          </w:p>
          <w:p w:rsidR="009B4689" w:rsidRDefault="009B4689" w:rsidP="009B4689">
            <w:pPr>
              <w:rPr>
                <w:sz w:val="20"/>
                <w:szCs w:val="20"/>
                <w:lang w:val="fr-CA"/>
              </w:rPr>
            </w:pPr>
          </w:p>
          <w:p w:rsidR="009B4689" w:rsidRDefault="009B4689" w:rsidP="009B4689">
            <w:pPr>
              <w:rPr>
                <w:sz w:val="20"/>
                <w:szCs w:val="20"/>
                <w:lang w:val="fr-CA"/>
              </w:rPr>
            </w:pPr>
            <w:r>
              <w:rPr>
                <w:sz w:val="20"/>
                <w:szCs w:val="20"/>
                <w:lang w:val="fr-CA"/>
              </w:rPr>
              <w:tab/>
              <w:t>c. (37543)</w:t>
            </w:r>
          </w:p>
          <w:p w:rsidR="009B4689" w:rsidRDefault="009B4689" w:rsidP="009B4689">
            <w:pPr>
              <w:rPr>
                <w:sz w:val="20"/>
                <w:szCs w:val="20"/>
                <w:lang w:val="fr-CA"/>
              </w:rPr>
            </w:pPr>
          </w:p>
          <w:p w:rsidR="009B4689" w:rsidRPr="009B4689" w:rsidRDefault="009B4689" w:rsidP="009B4689">
            <w:pPr>
              <w:rPr>
                <w:sz w:val="20"/>
                <w:szCs w:val="20"/>
                <w:lang w:val="fr-CA"/>
              </w:rPr>
            </w:pPr>
            <w:r>
              <w:rPr>
                <w:sz w:val="20"/>
                <w:szCs w:val="20"/>
                <w:lang w:val="fr-CA"/>
              </w:rPr>
              <w:t>Syndicat de la fonction publique et parapublique du Québec (SFPQ)</w:t>
            </w:r>
          </w:p>
        </w:tc>
        <w:tc>
          <w:tcPr>
            <w:tcW w:w="1138" w:type="dxa"/>
          </w:tcPr>
          <w:p w:rsidR="009B4689" w:rsidRPr="009B4689" w:rsidRDefault="009B4689" w:rsidP="009B4689">
            <w:pPr>
              <w:rPr>
                <w:sz w:val="20"/>
                <w:szCs w:val="20"/>
                <w:lang w:val="fr-CA"/>
              </w:rPr>
            </w:pPr>
          </w:p>
        </w:tc>
        <w:tc>
          <w:tcPr>
            <w:tcW w:w="4223" w:type="dxa"/>
          </w:tcPr>
          <w:p w:rsidR="009B4689" w:rsidRPr="009B4689" w:rsidRDefault="009B4689" w:rsidP="009B4689">
            <w:pPr>
              <w:rPr>
                <w:sz w:val="20"/>
                <w:szCs w:val="20"/>
                <w:lang w:val="fr-CA"/>
              </w:rPr>
            </w:pPr>
          </w:p>
        </w:tc>
      </w:tr>
    </w:tbl>
    <w:p w:rsidR="009B4689" w:rsidRDefault="009B4689" w:rsidP="009B4689">
      <w:pPr>
        <w:widowControl w:val="0"/>
        <w:rPr>
          <w:rFonts w:eastAsia="Times New Roman" w:cs="Times New Roman"/>
          <w:sz w:val="20"/>
          <w:szCs w:val="20"/>
          <w:lang w:val="fr-CA" w:eastAsia="en-CA"/>
        </w:rPr>
      </w:pPr>
    </w:p>
    <w:p w:rsidR="009B4689" w:rsidRDefault="009B4689" w:rsidP="009B4689">
      <w:pPr>
        <w:widowControl w:val="0"/>
        <w:rPr>
          <w:rFonts w:eastAsia="Times New Roman" w:cs="Times New Roman"/>
          <w:b/>
          <w:sz w:val="20"/>
          <w:szCs w:val="20"/>
          <w:lang w:val="fr-CA" w:eastAsia="en-CA"/>
        </w:rPr>
      </w:pPr>
      <w:r>
        <w:rPr>
          <w:rFonts w:eastAsia="Times New Roman" w:cs="Times New Roman"/>
          <w:b/>
          <w:sz w:val="20"/>
          <w:szCs w:val="20"/>
          <w:lang w:val="fr-CA" w:eastAsia="en-CA"/>
        </w:rPr>
        <w:t>GRANTED / ACCORDÉES</w:t>
      </w:r>
    </w:p>
    <w:p w:rsidR="009B4689" w:rsidRDefault="009B4689" w:rsidP="009B4689">
      <w:pPr>
        <w:widowControl w:val="0"/>
        <w:rPr>
          <w:rFonts w:eastAsia="Times New Roman" w:cs="Times New Roman"/>
          <w:b/>
          <w:sz w:val="20"/>
          <w:szCs w:val="20"/>
          <w:lang w:val="fr-CA" w:eastAsia="en-CA"/>
        </w:rPr>
      </w:pPr>
    </w:p>
    <w:p w:rsidR="009B4689" w:rsidRPr="00782891" w:rsidRDefault="009B4689" w:rsidP="009B4689">
      <w:pPr>
        <w:spacing w:line="232" w:lineRule="auto"/>
        <w:rPr>
          <w:rFonts w:cs="Times New Roman"/>
          <w:sz w:val="20"/>
          <w:szCs w:val="20"/>
          <w:lang w:val="fr-CA"/>
        </w:rPr>
      </w:pPr>
      <w:r w:rsidRPr="00782891">
        <w:rPr>
          <w:rFonts w:cs="Times New Roman"/>
          <w:b/>
          <w:bCs/>
          <w:sz w:val="20"/>
          <w:szCs w:val="20"/>
          <w:lang w:val="fr-CA"/>
        </w:rPr>
        <w:t xml:space="preserve">À LA SUITE DES DEMANDES </w:t>
      </w:r>
      <w:r w:rsidRPr="00782891">
        <w:rPr>
          <w:rFonts w:cs="Times New Roman"/>
          <w:bCs/>
          <w:sz w:val="20"/>
          <w:szCs w:val="20"/>
          <w:lang w:val="fr-CA"/>
        </w:rPr>
        <w:t xml:space="preserve">présentées par l’Honorable Serge </w:t>
      </w:r>
      <w:proofErr w:type="spellStart"/>
      <w:r w:rsidRPr="00782891">
        <w:rPr>
          <w:rFonts w:cs="Times New Roman"/>
          <w:bCs/>
          <w:sz w:val="20"/>
          <w:szCs w:val="20"/>
          <w:lang w:val="fr-CA"/>
        </w:rPr>
        <w:t>Joyal</w:t>
      </w:r>
      <w:proofErr w:type="spellEnd"/>
      <w:r w:rsidRPr="00782891">
        <w:rPr>
          <w:rFonts w:cs="Times New Roman"/>
          <w:bCs/>
          <w:sz w:val="20"/>
          <w:szCs w:val="20"/>
          <w:lang w:val="fr-CA"/>
        </w:rPr>
        <w:t xml:space="preserve">, </w:t>
      </w:r>
      <w:proofErr w:type="spellStart"/>
      <w:r w:rsidRPr="00782891">
        <w:rPr>
          <w:rFonts w:cs="Times New Roman"/>
          <w:bCs/>
          <w:sz w:val="20"/>
          <w:szCs w:val="20"/>
          <w:lang w:val="fr-CA"/>
        </w:rPr>
        <w:t>c.p</w:t>
      </w:r>
      <w:proofErr w:type="spellEnd"/>
      <w:r w:rsidRPr="00782891">
        <w:rPr>
          <w:rFonts w:cs="Times New Roman"/>
          <w:bCs/>
          <w:sz w:val="20"/>
          <w:szCs w:val="20"/>
          <w:lang w:val="fr-CA"/>
        </w:rPr>
        <w:t>. et le Président de l’Assemblée législative de l’Ontario en vue d’intervenir dans l’appel</w:t>
      </w:r>
      <w:r w:rsidRPr="00782891">
        <w:rPr>
          <w:rFonts w:cs="Times New Roman"/>
          <w:sz w:val="20"/>
          <w:szCs w:val="20"/>
          <w:lang w:val="fr-CA"/>
        </w:rPr>
        <w:t>;</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spacing w:line="232" w:lineRule="auto"/>
        <w:rPr>
          <w:rFonts w:cs="Times New Roman"/>
          <w:sz w:val="20"/>
          <w:szCs w:val="20"/>
          <w:lang w:val="fr-CA"/>
        </w:rPr>
      </w:pPr>
      <w:r w:rsidRPr="00782891">
        <w:rPr>
          <w:rFonts w:cs="Times New Roman"/>
          <w:b/>
          <w:bCs/>
          <w:sz w:val="20"/>
          <w:szCs w:val="20"/>
          <w:lang w:val="fr-CA"/>
        </w:rPr>
        <w:t xml:space="preserve">ET APRÈS EXAMEN </w:t>
      </w:r>
      <w:r w:rsidRPr="00782891">
        <w:rPr>
          <w:rFonts w:cs="Times New Roman"/>
          <w:bCs/>
          <w:sz w:val="20"/>
          <w:szCs w:val="20"/>
          <w:lang w:val="fr-CA"/>
        </w:rPr>
        <w:t>des documents déposés</w:t>
      </w:r>
      <w:r w:rsidRPr="00782891">
        <w:rPr>
          <w:rFonts w:cs="Times New Roman"/>
          <w:sz w:val="20"/>
          <w:szCs w:val="20"/>
          <w:lang w:val="fr-CA"/>
        </w:rPr>
        <w:t>;</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spacing w:line="232" w:lineRule="auto"/>
        <w:rPr>
          <w:rFonts w:cs="Times New Roman"/>
          <w:sz w:val="20"/>
          <w:szCs w:val="20"/>
          <w:lang w:val="fr-CA"/>
        </w:rPr>
      </w:pPr>
      <w:r w:rsidRPr="00782891">
        <w:rPr>
          <w:rFonts w:cs="Times New Roman"/>
          <w:b/>
          <w:bCs/>
          <w:sz w:val="20"/>
          <w:szCs w:val="20"/>
          <w:lang w:val="fr-CA"/>
        </w:rPr>
        <w:t>IL EST ORDONNÉ CE QUI SUIT :</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spacing w:line="232" w:lineRule="auto"/>
        <w:rPr>
          <w:rFonts w:cs="Times New Roman"/>
          <w:sz w:val="20"/>
          <w:szCs w:val="20"/>
          <w:lang w:val="fr-CA"/>
        </w:rPr>
      </w:pPr>
      <w:r w:rsidRPr="00782891">
        <w:rPr>
          <w:rFonts w:cs="Times New Roman"/>
          <w:sz w:val="20"/>
          <w:szCs w:val="20"/>
          <w:lang w:val="fr-CA"/>
        </w:rPr>
        <w:t>Les requêtes en autorisation d’intervenir sont accueillies.</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spacing w:line="233" w:lineRule="auto"/>
        <w:rPr>
          <w:rFonts w:cs="Times New Roman"/>
          <w:sz w:val="20"/>
          <w:szCs w:val="20"/>
          <w:lang w:val="fr-CA"/>
        </w:rPr>
      </w:pPr>
      <w:r w:rsidRPr="00782891">
        <w:rPr>
          <w:rFonts w:cs="Times New Roman"/>
          <w:bCs/>
          <w:sz w:val="20"/>
          <w:szCs w:val="20"/>
          <w:lang w:val="fr-CA"/>
        </w:rPr>
        <w:t xml:space="preserve">L’Honorable Serge </w:t>
      </w:r>
      <w:proofErr w:type="spellStart"/>
      <w:r w:rsidRPr="00782891">
        <w:rPr>
          <w:rFonts w:cs="Times New Roman"/>
          <w:bCs/>
          <w:sz w:val="20"/>
          <w:szCs w:val="20"/>
          <w:lang w:val="fr-CA"/>
        </w:rPr>
        <w:t>Joyal</w:t>
      </w:r>
      <w:proofErr w:type="spellEnd"/>
      <w:r w:rsidRPr="00782891">
        <w:rPr>
          <w:rFonts w:cs="Times New Roman"/>
          <w:bCs/>
          <w:sz w:val="20"/>
          <w:szCs w:val="20"/>
          <w:lang w:val="fr-CA"/>
        </w:rPr>
        <w:t xml:space="preserve">, </w:t>
      </w:r>
      <w:proofErr w:type="spellStart"/>
      <w:r w:rsidRPr="00782891">
        <w:rPr>
          <w:rFonts w:cs="Times New Roman"/>
          <w:bCs/>
          <w:sz w:val="20"/>
          <w:szCs w:val="20"/>
          <w:lang w:val="fr-CA"/>
        </w:rPr>
        <w:t>c.p</w:t>
      </w:r>
      <w:proofErr w:type="spellEnd"/>
      <w:r w:rsidRPr="00782891">
        <w:rPr>
          <w:rFonts w:cs="Times New Roman"/>
          <w:bCs/>
          <w:sz w:val="20"/>
          <w:szCs w:val="20"/>
          <w:lang w:val="fr-CA"/>
        </w:rPr>
        <w:t>.</w:t>
      </w:r>
      <w:r w:rsidRPr="00782891">
        <w:rPr>
          <w:rFonts w:cs="Times New Roman"/>
          <w:sz w:val="20"/>
          <w:szCs w:val="20"/>
          <w:lang w:val="fr-CA"/>
        </w:rPr>
        <w:t xml:space="preserve"> pourra signifier et déposer un mémoire d’au plus dix (10) pages au plus tard le 5 février 2018 et aura le droit de présenter une plaidoirie orale d’au plus cinq (5) minutes lors de l’audition de l’appel.</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spacing w:line="233" w:lineRule="auto"/>
        <w:rPr>
          <w:rFonts w:cs="Times New Roman"/>
          <w:sz w:val="20"/>
          <w:szCs w:val="20"/>
          <w:lang w:val="fr-CA"/>
        </w:rPr>
      </w:pPr>
      <w:r w:rsidRPr="00782891">
        <w:rPr>
          <w:rFonts w:cs="Times New Roman"/>
          <w:bCs/>
          <w:sz w:val="20"/>
          <w:szCs w:val="20"/>
          <w:lang w:val="fr-CA"/>
        </w:rPr>
        <w:t>Le Président de l’Assemblée législative de l’Ontario</w:t>
      </w:r>
      <w:r w:rsidRPr="00782891">
        <w:rPr>
          <w:rFonts w:cs="Times New Roman"/>
          <w:sz w:val="20"/>
          <w:szCs w:val="20"/>
          <w:lang w:val="fr-CA"/>
        </w:rPr>
        <w:t xml:space="preserve"> pourra signifier et déposer un mémoire d’au plus vingt (20) pages au plus tard le 5 février 2018 et aura le droit de présenter une plaidoirie orale d’au plus cinq (5) minutes lors de l’audition de l’appel.</w:t>
      </w:r>
    </w:p>
    <w:p w:rsidR="009B4689" w:rsidRPr="00782891" w:rsidRDefault="009B4689" w:rsidP="009B4689">
      <w:pPr>
        <w:spacing w:line="233" w:lineRule="auto"/>
        <w:rPr>
          <w:rFonts w:cs="Times New Roman"/>
          <w:sz w:val="20"/>
          <w:szCs w:val="20"/>
          <w:lang w:val="fr-CA"/>
        </w:rPr>
      </w:pPr>
    </w:p>
    <w:p w:rsidR="009B4689" w:rsidRPr="009B4689" w:rsidRDefault="009B4689" w:rsidP="009B4689">
      <w:pPr>
        <w:spacing w:line="232" w:lineRule="auto"/>
        <w:rPr>
          <w:rFonts w:cs="Times New Roman"/>
          <w:sz w:val="20"/>
          <w:szCs w:val="20"/>
          <w:lang w:val="fr-CA"/>
        </w:rPr>
      </w:pPr>
      <w:r w:rsidRPr="009B4689">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9B4689">
        <w:rPr>
          <w:rFonts w:cs="Times New Roman"/>
          <w:sz w:val="20"/>
          <w:szCs w:val="20"/>
        </w:rPr>
        <w:fldChar w:fldCharType="begin"/>
      </w:r>
      <w:r w:rsidRPr="009B4689">
        <w:rPr>
          <w:rFonts w:cs="Times New Roman"/>
          <w:sz w:val="20"/>
          <w:szCs w:val="20"/>
          <w:lang w:val="fr-CA"/>
        </w:rPr>
        <w:instrText xml:space="preserve"> SEQ CHAPTER \h \r 1</w:instrText>
      </w:r>
      <w:r w:rsidRPr="009B4689">
        <w:rPr>
          <w:rFonts w:cs="Times New Roman"/>
          <w:sz w:val="20"/>
          <w:szCs w:val="20"/>
        </w:rPr>
        <w:fldChar w:fldCharType="end"/>
      </w:r>
      <w:r w:rsidRPr="009B4689">
        <w:rPr>
          <w:rFonts w:cs="Times New Roman"/>
          <w:bCs/>
          <w:sz w:val="20"/>
          <w:szCs w:val="20"/>
          <w:lang w:val="fr-CA"/>
        </w:rPr>
        <w:t>parties.</w:t>
      </w:r>
    </w:p>
    <w:p w:rsidR="009B4689" w:rsidRPr="00782891" w:rsidRDefault="009B4689" w:rsidP="009B4689">
      <w:pPr>
        <w:spacing w:line="232" w:lineRule="auto"/>
        <w:rPr>
          <w:rFonts w:cs="Times New Roman"/>
          <w:sz w:val="20"/>
          <w:szCs w:val="20"/>
          <w:lang w:val="fr-CA"/>
        </w:rPr>
      </w:pPr>
    </w:p>
    <w:p w:rsidR="009B4689" w:rsidRPr="00782891" w:rsidRDefault="009B4689" w:rsidP="009B4689">
      <w:pPr>
        <w:rPr>
          <w:rFonts w:cs="Times New Roman"/>
          <w:sz w:val="20"/>
          <w:szCs w:val="20"/>
          <w:lang w:val="fr-FR"/>
        </w:rPr>
      </w:pPr>
      <w:r w:rsidRPr="00782891">
        <w:rPr>
          <w:rFonts w:cs="Times New Roman"/>
          <w:sz w:val="20"/>
          <w:szCs w:val="20"/>
          <w:lang w:val="fr-FR"/>
        </w:rPr>
        <w:t>Conformément à l’alinéa 59(1)</w:t>
      </w:r>
      <w:r w:rsidRPr="00782891">
        <w:rPr>
          <w:rFonts w:cs="Times New Roman"/>
          <w:i/>
          <w:sz w:val="20"/>
          <w:szCs w:val="20"/>
          <w:lang w:val="fr-FR"/>
        </w:rPr>
        <w:t>a</w:t>
      </w:r>
      <w:r w:rsidRPr="00782891">
        <w:rPr>
          <w:rFonts w:cs="Times New Roman"/>
          <w:sz w:val="20"/>
          <w:szCs w:val="20"/>
          <w:lang w:val="fr-FR"/>
        </w:rPr>
        <w:t xml:space="preserve">) des </w:t>
      </w:r>
      <w:r w:rsidRPr="00782891">
        <w:rPr>
          <w:rFonts w:cs="Times New Roman"/>
          <w:i/>
          <w:sz w:val="20"/>
          <w:szCs w:val="20"/>
          <w:lang w:val="fr-FR"/>
        </w:rPr>
        <w:t>Règles de la Cour suprême du Canada</w:t>
      </w:r>
      <w:r w:rsidRPr="00782891">
        <w:rPr>
          <w:rFonts w:cs="Times New Roman"/>
          <w:sz w:val="20"/>
          <w:szCs w:val="20"/>
          <w:lang w:val="fr-FR"/>
        </w:rPr>
        <w:t>, les intervenants paieront à l’appelant et à l’intimé tous débours supplémentaires résultant de leurs interventions.</w:t>
      </w:r>
    </w:p>
    <w:p w:rsidR="009B4689" w:rsidRPr="00782891" w:rsidRDefault="009B4689" w:rsidP="009B4689">
      <w:pPr>
        <w:spacing w:line="228" w:lineRule="auto"/>
        <w:rPr>
          <w:sz w:val="20"/>
          <w:szCs w:val="20"/>
          <w:lang w:val="fr-CA"/>
        </w:rPr>
      </w:pPr>
    </w:p>
    <w:p w:rsidR="009B4689" w:rsidRPr="00782891" w:rsidRDefault="009B4689" w:rsidP="009B4689">
      <w:pPr>
        <w:spacing w:line="228" w:lineRule="auto"/>
        <w:rPr>
          <w:sz w:val="20"/>
          <w:szCs w:val="20"/>
          <w:lang w:val="fr-CA"/>
        </w:rPr>
      </w:pPr>
    </w:p>
    <w:p w:rsidR="009B4689" w:rsidRPr="00782891" w:rsidRDefault="009B4689" w:rsidP="009B4689">
      <w:pPr>
        <w:spacing w:line="228" w:lineRule="auto"/>
        <w:rPr>
          <w:rFonts w:cs="Times New Roman"/>
          <w:b/>
          <w:bCs/>
          <w:sz w:val="20"/>
          <w:szCs w:val="20"/>
          <w:lang w:val="fr-CA"/>
        </w:rPr>
      </w:pPr>
    </w:p>
    <w:p w:rsidR="009B4689" w:rsidRPr="00782891" w:rsidRDefault="009B4689" w:rsidP="009B4689">
      <w:pPr>
        <w:spacing w:line="232" w:lineRule="auto"/>
        <w:rPr>
          <w:rFonts w:cs="Times New Roman"/>
          <w:sz w:val="20"/>
          <w:szCs w:val="20"/>
        </w:rPr>
      </w:pPr>
      <w:r w:rsidRPr="00782891">
        <w:rPr>
          <w:rFonts w:cs="Times New Roman"/>
          <w:b/>
          <w:bCs/>
          <w:sz w:val="20"/>
          <w:szCs w:val="20"/>
        </w:rPr>
        <w:t xml:space="preserve">UPON APPLICATIONS </w:t>
      </w:r>
      <w:r w:rsidRPr="00782891">
        <w:rPr>
          <w:rFonts w:cs="Times New Roman"/>
          <w:sz w:val="20"/>
          <w:szCs w:val="20"/>
        </w:rPr>
        <w:t xml:space="preserve">by the Honourable Serge </w:t>
      </w:r>
      <w:proofErr w:type="spellStart"/>
      <w:r w:rsidRPr="00782891">
        <w:rPr>
          <w:rFonts w:cs="Times New Roman"/>
          <w:sz w:val="20"/>
          <w:szCs w:val="20"/>
        </w:rPr>
        <w:t>Joyal</w:t>
      </w:r>
      <w:proofErr w:type="spellEnd"/>
      <w:r w:rsidRPr="00782891">
        <w:rPr>
          <w:rFonts w:cs="Times New Roman"/>
          <w:sz w:val="20"/>
          <w:szCs w:val="20"/>
        </w:rPr>
        <w:t>, P.C. and the Speaker of the Legislative Assembly of Ontario for leave to intervene in the above appeal;</w:t>
      </w:r>
    </w:p>
    <w:p w:rsidR="009B4689" w:rsidRPr="00782891" w:rsidRDefault="009B4689" w:rsidP="009B4689">
      <w:pPr>
        <w:spacing w:line="232" w:lineRule="auto"/>
        <w:rPr>
          <w:rFonts w:cs="Times New Roman"/>
          <w:sz w:val="20"/>
          <w:szCs w:val="20"/>
        </w:rPr>
      </w:pPr>
    </w:p>
    <w:p w:rsidR="009B4689" w:rsidRPr="00782891" w:rsidRDefault="009B4689" w:rsidP="009B4689">
      <w:pPr>
        <w:spacing w:line="232" w:lineRule="auto"/>
        <w:rPr>
          <w:rFonts w:cs="Times New Roman"/>
          <w:sz w:val="20"/>
          <w:szCs w:val="20"/>
        </w:rPr>
      </w:pPr>
      <w:r w:rsidRPr="00782891">
        <w:rPr>
          <w:rFonts w:cs="Times New Roman"/>
          <w:b/>
          <w:bCs/>
          <w:sz w:val="20"/>
          <w:szCs w:val="20"/>
        </w:rPr>
        <w:t>AND THE MATERIAL FILED</w:t>
      </w:r>
      <w:r w:rsidRPr="00782891">
        <w:rPr>
          <w:rFonts w:cs="Times New Roman"/>
          <w:sz w:val="20"/>
          <w:szCs w:val="20"/>
        </w:rPr>
        <w:t xml:space="preserve"> having been read;</w:t>
      </w:r>
    </w:p>
    <w:p w:rsidR="009B4689" w:rsidRPr="00782891" w:rsidRDefault="009B4689" w:rsidP="00B670E4">
      <w:pPr>
        <w:spacing w:line="232" w:lineRule="auto"/>
        <w:rPr>
          <w:rFonts w:cs="Times New Roman"/>
          <w:sz w:val="20"/>
          <w:szCs w:val="20"/>
        </w:rPr>
      </w:pPr>
    </w:p>
    <w:p w:rsidR="009B4689" w:rsidRPr="00782891" w:rsidRDefault="009B4689" w:rsidP="009B4689">
      <w:pPr>
        <w:spacing w:line="232" w:lineRule="auto"/>
        <w:rPr>
          <w:rFonts w:cs="Times New Roman"/>
          <w:b/>
          <w:bCs/>
          <w:sz w:val="20"/>
          <w:szCs w:val="20"/>
        </w:rPr>
      </w:pPr>
      <w:r w:rsidRPr="00782891">
        <w:rPr>
          <w:rFonts w:cs="Times New Roman"/>
          <w:b/>
          <w:bCs/>
          <w:sz w:val="20"/>
          <w:szCs w:val="20"/>
        </w:rPr>
        <w:t>IT IS HEREBY ORDERED THAT:</w:t>
      </w:r>
    </w:p>
    <w:p w:rsidR="009B4689" w:rsidRPr="00782891" w:rsidRDefault="009B4689" w:rsidP="009B4689">
      <w:pPr>
        <w:spacing w:line="228" w:lineRule="auto"/>
        <w:rPr>
          <w:rFonts w:cs="Times New Roman"/>
          <w:sz w:val="20"/>
          <w:szCs w:val="20"/>
        </w:rPr>
      </w:pPr>
    </w:p>
    <w:p w:rsidR="009B4689" w:rsidRPr="00782891" w:rsidRDefault="009B4689" w:rsidP="009B4689">
      <w:pPr>
        <w:spacing w:line="228" w:lineRule="auto"/>
        <w:rPr>
          <w:rFonts w:cs="Times New Roman"/>
          <w:sz w:val="20"/>
          <w:szCs w:val="20"/>
        </w:rPr>
      </w:pPr>
      <w:r w:rsidRPr="00782891">
        <w:rPr>
          <w:rFonts w:cs="Times New Roman"/>
          <w:sz w:val="20"/>
          <w:szCs w:val="20"/>
        </w:rPr>
        <w:t xml:space="preserve">The motions for leave to intervene are granted. </w:t>
      </w:r>
    </w:p>
    <w:p w:rsidR="009B4689" w:rsidRPr="00782891" w:rsidRDefault="009B4689" w:rsidP="009B4689">
      <w:pPr>
        <w:spacing w:line="228" w:lineRule="auto"/>
        <w:rPr>
          <w:rFonts w:cs="Times New Roman"/>
          <w:sz w:val="20"/>
          <w:szCs w:val="20"/>
        </w:rPr>
      </w:pPr>
    </w:p>
    <w:p w:rsidR="009B4689" w:rsidRPr="00782891" w:rsidRDefault="009B4689" w:rsidP="009B4689">
      <w:pPr>
        <w:spacing w:line="228" w:lineRule="auto"/>
        <w:rPr>
          <w:rFonts w:cs="Times New Roman"/>
          <w:sz w:val="20"/>
          <w:szCs w:val="20"/>
        </w:rPr>
      </w:pPr>
      <w:r w:rsidRPr="00782891">
        <w:rPr>
          <w:rFonts w:cs="Times New Roman"/>
          <w:sz w:val="20"/>
          <w:szCs w:val="20"/>
        </w:rPr>
        <w:lastRenderedPageBreak/>
        <w:t xml:space="preserve">The Honourable Serge </w:t>
      </w:r>
      <w:proofErr w:type="spellStart"/>
      <w:r w:rsidRPr="00782891">
        <w:rPr>
          <w:rFonts w:cs="Times New Roman"/>
          <w:sz w:val="20"/>
          <w:szCs w:val="20"/>
        </w:rPr>
        <w:t>Joyal</w:t>
      </w:r>
      <w:proofErr w:type="spellEnd"/>
      <w:r w:rsidRPr="00782891">
        <w:rPr>
          <w:rFonts w:cs="Times New Roman"/>
          <w:sz w:val="20"/>
          <w:szCs w:val="20"/>
        </w:rPr>
        <w:t>, P.C.</w:t>
      </w:r>
      <w:r w:rsidRPr="00782891">
        <w:rPr>
          <w:rFonts w:eastAsia="Times New Roman" w:cs="Times New Roman"/>
          <w:sz w:val="20"/>
          <w:szCs w:val="20"/>
          <w:lang w:eastAsia="fr-FR"/>
        </w:rPr>
        <w:t xml:space="preserve"> </w:t>
      </w:r>
      <w:r w:rsidRPr="00782891">
        <w:rPr>
          <w:rFonts w:cs="Times New Roman"/>
          <w:sz w:val="20"/>
          <w:szCs w:val="20"/>
        </w:rPr>
        <w:t>shall be entitled to serve and file a factum not to exceed ten (10) pages in length on or before February 5, 2018, and is granted permission to present oral argument not exceeding five (5) minutes at the hearing of the appeal.</w:t>
      </w:r>
    </w:p>
    <w:p w:rsidR="009B4689" w:rsidRPr="00782891" w:rsidRDefault="009B4689" w:rsidP="009B4689">
      <w:pPr>
        <w:spacing w:line="228" w:lineRule="auto"/>
        <w:rPr>
          <w:rFonts w:cs="Times New Roman"/>
          <w:sz w:val="20"/>
          <w:szCs w:val="20"/>
        </w:rPr>
      </w:pPr>
    </w:p>
    <w:p w:rsidR="009B4689" w:rsidRPr="00782891" w:rsidRDefault="009B4689" w:rsidP="009B4689">
      <w:pPr>
        <w:spacing w:line="228" w:lineRule="auto"/>
        <w:rPr>
          <w:rFonts w:cs="Times New Roman"/>
          <w:sz w:val="20"/>
          <w:szCs w:val="20"/>
        </w:rPr>
      </w:pPr>
      <w:r w:rsidRPr="00782891">
        <w:rPr>
          <w:rFonts w:cs="Times New Roman"/>
          <w:sz w:val="20"/>
          <w:szCs w:val="20"/>
        </w:rPr>
        <w:t>The Speaker of the Legislative Assembly of Ontario</w:t>
      </w:r>
      <w:r w:rsidRPr="00782891">
        <w:rPr>
          <w:rFonts w:eastAsia="Times New Roman" w:cs="Times New Roman"/>
          <w:sz w:val="20"/>
          <w:szCs w:val="20"/>
          <w:lang w:eastAsia="fr-FR"/>
        </w:rPr>
        <w:t xml:space="preserve"> </w:t>
      </w:r>
      <w:r w:rsidRPr="00782891">
        <w:rPr>
          <w:rFonts w:cs="Times New Roman"/>
          <w:sz w:val="20"/>
          <w:szCs w:val="20"/>
        </w:rPr>
        <w:t>shall be entitled to serve and file a factum not to exceed twenty (20) pages in length on or before February 5, 2018, and is granted permission to present oral argument not exceeding five (5) minutes at the hearing of the appeal.</w:t>
      </w:r>
    </w:p>
    <w:p w:rsidR="009B4689" w:rsidRPr="00782891" w:rsidRDefault="009B4689" w:rsidP="009B4689">
      <w:pPr>
        <w:rPr>
          <w:rFonts w:cs="Times New Roman"/>
          <w:sz w:val="20"/>
          <w:szCs w:val="20"/>
        </w:rPr>
      </w:pPr>
    </w:p>
    <w:p w:rsidR="009B4689" w:rsidRPr="00782891" w:rsidRDefault="009B4689" w:rsidP="009B4689">
      <w:pPr>
        <w:spacing w:line="228" w:lineRule="auto"/>
        <w:rPr>
          <w:rFonts w:cs="Times New Roman"/>
          <w:b/>
          <w:bCs/>
          <w:sz w:val="20"/>
          <w:szCs w:val="20"/>
        </w:rPr>
      </w:pPr>
      <w:r w:rsidRPr="00782891">
        <w:rPr>
          <w:rFonts w:cs="Times New Roman"/>
          <w:sz w:val="20"/>
          <w:szCs w:val="20"/>
        </w:rPr>
        <w:fldChar w:fldCharType="begin"/>
      </w:r>
      <w:r w:rsidRPr="00782891">
        <w:rPr>
          <w:rFonts w:cs="Times New Roman"/>
          <w:sz w:val="20"/>
          <w:szCs w:val="20"/>
        </w:rPr>
        <w:instrText xml:space="preserve"> SEQ CHAPTER \h \r 1</w:instrText>
      </w:r>
      <w:r w:rsidRPr="00782891">
        <w:rPr>
          <w:rFonts w:cs="Times New Roman"/>
          <w:sz w:val="20"/>
          <w:szCs w:val="20"/>
        </w:rPr>
        <w:fldChar w:fldCharType="end"/>
      </w:r>
      <w:r w:rsidRPr="00782891">
        <w:rPr>
          <w:rFonts w:cs="Times New Roman"/>
          <w:b/>
          <w:bCs/>
          <w:sz w:val="20"/>
          <w:szCs w:val="20"/>
        </w:rPr>
        <w:t>The interveners are not entitled to raise new issues or to adduce further evidence or otherwise to supplement the record of the parties.</w:t>
      </w:r>
    </w:p>
    <w:p w:rsidR="009B4689" w:rsidRPr="00782891" w:rsidRDefault="009B4689" w:rsidP="009B4689">
      <w:pPr>
        <w:spacing w:line="228" w:lineRule="auto"/>
        <w:rPr>
          <w:rFonts w:cs="Times New Roman"/>
          <w:b/>
          <w:bCs/>
          <w:sz w:val="20"/>
          <w:szCs w:val="20"/>
        </w:rPr>
      </w:pPr>
    </w:p>
    <w:p w:rsidR="009B4689" w:rsidRPr="00782891" w:rsidRDefault="009B4689" w:rsidP="009B4689">
      <w:pPr>
        <w:spacing w:line="230" w:lineRule="auto"/>
        <w:rPr>
          <w:rFonts w:cs="Times New Roman"/>
          <w:sz w:val="20"/>
          <w:szCs w:val="20"/>
        </w:rPr>
      </w:pPr>
      <w:r w:rsidRPr="00782891">
        <w:rPr>
          <w:rFonts w:cs="Times New Roman"/>
          <w:sz w:val="20"/>
          <w:szCs w:val="20"/>
        </w:rPr>
        <w:t>Pursuant to Rule 59(1</w:t>
      </w:r>
      <w:proofErr w:type="gramStart"/>
      <w:r w:rsidRPr="00782891">
        <w:rPr>
          <w:rFonts w:cs="Times New Roman"/>
          <w:sz w:val="20"/>
          <w:szCs w:val="20"/>
        </w:rPr>
        <w:t>)(</w:t>
      </w:r>
      <w:proofErr w:type="gramEnd"/>
      <w:r w:rsidRPr="00782891">
        <w:rPr>
          <w:rFonts w:cs="Times New Roman"/>
          <w:i/>
          <w:iCs/>
          <w:sz w:val="20"/>
          <w:szCs w:val="20"/>
        </w:rPr>
        <w:t>a</w:t>
      </w:r>
      <w:r w:rsidRPr="00782891">
        <w:rPr>
          <w:rFonts w:cs="Times New Roman"/>
          <w:sz w:val="20"/>
          <w:szCs w:val="20"/>
        </w:rPr>
        <w:t xml:space="preserve">) of the </w:t>
      </w:r>
      <w:r w:rsidRPr="00782891">
        <w:rPr>
          <w:rFonts w:cs="Times New Roman"/>
          <w:i/>
          <w:iCs/>
          <w:sz w:val="20"/>
          <w:szCs w:val="20"/>
        </w:rPr>
        <w:t>Rules of the Supreme Court of Canada</w:t>
      </w:r>
      <w:r w:rsidRPr="00782891">
        <w:rPr>
          <w:rFonts w:cs="Times New Roman"/>
          <w:sz w:val="20"/>
          <w:szCs w:val="20"/>
        </w:rPr>
        <w:t>, the interveners shall pay to the appellant and respondent any additional disbursements resulting from their interventions.</w:t>
      </w:r>
    </w:p>
    <w:p w:rsidR="009B4689" w:rsidRPr="009B4689" w:rsidRDefault="00F964D5" w:rsidP="009B4689">
      <w:pPr>
        <w:widowControl w:val="0"/>
        <w:rPr>
          <w:rFonts w:eastAsia="Times New Roman" w:cs="Times New Roman"/>
          <w:b/>
          <w:sz w:val="20"/>
          <w:szCs w:val="20"/>
          <w:lang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CA2DEA" w:rsidRPr="009B4689" w:rsidRDefault="00CA2DEA" w:rsidP="0010587F">
      <w:pPr>
        <w:tabs>
          <w:tab w:val="left" w:pos="-1440"/>
          <w:tab w:val="left" w:pos="-720"/>
        </w:tabs>
        <w:jc w:val="both"/>
        <w:rPr>
          <w:sz w:val="20"/>
          <w:szCs w:val="20"/>
          <w:lang w:val="en-US"/>
        </w:rPr>
      </w:pPr>
    </w:p>
    <w:p w:rsidR="00890FEB" w:rsidRPr="009B4689" w:rsidRDefault="00890FEB" w:rsidP="00831CA9">
      <w:pPr>
        <w:jc w:val="both"/>
        <w:rPr>
          <w:sz w:val="20"/>
          <w:szCs w:val="20"/>
          <w:lang w:val="en-US"/>
        </w:rPr>
      </w:pPr>
    </w:p>
    <w:p w:rsidR="00831CA9" w:rsidRPr="009B4689" w:rsidRDefault="00831CA9" w:rsidP="00831CA9">
      <w:pPr>
        <w:jc w:val="both"/>
        <w:rPr>
          <w:sz w:val="20"/>
          <w:szCs w:val="20"/>
          <w:lang w:val="en-US"/>
        </w:rPr>
        <w:sectPr w:rsidR="00831CA9" w:rsidRPr="009B4689" w:rsidSect="00831CA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964D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D0BCE" w:rsidTr="005F1ED8">
        <w:trPr>
          <w:cantSplit/>
        </w:trPr>
        <w:tc>
          <w:tcPr>
            <w:tcW w:w="2206" w:type="pct"/>
            <w:tcMar>
              <w:left w:w="0" w:type="dxa"/>
              <w:right w:w="0" w:type="dxa"/>
            </w:tcMar>
          </w:tcPr>
          <w:p w:rsidR="0086340B" w:rsidRPr="00237A86" w:rsidRDefault="00DD0BCE" w:rsidP="005F1ED8">
            <w:pPr>
              <w:rPr>
                <w:sz w:val="20"/>
                <w:szCs w:val="20"/>
                <w:lang w:val="fr-CA"/>
              </w:rPr>
            </w:pPr>
            <w:r w:rsidRPr="00237A86">
              <w:rPr>
                <w:sz w:val="20"/>
                <w:szCs w:val="20"/>
                <w:lang w:val="fr-CA"/>
              </w:rPr>
              <w:t>04.12.2017</w:t>
            </w:r>
          </w:p>
          <w:p w:rsidR="00DD0BCE" w:rsidRPr="00237A86" w:rsidRDefault="00DD0BCE" w:rsidP="005F1ED8">
            <w:pPr>
              <w:rPr>
                <w:sz w:val="20"/>
                <w:szCs w:val="20"/>
                <w:lang w:val="fr-CA"/>
              </w:rPr>
            </w:pPr>
          </w:p>
          <w:p w:rsidR="00DD0BCE" w:rsidRPr="00237A86" w:rsidRDefault="00DD0BCE" w:rsidP="005F1ED8">
            <w:pPr>
              <w:rPr>
                <w:b/>
                <w:sz w:val="20"/>
                <w:szCs w:val="20"/>
                <w:lang w:val="fr-CA"/>
              </w:rPr>
            </w:pPr>
            <w:r w:rsidRPr="00237A86">
              <w:rPr>
                <w:b/>
                <w:sz w:val="20"/>
                <w:szCs w:val="20"/>
                <w:lang w:val="fr-CA"/>
              </w:rPr>
              <w:t>Daniel Larocque</w:t>
            </w:r>
          </w:p>
          <w:p w:rsidR="00DD0BCE" w:rsidRPr="00237A86" w:rsidRDefault="00DD0BCE" w:rsidP="005F1ED8">
            <w:pPr>
              <w:rPr>
                <w:b/>
                <w:sz w:val="20"/>
                <w:szCs w:val="20"/>
                <w:lang w:val="fr-CA"/>
              </w:rPr>
            </w:pPr>
          </w:p>
          <w:p w:rsidR="00DD0BCE" w:rsidRPr="00237A86" w:rsidRDefault="00DD0BCE" w:rsidP="005F1ED8">
            <w:pPr>
              <w:rPr>
                <w:b/>
                <w:sz w:val="20"/>
                <w:szCs w:val="20"/>
                <w:lang w:val="fr-CA"/>
              </w:rPr>
            </w:pPr>
            <w:r w:rsidRPr="00237A86">
              <w:rPr>
                <w:b/>
                <w:sz w:val="20"/>
                <w:szCs w:val="20"/>
                <w:lang w:val="fr-CA"/>
              </w:rPr>
              <w:tab/>
              <w:t>c. (37783)</w:t>
            </w:r>
          </w:p>
          <w:p w:rsidR="00DD0BCE" w:rsidRPr="00237A86" w:rsidRDefault="00DD0BCE" w:rsidP="005F1ED8">
            <w:pPr>
              <w:rPr>
                <w:b/>
                <w:sz w:val="20"/>
                <w:szCs w:val="20"/>
                <w:lang w:val="fr-CA"/>
              </w:rPr>
            </w:pPr>
          </w:p>
          <w:p w:rsidR="00DD0BCE" w:rsidRDefault="00DD0BCE" w:rsidP="005F1ED8">
            <w:pPr>
              <w:rPr>
                <w:b/>
                <w:sz w:val="20"/>
                <w:szCs w:val="20"/>
                <w:lang w:val="fr-CA"/>
              </w:rPr>
            </w:pPr>
            <w:r w:rsidRPr="00DD0BCE">
              <w:rPr>
                <w:b/>
                <w:sz w:val="20"/>
                <w:szCs w:val="20"/>
                <w:lang w:val="fr-CA"/>
              </w:rPr>
              <w:t>Sa Majesté la Reine et autre</w:t>
            </w:r>
            <w:r>
              <w:rPr>
                <w:b/>
                <w:sz w:val="20"/>
                <w:szCs w:val="20"/>
                <w:lang w:val="fr-CA"/>
              </w:rPr>
              <w:t xml:space="preserve"> (Ont.)</w:t>
            </w:r>
          </w:p>
          <w:p w:rsidR="00DD0BCE" w:rsidRDefault="00DD0BCE" w:rsidP="005F1ED8">
            <w:pPr>
              <w:rPr>
                <w:b/>
                <w:sz w:val="20"/>
                <w:szCs w:val="20"/>
                <w:lang w:val="fr-CA"/>
              </w:rPr>
            </w:pPr>
          </w:p>
          <w:p w:rsidR="00DD0BCE" w:rsidRPr="00DD0BCE" w:rsidRDefault="00DD0BCE" w:rsidP="005F1ED8">
            <w:pPr>
              <w:rPr>
                <w:sz w:val="20"/>
                <w:szCs w:val="20"/>
                <w:lang w:val="fr-CA"/>
              </w:rPr>
            </w:pPr>
            <w:r>
              <w:rPr>
                <w:sz w:val="20"/>
                <w:szCs w:val="20"/>
                <w:lang w:val="fr-CA"/>
              </w:rPr>
              <w:t>(Autorisation)</w:t>
            </w:r>
          </w:p>
          <w:p w:rsidR="0086340B" w:rsidRPr="003B3977" w:rsidRDefault="00F964D5" w:rsidP="005F1ED8">
            <w:pPr>
              <w:rPr>
                <w:sz w:val="20"/>
                <w:szCs w:val="20"/>
                <w:lang w:val="fr-CA"/>
              </w:rPr>
            </w:pPr>
            <w:r>
              <w:rPr>
                <w:sz w:val="20"/>
                <w:szCs w:val="20"/>
                <w:lang w:val="fr-CA"/>
              </w:rPr>
              <w:pict>
                <v:rect id="_x0000_i108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Default="00DD0BCE" w:rsidP="00813894">
            <w:pPr>
              <w:rPr>
                <w:sz w:val="20"/>
                <w:szCs w:val="20"/>
              </w:rPr>
            </w:pPr>
            <w:r>
              <w:rPr>
                <w:sz w:val="20"/>
                <w:szCs w:val="20"/>
              </w:rPr>
              <w:t>04.12.2017</w:t>
            </w:r>
          </w:p>
          <w:p w:rsidR="00DD0BCE" w:rsidRDefault="00DD0BCE" w:rsidP="00813894">
            <w:pPr>
              <w:rPr>
                <w:sz w:val="20"/>
                <w:szCs w:val="20"/>
              </w:rPr>
            </w:pPr>
          </w:p>
          <w:p w:rsidR="00DD0BCE" w:rsidRDefault="00DD0BCE" w:rsidP="00813894">
            <w:pPr>
              <w:rPr>
                <w:b/>
                <w:sz w:val="20"/>
                <w:szCs w:val="20"/>
              </w:rPr>
            </w:pPr>
            <w:r>
              <w:rPr>
                <w:b/>
                <w:sz w:val="20"/>
                <w:szCs w:val="20"/>
              </w:rPr>
              <w:t>Garrett Eckstein</w:t>
            </w:r>
          </w:p>
          <w:p w:rsidR="00DD0BCE" w:rsidRDefault="00DD0BCE" w:rsidP="00813894">
            <w:pPr>
              <w:rPr>
                <w:b/>
                <w:sz w:val="20"/>
                <w:szCs w:val="20"/>
              </w:rPr>
            </w:pPr>
          </w:p>
          <w:p w:rsidR="00DD0BCE" w:rsidRPr="00237A86" w:rsidRDefault="00DD0BCE" w:rsidP="00813894">
            <w:pPr>
              <w:rPr>
                <w:b/>
                <w:sz w:val="20"/>
                <w:szCs w:val="20"/>
                <w:lang w:val="en-US"/>
              </w:rPr>
            </w:pPr>
            <w:r>
              <w:rPr>
                <w:b/>
                <w:sz w:val="20"/>
                <w:szCs w:val="20"/>
              </w:rPr>
              <w:tab/>
            </w:r>
            <w:r w:rsidRPr="00237A86">
              <w:rPr>
                <w:b/>
                <w:sz w:val="20"/>
                <w:szCs w:val="20"/>
                <w:lang w:val="en-US"/>
              </w:rPr>
              <w:t>v. (37782)</w:t>
            </w:r>
          </w:p>
          <w:p w:rsidR="00DD0BCE" w:rsidRPr="00237A86" w:rsidRDefault="00DD0BCE" w:rsidP="00813894">
            <w:pPr>
              <w:rPr>
                <w:b/>
                <w:sz w:val="20"/>
                <w:szCs w:val="20"/>
                <w:lang w:val="en-US"/>
              </w:rPr>
            </w:pPr>
          </w:p>
          <w:p w:rsidR="00DD0BCE" w:rsidRPr="00DD0BCE" w:rsidRDefault="00DD0BCE" w:rsidP="00813894">
            <w:pPr>
              <w:rPr>
                <w:b/>
                <w:sz w:val="20"/>
                <w:szCs w:val="20"/>
                <w:lang w:val="en-US"/>
              </w:rPr>
            </w:pPr>
            <w:r w:rsidRPr="00DD0BCE">
              <w:rPr>
                <w:b/>
                <w:sz w:val="20"/>
                <w:szCs w:val="20"/>
                <w:lang w:val="en-US"/>
              </w:rPr>
              <w:t>Her Majesty the Queen (Ont.)</w:t>
            </w:r>
          </w:p>
          <w:p w:rsidR="00DD0BCE" w:rsidRDefault="00DD0BCE" w:rsidP="00813894">
            <w:pPr>
              <w:rPr>
                <w:sz w:val="20"/>
                <w:szCs w:val="20"/>
                <w:lang w:val="en-US"/>
              </w:rPr>
            </w:pPr>
          </w:p>
          <w:p w:rsidR="00DD0BCE" w:rsidRDefault="00DD0BCE" w:rsidP="00813894">
            <w:pPr>
              <w:rPr>
                <w:sz w:val="20"/>
                <w:szCs w:val="20"/>
                <w:lang w:val="en-US"/>
              </w:rPr>
            </w:pPr>
            <w:r>
              <w:rPr>
                <w:sz w:val="20"/>
                <w:szCs w:val="20"/>
                <w:lang w:val="en-US"/>
              </w:rPr>
              <w:t>(By Leave)</w:t>
            </w:r>
          </w:p>
          <w:p w:rsidR="00DD0BCE" w:rsidRPr="00DD0BCE" w:rsidRDefault="00F964D5" w:rsidP="00813894">
            <w:pPr>
              <w:rPr>
                <w:sz w:val="20"/>
                <w:szCs w:val="20"/>
                <w:lang w:val="en-US"/>
              </w:rPr>
            </w:pPr>
            <w:r>
              <w:rPr>
                <w:sz w:val="20"/>
                <w:szCs w:val="20"/>
                <w:lang w:val="fr-CA"/>
              </w:rPr>
              <w:pict>
                <v:rect id="_x0000_i1085" style="width:106.1pt;height:1pt" o:hrpct="500" o:hralign="center" o:hrstd="t" o:hrnoshade="t" o:hr="t" fillcolor="black [3213]" stroked="f"/>
              </w:pict>
            </w:r>
          </w:p>
        </w:tc>
      </w:tr>
      <w:tr w:rsidR="0086340B" w:rsidRPr="00DD0BCE" w:rsidTr="005F1ED8">
        <w:trPr>
          <w:cantSplit/>
        </w:trPr>
        <w:tc>
          <w:tcPr>
            <w:tcW w:w="2206" w:type="pct"/>
            <w:tcMar>
              <w:left w:w="0" w:type="dxa"/>
              <w:right w:w="0" w:type="dxa"/>
            </w:tcMar>
          </w:tcPr>
          <w:p w:rsidR="0086340B" w:rsidRDefault="00DD0BCE" w:rsidP="005F1ED8">
            <w:pPr>
              <w:rPr>
                <w:sz w:val="20"/>
                <w:szCs w:val="20"/>
                <w:lang w:val="en-US"/>
              </w:rPr>
            </w:pPr>
            <w:r>
              <w:rPr>
                <w:sz w:val="20"/>
                <w:szCs w:val="20"/>
                <w:lang w:val="en-US"/>
              </w:rPr>
              <w:t>04.12.2017</w:t>
            </w:r>
          </w:p>
          <w:p w:rsidR="00DD0BCE" w:rsidRDefault="00DD0BCE" w:rsidP="005F1ED8">
            <w:pPr>
              <w:rPr>
                <w:sz w:val="20"/>
                <w:szCs w:val="20"/>
                <w:lang w:val="en-US"/>
              </w:rPr>
            </w:pPr>
          </w:p>
          <w:p w:rsidR="00DD0BCE" w:rsidRDefault="00DD0BCE" w:rsidP="005F1ED8">
            <w:pPr>
              <w:rPr>
                <w:b/>
                <w:sz w:val="20"/>
                <w:szCs w:val="20"/>
                <w:lang w:val="en-US"/>
              </w:rPr>
            </w:pPr>
            <w:r>
              <w:rPr>
                <w:b/>
                <w:sz w:val="20"/>
                <w:szCs w:val="20"/>
                <w:lang w:val="en-US"/>
              </w:rPr>
              <w:t>Edward Tinker, Kelly Judge, Michael Bondoc and Wesley Mead</w:t>
            </w:r>
          </w:p>
          <w:p w:rsidR="00DD0BCE" w:rsidRDefault="00DD0BCE" w:rsidP="005F1ED8">
            <w:pPr>
              <w:rPr>
                <w:b/>
                <w:sz w:val="20"/>
                <w:szCs w:val="20"/>
                <w:lang w:val="en-US"/>
              </w:rPr>
            </w:pPr>
          </w:p>
          <w:p w:rsidR="00DD0BCE" w:rsidRDefault="00DD0BCE" w:rsidP="005F1ED8">
            <w:pPr>
              <w:rPr>
                <w:b/>
                <w:sz w:val="20"/>
                <w:szCs w:val="20"/>
                <w:lang w:val="en-US"/>
              </w:rPr>
            </w:pPr>
            <w:r>
              <w:rPr>
                <w:b/>
                <w:sz w:val="20"/>
                <w:szCs w:val="20"/>
                <w:lang w:val="en-US"/>
              </w:rPr>
              <w:tab/>
              <w:t>v. (37774)</w:t>
            </w:r>
          </w:p>
          <w:p w:rsidR="00DD0BCE" w:rsidRDefault="00DD0BCE" w:rsidP="005F1ED8">
            <w:pPr>
              <w:rPr>
                <w:b/>
                <w:sz w:val="20"/>
                <w:szCs w:val="20"/>
                <w:lang w:val="en-US"/>
              </w:rPr>
            </w:pPr>
          </w:p>
          <w:p w:rsidR="00DD0BCE" w:rsidRDefault="00DD0BCE" w:rsidP="005F1ED8">
            <w:pPr>
              <w:rPr>
                <w:b/>
                <w:sz w:val="20"/>
                <w:szCs w:val="20"/>
                <w:lang w:val="en-US"/>
              </w:rPr>
            </w:pPr>
            <w:r>
              <w:rPr>
                <w:b/>
                <w:sz w:val="20"/>
                <w:szCs w:val="20"/>
                <w:lang w:val="en-US"/>
              </w:rPr>
              <w:t>Her Majesty the Queen (Ont.)</w:t>
            </w:r>
          </w:p>
          <w:p w:rsidR="00DD0BCE" w:rsidRDefault="00DD0BCE" w:rsidP="005F1ED8">
            <w:pPr>
              <w:rPr>
                <w:b/>
                <w:sz w:val="20"/>
                <w:szCs w:val="20"/>
                <w:lang w:val="en-US"/>
              </w:rPr>
            </w:pPr>
          </w:p>
          <w:p w:rsidR="00DD0BCE" w:rsidRDefault="00DD0BCE" w:rsidP="005F1ED8">
            <w:pPr>
              <w:rPr>
                <w:sz w:val="20"/>
                <w:szCs w:val="20"/>
                <w:lang w:val="en-US"/>
              </w:rPr>
            </w:pPr>
            <w:r>
              <w:rPr>
                <w:sz w:val="20"/>
                <w:szCs w:val="20"/>
                <w:lang w:val="en-US"/>
              </w:rPr>
              <w:t>(By Leave)</w:t>
            </w:r>
          </w:p>
          <w:p w:rsidR="00DD0BCE" w:rsidRDefault="00F964D5" w:rsidP="005F1ED8">
            <w:pPr>
              <w:rPr>
                <w:sz w:val="20"/>
                <w:szCs w:val="20"/>
                <w:lang w:val="en-US"/>
              </w:rPr>
            </w:pPr>
            <w:r>
              <w:rPr>
                <w:sz w:val="20"/>
                <w:szCs w:val="20"/>
                <w:lang w:val="fr-CA"/>
              </w:rPr>
              <w:pict>
                <v:rect id="_x0000_i1086" style="width:106.1pt;height:1pt" o:hrpct="500" o:hralign="center" o:hrstd="t" o:hrnoshade="t" o:hr="t" fillcolor="black [3213]" stroked="f"/>
              </w:pict>
            </w:r>
          </w:p>
          <w:p w:rsidR="00DD0BCE" w:rsidRPr="00DD0BCE" w:rsidRDefault="00DD0BCE" w:rsidP="005F1ED8">
            <w:pPr>
              <w:rPr>
                <w:sz w:val="20"/>
                <w:szCs w:val="20"/>
                <w:lang w:val="en-US"/>
              </w:rPr>
            </w:pPr>
          </w:p>
        </w:tc>
        <w:tc>
          <w:tcPr>
            <w:tcW w:w="588" w:type="pct"/>
          </w:tcPr>
          <w:p w:rsidR="0086340B" w:rsidRPr="00DD0BCE" w:rsidRDefault="0086340B" w:rsidP="005F1ED8">
            <w:pPr>
              <w:jc w:val="center"/>
              <w:rPr>
                <w:sz w:val="20"/>
                <w:szCs w:val="20"/>
                <w:lang w:val="en-US"/>
              </w:rPr>
            </w:pPr>
          </w:p>
        </w:tc>
        <w:tc>
          <w:tcPr>
            <w:tcW w:w="2206" w:type="pct"/>
          </w:tcPr>
          <w:p w:rsidR="0086340B" w:rsidRDefault="00DD0BCE" w:rsidP="005F1ED8">
            <w:pPr>
              <w:rPr>
                <w:sz w:val="20"/>
                <w:szCs w:val="20"/>
                <w:lang w:val="en-US"/>
              </w:rPr>
            </w:pPr>
            <w:r>
              <w:rPr>
                <w:sz w:val="20"/>
                <w:szCs w:val="20"/>
                <w:lang w:val="en-US"/>
              </w:rPr>
              <w:t>04.12.2017</w:t>
            </w:r>
          </w:p>
          <w:p w:rsidR="00DD0BCE" w:rsidRDefault="00DD0BCE" w:rsidP="005F1ED8">
            <w:pPr>
              <w:rPr>
                <w:sz w:val="20"/>
                <w:szCs w:val="20"/>
                <w:lang w:val="en-US"/>
              </w:rPr>
            </w:pPr>
          </w:p>
          <w:p w:rsidR="00DD0BCE" w:rsidRDefault="00DD0BCE" w:rsidP="005F1ED8">
            <w:pPr>
              <w:rPr>
                <w:b/>
                <w:sz w:val="20"/>
                <w:szCs w:val="20"/>
                <w:lang w:val="en-US"/>
              </w:rPr>
            </w:pPr>
            <w:proofErr w:type="spellStart"/>
            <w:r>
              <w:rPr>
                <w:b/>
                <w:sz w:val="20"/>
                <w:szCs w:val="20"/>
                <w:lang w:val="en-US"/>
              </w:rPr>
              <w:t>Kassem</w:t>
            </w:r>
            <w:proofErr w:type="spellEnd"/>
            <w:r>
              <w:rPr>
                <w:b/>
                <w:sz w:val="20"/>
                <w:szCs w:val="20"/>
                <w:lang w:val="en-US"/>
              </w:rPr>
              <w:t xml:space="preserve"> </w:t>
            </w:r>
            <w:proofErr w:type="spellStart"/>
            <w:r>
              <w:rPr>
                <w:b/>
                <w:sz w:val="20"/>
                <w:szCs w:val="20"/>
                <w:lang w:val="en-US"/>
              </w:rPr>
              <w:t>Mazraani</w:t>
            </w:r>
            <w:proofErr w:type="spellEnd"/>
          </w:p>
          <w:p w:rsidR="00DD0BCE" w:rsidRDefault="00DD0BCE" w:rsidP="005F1ED8">
            <w:pPr>
              <w:rPr>
                <w:b/>
                <w:sz w:val="20"/>
                <w:szCs w:val="20"/>
                <w:lang w:val="en-US"/>
              </w:rPr>
            </w:pPr>
          </w:p>
          <w:p w:rsidR="00DD0BCE" w:rsidRDefault="00DD0BCE" w:rsidP="005F1ED8">
            <w:pPr>
              <w:rPr>
                <w:b/>
                <w:sz w:val="20"/>
                <w:szCs w:val="20"/>
                <w:lang w:val="en-US"/>
              </w:rPr>
            </w:pPr>
            <w:r>
              <w:rPr>
                <w:b/>
                <w:sz w:val="20"/>
                <w:szCs w:val="20"/>
                <w:lang w:val="en-US"/>
              </w:rPr>
              <w:tab/>
              <w:t>v. (37642)</w:t>
            </w:r>
          </w:p>
          <w:p w:rsidR="00DD0BCE" w:rsidRDefault="00DD0BCE" w:rsidP="005F1ED8">
            <w:pPr>
              <w:rPr>
                <w:b/>
                <w:sz w:val="20"/>
                <w:szCs w:val="20"/>
                <w:lang w:val="en-US"/>
              </w:rPr>
            </w:pPr>
          </w:p>
          <w:p w:rsidR="00DD0BCE" w:rsidRDefault="00DD0BCE" w:rsidP="005F1ED8">
            <w:pPr>
              <w:rPr>
                <w:b/>
                <w:sz w:val="20"/>
                <w:szCs w:val="20"/>
                <w:lang w:val="en-US"/>
              </w:rPr>
            </w:pPr>
            <w:r>
              <w:rPr>
                <w:b/>
                <w:sz w:val="20"/>
                <w:szCs w:val="20"/>
                <w:lang w:val="en-US"/>
              </w:rPr>
              <w:t xml:space="preserve">Industrial Alliance Insurance and Financial Services </w:t>
            </w:r>
            <w:proofErr w:type="spellStart"/>
            <w:r>
              <w:rPr>
                <w:b/>
                <w:sz w:val="20"/>
                <w:szCs w:val="20"/>
                <w:lang w:val="en-US"/>
              </w:rPr>
              <w:t>Inc</w:t>
            </w:r>
            <w:proofErr w:type="spellEnd"/>
            <w:r>
              <w:rPr>
                <w:b/>
                <w:sz w:val="20"/>
                <w:szCs w:val="20"/>
                <w:lang w:val="en-US"/>
              </w:rPr>
              <w:t xml:space="preserve"> et al. (F.C.)</w:t>
            </w:r>
          </w:p>
          <w:p w:rsidR="00DD0BCE" w:rsidRDefault="00DD0BCE" w:rsidP="005F1ED8">
            <w:pPr>
              <w:rPr>
                <w:sz w:val="20"/>
                <w:szCs w:val="20"/>
                <w:lang w:val="en-US"/>
              </w:rPr>
            </w:pPr>
          </w:p>
          <w:p w:rsidR="00DD0BCE" w:rsidRDefault="00DD0BCE" w:rsidP="005F1ED8">
            <w:pPr>
              <w:rPr>
                <w:sz w:val="20"/>
                <w:szCs w:val="20"/>
                <w:lang w:val="en-US"/>
              </w:rPr>
            </w:pPr>
            <w:r>
              <w:rPr>
                <w:sz w:val="20"/>
                <w:szCs w:val="20"/>
                <w:lang w:val="en-US"/>
              </w:rPr>
              <w:t>(By Leave)</w:t>
            </w:r>
          </w:p>
          <w:p w:rsidR="00DD0BCE" w:rsidRPr="00DD0BCE" w:rsidRDefault="00F964D5" w:rsidP="005F1ED8">
            <w:pPr>
              <w:rPr>
                <w:sz w:val="20"/>
                <w:szCs w:val="20"/>
                <w:lang w:val="en-US"/>
              </w:rPr>
            </w:pPr>
            <w:r>
              <w:rPr>
                <w:sz w:val="20"/>
                <w:szCs w:val="20"/>
                <w:lang w:val="fr-CA"/>
              </w:rPr>
              <w:pict>
                <v:rect id="_x0000_i1087" style="width:106.1pt;height:1pt" o:hrpct="500" o:hralign="center" o:hrstd="t" o:hrnoshade="t" o:hr="t" fillcolor="black [3213]" stroked="f"/>
              </w:pict>
            </w:r>
          </w:p>
        </w:tc>
      </w:tr>
    </w:tbl>
    <w:p w:rsidR="00F40249" w:rsidRPr="00DD0BCE" w:rsidRDefault="00F40249" w:rsidP="00F40249">
      <w:pPr>
        <w:rPr>
          <w:sz w:val="20"/>
          <w:szCs w:val="20"/>
          <w:lang w:val="en-US"/>
        </w:rPr>
      </w:pPr>
    </w:p>
    <w:p w:rsidR="0010587F" w:rsidRPr="00DD0BCE" w:rsidRDefault="0010587F" w:rsidP="00F40249">
      <w:pPr>
        <w:rPr>
          <w:sz w:val="20"/>
          <w:szCs w:val="20"/>
          <w:lang w:val="en-US"/>
        </w:rPr>
      </w:pPr>
    </w:p>
    <w:p w:rsidR="00EB2B90" w:rsidRPr="00DD0BCE" w:rsidRDefault="00EB2B90" w:rsidP="00F40249">
      <w:pPr>
        <w:rPr>
          <w:sz w:val="20"/>
          <w:szCs w:val="20"/>
          <w:lang w:val="en-US"/>
        </w:rPr>
        <w:sectPr w:rsidR="00EB2B90" w:rsidRPr="00DD0BCE" w:rsidSect="00F40249">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p w:rsidR="007C47C2" w:rsidRPr="005E31A3" w:rsidRDefault="007C47C2" w:rsidP="007C47C2">
      <w:pPr>
        <w:rPr>
          <w:sz w:val="20"/>
          <w:szCs w:val="20"/>
          <w:lang w:val="fr-CA"/>
        </w:r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964D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134E87" w:rsidRPr="00A70734" w:rsidRDefault="00134E87" w:rsidP="00134E87">
      <w:pPr>
        <w:rPr>
          <w:b/>
          <w:sz w:val="20"/>
          <w:szCs w:val="20"/>
        </w:rPr>
      </w:pPr>
      <w:r w:rsidRPr="00A70734">
        <w:rPr>
          <w:b/>
          <w:sz w:val="20"/>
          <w:szCs w:val="20"/>
        </w:rPr>
        <w:t>DECEMBER 1</w:t>
      </w:r>
      <w:r w:rsidR="00F964D5">
        <w:rPr>
          <w:b/>
          <w:sz w:val="20"/>
          <w:szCs w:val="20"/>
        </w:rPr>
        <w:t>4</w:t>
      </w:r>
      <w:r w:rsidRPr="00A70734">
        <w:rPr>
          <w:b/>
          <w:sz w:val="20"/>
          <w:szCs w:val="20"/>
        </w:rPr>
        <w:t>, 2017 / LE 1</w:t>
      </w:r>
      <w:r w:rsidR="00F964D5">
        <w:rPr>
          <w:b/>
          <w:sz w:val="20"/>
          <w:szCs w:val="20"/>
        </w:rPr>
        <w:t>4</w:t>
      </w:r>
      <w:r w:rsidRPr="00A70734">
        <w:rPr>
          <w:b/>
          <w:sz w:val="20"/>
          <w:szCs w:val="20"/>
        </w:rPr>
        <w:t xml:space="preserve"> DÉCEMBRE 2017</w:t>
      </w:r>
    </w:p>
    <w:p w:rsidR="00134E87" w:rsidRPr="004A61F1" w:rsidRDefault="00134E87" w:rsidP="00FF6EEC">
      <w:pPr>
        <w:rPr>
          <w:b/>
          <w:sz w:val="20"/>
          <w:szCs w:val="20"/>
          <w:lang w:val="en-US"/>
        </w:rPr>
      </w:pPr>
    </w:p>
    <w:p w:rsidR="00E6723D" w:rsidRPr="00FF7A18" w:rsidRDefault="00E6723D" w:rsidP="00E6723D">
      <w:pPr>
        <w:ind w:left="1440" w:hanging="1440"/>
        <w:jc w:val="both"/>
        <w:rPr>
          <w:sz w:val="20"/>
          <w:szCs w:val="20"/>
        </w:rPr>
      </w:pPr>
      <w:r w:rsidRPr="00FF7A18">
        <w:rPr>
          <w:b/>
          <w:sz w:val="20"/>
          <w:szCs w:val="20"/>
        </w:rPr>
        <w:fldChar w:fldCharType="begin"/>
      </w:r>
      <w:r w:rsidRPr="00FF7A18">
        <w:rPr>
          <w:b/>
          <w:sz w:val="20"/>
          <w:szCs w:val="20"/>
        </w:rPr>
        <w:instrText xml:space="preserve"> SEQ CHAPTER \h \r 1</w:instrText>
      </w:r>
      <w:r w:rsidRPr="00FF7A18">
        <w:rPr>
          <w:b/>
          <w:sz w:val="20"/>
          <w:szCs w:val="20"/>
        </w:rPr>
        <w:fldChar w:fldCharType="end"/>
      </w:r>
      <w:r w:rsidRPr="00FF7A18">
        <w:rPr>
          <w:b/>
          <w:sz w:val="20"/>
          <w:szCs w:val="20"/>
        </w:rPr>
        <w:t>37120</w:t>
      </w:r>
      <w:r w:rsidRPr="00FF7A18">
        <w:rPr>
          <w:color w:val="FF0000"/>
          <w:sz w:val="20"/>
          <w:szCs w:val="20"/>
        </w:rPr>
        <w:tab/>
      </w:r>
      <w:r w:rsidRPr="00FF7A18">
        <w:rPr>
          <w:b/>
          <w:sz w:val="20"/>
          <w:szCs w:val="20"/>
          <w:u w:val="single"/>
        </w:rPr>
        <w:t>Max Wayne Cowper-Smith v. Gloria Lynn Morgan and Gloria Lynn Morgan Executor of the Will of the Late Elizabeth Flora Cowper-Smith, Deceased</w:t>
      </w:r>
      <w:r w:rsidRPr="00FF7A18">
        <w:rPr>
          <w:sz w:val="20"/>
          <w:szCs w:val="20"/>
        </w:rPr>
        <w:t xml:space="preserve"> </w:t>
      </w:r>
      <w:r w:rsidRPr="00FF7A18">
        <w:rPr>
          <w:iCs/>
          <w:sz w:val="20"/>
          <w:szCs w:val="20"/>
        </w:rPr>
        <w:t>(B.C.)</w:t>
      </w:r>
    </w:p>
    <w:p w:rsidR="00E6723D" w:rsidRPr="00FF7A18" w:rsidRDefault="00E6723D" w:rsidP="00E6723D">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FF7A18">
        <w:rPr>
          <w:b/>
          <w:sz w:val="20"/>
          <w:szCs w:val="20"/>
        </w:rPr>
        <w:t>2017 SCC 61 / 2017 CSC 61</w:t>
      </w:r>
    </w:p>
    <w:p w:rsidR="00E6723D" w:rsidRPr="00FF7A18" w:rsidRDefault="00E6723D" w:rsidP="00E6723D">
      <w:pPr>
        <w:ind w:left="1440" w:hanging="1440"/>
        <w:jc w:val="both"/>
        <w:rPr>
          <w:sz w:val="20"/>
          <w:szCs w:val="20"/>
        </w:rPr>
      </w:pPr>
    </w:p>
    <w:p w:rsidR="00E6723D" w:rsidRPr="00FF7A18" w:rsidRDefault="00E6723D" w:rsidP="00E6723D">
      <w:pPr>
        <w:ind w:left="1440" w:hanging="1440"/>
        <w:rPr>
          <w:sz w:val="20"/>
          <w:szCs w:val="20"/>
        </w:rPr>
      </w:pPr>
      <w:r w:rsidRPr="00FF7A18">
        <w:rPr>
          <w:sz w:val="20"/>
          <w:szCs w:val="20"/>
        </w:rPr>
        <w:t>Coram:</w:t>
      </w:r>
      <w:r w:rsidRPr="00FF7A18">
        <w:rPr>
          <w:sz w:val="20"/>
          <w:szCs w:val="20"/>
        </w:rPr>
        <w:tab/>
      </w:r>
      <w:proofErr w:type="spellStart"/>
      <w:r w:rsidRPr="00FF7A18">
        <w:rPr>
          <w:sz w:val="20"/>
          <w:szCs w:val="20"/>
          <w:u w:val="single"/>
        </w:rPr>
        <w:t>McLachlin</w:t>
      </w:r>
      <w:proofErr w:type="spellEnd"/>
      <w:r w:rsidRPr="00FF7A18">
        <w:rPr>
          <w:sz w:val="20"/>
          <w:szCs w:val="20"/>
          <w:u w:val="single"/>
        </w:rPr>
        <w:t xml:space="preserve"> C.J. and </w:t>
      </w:r>
      <w:proofErr w:type="spellStart"/>
      <w:r w:rsidRPr="00FF7A18">
        <w:rPr>
          <w:sz w:val="20"/>
          <w:szCs w:val="20"/>
          <w:u w:val="single"/>
        </w:rPr>
        <w:t>Abella</w:t>
      </w:r>
      <w:proofErr w:type="spellEnd"/>
      <w:r w:rsidRPr="00FF7A18">
        <w:rPr>
          <w:sz w:val="20"/>
          <w:szCs w:val="20"/>
          <w:u w:val="single"/>
        </w:rPr>
        <w:t xml:space="preserve">, </w:t>
      </w:r>
      <w:proofErr w:type="spellStart"/>
      <w:r w:rsidRPr="00FF7A18">
        <w:rPr>
          <w:sz w:val="20"/>
          <w:szCs w:val="20"/>
          <w:u w:val="single"/>
        </w:rPr>
        <w:t>Moldaver</w:t>
      </w:r>
      <w:proofErr w:type="spellEnd"/>
      <w:r w:rsidRPr="00FF7A18">
        <w:rPr>
          <w:sz w:val="20"/>
          <w:szCs w:val="20"/>
          <w:u w:val="single"/>
        </w:rPr>
        <w:t xml:space="preserve">, </w:t>
      </w:r>
      <w:proofErr w:type="spellStart"/>
      <w:r w:rsidRPr="00FF7A18">
        <w:rPr>
          <w:sz w:val="20"/>
          <w:szCs w:val="20"/>
          <w:u w:val="single"/>
        </w:rPr>
        <w:t>Karakatsanis</w:t>
      </w:r>
      <w:proofErr w:type="spellEnd"/>
      <w:r w:rsidRPr="00FF7A18">
        <w:rPr>
          <w:sz w:val="20"/>
          <w:szCs w:val="20"/>
          <w:u w:val="single"/>
        </w:rPr>
        <w:t xml:space="preserve">, Wagner, </w:t>
      </w:r>
      <w:proofErr w:type="spellStart"/>
      <w:r w:rsidRPr="00FF7A18">
        <w:rPr>
          <w:sz w:val="20"/>
          <w:szCs w:val="20"/>
          <w:u w:val="single"/>
        </w:rPr>
        <w:t>Gascon</w:t>
      </w:r>
      <w:proofErr w:type="spellEnd"/>
      <w:r w:rsidRPr="00FF7A18">
        <w:rPr>
          <w:sz w:val="20"/>
          <w:szCs w:val="20"/>
          <w:u w:val="single"/>
        </w:rPr>
        <w:t xml:space="preserve">, </w:t>
      </w:r>
      <w:proofErr w:type="spellStart"/>
      <w:r w:rsidRPr="00FF7A18">
        <w:rPr>
          <w:sz w:val="20"/>
          <w:szCs w:val="20"/>
          <w:u w:val="single"/>
        </w:rPr>
        <w:t>Côté</w:t>
      </w:r>
      <w:proofErr w:type="spellEnd"/>
      <w:r w:rsidRPr="00FF7A18">
        <w:rPr>
          <w:sz w:val="20"/>
          <w:szCs w:val="20"/>
          <w:u w:val="single"/>
        </w:rPr>
        <w:t>, Brown and Rowe JJ.</w:t>
      </w:r>
    </w:p>
    <w:p w:rsidR="00E6723D" w:rsidRPr="00FF7A18" w:rsidRDefault="00E6723D" w:rsidP="00E6723D">
      <w:pPr>
        <w:jc w:val="both"/>
        <w:rPr>
          <w:sz w:val="20"/>
          <w:szCs w:val="20"/>
        </w:rPr>
      </w:pPr>
    </w:p>
    <w:p w:rsidR="00E6723D" w:rsidRPr="00FF7A18" w:rsidRDefault="00E6723D" w:rsidP="00E6723D">
      <w:pPr>
        <w:jc w:val="both"/>
        <w:rPr>
          <w:sz w:val="20"/>
          <w:szCs w:val="20"/>
        </w:rPr>
      </w:pPr>
      <w:r w:rsidRPr="00FF7A18">
        <w:rPr>
          <w:sz w:val="20"/>
          <w:szCs w:val="20"/>
        </w:rPr>
        <w:t>The appeal from the judgment of the Court of Appeal for British Columbia (Victoria), Number CA42981, 2016 BCCA 200, dated May 9, 2016, heard on May 26, 2017, is allowed with costs to the appellant throughout. The appellant’s proprietary estoppel claim is allowed. The respondent, in her capacity as executor, is ordered to take all necessary steps to enable the appellant to purchase the respondent beneficiary’s one-third interest in the   property for $223,333.33, plus an amount equal to the post-judgment interest that would be payable on a judgment in that amount issued on February 2, 2011, once the respondent beneficiary has received that interest from the estate. Upon his acquisition of the respondent beneficiary’s interest in the property, the appellant is ordered to account to the estate for the amount of any expenses incurred by the estate in maintaining the property since February 2, 2011.</w:t>
      </w:r>
    </w:p>
    <w:p w:rsidR="00E6723D" w:rsidRPr="00FF7A18" w:rsidRDefault="00E6723D" w:rsidP="00E6723D">
      <w:pPr>
        <w:jc w:val="both"/>
        <w:rPr>
          <w:sz w:val="20"/>
          <w:szCs w:val="20"/>
        </w:rPr>
      </w:pPr>
    </w:p>
    <w:p w:rsidR="00E6723D" w:rsidRPr="00FF7A18" w:rsidRDefault="00E6723D" w:rsidP="00E6723D">
      <w:pPr>
        <w:jc w:val="both"/>
        <w:rPr>
          <w:sz w:val="20"/>
          <w:szCs w:val="20"/>
          <w:lang w:val="fr-CA"/>
        </w:rPr>
      </w:pPr>
      <w:r w:rsidRPr="00FF7A18">
        <w:rPr>
          <w:sz w:val="20"/>
          <w:szCs w:val="20"/>
          <w:lang w:val="fr-CA"/>
        </w:rPr>
        <w:t xml:space="preserve">L’appel interjeté contre l’arrêt de la </w:t>
      </w:r>
      <w:r w:rsidRPr="00FF7A18">
        <w:rPr>
          <w:sz w:val="20"/>
          <w:szCs w:val="20"/>
          <w:lang w:val="fr-FR"/>
        </w:rPr>
        <w:t>Cour d’appel de la Colombie-Britannique (Victoria)</w:t>
      </w:r>
      <w:r w:rsidRPr="00FF7A18">
        <w:rPr>
          <w:sz w:val="20"/>
          <w:szCs w:val="20"/>
          <w:lang w:val="fr-CA"/>
        </w:rPr>
        <w:t xml:space="preserve">, numéro </w:t>
      </w:r>
      <w:r w:rsidRPr="00FF7A18">
        <w:rPr>
          <w:sz w:val="20"/>
          <w:szCs w:val="20"/>
          <w:lang w:val="fr-FR"/>
        </w:rPr>
        <w:t>CA42981, 2016 BCCA 200</w:t>
      </w:r>
      <w:r w:rsidRPr="00FF7A18">
        <w:rPr>
          <w:sz w:val="20"/>
          <w:szCs w:val="20"/>
          <w:lang w:val="fr-CA"/>
        </w:rPr>
        <w:t xml:space="preserve">, daté du </w:t>
      </w:r>
      <w:r w:rsidRPr="00FF7A18">
        <w:rPr>
          <w:sz w:val="20"/>
          <w:szCs w:val="20"/>
          <w:lang w:val="fr-FR"/>
        </w:rPr>
        <w:t>9 mai 2016</w:t>
      </w:r>
      <w:r w:rsidRPr="00FF7A18">
        <w:rPr>
          <w:sz w:val="20"/>
          <w:szCs w:val="20"/>
          <w:lang w:val="fr-CA"/>
        </w:rPr>
        <w:t xml:space="preserve">, entendu le </w:t>
      </w:r>
      <w:r w:rsidRPr="00FF7A18">
        <w:rPr>
          <w:sz w:val="20"/>
          <w:szCs w:val="20"/>
          <w:lang w:val="fr-FR"/>
        </w:rPr>
        <w:t>26 mai 2017</w:t>
      </w:r>
      <w:r w:rsidRPr="00FF7A18">
        <w:rPr>
          <w:sz w:val="20"/>
          <w:szCs w:val="20"/>
          <w:lang w:val="fr-CA"/>
        </w:rPr>
        <w:t xml:space="preserve">, est accueilli avec dépens en faveur de l’appelant devant toutes les cours. La demande de l’appelant fondée sur la </w:t>
      </w:r>
      <w:proofErr w:type="spellStart"/>
      <w:r w:rsidRPr="00FF7A18">
        <w:rPr>
          <w:sz w:val="20"/>
          <w:szCs w:val="20"/>
          <w:lang w:val="fr-CA"/>
        </w:rPr>
        <w:t>préclusion</w:t>
      </w:r>
      <w:proofErr w:type="spellEnd"/>
      <w:r w:rsidRPr="00FF7A18">
        <w:rPr>
          <w:sz w:val="20"/>
          <w:szCs w:val="20"/>
          <w:lang w:val="fr-CA"/>
        </w:rPr>
        <w:t xml:space="preserve"> </w:t>
      </w:r>
      <w:proofErr w:type="spellStart"/>
      <w:r w:rsidRPr="00FF7A18">
        <w:rPr>
          <w:sz w:val="20"/>
          <w:szCs w:val="20"/>
          <w:lang w:val="fr-CA"/>
        </w:rPr>
        <w:t>propriétale</w:t>
      </w:r>
      <w:proofErr w:type="spellEnd"/>
      <w:r w:rsidRPr="00FF7A18">
        <w:rPr>
          <w:sz w:val="20"/>
          <w:szCs w:val="20"/>
          <w:lang w:val="fr-CA"/>
        </w:rPr>
        <w:t xml:space="preserve"> est accueillie. Il est ordonné à l’intimée, en sa qualité d’exécutrice testamentaire, de prendre toutes les mesures nécessaires pour permettre à l’appelant d’acheter l’intérêt de la bénéficiaire intimée sur le tiers de la propriété pour la somme de 223 333,33 $ — plus un montant représentant l’intérêt après jugement qui serait exigible en vertu d’un jugement au même montant rendu le 2 février 2011 — une fois que la bénéficiaire intimée aura reçu cet intérêt de la succession. Après avoir acquis l’intérêt de la bénéficiaire intimée dans la propriété, l’appelant devra remettre à la succession le montant des dépenses engagées par la succession pour l’entretien de la propriété à compter du 2 février 2011.</w:t>
      </w:r>
    </w:p>
    <w:p w:rsidR="0052229C" w:rsidRPr="00E6723D" w:rsidRDefault="0052229C" w:rsidP="0052229C">
      <w:pPr>
        <w:rPr>
          <w:sz w:val="20"/>
          <w:szCs w:val="20"/>
          <w:lang w:val="fr-CA"/>
        </w:rPr>
      </w:pPr>
    </w:p>
    <w:p w:rsidR="0052229C" w:rsidRPr="00E6723D" w:rsidRDefault="00F964D5" w:rsidP="0052229C">
      <w:pPr>
        <w:spacing w:line="0" w:lineRule="atLeast"/>
        <w:rPr>
          <w:sz w:val="20"/>
          <w:szCs w:val="20"/>
        </w:rPr>
      </w:pPr>
      <w:r>
        <w:rPr>
          <w:b/>
          <w:sz w:val="20"/>
          <w:szCs w:val="20"/>
        </w:rPr>
        <w:pict>
          <v:rect id="_x0000_i1090" style="width:144.3pt;height:1pt" o:hrpct="300" o:hralign="center" o:hrstd="t" o:hrnoshade="t" o:hr="t" fillcolor="black [3213]" stroked="f"/>
        </w:pict>
      </w:r>
    </w:p>
    <w:p w:rsidR="0052229C" w:rsidRPr="00E6723D" w:rsidRDefault="0052229C" w:rsidP="0052229C">
      <w:pPr>
        <w:spacing w:line="0" w:lineRule="atLeast"/>
        <w:rPr>
          <w:sz w:val="20"/>
          <w:szCs w:val="20"/>
        </w:rPr>
      </w:pPr>
    </w:p>
    <w:p w:rsidR="0052229C" w:rsidRPr="00A70734" w:rsidRDefault="00A70734" w:rsidP="0052229C">
      <w:pPr>
        <w:rPr>
          <w:b/>
          <w:sz w:val="20"/>
          <w:szCs w:val="20"/>
        </w:rPr>
      </w:pPr>
      <w:r w:rsidRPr="00A70734">
        <w:rPr>
          <w:b/>
          <w:sz w:val="20"/>
          <w:szCs w:val="20"/>
        </w:rPr>
        <w:t>DECEMBER 15</w:t>
      </w:r>
      <w:r w:rsidR="0052229C" w:rsidRPr="00A70734">
        <w:rPr>
          <w:b/>
          <w:sz w:val="20"/>
          <w:szCs w:val="20"/>
        </w:rPr>
        <w:t>, 201</w:t>
      </w:r>
      <w:r w:rsidRPr="00A70734">
        <w:rPr>
          <w:b/>
          <w:sz w:val="20"/>
          <w:szCs w:val="20"/>
        </w:rPr>
        <w:t>7</w:t>
      </w:r>
      <w:r w:rsidR="0052229C" w:rsidRPr="00A70734">
        <w:rPr>
          <w:b/>
          <w:sz w:val="20"/>
          <w:szCs w:val="20"/>
        </w:rPr>
        <w:t xml:space="preserve"> / LE </w:t>
      </w:r>
      <w:r w:rsidRPr="00A70734">
        <w:rPr>
          <w:b/>
          <w:sz w:val="20"/>
          <w:szCs w:val="20"/>
        </w:rPr>
        <w:t>15 DÉCEMBRE</w:t>
      </w:r>
      <w:r w:rsidR="0052229C" w:rsidRPr="00A70734">
        <w:rPr>
          <w:b/>
          <w:sz w:val="20"/>
          <w:szCs w:val="20"/>
        </w:rPr>
        <w:t xml:space="preserve"> 201</w:t>
      </w:r>
      <w:r w:rsidRPr="00A70734">
        <w:rPr>
          <w:b/>
          <w:sz w:val="20"/>
          <w:szCs w:val="20"/>
        </w:rPr>
        <w:t>7</w:t>
      </w:r>
    </w:p>
    <w:p w:rsidR="0052229C" w:rsidRPr="00A70734" w:rsidRDefault="0052229C" w:rsidP="0052229C">
      <w:pPr>
        <w:spacing w:line="0" w:lineRule="atLeast"/>
        <w:rPr>
          <w:rFonts w:cs="Times New Roman"/>
          <w:sz w:val="20"/>
          <w:szCs w:val="20"/>
        </w:rPr>
      </w:pPr>
    </w:p>
    <w:p w:rsidR="0052229C" w:rsidRPr="00A70734" w:rsidRDefault="000E27A5" w:rsidP="0052229C">
      <w:pPr>
        <w:ind w:left="1440" w:hanging="1440"/>
        <w:jc w:val="both"/>
        <w:rPr>
          <w:sz w:val="20"/>
          <w:szCs w:val="20"/>
        </w:rPr>
      </w:pPr>
      <w:r w:rsidRPr="00A70734">
        <w:rPr>
          <w:b/>
          <w:sz w:val="20"/>
          <w:szCs w:val="20"/>
        </w:rPr>
        <w:fldChar w:fldCharType="begin"/>
      </w:r>
      <w:r w:rsidR="0052229C" w:rsidRPr="00A70734">
        <w:rPr>
          <w:b/>
          <w:sz w:val="20"/>
          <w:szCs w:val="20"/>
        </w:rPr>
        <w:instrText xml:space="preserve"> SEQ CHAPTER \h \r 1</w:instrText>
      </w:r>
      <w:r w:rsidRPr="00A70734">
        <w:rPr>
          <w:b/>
          <w:sz w:val="20"/>
          <w:szCs w:val="20"/>
        </w:rPr>
        <w:fldChar w:fldCharType="end"/>
      </w:r>
      <w:r w:rsidR="00E6723D" w:rsidRPr="00A70734">
        <w:rPr>
          <w:b/>
          <w:sz w:val="20"/>
          <w:szCs w:val="20"/>
        </w:rPr>
        <w:t>37041</w:t>
      </w:r>
      <w:r w:rsidR="0052229C" w:rsidRPr="00A70734">
        <w:rPr>
          <w:sz w:val="20"/>
          <w:szCs w:val="20"/>
        </w:rPr>
        <w:tab/>
      </w:r>
      <w:r w:rsidR="00E6723D" w:rsidRPr="00A70734">
        <w:rPr>
          <w:b/>
          <w:sz w:val="20"/>
          <w:szCs w:val="20"/>
          <w:u w:val="single"/>
        </w:rPr>
        <w:t xml:space="preserve">British Columbia Human Rights Tribunal v. </w:t>
      </w:r>
      <w:r w:rsidR="00F964D5">
        <w:rPr>
          <w:b/>
          <w:sz w:val="20"/>
          <w:szCs w:val="20"/>
          <w:u w:val="single"/>
        </w:rPr>
        <w:t xml:space="preserve">Edward </w:t>
      </w:r>
      <w:proofErr w:type="spellStart"/>
      <w:r w:rsidR="00F964D5">
        <w:rPr>
          <w:b/>
          <w:sz w:val="20"/>
          <w:szCs w:val="20"/>
          <w:u w:val="single"/>
        </w:rPr>
        <w:t>Schrenk</w:t>
      </w:r>
      <w:proofErr w:type="spellEnd"/>
      <w:r w:rsidR="00F964D5">
        <w:rPr>
          <w:b/>
          <w:sz w:val="20"/>
          <w:szCs w:val="20"/>
          <w:u w:val="single"/>
        </w:rPr>
        <w:t xml:space="preserve"> - and - </w:t>
      </w:r>
      <w:r w:rsidR="00E6723D" w:rsidRPr="00A70734">
        <w:rPr>
          <w:b/>
          <w:sz w:val="20"/>
          <w:szCs w:val="20"/>
          <w:u w:val="single"/>
        </w:rPr>
        <w:t>Canadian Association of Labour Lawyers, Canadian Construction Association, Community Legal Assistance Society, West Coast Women’s Legal Education and Action Fund, Retail Action Network, Alberta Federation of Labour, International Association of Machinists and Aerospace Workers Local Lodge 99, Ontario Human Rights Commission and African Canadian Legal Clinic</w:t>
      </w:r>
      <w:r w:rsidR="00E6723D" w:rsidRPr="00A70734">
        <w:rPr>
          <w:b/>
          <w:sz w:val="20"/>
          <w:szCs w:val="20"/>
        </w:rPr>
        <w:t xml:space="preserve"> </w:t>
      </w:r>
      <w:r w:rsidR="0052229C" w:rsidRPr="00A70734">
        <w:rPr>
          <w:iCs/>
          <w:sz w:val="20"/>
          <w:szCs w:val="20"/>
        </w:rPr>
        <w:t>(</w:t>
      </w:r>
      <w:r w:rsidR="00E6723D" w:rsidRPr="00A70734">
        <w:rPr>
          <w:iCs/>
          <w:sz w:val="20"/>
          <w:szCs w:val="20"/>
        </w:rPr>
        <w:t>B.C.)</w:t>
      </w:r>
    </w:p>
    <w:p w:rsidR="0052229C" w:rsidRPr="00A7073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A70734">
        <w:rPr>
          <w:b/>
          <w:sz w:val="20"/>
          <w:szCs w:val="20"/>
        </w:rPr>
        <w:t>201</w:t>
      </w:r>
      <w:r w:rsidR="0056248C" w:rsidRPr="00A70734">
        <w:rPr>
          <w:b/>
          <w:sz w:val="20"/>
          <w:szCs w:val="20"/>
        </w:rPr>
        <w:t>7</w:t>
      </w:r>
      <w:r w:rsidRPr="00A70734">
        <w:rPr>
          <w:b/>
          <w:sz w:val="20"/>
          <w:szCs w:val="20"/>
        </w:rPr>
        <w:t xml:space="preserve"> SCC </w:t>
      </w:r>
      <w:r w:rsidR="00E6723D" w:rsidRPr="00A70734">
        <w:rPr>
          <w:b/>
          <w:sz w:val="20"/>
          <w:szCs w:val="20"/>
        </w:rPr>
        <w:t>6</w:t>
      </w:r>
      <w:r w:rsidR="0056248C" w:rsidRPr="00A70734">
        <w:rPr>
          <w:b/>
          <w:sz w:val="20"/>
          <w:szCs w:val="20"/>
        </w:rPr>
        <w:t>2</w:t>
      </w:r>
      <w:r w:rsidRPr="00A70734">
        <w:rPr>
          <w:b/>
          <w:sz w:val="20"/>
          <w:szCs w:val="20"/>
        </w:rPr>
        <w:t xml:space="preserve"> / 201</w:t>
      </w:r>
      <w:r w:rsidR="0056248C" w:rsidRPr="00A70734">
        <w:rPr>
          <w:b/>
          <w:sz w:val="20"/>
          <w:szCs w:val="20"/>
        </w:rPr>
        <w:t>7</w:t>
      </w:r>
      <w:r w:rsidRPr="00A70734">
        <w:rPr>
          <w:b/>
          <w:sz w:val="20"/>
          <w:szCs w:val="20"/>
        </w:rPr>
        <w:t xml:space="preserve"> CSC </w:t>
      </w:r>
      <w:r w:rsidR="00A70734" w:rsidRPr="00A70734">
        <w:rPr>
          <w:b/>
          <w:sz w:val="20"/>
          <w:szCs w:val="20"/>
        </w:rPr>
        <w:t>6</w:t>
      </w:r>
      <w:r w:rsidR="0056248C" w:rsidRPr="00A70734">
        <w:rPr>
          <w:b/>
          <w:sz w:val="20"/>
          <w:szCs w:val="20"/>
        </w:rPr>
        <w:t>2</w:t>
      </w:r>
    </w:p>
    <w:p w:rsidR="0052229C" w:rsidRPr="00A7073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Pr="00A70734" w:rsidRDefault="0052229C" w:rsidP="0056248C">
      <w:pPr>
        <w:widowControl w:val="0"/>
        <w:ind w:left="720" w:hanging="720"/>
        <w:rPr>
          <w:sz w:val="20"/>
          <w:szCs w:val="20"/>
        </w:rPr>
      </w:pPr>
      <w:r w:rsidRPr="00A70734">
        <w:rPr>
          <w:sz w:val="20"/>
          <w:szCs w:val="20"/>
        </w:rPr>
        <w:t>Coram:</w:t>
      </w:r>
      <w:r w:rsidRPr="00A70734">
        <w:rPr>
          <w:sz w:val="20"/>
          <w:szCs w:val="20"/>
        </w:rPr>
        <w:tab/>
      </w:r>
      <w:r w:rsidR="00E6723D" w:rsidRPr="00A70734">
        <w:rPr>
          <w:sz w:val="20"/>
          <w:szCs w:val="20"/>
        </w:rPr>
        <w:tab/>
      </w:r>
      <w:proofErr w:type="spellStart"/>
      <w:r w:rsidR="00E6723D" w:rsidRPr="00A70734">
        <w:rPr>
          <w:sz w:val="20"/>
          <w:szCs w:val="20"/>
          <w:u w:val="single"/>
        </w:rPr>
        <w:t>McLachlin</w:t>
      </w:r>
      <w:proofErr w:type="spellEnd"/>
      <w:r w:rsidR="00E6723D" w:rsidRPr="00A70734">
        <w:rPr>
          <w:sz w:val="20"/>
          <w:szCs w:val="20"/>
          <w:u w:val="single"/>
        </w:rPr>
        <w:t xml:space="preserve"> C.J. and </w:t>
      </w:r>
      <w:proofErr w:type="spellStart"/>
      <w:r w:rsidR="00E6723D" w:rsidRPr="00A70734">
        <w:rPr>
          <w:sz w:val="20"/>
          <w:szCs w:val="20"/>
          <w:u w:val="single"/>
        </w:rPr>
        <w:t>Abella</w:t>
      </w:r>
      <w:proofErr w:type="spellEnd"/>
      <w:r w:rsidR="00E6723D" w:rsidRPr="00A70734">
        <w:rPr>
          <w:sz w:val="20"/>
          <w:szCs w:val="20"/>
          <w:u w:val="single"/>
        </w:rPr>
        <w:t xml:space="preserve">, </w:t>
      </w:r>
      <w:proofErr w:type="spellStart"/>
      <w:r w:rsidR="00E6723D" w:rsidRPr="00A70734">
        <w:rPr>
          <w:sz w:val="20"/>
          <w:szCs w:val="20"/>
          <w:u w:val="single"/>
        </w:rPr>
        <w:t>Moldaver</w:t>
      </w:r>
      <w:proofErr w:type="spellEnd"/>
      <w:r w:rsidR="00E6723D" w:rsidRPr="00A70734">
        <w:rPr>
          <w:sz w:val="20"/>
          <w:szCs w:val="20"/>
          <w:u w:val="single"/>
        </w:rPr>
        <w:t xml:space="preserve">, </w:t>
      </w:r>
      <w:proofErr w:type="spellStart"/>
      <w:r w:rsidR="00E6723D" w:rsidRPr="00A70734">
        <w:rPr>
          <w:sz w:val="20"/>
          <w:szCs w:val="20"/>
          <w:u w:val="single"/>
        </w:rPr>
        <w:t>Karakatsanis</w:t>
      </w:r>
      <w:proofErr w:type="spellEnd"/>
      <w:r w:rsidR="00E6723D" w:rsidRPr="00A70734">
        <w:rPr>
          <w:sz w:val="20"/>
          <w:szCs w:val="20"/>
          <w:u w:val="single"/>
        </w:rPr>
        <w:t xml:space="preserve">, Wagner, </w:t>
      </w:r>
      <w:proofErr w:type="spellStart"/>
      <w:r w:rsidR="00E6723D" w:rsidRPr="00A70734">
        <w:rPr>
          <w:sz w:val="20"/>
          <w:szCs w:val="20"/>
          <w:u w:val="single"/>
        </w:rPr>
        <w:t>Gascon</w:t>
      </w:r>
      <w:proofErr w:type="spellEnd"/>
      <w:r w:rsidR="00E6723D" w:rsidRPr="00A70734">
        <w:rPr>
          <w:sz w:val="20"/>
          <w:szCs w:val="20"/>
          <w:u w:val="single"/>
        </w:rPr>
        <w:t xml:space="preserve">, </w:t>
      </w:r>
      <w:proofErr w:type="spellStart"/>
      <w:r w:rsidR="00E6723D" w:rsidRPr="00A70734">
        <w:rPr>
          <w:sz w:val="20"/>
          <w:szCs w:val="20"/>
          <w:u w:val="single"/>
        </w:rPr>
        <w:t>Côté</w:t>
      </w:r>
      <w:proofErr w:type="spellEnd"/>
      <w:r w:rsidR="00E6723D" w:rsidRPr="00A70734">
        <w:rPr>
          <w:sz w:val="20"/>
          <w:szCs w:val="20"/>
          <w:u w:val="single"/>
        </w:rPr>
        <w:t>, Brown and Rowe JJ.</w:t>
      </w:r>
    </w:p>
    <w:p w:rsidR="0052229C" w:rsidRPr="00A70734" w:rsidRDefault="0052229C" w:rsidP="0052229C">
      <w:pPr>
        <w:ind w:left="1440" w:hanging="1440"/>
        <w:jc w:val="both"/>
        <w:rPr>
          <w:sz w:val="20"/>
          <w:szCs w:val="20"/>
          <w:u w:val="single"/>
        </w:rPr>
      </w:pPr>
    </w:p>
    <w:p w:rsidR="0052229C" w:rsidRPr="004A61F1" w:rsidRDefault="00A70734" w:rsidP="0052229C">
      <w:pPr>
        <w:jc w:val="both"/>
        <w:rPr>
          <w:rFonts w:cs="Times New Roman"/>
          <w:sz w:val="20"/>
          <w:szCs w:val="20"/>
          <w:lang w:val="fr-CA"/>
        </w:rPr>
      </w:pPr>
      <w:r w:rsidRPr="00A70734">
        <w:rPr>
          <w:rFonts w:cs="Times New Roman"/>
          <w:sz w:val="20"/>
          <w:szCs w:val="20"/>
        </w:rPr>
        <w:t xml:space="preserve">The appeal from the judgment of the Court of Appeal for British Columbia (Vancouver), Number CA42989, 2016 BCCA 146, dated April 5, 2016, heard on March 28, 2017, is allowed and the British Columbia Human Rights Tribunal’s decision is affirmed. </w:t>
      </w:r>
      <w:proofErr w:type="spellStart"/>
      <w:r w:rsidRPr="004A61F1">
        <w:rPr>
          <w:rFonts w:cs="Times New Roman"/>
          <w:sz w:val="20"/>
          <w:szCs w:val="20"/>
          <w:lang w:val="fr-CA"/>
        </w:rPr>
        <w:t>McLachlin</w:t>
      </w:r>
      <w:proofErr w:type="spellEnd"/>
      <w:r w:rsidRPr="004A61F1">
        <w:rPr>
          <w:rFonts w:cs="Times New Roman"/>
          <w:sz w:val="20"/>
          <w:szCs w:val="20"/>
          <w:lang w:val="fr-CA"/>
        </w:rPr>
        <w:t xml:space="preserve"> C.J., and Côté and Brown JJ. </w:t>
      </w:r>
      <w:proofErr w:type="gramStart"/>
      <w:r w:rsidRPr="004A61F1">
        <w:rPr>
          <w:rFonts w:cs="Times New Roman"/>
          <w:sz w:val="20"/>
          <w:szCs w:val="20"/>
          <w:lang w:val="fr-CA"/>
        </w:rPr>
        <w:t>dissent</w:t>
      </w:r>
      <w:proofErr w:type="gramEnd"/>
      <w:r w:rsidRPr="004A61F1">
        <w:rPr>
          <w:rFonts w:cs="Times New Roman"/>
          <w:sz w:val="20"/>
          <w:szCs w:val="20"/>
          <w:lang w:val="fr-CA"/>
        </w:rPr>
        <w:t>.</w:t>
      </w:r>
    </w:p>
    <w:p w:rsidR="00A70734" w:rsidRPr="004A61F1" w:rsidRDefault="00A70734" w:rsidP="0052229C">
      <w:pPr>
        <w:jc w:val="both"/>
        <w:rPr>
          <w:rFonts w:eastAsia="Calibri"/>
          <w:sz w:val="20"/>
          <w:szCs w:val="20"/>
          <w:lang w:val="fr-CA"/>
        </w:rPr>
      </w:pPr>
    </w:p>
    <w:p w:rsidR="00D004FC" w:rsidRPr="00A70734" w:rsidRDefault="00A70734" w:rsidP="00D004FC">
      <w:pPr>
        <w:spacing w:line="0" w:lineRule="atLeast"/>
        <w:rPr>
          <w:rFonts w:cs="Times New Roman"/>
          <w:sz w:val="20"/>
          <w:szCs w:val="20"/>
          <w:lang w:val="fr-CA"/>
        </w:rPr>
      </w:pPr>
      <w:r w:rsidRPr="00A70734">
        <w:rPr>
          <w:rFonts w:cs="Times New Roman"/>
          <w:sz w:val="20"/>
          <w:szCs w:val="20"/>
          <w:lang w:val="fr-CA"/>
        </w:rPr>
        <w:t xml:space="preserve">L’appel interjeté contre l’arrêt de la Cour d’appel de la Colombie-Britannique (Vancouver), numéro CA42989, 2016 BCCA 146, daté du 5 avril 2016, entendu le 28 mars 2017, est accueilli et la décision du British Columbia </w:t>
      </w:r>
      <w:proofErr w:type="spellStart"/>
      <w:r w:rsidRPr="00A70734">
        <w:rPr>
          <w:rFonts w:cs="Times New Roman"/>
          <w:sz w:val="20"/>
          <w:szCs w:val="20"/>
          <w:lang w:val="fr-CA"/>
        </w:rPr>
        <w:t>Human</w:t>
      </w:r>
      <w:proofErr w:type="spellEnd"/>
      <w:r w:rsidRPr="00A70734">
        <w:rPr>
          <w:rFonts w:cs="Times New Roman"/>
          <w:sz w:val="20"/>
          <w:szCs w:val="20"/>
          <w:lang w:val="fr-CA"/>
        </w:rPr>
        <w:t xml:space="preserve"> </w:t>
      </w:r>
      <w:proofErr w:type="spellStart"/>
      <w:r w:rsidRPr="00A70734">
        <w:rPr>
          <w:rFonts w:cs="Times New Roman"/>
          <w:sz w:val="20"/>
          <w:szCs w:val="20"/>
          <w:lang w:val="fr-CA"/>
        </w:rPr>
        <w:t>Rights</w:t>
      </w:r>
      <w:proofErr w:type="spellEnd"/>
      <w:r w:rsidRPr="00A70734">
        <w:rPr>
          <w:rFonts w:cs="Times New Roman"/>
          <w:sz w:val="20"/>
          <w:szCs w:val="20"/>
          <w:lang w:val="fr-CA"/>
        </w:rPr>
        <w:t xml:space="preserve"> Tribunal est confirmée. La juge en chef </w:t>
      </w:r>
      <w:proofErr w:type="spellStart"/>
      <w:r w:rsidRPr="00A70734">
        <w:rPr>
          <w:rFonts w:cs="Times New Roman"/>
          <w:sz w:val="20"/>
          <w:szCs w:val="20"/>
          <w:lang w:val="fr-CA"/>
        </w:rPr>
        <w:t>McLachlin</w:t>
      </w:r>
      <w:proofErr w:type="spellEnd"/>
      <w:r w:rsidRPr="00A70734">
        <w:rPr>
          <w:rFonts w:cs="Times New Roman"/>
          <w:sz w:val="20"/>
          <w:szCs w:val="20"/>
          <w:lang w:val="fr-CA"/>
        </w:rPr>
        <w:t>, et les juges Côté et Brown sont dissidents.</w:t>
      </w:r>
    </w:p>
    <w:p w:rsidR="00D004FC" w:rsidRDefault="00F964D5" w:rsidP="00D004FC">
      <w:pPr>
        <w:jc w:val="both"/>
        <w:rPr>
          <w:rFonts w:cs="Times New Roman"/>
          <w:b/>
          <w:sz w:val="20"/>
          <w:szCs w:val="20"/>
        </w:rPr>
      </w:pPr>
      <w:r>
        <w:rPr>
          <w:rFonts w:cs="Times New Roman"/>
          <w:b/>
          <w:sz w:val="20"/>
          <w:szCs w:val="20"/>
        </w:rPr>
        <w:pict>
          <v:rect id="_x0000_i1091"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B9344E" w:rsidRDefault="004138ED" w:rsidP="0052229C">
      <w:pPr>
        <w:ind w:left="1440" w:hanging="1440"/>
        <w:jc w:val="both"/>
        <w:rPr>
          <w:sz w:val="20"/>
          <w:szCs w:val="20"/>
          <w:lang w:val="en-US"/>
        </w:rPr>
      </w:pPr>
      <w:r w:rsidRPr="00B9344E">
        <w:rPr>
          <w:rFonts w:eastAsia="Calibri"/>
          <w:i/>
          <w:sz w:val="20"/>
          <w:szCs w:val="20"/>
          <w:lang w:val="en-US"/>
        </w:rPr>
        <w:t xml:space="preserve">Max Wayne Cowper-Smith v. Gloria Lynn Morgan et al. </w:t>
      </w:r>
      <w:r w:rsidR="0052229C" w:rsidRPr="00B9344E">
        <w:rPr>
          <w:sz w:val="20"/>
          <w:szCs w:val="20"/>
          <w:lang w:val="en-US"/>
        </w:rPr>
        <w:t>(</w:t>
      </w:r>
      <w:r w:rsidRPr="00B9344E">
        <w:rPr>
          <w:sz w:val="20"/>
          <w:szCs w:val="20"/>
          <w:lang w:val="en-US"/>
        </w:rPr>
        <w:t>B.C.</w:t>
      </w:r>
      <w:r w:rsidR="0052229C" w:rsidRPr="00B9344E">
        <w:rPr>
          <w:sz w:val="20"/>
          <w:szCs w:val="20"/>
          <w:lang w:val="en-US"/>
        </w:rPr>
        <w:t>) (</w:t>
      </w:r>
      <w:hyperlink r:id="rId109" w:history="1">
        <w:r w:rsidR="0052229C" w:rsidRPr="00B9344E">
          <w:rPr>
            <w:rStyle w:val="Hyperlink"/>
            <w:sz w:val="20"/>
            <w:szCs w:val="20"/>
            <w:lang w:val="en-US"/>
          </w:rPr>
          <w:t>3</w:t>
        </w:r>
        <w:r w:rsidRPr="00B9344E">
          <w:rPr>
            <w:rStyle w:val="Hyperlink"/>
            <w:sz w:val="20"/>
            <w:szCs w:val="20"/>
            <w:lang w:val="en-US"/>
          </w:rPr>
          <w:t>7120</w:t>
        </w:r>
      </w:hyperlink>
      <w:r w:rsidR="0052229C" w:rsidRPr="00B9344E">
        <w:rPr>
          <w:sz w:val="20"/>
          <w:szCs w:val="20"/>
          <w:lang w:val="en-US"/>
        </w:rPr>
        <w:t>)</w:t>
      </w:r>
    </w:p>
    <w:p w:rsidR="0052229C" w:rsidRPr="00B9344E" w:rsidRDefault="0052229C" w:rsidP="0052229C">
      <w:pPr>
        <w:jc w:val="both"/>
        <w:rPr>
          <w:b/>
          <w:sz w:val="20"/>
          <w:szCs w:val="20"/>
        </w:rPr>
      </w:pPr>
      <w:r w:rsidRPr="00B9344E">
        <w:rPr>
          <w:b/>
          <w:sz w:val="20"/>
          <w:szCs w:val="20"/>
        </w:rPr>
        <w:t>Indexed as</w:t>
      </w:r>
      <w:r w:rsidR="004138ED" w:rsidRPr="00B9344E">
        <w:rPr>
          <w:sz w:val="20"/>
          <w:szCs w:val="20"/>
        </w:rPr>
        <w:t xml:space="preserve"> </w:t>
      </w:r>
      <w:r w:rsidR="004138ED" w:rsidRPr="00B9344E">
        <w:rPr>
          <w:rStyle w:val="SCCAppellantForIndexChar"/>
          <w:rFonts w:eastAsiaTheme="minorHAnsi"/>
          <w:sz w:val="20"/>
          <w:lang w:val="en-US"/>
        </w:rPr>
        <w:t>Cowper</w:t>
      </w:r>
      <w:r w:rsidR="004138ED" w:rsidRPr="00B9344E">
        <w:rPr>
          <w:rStyle w:val="SCCAppellantForIndexChar"/>
          <w:rFonts w:eastAsiaTheme="minorHAnsi"/>
          <w:sz w:val="20"/>
          <w:lang w:val="en-US"/>
        </w:rPr>
        <w:noBreakHyphen/>
        <w:t>Smith</w:t>
      </w:r>
      <w:r w:rsidR="004138ED" w:rsidRPr="00B9344E">
        <w:rPr>
          <w:b/>
          <w:sz w:val="20"/>
          <w:szCs w:val="20"/>
        </w:rPr>
        <w:t xml:space="preserve"> </w:t>
      </w:r>
      <w:r w:rsidR="004138ED" w:rsidRPr="00B9344E">
        <w:rPr>
          <w:b/>
          <w:i/>
          <w:sz w:val="20"/>
          <w:szCs w:val="20"/>
        </w:rPr>
        <w:t>v.</w:t>
      </w:r>
      <w:r w:rsidR="004138ED" w:rsidRPr="00B9344E">
        <w:rPr>
          <w:b/>
          <w:sz w:val="20"/>
          <w:szCs w:val="20"/>
        </w:rPr>
        <w:t xml:space="preserve"> </w:t>
      </w:r>
      <w:r w:rsidR="004138ED" w:rsidRPr="00B9344E">
        <w:rPr>
          <w:rStyle w:val="SCCRespondentForIndexChar"/>
          <w:rFonts w:eastAsiaTheme="minorHAnsi"/>
          <w:sz w:val="20"/>
        </w:rPr>
        <w:t>Morgan</w:t>
      </w:r>
      <w:r w:rsidR="004138ED" w:rsidRPr="00B9344E">
        <w:rPr>
          <w:rStyle w:val="SCCLsocPartyChar"/>
          <w:rFonts w:eastAsiaTheme="minorHAnsi"/>
          <w:sz w:val="20"/>
          <w:lang w:val="en-US"/>
        </w:rPr>
        <w:t xml:space="preserve"> </w:t>
      </w:r>
      <w:r w:rsidRPr="00B9344E">
        <w:rPr>
          <w:rStyle w:val="SCCRespondentForIndexChar"/>
          <w:rFonts w:eastAsiaTheme="minorHAnsi"/>
          <w:sz w:val="20"/>
        </w:rPr>
        <w:t xml:space="preserve">/ </w:t>
      </w:r>
      <w:proofErr w:type="spellStart"/>
      <w:proofErr w:type="gramStart"/>
      <w:r w:rsidRPr="00B9344E">
        <w:rPr>
          <w:b/>
          <w:sz w:val="20"/>
          <w:szCs w:val="20"/>
        </w:rPr>
        <w:t>Répertorié</w:t>
      </w:r>
      <w:proofErr w:type="spellEnd"/>
      <w:r w:rsidRPr="00B9344E">
        <w:rPr>
          <w:b/>
          <w:sz w:val="20"/>
          <w:szCs w:val="20"/>
        </w:rPr>
        <w:t> :</w:t>
      </w:r>
      <w:proofErr w:type="gramEnd"/>
      <w:r w:rsidRPr="00B9344E">
        <w:rPr>
          <w:b/>
          <w:sz w:val="20"/>
          <w:szCs w:val="20"/>
        </w:rPr>
        <w:t> </w:t>
      </w:r>
      <w:r w:rsidR="004138ED" w:rsidRPr="00B9344E">
        <w:rPr>
          <w:rStyle w:val="SCCAppellantForIndexChar"/>
          <w:rFonts w:eastAsiaTheme="minorHAnsi"/>
          <w:sz w:val="20"/>
          <w:lang w:val="en-US"/>
        </w:rPr>
        <w:t>Cowper</w:t>
      </w:r>
      <w:r w:rsidR="004138ED" w:rsidRPr="00B9344E">
        <w:rPr>
          <w:rStyle w:val="SCCAppellantForIndexChar"/>
          <w:rFonts w:eastAsiaTheme="minorHAnsi"/>
          <w:sz w:val="20"/>
          <w:lang w:val="en-US"/>
        </w:rPr>
        <w:noBreakHyphen/>
        <w:t>Smith</w:t>
      </w:r>
      <w:r w:rsidR="004138ED" w:rsidRPr="00B9344E">
        <w:rPr>
          <w:b/>
          <w:sz w:val="20"/>
          <w:szCs w:val="20"/>
          <w:lang w:val="en-US"/>
        </w:rPr>
        <w:t xml:space="preserve"> </w:t>
      </w:r>
      <w:r w:rsidR="004138ED" w:rsidRPr="00B9344E">
        <w:rPr>
          <w:b/>
          <w:i/>
          <w:sz w:val="20"/>
          <w:szCs w:val="20"/>
          <w:lang w:val="en-US"/>
        </w:rPr>
        <w:t>c.</w:t>
      </w:r>
      <w:r w:rsidR="004138ED" w:rsidRPr="00B9344E">
        <w:rPr>
          <w:b/>
          <w:sz w:val="20"/>
          <w:szCs w:val="20"/>
          <w:lang w:val="en-US"/>
        </w:rPr>
        <w:t xml:space="preserve"> </w:t>
      </w:r>
      <w:r w:rsidR="004138ED" w:rsidRPr="00B9344E">
        <w:rPr>
          <w:rStyle w:val="SCCRespondentForIndexChar"/>
          <w:rFonts w:eastAsiaTheme="minorHAnsi"/>
          <w:sz w:val="20"/>
          <w:lang w:val="en-US"/>
        </w:rPr>
        <w:t>Morgan</w:t>
      </w:r>
    </w:p>
    <w:p w:rsidR="0052229C" w:rsidRPr="00B9344E" w:rsidRDefault="0052229C" w:rsidP="0052229C">
      <w:pPr>
        <w:pStyle w:val="SCCSystemYear"/>
        <w:jc w:val="both"/>
        <w:rPr>
          <w:sz w:val="20"/>
        </w:rPr>
      </w:pPr>
      <w:proofErr w:type="spellStart"/>
      <w:r w:rsidRPr="00B9344E">
        <w:rPr>
          <w:sz w:val="20"/>
        </w:rPr>
        <w:t>Neutral</w:t>
      </w:r>
      <w:proofErr w:type="spellEnd"/>
      <w:r w:rsidRPr="00B9344E">
        <w:rPr>
          <w:sz w:val="20"/>
        </w:rPr>
        <w:t xml:space="preserve"> citation</w:t>
      </w:r>
      <w:proofErr w:type="gramStart"/>
      <w:r w:rsidRPr="00B9344E">
        <w:rPr>
          <w:sz w:val="20"/>
        </w:rPr>
        <w:t xml:space="preserve">:  </w:t>
      </w:r>
      <w:r w:rsidR="0030050B" w:rsidRPr="00B9344E">
        <w:rPr>
          <w:sz w:val="20"/>
        </w:rPr>
        <w:t>201</w:t>
      </w:r>
      <w:r w:rsidR="0056248C" w:rsidRPr="00B9344E">
        <w:rPr>
          <w:sz w:val="20"/>
        </w:rPr>
        <w:t>7</w:t>
      </w:r>
      <w:proofErr w:type="gramEnd"/>
      <w:r w:rsidRPr="00B9344E">
        <w:rPr>
          <w:sz w:val="20"/>
        </w:rPr>
        <w:t xml:space="preserve"> SCC </w:t>
      </w:r>
      <w:r w:rsidR="00B9344E" w:rsidRPr="00B9344E">
        <w:rPr>
          <w:sz w:val="20"/>
        </w:rPr>
        <w:t>61</w:t>
      </w:r>
      <w:r w:rsidRPr="00B9344E">
        <w:rPr>
          <w:sz w:val="20"/>
        </w:rPr>
        <w:t xml:space="preserve"> / Référence neutre : </w:t>
      </w:r>
      <w:r w:rsidR="0030050B" w:rsidRPr="00B9344E">
        <w:rPr>
          <w:sz w:val="20"/>
        </w:rPr>
        <w:t>201</w:t>
      </w:r>
      <w:r w:rsidR="0056248C" w:rsidRPr="00B9344E">
        <w:rPr>
          <w:sz w:val="20"/>
        </w:rPr>
        <w:t>7</w:t>
      </w:r>
      <w:r w:rsidRPr="00B9344E">
        <w:rPr>
          <w:sz w:val="20"/>
        </w:rPr>
        <w:t xml:space="preserve"> CSC </w:t>
      </w:r>
      <w:r w:rsidR="00B9344E" w:rsidRPr="00B9344E">
        <w:rPr>
          <w:sz w:val="20"/>
        </w:rPr>
        <w:t>6</w:t>
      </w:r>
      <w:r w:rsidRPr="00B9344E">
        <w:rPr>
          <w:sz w:val="20"/>
        </w:rPr>
        <w:t>1</w:t>
      </w:r>
    </w:p>
    <w:p w:rsidR="0052229C" w:rsidRPr="00B9344E" w:rsidRDefault="0052229C" w:rsidP="0052229C">
      <w:pPr>
        <w:rPr>
          <w:rFonts w:cs="Times New Roman"/>
          <w:sz w:val="20"/>
          <w:szCs w:val="20"/>
          <w:lang w:val="fr-CA"/>
        </w:rPr>
      </w:pPr>
      <w:proofErr w:type="spellStart"/>
      <w:r w:rsidRPr="00B9344E">
        <w:rPr>
          <w:rFonts w:cs="Times New Roman"/>
          <w:sz w:val="20"/>
          <w:szCs w:val="20"/>
          <w:lang w:val="fr-CA"/>
        </w:rPr>
        <w:t>Hearing</w:t>
      </w:r>
      <w:proofErr w:type="spellEnd"/>
      <w:proofErr w:type="gramStart"/>
      <w:r w:rsidRPr="00B9344E">
        <w:rPr>
          <w:rFonts w:cs="Times New Roman"/>
          <w:sz w:val="20"/>
          <w:szCs w:val="20"/>
          <w:lang w:val="fr-CA"/>
        </w:rPr>
        <w:t xml:space="preserve">:  </w:t>
      </w:r>
      <w:r w:rsidR="00B9344E" w:rsidRPr="00B9344E">
        <w:rPr>
          <w:rFonts w:cs="Times New Roman"/>
          <w:sz w:val="20"/>
          <w:szCs w:val="20"/>
          <w:lang w:val="fr-CA"/>
        </w:rPr>
        <w:t>May</w:t>
      </w:r>
      <w:proofErr w:type="gramEnd"/>
      <w:r w:rsidR="00B9344E" w:rsidRPr="00B9344E">
        <w:rPr>
          <w:rFonts w:cs="Times New Roman"/>
          <w:sz w:val="20"/>
          <w:szCs w:val="20"/>
          <w:lang w:val="fr-CA"/>
        </w:rPr>
        <w:t xml:space="preserve"> 26</w:t>
      </w:r>
      <w:r w:rsidRPr="00B9344E">
        <w:rPr>
          <w:rFonts w:cs="Times New Roman"/>
          <w:sz w:val="20"/>
          <w:szCs w:val="20"/>
          <w:lang w:val="fr-CA"/>
        </w:rPr>
        <w:t>, 201</w:t>
      </w:r>
      <w:r w:rsidR="00B9344E" w:rsidRPr="00B9344E">
        <w:rPr>
          <w:rFonts w:cs="Times New Roman"/>
          <w:sz w:val="20"/>
          <w:szCs w:val="20"/>
          <w:lang w:val="fr-CA"/>
        </w:rPr>
        <w:t>7</w:t>
      </w:r>
      <w:r w:rsidRPr="00B9344E">
        <w:rPr>
          <w:rFonts w:cs="Times New Roman"/>
          <w:sz w:val="20"/>
          <w:szCs w:val="20"/>
          <w:lang w:val="fr-CA"/>
        </w:rPr>
        <w:t xml:space="preserve"> / </w:t>
      </w:r>
      <w:proofErr w:type="spellStart"/>
      <w:r w:rsidRPr="00B9344E">
        <w:rPr>
          <w:rFonts w:cs="Times New Roman"/>
          <w:sz w:val="20"/>
          <w:szCs w:val="20"/>
          <w:lang w:val="fr-CA"/>
        </w:rPr>
        <w:t>Judgment</w:t>
      </w:r>
      <w:proofErr w:type="spellEnd"/>
      <w:r w:rsidRPr="00B9344E">
        <w:rPr>
          <w:rFonts w:cs="Times New Roman"/>
          <w:sz w:val="20"/>
          <w:szCs w:val="20"/>
          <w:lang w:val="fr-CA"/>
        </w:rPr>
        <w:t xml:space="preserve">:  </w:t>
      </w:r>
      <w:proofErr w:type="spellStart"/>
      <w:r w:rsidR="00B9344E" w:rsidRPr="00B9344E">
        <w:rPr>
          <w:rFonts w:cs="Times New Roman"/>
          <w:sz w:val="20"/>
          <w:szCs w:val="20"/>
          <w:lang w:val="fr-CA"/>
        </w:rPr>
        <w:t>December</w:t>
      </w:r>
      <w:proofErr w:type="spellEnd"/>
      <w:r w:rsidR="00B9344E" w:rsidRPr="00B9344E">
        <w:rPr>
          <w:rFonts w:cs="Times New Roman"/>
          <w:sz w:val="20"/>
          <w:szCs w:val="20"/>
          <w:lang w:val="fr-CA"/>
        </w:rPr>
        <w:t xml:space="preserve"> 14</w:t>
      </w:r>
      <w:r w:rsidRPr="00B9344E">
        <w:rPr>
          <w:rFonts w:cs="Times New Roman"/>
          <w:sz w:val="20"/>
          <w:szCs w:val="20"/>
          <w:lang w:val="fr-CA"/>
        </w:rPr>
        <w:t xml:space="preserve">, </w:t>
      </w:r>
      <w:r w:rsidR="0056248C" w:rsidRPr="00B9344E">
        <w:rPr>
          <w:rFonts w:cs="Times New Roman"/>
          <w:sz w:val="20"/>
          <w:szCs w:val="20"/>
          <w:lang w:val="fr-CA"/>
        </w:rPr>
        <w:t>2017</w:t>
      </w:r>
    </w:p>
    <w:p w:rsidR="0052229C" w:rsidRPr="003B3977" w:rsidRDefault="0052229C" w:rsidP="0052229C">
      <w:pPr>
        <w:rPr>
          <w:rFonts w:cs="Times New Roman"/>
          <w:sz w:val="20"/>
          <w:szCs w:val="20"/>
          <w:lang w:val="fr-CA"/>
        </w:rPr>
      </w:pPr>
      <w:r w:rsidRPr="00B9344E">
        <w:rPr>
          <w:rFonts w:cs="Times New Roman"/>
          <w:sz w:val="20"/>
          <w:szCs w:val="20"/>
          <w:lang w:val="fr-CA"/>
        </w:rPr>
        <w:t xml:space="preserve">Audition : Le </w:t>
      </w:r>
      <w:r w:rsidR="00B9344E" w:rsidRPr="00B9344E">
        <w:rPr>
          <w:rFonts w:cs="Times New Roman"/>
          <w:sz w:val="20"/>
          <w:szCs w:val="20"/>
          <w:lang w:val="fr-CA"/>
        </w:rPr>
        <w:t>26 mai</w:t>
      </w:r>
      <w:r w:rsidRPr="00B9344E">
        <w:rPr>
          <w:rFonts w:cs="Times New Roman"/>
          <w:sz w:val="20"/>
          <w:szCs w:val="20"/>
          <w:lang w:val="fr-CA"/>
        </w:rPr>
        <w:t xml:space="preserve"> 201</w:t>
      </w:r>
      <w:r w:rsidR="00B9344E" w:rsidRPr="00B9344E">
        <w:rPr>
          <w:rFonts w:cs="Times New Roman"/>
          <w:sz w:val="20"/>
          <w:szCs w:val="20"/>
          <w:lang w:val="fr-CA"/>
        </w:rPr>
        <w:t>7</w:t>
      </w:r>
      <w:r w:rsidRPr="00B9344E">
        <w:rPr>
          <w:rFonts w:cs="Times New Roman"/>
          <w:sz w:val="20"/>
          <w:szCs w:val="20"/>
          <w:lang w:val="fr-CA"/>
        </w:rPr>
        <w:t xml:space="preserve"> / Jugement : Le </w:t>
      </w:r>
      <w:r w:rsidR="00B9344E" w:rsidRPr="00B9344E">
        <w:rPr>
          <w:rFonts w:cs="Times New Roman"/>
          <w:sz w:val="20"/>
          <w:szCs w:val="20"/>
          <w:lang w:val="fr-CA"/>
        </w:rPr>
        <w:t>14 décembre</w:t>
      </w:r>
      <w:r w:rsidRPr="00B9344E">
        <w:rPr>
          <w:rFonts w:cs="Times New Roman"/>
          <w:sz w:val="20"/>
          <w:szCs w:val="20"/>
          <w:lang w:val="fr-CA"/>
        </w:rPr>
        <w:t xml:space="preserve"> </w:t>
      </w:r>
      <w:r w:rsidR="0030050B" w:rsidRPr="00B9344E">
        <w:rPr>
          <w:rFonts w:cs="Times New Roman"/>
          <w:sz w:val="20"/>
          <w:szCs w:val="20"/>
          <w:lang w:val="fr-CA"/>
        </w:rPr>
        <w:t>201</w:t>
      </w:r>
      <w:r w:rsidR="0056248C" w:rsidRPr="00B9344E">
        <w:rPr>
          <w:rFonts w:cs="Times New Roman"/>
          <w:sz w:val="20"/>
          <w:szCs w:val="20"/>
          <w:lang w:val="fr-CA"/>
        </w:rPr>
        <w:t>7</w:t>
      </w:r>
    </w:p>
    <w:p w:rsidR="005C6840" w:rsidRPr="003B3977" w:rsidRDefault="00F964D5" w:rsidP="005C6840">
      <w:pPr>
        <w:rPr>
          <w:rFonts w:cs="Times New Roman"/>
          <w:sz w:val="20"/>
          <w:szCs w:val="20"/>
          <w:lang w:val="fr-CA"/>
        </w:rPr>
      </w:pPr>
      <w:r>
        <w:rPr>
          <w:rFonts w:cs="Times New Roman"/>
          <w:i/>
          <w:sz w:val="20"/>
          <w:szCs w:val="20"/>
        </w:rPr>
        <w:pict>
          <v:rect id="_x0000_i109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9344E" w:rsidRPr="00A0550B" w:rsidRDefault="00B9344E" w:rsidP="00B9344E">
      <w:pPr>
        <w:rPr>
          <w:sz w:val="20"/>
          <w:szCs w:val="20"/>
        </w:rPr>
      </w:pPr>
      <w:r w:rsidRPr="00A0550B">
        <w:rPr>
          <w:sz w:val="20"/>
          <w:szCs w:val="20"/>
        </w:rPr>
        <w:t xml:space="preserve">Present: </w:t>
      </w:r>
      <w:proofErr w:type="spellStart"/>
      <w:r w:rsidRPr="00A0550B">
        <w:rPr>
          <w:sz w:val="20"/>
          <w:szCs w:val="20"/>
        </w:rPr>
        <w:t>McLachlin</w:t>
      </w:r>
      <w:proofErr w:type="spellEnd"/>
      <w:r w:rsidRPr="00A0550B">
        <w:rPr>
          <w:sz w:val="20"/>
          <w:szCs w:val="20"/>
        </w:rPr>
        <w:t xml:space="preserve"> C.J. and </w:t>
      </w:r>
      <w:proofErr w:type="spellStart"/>
      <w:r w:rsidRPr="00A0550B">
        <w:rPr>
          <w:sz w:val="20"/>
          <w:szCs w:val="20"/>
        </w:rPr>
        <w:t>Abella</w:t>
      </w:r>
      <w:proofErr w:type="spellEnd"/>
      <w:r w:rsidRPr="00A0550B">
        <w:rPr>
          <w:sz w:val="20"/>
          <w:szCs w:val="20"/>
        </w:rPr>
        <w:t xml:space="preserve">, </w:t>
      </w:r>
      <w:proofErr w:type="spellStart"/>
      <w:r w:rsidRPr="00A0550B">
        <w:rPr>
          <w:sz w:val="20"/>
          <w:szCs w:val="20"/>
        </w:rPr>
        <w:t>Moldaver</w:t>
      </w:r>
      <w:proofErr w:type="spellEnd"/>
      <w:r w:rsidRPr="00A0550B">
        <w:rPr>
          <w:sz w:val="20"/>
          <w:szCs w:val="20"/>
        </w:rPr>
        <w:t xml:space="preserve">, </w:t>
      </w:r>
      <w:proofErr w:type="spellStart"/>
      <w:r w:rsidRPr="00A0550B">
        <w:rPr>
          <w:sz w:val="20"/>
          <w:szCs w:val="20"/>
        </w:rPr>
        <w:t>Karakatsanis</w:t>
      </w:r>
      <w:proofErr w:type="spellEnd"/>
      <w:r w:rsidRPr="00A0550B">
        <w:rPr>
          <w:sz w:val="20"/>
          <w:szCs w:val="20"/>
        </w:rPr>
        <w:t xml:space="preserve">, Wagner, </w:t>
      </w:r>
      <w:proofErr w:type="spellStart"/>
      <w:r w:rsidRPr="00A0550B">
        <w:rPr>
          <w:sz w:val="20"/>
          <w:szCs w:val="20"/>
        </w:rPr>
        <w:t>Gascon</w:t>
      </w:r>
      <w:proofErr w:type="spellEnd"/>
      <w:r w:rsidRPr="00A0550B">
        <w:rPr>
          <w:sz w:val="20"/>
          <w:szCs w:val="20"/>
        </w:rPr>
        <w:t xml:space="preserve">, </w:t>
      </w:r>
      <w:proofErr w:type="spellStart"/>
      <w:r w:rsidRPr="00A0550B">
        <w:rPr>
          <w:sz w:val="20"/>
          <w:szCs w:val="20"/>
        </w:rPr>
        <w:t>Côté</w:t>
      </w:r>
      <w:proofErr w:type="spellEnd"/>
      <w:r w:rsidRPr="00A0550B">
        <w:rPr>
          <w:sz w:val="20"/>
          <w:szCs w:val="20"/>
        </w:rPr>
        <w:t>, Brown and Rowe JJ.</w:t>
      </w:r>
    </w:p>
    <w:p w:rsidR="00B9344E" w:rsidRDefault="00B9344E" w:rsidP="00B9344E">
      <w:pPr>
        <w:pStyle w:val="SCCNormalDoubleSpacing"/>
        <w:spacing w:line="240" w:lineRule="auto"/>
        <w:rPr>
          <w:i/>
          <w:sz w:val="20"/>
        </w:rPr>
      </w:pPr>
    </w:p>
    <w:p w:rsidR="00B9344E" w:rsidRDefault="00B9344E" w:rsidP="00B9344E">
      <w:pPr>
        <w:pStyle w:val="SCCNormalDoubleSpacing"/>
        <w:spacing w:line="240" w:lineRule="auto"/>
        <w:rPr>
          <w:i/>
          <w:sz w:val="20"/>
        </w:rPr>
      </w:pPr>
      <w:r w:rsidRPr="00A0550B">
        <w:rPr>
          <w:i/>
          <w:sz w:val="20"/>
        </w:rPr>
        <w:tab/>
        <w:t>Wills and estates — Wills — Property — Equity — Proprietary estoppel — Remedies — Claimant relying to his detriment on promises made by co</w:t>
      </w:r>
      <w:r w:rsidRPr="00A0550B">
        <w:rPr>
          <w:i/>
          <w:sz w:val="20"/>
        </w:rPr>
        <w:noBreakHyphen/>
        <w:t>beneficiary of their mother’s estate to transfer co</w:t>
      </w:r>
      <w:r w:rsidRPr="00A0550B">
        <w:rPr>
          <w:i/>
          <w:sz w:val="20"/>
        </w:rPr>
        <w:noBreakHyphen/>
        <w:t>beneficiary’s interest in property to claimant — Whether trial judge erred in concluding that proprietary estoppel operated to enforce promisor’s promise — Whether evidence supports trial judge’s conclusion that elements of proprietary estoppel were met — Whether promisor’s lack of ownership in property at time promise was made defeats claimant’s equitable claim — What is appropriate remedy.</w:t>
      </w:r>
    </w:p>
    <w:p w:rsidR="00B9344E" w:rsidRPr="00A0550B" w:rsidRDefault="00B9344E" w:rsidP="00B9344E">
      <w:pPr>
        <w:pStyle w:val="SCCNormalDoubleSpacing"/>
        <w:spacing w:line="240" w:lineRule="auto"/>
        <w:rPr>
          <w:i/>
          <w:sz w:val="20"/>
        </w:rPr>
      </w:pPr>
    </w:p>
    <w:p w:rsidR="00B9344E" w:rsidRDefault="00B9344E" w:rsidP="00B9344E">
      <w:pPr>
        <w:pStyle w:val="SCCNormalDoubleSpacing"/>
        <w:spacing w:line="240" w:lineRule="auto"/>
        <w:rPr>
          <w:sz w:val="20"/>
        </w:rPr>
      </w:pPr>
      <w:r w:rsidRPr="00A0550B">
        <w:rPr>
          <w:sz w:val="20"/>
        </w:rPr>
        <w:tab/>
      </w:r>
      <w:r w:rsidRPr="00A0550B">
        <w:rPr>
          <w:sz w:val="20"/>
          <w:lang w:val="en-US"/>
        </w:rPr>
        <w:t xml:space="preserve">As early as </w:t>
      </w:r>
      <w:r w:rsidRPr="00A0550B">
        <w:rPr>
          <w:sz w:val="20"/>
        </w:rPr>
        <w:t>1992, E and A made it clear that after their deaths, their property would be divided equally among their three children, G, M and N. After A’s death however, E’s estate planning changed dramatically: she transferred title to the family home in Victoria and all of her investments into joint ownership with G, indicating in a trust declaration that G would be entitled absolutely to those assets upon her death. Despite the fact that the trust declaration and joint ownership, if valid, assured that the estate would be virtually devoid of assets, E also executed a new will that appointed G as executor and provided that the estate would be divided equally among the three children.</w:t>
      </w:r>
    </w:p>
    <w:p w:rsidR="00B9344E" w:rsidRPr="00A0550B" w:rsidRDefault="00B9344E" w:rsidP="00B9344E">
      <w:pPr>
        <w:pStyle w:val="SCCNormalDoubleSpacing"/>
        <w:spacing w:line="240" w:lineRule="auto"/>
        <w:rPr>
          <w:sz w:val="20"/>
        </w:rPr>
      </w:pPr>
    </w:p>
    <w:p w:rsidR="00B9344E" w:rsidRPr="00A0550B" w:rsidRDefault="00B9344E" w:rsidP="00B9344E">
      <w:pPr>
        <w:pStyle w:val="SCCNormalDoubleSpacing"/>
        <w:spacing w:line="240" w:lineRule="auto"/>
        <w:rPr>
          <w:sz w:val="20"/>
          <w:lang w:val="en-US"/>
        </w:rPr>
      </w:pPr>
      <w:r w:rsidRPr="00A0550B">
        <w:rPr>
          <w:sz w:val="20"/>
        </w:rPr>
        <w:tab/>
        <w:t xml:space="preserve">In 2005, when </w:t>
      </w:r>
      <w:proofErr w:type="spellStart"/>
      <w:r w:rsidRPr="00A0550B">
        <w:rPr>
          <w:sz w:val="20"/>
        </w:rPr>
        <w:t>E</w:t>
      </w:r>
      <w:proofErr w:type="spellEnd"/>
      <w:r w:rsidRPr="00A0550B">
        <w:rPr>
          <w:sz w:val="20"/>
        </w:rPr>
        <w:t xml:space="preserve"> could no longer live on her own, M agreed to move back to Victoria to care for her, giving up his employment income, his cottage lease, his contacts with his children and his social life, but only after G agreed that M would be able to live in the family home permanently and eventually acquire G’s one</w:t>
      </w:r>
      <w:r w:rsidRPr="00A0550B">
        <w:rPr>
          <w:sz w:val="20"/>
        </w:rPr>
        <w:noBreakHyphen/>
        <w:t xml:space="preserve">third interest in the property. </w:t>
      </w:r>
      <w:r w:rsidRPr="00A0550B">
        <w:rPr>
          <w:sz w:val="20"/>
          <w:lang w:val="en-US"/>
        </w:rPr>
        <w:t>After E’s death, the trust declaration came to light and in 2011, G announced her plans to sell the family home, in which M was still living.</w:t>
      </w:r>
      <w:r w:rsidRPr="00A0550B">
        <w:rPr>
          <w:sz w:val="20"/>
        </w:rPr>
        <w:t xml:space="preserve"> M and N sought an order setting aside the trust declaration as the product of G’s undue influence over E and declaring that G held the property and investments in trust for E’s estate to be divided equally between the three children in accordance with E’s most recent will. </w:t>
      </w:r>
      <w:r w:rsidRPr="00A0550B">
        <w:rPr>
          <w:sz w:val="20"/>
          <w:lang w:val="en-US"/>
        </w:rPr>
        <w:t>They also claimed, on the basis of proprietary estoppel, that M was entitled to purchase G’s one</w:t>
      </w:r>
      <w:r w:rsidRPr="00A0550B">
        <w:rPr>
          <w:sz w:val="20"/>
          <w:lang w:val="en-US"/>
        </w:rPr>
        <w:noBreakHyphen/>
        <w:t xml:space="preserve">third interest in the property. </w:t>
      </w:r>
      <w:r w:rsidRPr="00A0550B">
        <w:rPr>
          <w:sz w:val="20"/>
        </w:rPr>
        <w:t>The brothers succeeded at trial, where the trial judge found that G had not rebutted the presumptions of undue influence and resulting trust, and declared that the property belonged to E’s estate. The Court of Appeal unanimously upheld the trial judge’s conclusions with respect to undue influence and resulting trust, but split on proprietary estoppel. The majority held that since G owned no interest in the property at the time that she made assurances to M, proprietary estoppel could not arise. M appealed on the issue of proprietary estoppel.</w:t>
      </w:r>
    </w:p>
    <w:p w:rsidR="00B9344E" w:rsidRDefault="00B9344E" w:rsidP="00B9344E">
      <w:pPr>
        <w:pStyle w:val="SCCNormalDoubleSpacing"/>
        <w:spacing w:line="240" w:lineRule="auto"/>
        <w:rPr>
          <w:sz w:val="20"/>
        </w:rPr>
      </w:pPr>
      <w:r w:rsidRPr="00A0550B">
        <w:rPr>
          <w:sz w:val="20"/>
        </w:rPr>
        <w:tab/>
      </w:r>
      <w:r w:rsidRPr="00A0550B">
        <w:rPr>
          <w:rStyle w:val="QuoteChar"/>
          <w:rFonts w:eastAsiaTheme="minorHAnsi"/>
          <w:sz w:val="20"/>
        </w:rPr>
        <w:t>Held:</w:t>
      </w:r>
      <w:r w:rsidRPr="00A0550B">
        <w:rPr>
          <w:sz w:val="20"/>
        </w:rPr>
        <w:t xml:space="preserve"> The appeal should be allowed.</w:t>
      </w:r>
    </w:p>
    <w:p w:rsidR="00B9344E" w:rsidRPr="00A0550B" w:rsidRDefault="00B9344E" w:rsidP="00B9344E">
      <w:pPr>
        <w:pStyle w:val="SCCNormalDoubleSpacing"/>
        <w:spacing w:line="240" w:lineRule="auto"/>
        <w:rPr>
          <w:sz w:val="20"/>
        </w:rPr>
      </w:pPr>
    </w:p>
    <w:p w:rsidR="00B9344E" w:rsidRDefault="00B9344E" w:rsidP="00B9344E">
      <w:pPr>
        <w:pStyle w:val="SCCNormalDoubleSpacing"/>
        <w:spacing w:line="240" w:lineRule="auto"/>
        <w:rPr>
          <w:sz w:val="20"/>
          <w:lang w:val="en-US"/>
        </w:rPr>
      </w:pPr>
      <w:r w:rsidRPr="00A0550B">
        <w:rPr>
          <w:i/>
          <w:sz w:val="20"/>
        </w:rPr>
        <w:tab/>
        <w:t>Per</w:t>
      </w:r>
      <w:r w:rsidRPr="00A0550B">
        <w:rPr>
          <w:sz w:val="20"/>
        </w:rPr>
        <w:t xml:space="preserve"> </w:t>
      </w:r>
      <w:proofErr w:type="spellStart"/>
      <w:r w:rsidRPr="00A0550B">
        <w:rPr>
          <w:b/>
          <w:sz w:val="20"/>
        </w:rPr>
        <w:t>McLachlin</w:t>
      </w:r>
      <w:proofErr w:type="spellEnd"/>
      <w:r w:rsidRPr="00A0550B">
        <w:rPr>
          <w:b/>
          <w:sz w:val="20"/>
        </w:rPr>
        <w:t> </w:t>
      </w:r>
      <w:r w:rsidRPr="00A0550B">
        <w:rPr>
          <w:sz w:val="20"/>
        </w:rPr>
        <w:t xml:space="preserve">C.J. and </w:t>
      </w:r>
      <w:proofErr w:type="spellStart"/>
      <w:r w:rsidRPr="00A0550B">
        <w:rPr>
          <w:sz w:val="20"/>
        </w:rPr>
        <w:t>Abella</w:t>
      </w:r>
      <w:proofErr w:type="spellEnd"/>
      <w:r w:rsidRPr="00A0550B">
        <w:rPr>
          <w:sz w:val="20"/>
        </w:rPr>
        <w:t xml:space="preserve">, </w:t>
      </w:r>
      <w:proofErr w:type="spellStart"/>
      <w:r w:rsidRPr="00A0550B">
        <w:rPr>
          <w:sz w:val="20"/>
        </w:rPr>
        <w:t>Moldaver</w:t>
      </w:r>
      <w:proofErr w:type="spellEnd"/>
      <w:r w:rsidRPr="00A0550B">
        <w:rPr>
          <w:sz w:val="20"/>
        </w:rPr>
        <w:t xml:space="preserve">, </w:t>
      </w:r>
      <w:proofErr w:type="spellStart"/>
      <w:r w:rsidRPr="00A0550B">
        <w:rPr>
          <w:sz w:val="20"/>
        </w:rPr>
        <w:t>Karakatsanis</w:t>
      </w:r>
      <w:proofErr w:type="spellEnd"/>
      <w:r w:rsidRPr="00A0550B">
        <w:rPr>
          <w:sz w:val="20"/>
        </w:rPr>
        <w:t xml:space="preserve">, Wagner, </w:t>
      </w:r>
      <w:proofErr w:type="spellStart"/>
      <w:r w:rsidRPr="00A0550B">
        <w:rPr>
          <w:sz w:val="20"/>
        </w:rPr>
        <w:t>Gascon</w:t>
      </w:r>
      <w:proofErr w:type="spellEnd"/>
      <w:r w:rsidRPr="00A0550B">
        <w:rPr>
          <w:sz w:val="20"/>
        </w:rPr>
        <w:t xml:space="preserve"> and Rowe JJ.: </w:t>
      </w:r>
      <w:r w:rsidRPr="00A0550B">
        <w:rPr>
          <w:sz w:val="20"/>
          <w:lang w:val="en-US"/>
        </w:rPr>
        <w:t xml:space="preserve">The trial judge did not err in concluding that proprietary estoppel operates to enforce G’s promise. Since ownership at the time the representation or assurance was relied on is not a requirement of a proprietary estoppel claim, the fact that G did not have an interest in the property at the time M relied on her promise does not negate G’s obligation to keep her promise. </w:t>
      </w:r>
    </w:p>
    <w:p w:rsidR="00B9344E" w:rsidRPr="00A0550B" w:rsidRDefault="00B9344E" w:rsidP="00B9344E">
      <w:pPr>
        <w:pStyle w:val="SCCNormalDoubleSpacing"/>
        <w:spacing w:line="240" w:lineRule="auto"/>
        <w:rPr>
          <w:sz w:val="20"/>
          <w:lang w:val="en-US"/>
        </w:rPr>
      </w:pPr>
    </w:p>
    <w:p w:rsidR="00B9344E" w:rsidRDefault="00B9344E" w:rsidP="00B9344E">
      <w:pPr>
        <w:pStyle w:val="SCCNormalDoubleSpacing"/>
        <w:spacing w:line="240" w:lineRule="auto"/>
        <w:rPr>
          <w:sz w:val="20"/>
        </w:rPr>
      </w:pPr>
      <w:r w:rsidRPr="00A0550B">
        <w:rPr>
          <w:sz w:val="20"/>
        </w:rPr>
        <w:tab/>
        <w:t xml:space="preserve">To establish </w:t>
      </w:r>
      <w:r w:rsidRPr="00A0550B">
        <w:rPr>
          <w:sz w:val="20"/>
          <w:lang w:val="en-US"/>
        </w:rPr>
        <w:t>proprietary</w:t>
      </w:r>
      <w:r w:rsidRPr="00A0550B">
        <w:rPr>
          <w:sz w:val="20"/>
        </w:rPr>
        <w:t xml:space="preserve"> estoppel, one must first establish an equity of the kind that proprietary estoppel protects. An equity arises when (1) a representation or assurance is made to the claimant, on the basis of which the claimant expects that he will enjoy some right or benefit over property; (2) the claimant relies on that expectation by doing or refraining from doing something and his reliance is reasonable in in all of the circumstances; and (3) the claimant suffers a detriment as a result of his reasonable reliance, such that it would be unfair or unjust for the party responsible for the representation or assurance to go back on her word and insist on her strict legal rights. When the party responsible for the representation or assurance possesses an interest in the property sufficient to fulfill the claimant’s expectation, proprietary estoppel attaches to that interest and protects the equity by making the representation or assurance binding. It is not necessary that the party responsible for the expectation own an interest in the property at the time of the claimant’s reliance — when the party responsible for the expectation has or acquires sufficient interest in the property, proprietary estoppel will attach to that interest and protect the equity. Whether a claimant’s reliance was reasonable in the circumstances is a question of </w:t>
      </w:r>
      <w:r w:rsidRPr="00A0550B">
        <w:rPr>
          <w:sz w:val="20"/>
        </w:rPr>
        <w:lastRenderedPageBreak/>
        <w:t xml:space="preserve">mixed law and fact. A trial judge’s determination of this point is, absent palpable and overriding error, entitled to deference. </w:t>
      </w:r>
    </w:p>
    <w:p w:rsidR="00B9344E" w:rsidRPr="00A0550B" w:rsidRDefault="00B9344E" w:rsidP="00B9344E">
      <w:pPr>
        <w:pStyle w:val="SCCNormalDoubleSpacing"/>
        <w:spacing w:line="240" w:lineRule="auto"/>
        <w:rPr>
          <w:sz w:val="20"/>
          <w:lang w:val="en-US"/>
        </w:rPr>
      </w:pPr>
    </w:p>
    <w:p w:rsidR="00B9344E" w:rsidRDefault="00B9344E" w:rsidP="00B9344E">
      <w:pPr>
        <w:pStyle w:val="SCCNormalDoubleSpacing"/>
        <w:spacing w:line="240" w:lineRule="auto"/>
        <w:rPr>
          <w:sz w:val="20"/>
          <w:lang w:val="en-US"/>
        </w:rPr>
      </w:pPr>
      <w:r w:rsidRPr="00A0550B">
        <w:rPr>
          <w:sz w:val="20"/>
          <w:lang w:val="en-US"/>
        </w:rPr>
        <w:tab/>
      </w:r>
      <w:r w:rsidRPr="00A0550B">
        <w:rPr>
          <w:sz w:val="20"/>
        </w:rPr>
        <w:t>Where</w:t>
      </w:r>
      <w:r w:rsidRPr="00A0550B">
        <w:rPr>
          <w:sz w:val="20"/>
          <w:lang w:val="en-US"/>
        </w:rPr>
        <w:t xml:space="preserve"> a claimant has established proprietary estoppel, the court has considerable discretion in crafting a remedy that suits the circumstances, and an appellate court should not interfere unless the trial judge’s decision evinces an error in principle or is plainly wrong. However, a claimant who establishes the need for proprietary estoppel is entitled only to the minimum relief necessary to satisfy the equity in his </w:t>
      </w:r>
      <w:proofErr w:type="spellStart"/>
      <w:r w:rsidRPr="00A0550B">
        <w:rPr>
          <w:sz w:val="20"/>
          <w:lang w:val="en-US"/>
        </w:rPr>
        <w:t>favour</w:t>
      </w:r>
      <w:proofErr w:type="spellEnd"/>
      <w:r w:rsidRPr="00A0550B">
        <w:rPr>
          <w:sz w:val="20"/>
          <w:lang w:val="en-US"/>
        </w:rPr>
        <w:t xml:space="preserve">, and cannot obtain more than he expected. Further, </w:t>
      </w:r>
      <w:r w:rsidRPr="00A0550B">
        <w:rPr>
          <w:sz w:val="20"/>
        </w:rPr>
        <w:t>there must be a proportionality between the remedy and the detriment. Courts of equity must strike a balance between vindicating the claimant’s subjective expectations and correcting that detriment.</w:t>
      </w:r>
      <w:r w:rsidRPr="00A0550B">
        <w:rPr>
          <w:sz w:val="20"/>
          <w:lang w:val="en-US"/>
        </w:rPr>
        <w:t xml:space="preserve"> </w:t>
      </w:r>
    </w:p>
    <w:p w:rsidR="00B9344E" w:rsidRPr="00A0550B" w:rsidRDefault="00B9344E" w:rsidP="00B9344E">
      <w:pPr>
        <w:pStyle w:val="SCCNormalDoubleSpacing"/>
        <w:spacing w:line="240" w:lineRule="auto"/>
        <w:rPr>
          <w:sz w:val="20"/>
          <w:lang w:val="en-US"/>
        </w:rPr>
      </w:pPr>
    </w:p>
    <w:p w:rsidR="00B9344E" w:rsidRDefault="00B9344E" w:rsidP="00B9344E">
      <w:pPr>
        <w:pStyle w:val="SCCNormalDoubleSpacing"/>
        <w:spacing w:line="240" w:lineRule="auto"/>
        <w:rPr>
          <w:sz w:val="20"/>
          <w:lang w:val="en-US"/>
        </w:rPr>
      </w:pPr>
      <w:r w:rsidRPr="00A0550B">
        <w:rPr>
          <w:sz w:val="20"/>
          <w:lang w:val="en-US"/>
        </w:rPr>
        <w:tab/>
        <w:t xml:space="preserve">In the instant case, on the trial judge’s findings, both M and G had clearly understood for well over a decade that E’s estate, including the family home, would be divided equally between her three children upon her death. It was thus sufficiently certain that G would inherit </w:t>
      </w:r>
      <w:proofErr w:type="gramStart"/>
      <w:r w:rsidRPr="00A0550B">
        <w:rPr>
          <w:sz w:val="20"/>
          <w:lang w:val="en-US"/>
        </w:rPr>
        <w:t>a</w:t>
      </w:r>
      <w:proofErr w:type="gramEnd"/>
      <w:r w:rsidRPr="00A0550B">
        <w:rPr>
          <w:sz w:val="20"/>
          <w:lang w:val="en-US"/>
        </w:rPr>
        <w:t xml:space="preserve"> one</w:t>
      </w:r>
      <w:r w:rsidRPr="00A0550B">
        <w:rPr>
          <w:sz w:val="20"/>
          <w:lang w:val="en-US"/>
        </w:rPr>
        <w:noBreakHyphen/>
        <w:t xml:space="preserve">third interest in the property for her assurance to be taken seriously as one on which M could rely. There is no basis on which to overturn the trial judge’s conclusion that M’s reliance was reasonable. An equity arose in M’s </w:t>
      </w:r>
      <w:proofErr w:type="spellStart"/>
      <w:r w:rsidRPr="00A0550B">
        <w:rPr>
          <w:sz w:val="20"/>
          <w:lang w:val="en-US"/>
        </w:rPr>
        <w:t>favour</w:t>
      </w:r>
      <w:proofErr w:type="spellEnd"/>
      <w:r w:rsidRPr="00A0550B">
        <w:rPr>
          <w:sz w:val="20"/>
          <w:lang w:val="en-US"/>
        </w:rPr>
        <w:t xml:space="preserve"> when he reasonably relied to his detriment on the expectation that he would be able to acquire G’s one</w:t>
      </w:r>
      <w:r w:rsidRPr="00A0550B">
        <w:rPr>
          <w:sz w:val="20"/>
          <w:lang w:val="en-US"/>
        </w:rPr>
        <w:noBreakHyphen/>
        <w:t xml:space="preserve">third interest in the family home. That equity could not have been protected by proprietary estoppel at the time it arose, because G did not then own an interest in the property. However, proprietary estoppel will attach to G’s interest as soon as she obtains it from the estate. G, as executor, can be ordered to transfer </w:t>
      </w:r>
      <w:proofErr w:type="gramStart"/>
      <w:r w:rsidRPr="00A0550B">
        <w:rPr>
          <w:sz w:val="20"/>
          <w:lang w:val="en-US"/>
        </w:rPr>
        <w:t>a</w:t>
      </w:r>
      <w:proofErr w:type="gramEnd"/>
      <w:r w:rsidRPr="00A0550B">
        <w:rPr>
          <w:sz w:val="20"/>
          <w:lang w:val="en-US"/>
        </w:rPr>
        <w:t xml:space="preserve"> one</w:t>
      </w:r>
      <w:r w:rsidRPr="00A0550B">
        <w:rPr>
          <w:sz w:val="20"/>
          <w:lang w:val="en-US"/>
        </w:rPr>
        <w:noBreakHyphen/>
        <w:t xml:space="preserve">third interest in the property to each of the estate beneficiaries so that her promise to M may be fulfilled. An </w:t>
      </w:r>
      <w:r w:rsidRPr="00A0550B">
        <w:rPr>
          <w:i/>
          <w:sz w:val="20"/>
          <w:lang w:val="en-US"/>
        </w:rPr>
        <w:t>in specie</w:t>
      </w:r>
      <w:r w:rsidRPr="00A0550B">
        <w:rPr>
          <w:sz w:val="20"/>
          <w:lang w:val="en-US"/>
        </w:rPr>
        <w:t xml:space="preserve"> distribution of shares in the property is not contrary to E’s intent and this Court has the power to direct G to exercise her discretion as executor in a certain manner. With respect to remedy, the minimum necessary to satisfy the equity in M’s </w:t>
      </w:r>
      <w:proofErr w:type="spellStart"/>
      <w:r w:rsidRPr="00A0550B">
        <w:rPr>
          <w:sz w:val="20"/>
          <w:lang w:val="en-US"/>
        </w:rPr>
        <w:t>favour</w:t>
      </w:r>
      <w:proofErr w:type="spellEnd"/>
      <w:r w:rsidRPr="00A0550B">
        <w:rPr>
          <w:sz w:val="20"/>
          <w:lang w:val="en-US"/>
        </w:rPr>
        <w:t xml:space="preserve"> is an order entitling him to purchase G’s interest in the family home at its fair market value as of the approximate date on which he would reasonably have expected to be able to do so in the first place.</w:t>
      </w:r>
    </w:p>
    <w:p w:rsidR="00B9344E" w:rsidRPr="00A0550B" w:rsidRDefault="00B9344E" w:rsidP="00B9344E">
      <w:pPr>
        <w:pStyle w:val="SCCNormalDoubleSpacing"/>
        <w:spacing w:line="240" w:lineRule="auto"/>
        <w:rPr>
          <w:sz w:val="20"/>
          <w:lang w:val="en-US"/>
        </w:rPr>
      </w:pPr>
    </w:p>
    <w:p w:rsidR="00B9344E" w:rsidRDefault="00B9344E" w:rsidP="00B9344E">
      <w:pPr>
        <w:pStyle w:val="SCCNormalDoubleSpacing"/>
        <w:spacing w:line="240" w:lineRule="auto"/>
        <w:rPr>
          <w:sz w:val="20"/>
          <w:lang w:val="en"/>
        </w:rPr>
      </w:pPr>
      <w:r w:rsidRPr="00A0550B">
        <w:rPr>
          <w:sz w:val="20"/>
        </w:rPr>
        <w:tab/>
      </w:r>
      <w:r w:rsidRPr="00A0550B">
        <w:rPr>
          <w:i/>
          <w:sz w:val="20"/>
        </w:rPr>
        <w:t>Per</w:t>
      </w:r>
      <w:r w:rsidRPr="00A0550B">
        <w:rPr>
          <w:sz w:val="20"/>
        </w:rPr>
        <w:t xml:space="preserve"> </w:t>
      </w:r>
      <w:r w:rsidRPr="00A0550B">
        <w:rPr>
          <w:b/>
          <w:sz w:val="20"/>
        </w:rPr>
        <w:t>Brown </w:t>
      </w:r>
      <w:r w:rsidRPr="00A0550B">
        <w:rPr>
          <w:sz w:val="20"/>
        </w:rPr>
        <w:t xml:space="preserve">J.: There is </w:t>
      </w:r>
      <w:r w:rsidRPr="00A0550B">
        <w:rPr>
          <w:sz w:val="20"/>
          <w:lang w:val="en-US"/>
        </w:rPr>
        <w:t>agreement with the majority</w:t>
      </w:r>
      <w:r w:rsidRPr="00A0550B">
        <w:rPr>
          <w:sz w:val="20"/>
        </w:rPr>
        <w:t xml:space="preserve"> that the trial judge did not err in allowing the proprietary estoppel claim, but disagreement regarding the appropriate remedy. An equity sufficient to ground a claim in proprietary estoppel may arise where the promisor does not in fact hold that right or benefit at the time of making the promise, but the equity arises only if and when the promisor obtains the right or benefit that was promised to the claimant, not at the moment of detrimental reliance. Where a promisor’s attainment of the promised right or benefit rests upon the satisfaction of a future contingency, no equity capable of being remedied through proprietary estoppel can arise until that contingency is satisfied. If the </w:t>
      </w:r>
      <w:proofErr w:type="spellStart"/>
      <w:r w:rsidRPr="00A0550B">
        <w:rPr>
          <w:sz w:val="20"/>
        </w:rPr>
        <w:t>pr</w:t>
      </w:r>
      <w:r w:rsidRPr="00A0550B">
        <w:rPr>
          <w:sz w:val="20"/>
          <w:lang w:val="en"/>
        </w:rPr>
        <w:t>omisor</w:t>
      </w:r>
      <w:proofErr w:type="spellEnd"/>
      <w:r w:rsidRPr="00A0550B">
        <w:rPr>
          <w:sz w:val="20"/>
          <w:lang w:val="en"/>
        </w:rPr>
        <w:t xml:space="preserve"> does not hold the right or benefit at the time of the promise, an inchoate equity arises in </w:t>
      </w:r>
      <w:proofErr w:type="spellStart"/>
      <w:r w:rsidRPr="00A0550B">
        <w:rPr>
          <w:sz w:val="20"/>
          <w:lang w:val="en"/>
        </w:rPr>
        <w:t>favour</w:t>
      </w:r>
      <w:proofErr w:type="spellEnd"/>
      <w:r w:rsidRPr="00A0550B">
        <w:rPr>
          <w:sz w:val="20"/>
          <w:lang w:val="en"/>
        </w:rPr>
        <w:t xml:space="preserve"> of the claimant at the moment of the claimant’s detrimental reliance thereon, but before an equity capable of conferring a proprietary right can be shown to arise, the promisor must gain the promised right or benefit because the promisor cannot grant what he does not have. To qualify as an equity justifying the operation of proprietary estoppel, the equity must be proprietary, because it must be capable of compelling a promisor to relinquish a proprietary right which he or she actually holds. </w:t>
      </w:r>
    </w:p>
    <w:p w:rsidR="00B9344E" w:rsidRPr="00A0550B" w:rsidRDefault="00B9344E" w:rsidP="00B9344E">
      <w:pPr>
        <w:pStyle w:val="SCCNormalDoubleSpacing"/>
        <w:spacing w:line="240" w:lineRule="auto"/>
        <w:rPr>
          <w:sz w:val="20"/>
          <w:lang w:val="en"/>
        </w:rPr>
      </w:pPr>
    </w:p>
    <w:p w:rsidR="00B9344E" w:rsidRDefault="00B9344E" w:rsidP="00B9344E">
      <w:pPr>
        <w:pStyle w:val="SCCNormalDoubleSpacing"/>
        <w:spacing w:line="240" w:lineRule="auto"/>
        <w:rPr>
          <w:sz w:val="20"/>
          <w:lang w:val="en"/>
        </w:rPr>
      </w:pPr>
      <w:r w:rsidRPr="00A0550B">
        <w:rPr>
          <w:sz w:val="20"/>
          <w:lang w:val="en"/>
        </w:rPr>
        <w:tab/>
        <w:t xml:space="preserve">In this </w:t>
      </w:r>
      <w:r w:rsidRPr="00A0550B">
        <w:rPr>
          <w:sz w:val="20"/>
          <w:lang w:val="en-US"/>
        </w:rPr>
        <w:t>case</w:t>
      </w:r>
      <w:r w:rsidRPr="00A0550B">
        <w:rPr>
          <w:sz w:val="20"/>
          <w:lang w:val="en"/>
        </w:rPr>
        <w:t>, the requisite equity will only arise from the moment that G holds the right or benefit that was the subject of her promise to M, that is, from the time this Court orders her to divide the property into equal one</w:t>
      </w:r>
      <w:r w:rsidRPr="00A0550B">
        <w:rPr>
          <w:sz w:val="20"/>
          <w:lang w:val="en"/>
        </w:rPr>
        <w:noBreakHyphen/>
        <w:t>third interests and to deliver these to the beneficiaries of E’s estate.</w:t>
      </w:r>
      <w:r w:rsidRPr="00A0550B" w:rsidDel="00E54D28">
        <w:rPr>
          <w:sz w:val="20"/>
          <w:lang w:val="en"/>
        </w:rPr>
        <w:t xml:space="preserve"> </w:t>
      </w:r>
      <w:r w:rsidRPr="00A0550B">
        <w:rPr>
          <w:sz w:val="20"/>
          <w:lang w:val="en"/>
        </w:rPr>
        <w:t>Therefore, the minimum necessary to satisfy the equity, once it arises, is to permit M to purchase G’s one</w:t>
      </w:r>
      <w:r w:rsidRPr="00A0550B">
        <w:rPr>
          <w:sz w:val="20"/>
          <w:lang w:val="en"/>
        </w:rPr>
        <w:noBreakHyphen/>
        <w:t xml:space="preserve">third share of the property as of the date of this Court’s order. </w:t>
      </w:r>
    </w:p>
    <w:p w:rsidR="00B9344E" w:rsidRPr="00A0550B" w:rsidRDefault="00B9344E" w:rsidP="00B9344E">
      <w:pPr>
        <w:pStyle w:val="SCCNormalDoubleSpacing"/>
        <w:spacing w:line="240" w:lineRule="auto"/>
        <w:rPr>
          <w:sz w:val="20"/>
          <w:lang w:val="en"/>
        </w:rPr>
      </w:pPr>
    </w:p>
    <w:p w:rsidR="00B9344E" w:rsidRDefault="00B9344E" w:rsidP="00B9344E">
      <w:pPr>
        <w:pStyle w:val="SCCNormalDoubleSpacing"/>
        <w:spacing w:line="240" w:lineRule="auto"/>
        <w:rPr>
          <w:sz w:val="20"/>
          <w:lang w:val="en-US"/>
        </w:rPr>
      </w:pPr>
      <w:r w:rsidRPr="00A0550B">
        <w:rPr>
          <w:i/>
          <w:sz w:val="20"/>
          <w:lang w:val="en"/>
        </w:rPr>
        <w:tab/>
      </w:r>
      <w:r w:rsidRPr="00A0550B">
        <w:rPr>
          <w:i/>
          <w:sz w:val="20"/>
          <w:lang w:val="en-US"/>
        </w:rPr>
        <w:t xml:space="preserve">Per </w:t>
      </w:r>
      <w:proofErr w:type="spellStart"/>
      <w:r w:rsidRPr="00A0550B">
        <w:rPr>
          <w:b/>
          <w:sz w:val="20"/>
        </w:rPr>
        <w:t>Côté</w:t>
      </w:r>
      <w:proofErr w:type="spellEnd"/>
      <w:r w:rsidRPr="00A0550B">
        <w:rPr>
          <w:b/>
          <w:sz w:val="20"/>
        </w:rPr>
        <w:t> </w:t>
      </w:r>
      <w:r w:rsidRPr="00A0550B">
        <w:rPr>
          <w:sz w:val="20"/>
        </w:rPr>
        <w:t>J.:</w:t>
      </w:r>
      <w:r w:rsidRPr="00A0550B">
        <w:rPr>
          <w:sz w:val="20"/>
          <w:lang w:val="en-US"/>
        </w:rPr>
        <w:t xml:space="preserve"> There is </w:t>
      </w:r>
      <w:r w:rsidRPr="00A0550B">
        <w:rPr>
          <w:sz w:val="20"/>
          <w:lang w:val="en"/>
        </w:rPr>
        <w:t>agreement</w:t>
      </w:r>
      <w:r w:rsidRPr="00A0550B">
        <w:rPr>
          <w:sz w:val="20"/>
          <w:lang w:val="en-US"/>
        </w:rPr>
        <w:t xml:space="preserve"> with the majority that a proprietary estoppel claim can arise even where a promisor had no ownership interest in the property at the time the promise was made and that a </w:t>
      </w:r>
      <w:proofErr w:type="spellStart"/>
      <w:r w:rsidRPr="00A0550B">
        <w:rPr>
          <w:sz w:val="20"/>
          <w:lang w:val="en-US"/>
        </w:rPr>
        <w:t>promisee’s</w:t>
      </w:r>
      <w:proofErr w:type="spellEnd"/>
      <w:r w:rsidRPr="00A0550B">
        <w:rPr>
          <w:sz w:val="20"/>
          <w:lang w:val="en-US"/>
        </w:rPr>
        <w:t xml:space="preserve"> reliance is not unreasonable, as a matter of law, solely because the promisor does not own the property at the time the </w:t>
      </w:r>
      <w:proofErr w:type="spellStart"/>
      <w:r w:rsidRPr="00A0550B">
        <w:rPr>
          <w:sz w:val="20"/>
          <w:lang w:val="en-US"/>
        </w:rPr>
        <w:t>promisee</w:t>
      </w:r>
      <w:proofErr w:type="spellEnd"/>
      <w:r w:rsidRPr="00A0550B">
        <w:rPr>
          <w:sz w:val="20"/>
          <w:lang w:val="en-US"/>
        </w:rPr>
        <w:t xml:space="preserve"> acts, to his or her detriment, in reliance on the promise. That said, a court cannot order an executor to distribute shares of an estate in a manner that disregards the testator’s express intent for the sole purpose of enabling a beneficiary to make good on her promise to a third party. This principle holds true even where that beneficiary also happens to serve as the estate’s executor.</w:t>
      </w:r>
    </w:p>
    <w:p w:rsidR="00B9344E" w:rsidRPr="00A0550B" w:rsidRDefault="00B9344E" w:rsidP="00B9344E">
      <w:pPr>
        <w:pStyle w:val="SCCNormalDoubleSpacing"/>
        <w:spacing w:line="240" w:lineRule="auto"/>
        <w:rPr>
          <w:sz w:val="20"/>
          <w:lang w:val="en-US"/>
        </w:rPr>
      </w:pPr>
    </w:p>
    <w:p w:rsidR="00B9344E" w:rsidRDefault="00B9344E" w:rsidP="00B9344E">
      <w:pPr>
        <w:pStyle w:val="SCCNormalDoubleSpacing"/>
        <w:spacing w:line="240" w:lineRule="auto"/>
        <w:rPr>
          <w:sz w:val="20"/>
        </w:rPr>
      </w:pPr>
      <w:r w:rsidRPr="00A0550B">
        <w:rPr>
          <w:sz w:val="20"/>
          <w:lang w:val="en-US"/>
        </w:rPr>
        <w:tab/>
        <w:t xml:space="preserve">In the instant case, </w:t>
      </w:r>
      <w:r w:rsidRPr="00A0550B">
        <w:rPr>
          <w:sz w:val="20"/>
        </w:rPr>
        <w:t xml:space="preserve">this Court has no power to order G to exercise her executorial discretion in a particular manner. E’s last will was unambiguous in expressly vesting G with discretion in the administration of her estate and in entrusting her to decide the fate of the property in issue, including whether or not it should be sold. Compelling G to transfer shares of the property to the estate’s beneficiaries is to substitute the Court’s own judgment for that of G in determining how the property should be administered, effectively creating a specific bequest that E herself opted not to </w:t>
      </w:r>
      <w:r w:rsidRPr="00A0550B">
        <w:rPr>
          <w:sz w:val="20"/>
        </w:rPr>
        <w:lastRenderedPageBreak/>
        <w:t xml:space="preserve">make. If G’s duties as executor are truly in conflict with her interests as a beneficiary such that there is a breach of fiduciary duty, the proper remedy is not to order an </w:t>
      </w:r>
      <w:r w:rsidRPr="00A0550B">
        <w:rPr>
          <w:i/>
          <w:sz w:val="20"/>
        </w:rPr>
        <w:t>in specie</w:t>
      </w:r>
      <w:r w:rsidRPr="00A0550B">
        <w:rPr>
          <w:sz w:val="20"/>
        </w:rPr>
        <w:t xml:space="preserve"> distribution but to replace G as executor. However, if G is ordered to distribute the property </w:t>
      </w:r>
      <w:r w:rsidRPr="00A0550B">
        <w:rPr>
          <w:i/>
          <w:sz w:val="20"/>
        </w:rPr>
        <w:t>in specie</w:t>
      </w:r>
      <w:r w:rsidRPr="00A0550B">
        <w:rPr>
          <w:sz w:val="20"/>
        </w:rPr>
        <w:t xml:space="preserve"> and compelled to sell her share to M, the sale price should be determined by the value of the property as of the date of this Court’s order.</w:t>
      </w:r>
    </w:p>
    <w:p w:rsidR="00B9344E" w:rsidRDefault="00B9344E" w:rsidP="00B9344E">
      <w:pPr>
        <w:pStyle w:val="SCCNormalDoubleSpacing"/>
        <w:spacing w:line="240" w:lineRule="auto"/>
        <w:rPr>
          <w:i/>
          <w:sz w:val="20"/>
        </w:rPr>
      </w:pPr>
    </w:p>
    <w:p w:rsidR="00B9344E" w:rsidRDefault="00B9344E" w:rsidP="00B9344E">
      <w:pPr>
        <w:pStyle w:val="SCCNormalDoubleSpacing"/>
        <w:spacing w:line="240" w:lineRule="auto"/>
        <w:rPr>
          <w:sz w:val="20"/>
        </w:rPr>
      </w:pPr>
      <w:r w:rsidRPr="00A0550B">
        <w:rPr>
          <w:sz w:val="20"/>
        </w:rPr>
        <w:tab/>
        <w:t xml:space="preserve">APPEAL from a judgment of the British Columbia Court of Appeal (Saunders, Smith and </w:t>
      </w:r>
      <w:proofErr w:type="spellStart"/>
      <w:r w:rsidRPr="00A0550B">
        <w:rPr>
          <w:sz w:val="20"/>
        </w:rPr>
        <w:t>Willcock</w:t>
      </w:r>
      <w:proofErr w:type="spellEnd"/>
      <w:r w:rsidRPr="00A0550B">
        <w:rPr>
          <w:sz w:val="20"/>
        </w:rPr>
        <w:t xml:space="preserve"> JJ.A.), 2016 BCCA 200, 400 D.L.R. (4th) 579, 386 B.C.A.C. 287, 667 W.A.C. 287, [2016] 10 W.W.R. 497, 19 E.T.R. (4th) 225, 87 B.C.L.R. (5th) 273, [2016] B.C.J. No. 927 (QL), 2016 </w:t>
      </w:r>
      <w:proofErr w:type="spellStart"/>
      <w:r w:rsidRPr="00A0550B">
        <w:rPr>
          <w:sz w:val="20"/>
        </w:rPr>
        <w:t>CarswellBC</w:t>
      </w:r>
      <w:proofErr w:type="spellEnd"/>
      <w:r w:rsidRPr="00A0550B">
        <w:rPr>
          <w:sz w:val="20"/>
        </w:rPr>
        <w:t xml:space="preserve"> 1238 (WL Can.), setting aside in part a decision of Brown J., 2015 BCSC 1170, 10 E.T.R. (4th) 218, [2015] B.C.J. No. 1428 (QL), 2015 </w:t>
      </w:r>
      <w:proofErr w:type="spellStart"/>
      <w:r w:rsidRPr="00A0550B">
        <w:rPr>
          <w:sz w:val="20"/>
        </w:rPr>
        <w:t>CarswellBC</w:t>
      </w:r>
      <w:proofErr w:type="spellEnd"/>
      <w:r w:rsidRPr="00A0550B">
        <w:rPr>
          <w:sz w:val="20"/>
        </w:rPr>
        <w:t xml:space="preserve"> 1871 (WL Can.). Appeal allowed.</w:t>
      </w:r>
    </w:p>
    <w:p w:rsidR="00B9344E" w:rsidRPr="00A0550B" w:rsidRDefault="00B9344E" w:rsidP="00B9344E">
      <w:pPr>
        <w:pStyle w:val="SCCNormalDoubleSpacing"/>
        <w:spacing w:line="240" w:lineRule="auto"/>
        <w:rPr>
          <w:sz w:val="20"/>
        </w:rPr>
      </w:pPr>
    </w:p>
    <w:p w:rsidR="00B9344E" w:rsidRDefault="00B9344E" w:rsidP="00B9344E">
      <w:pPr>
        <w:pStyle w:val="SCCNormalDoubleSpacing"/>
        <w:spacing w:line="240" w:lineRule="auto"/>
        <w:rPr>
          <w:rStyle w:val="SCCCounselPartyRoleChar"/>
          <w:sz w:val="20"/>
        </w:rPr>
      </w:pPr>
      <w:r w:rsidRPr="00A0550B">
        <w:rPr>
          <w:rStyle w:val="SCCCounselNameChar"/>
          <w:sz w:val="20"/>
        </w:rPr>
        <w:tab/>
        <w:t>G. Darren Williams</w:t>
      </w:r>
      <w:r w:rsidRPr="00B9344E">
        <w:rPr>
          <w:rStyle w:val="SCCCounselSeparatorChar"/>
          <w:rFonts w:eastAsia="Calibri"/>
          <w:sz w:val="20"/>
          <w:lang w:val="en-US"/>
        </w:rPr>
        <w:t xml:space="preserve">, </w:t>
      </w:r>
      <w:r w:rsidRPr="00A0550B">
        <w:rPr>
          <w:rStyle w:val="SCCCounselNameChar"/>
          <w:sz w:val="20"/>
        </w:rPr>
        <w:t>Ellen Vandergrift</w:t>
      </w:r>
      <w:r w:rsidRPr="00A0550B">
        <w:rPr>
          <w:rStyle w:val="SCCCounselPartyRoleChar"/>
          <w:sz w:val="20"/>
        </w:rPr>
        <w:t xml:space="preserve"> and </w:t>
      </w:r>
      <w:r w:rsidRPr="00A0550B">
        <w:rPr>
          <w:rStyle w:val="SCCCounselPartyRoleChar"/>
          <w:i/>
          <w:sz w:val="20"/>
        </w:rPr>
        <w:t>Moira Dillon</w:t>
      </w:r>
      <w:r w:rsidRPr="00A0550B">
        <w:rPr>
          <w:rStyle w:val="SCCCounselPartyRoleChar"/>
          <w:sz w:val="20"/>
        </w:rPr>
        <w:t>, for the appellant.</w:t>
      </w:r>
    </w:p>
    <w:p w:rsidR="00B9344E" w:rsidRPr="00A0550B" w:rsidRDefault="00B9344E" w:rsidP="00B9344E">
      <w:pPr>
        <w:pStyle w:val="SCCNormalDoubleSpacing"/>
        <w:spacing w:line="240" w:lineRule="auto"/>
        <w:rPr>
          <w:sz w:val="20"/>
        </w:rPr>
      </w:pPr>
    </w:p>
    <w:p w:rsidR="00B9344E" w:rsidRDefault="00B9344E" w:rsidP="00B9344E">
      <w:pPr>
        <w:pStyle w:val="SCCNormalDoubleSpacing"/>
        <w:spacing w:line="240" w:lineRule="auto"/>
        <w:rPr>
          <w:rStyle w:val="SCCCounselPartyRoleChar"/>
          <w:sz w:val="20"/>
        </w:rPr>
      </w:pPr>
      <w:r w:rsidRPr="00A0550B">
        <w:rPr>
          <w:rStyle w:val="SCCCounselNameChar"/>
          <w:sz w:val="20"/>
        </w:rPr>
        <w:tab/>
        <w:t>Claire E. Hunter</w:t>
      </w:r>
      <w:r w:rsidRPr="00B9344E">
        <w:rPr>
          <w:rStyle w:val="SCCCounselSeparatorChar"/>
          <w:rFonts w:eastAsia="Calibri"/>
          <w:sz w:val="20"/>
          <w:lang w:val="en-US"/>
        </w:rPr>
        <w:t xml:space="preserve"> and </w:t>
      </w:r>
      <w:r w:rsidRPr="00A0550B">
        <w:rPr>
          <w:rStyle w:val="SCCCounselNameChar"/>
          <w:sz w:val="20"/>
        </w:rPr>
        <w:t xml:space="preserve">Ryan J. M. </w:t>
      </w:r>
      <w:proofErr w:type="spellStart"/>
      <w:r w:rsidRPr="00A0550B">
        <w:rPr>
          <w:rStyle w:val="SCCCounselNameChar"/>
          <w:sz w:val="20"/>
        </w:rPr>
        <w:t>Androsoff</w:t>
      </w:r>
      <w:proofErr w:type="spellEnd"/>
      <w:r w:rsidRPr="00A0550B">
        <w:rPr>
          <w:rStyle w:val="SCCCounselPartyRoleChar"/>
          <w:sz w:val="20"/>
        </w:rPr>
        <w:t>, for the respondent.</w:t>
      </w:r>
    </w:p>
    <w:p w:rsidR="003B3977" w:rsidRDefault="003B3977" w:rsidP="005C6840">
      <w:pPr>
        <w:rPr>
          <w:rFonts w:cs="Times New Roman"/>
          <w:sz w:val="20"/>
          <w:szCs w:val="20"/>
        </w:rPr>
      </w:pPr>
    </w:p>
    <w:p w:rsidR="00125C70" w:rsidRPr="00125C70" w:rsidRDefault="00125C70" w:rsidP="005C6840">
      <w:pPr>
        <w:rPr>
          <w:rFonts w:cs="Times New Roman"/>
          <w:sz w:val="20"/>
          <w:szCs w:val="20"/>
          <w:lang w:val="fr-CA"/>
        </w:rPr>
      </w:pPr>
      <w:r w:rsidRPr="00125C70">
        <w:rPr>
          <w:rFonts w:cs="Times New Roman"/>
          <w:sz w:val="20"/>
          <w:szCs w:val="20"/>
          <w:lang w:val="fr-CA"/>
        </w:rPr>
        <w:t>_____________________________</w:t>
      </w:r>
    </w:p>
    <w:p w:rsidR="00813894" w:rsidRPr="00125C70" w:rsidRDefault="00813894" w:rsidP="005C6840">
      <w:pPr>
        <w:rPr>
          <w:rFonts w:cs="Times New Roman"/>
          <w:sz w:val="20"/>
          <w:szCs w:val="20"/>
          <w:lang w:val="fr-CA"/>
        </w:rPr>
      </w:pPr>
    </w:p>
    <w:p w:rsidR="00125C70" w:rsidRPr="005B545E" w:rsidRDefault="00125C70" w:rsidP="00125C70">
      <w:pPr>
        <w:jc w:val="both"/>
        <w:rPr>
          <w:sz w:val="20"/>
          <w:szCs w:val="20"/>
          <w:lang w:val="fr-CA"/>
        </w:rPr>
      </w:pPr>
      <w:r w:rsidRPr="005B545E">
        <w:rPr>
          <w:sz w:val="20"/>
          <w:szCs w:val="20"/>
          <w:lang w:val="fr-CA"/>
        </w:rPr>
        <w:t xml:space="preserve">Présents : La juge en chef </w:t>
      </w:r>
      <w:proofErr w:type="spellStart"/>
      <w:r w:rsidRPr="005B545E">
        <w:rPr>
          <w:sz w:val="20"/>
          <w:szCs w:val="20"/>
          <w:lang w:val="fr-CA"/>
        </w:rPr>
        <w:t>McLachlin</w:t>
      </w:r>
      <w:proofErr w:type="spellEnd"/>
      <w:r w:rsidRPr="005B545E">
        <w:rPr>
          <w:sz w:val="20"/>
          <w:szCs w:val="20"/>
          <w:lang w:val="fr-CA"/>
        </w:rPr>
        <w:t xml:space="preserve"> et les juges Abella, </w:t>
      </w:r>
      <w:proofErr w:type="spellStart"/>
      <w:r w:rsidRPr="005B545E">
        <w:rPr>
          <w:sz w:val="20"/>
          <w:szCs w:val="20"/>
          <w:lang w:val="fr-CA"/>
        </w:rPr>
        <w:t>Moldaver</w:t>
      </w:r>
      <w:proofErr w:type="spellEnd"/>
      <w:r w:rsidRPr="005B545E">
        <w:rPr>
          <w:sz w:val="20"/>
          <w:szCs w:val="20"/>
          <w:lang w:val="fr-CA"/>
        </w:rPr>
        <w:t xml:space="preserve">, </w:t>
      </w:r>
      <w:proofErr w:type="spellStart"/>
      <w:r w:rsidRPr="005B545E">
        <w:rPr>
          <w:sz w:val="20"/>
          <w:szCs w:val="20"/>
          <w:lang w:val="fr-CA"/>
        </w:rPr>
        <w:t>Karakatsanis</w:t>
      </w:r>
      <w:proofErr w:type="spellEnd"/>
      <w:r w:rsidRPr="005B545E">
        <w:rPr>
          <w:sz w:val="20"/>
          <w:szCs w:val="20"/>
          <w:lang w:val="fr-CA"/>
        </w:rPr>
        <w:t>, Wagner, Gascon, Côté, Brown et Rowe.</w:t>
      </w:r>
    </w:p>
    <w:p w:rsidR="00125C70" w:rsidRDefault="00125C70" w:rsidP="00125C70">
      <w:pPr>
        <w:pStyle w:val="SCCNormalDoubleSpacing"/>
        <w:spacing w:line="240" w:lineRule="auto"/>
        <w:rPr>
          <w:i/>
          <w:sz w:val="20"/>
          <w:lang w:val="fr-CA"/>
        </w:rPr>
      </w:pPr>
    </w:p>
    <w:p w:rsidR="00125C70" w:rsidRDefault="00125C70" w:rsidP="00125C70">
      <w:pPr>
        <w:pStyle w:val="SCCNormalDoubleSpacing"/>
        <w:spacing w:line="240" w:lineRule="auto"/>
        <w:rPr>
          <w:i/>
          <w:sz w:val="20"/>
          <w:lang w:val="fr-CA"/>
        </w:rPr>
      </w:pPr>
      <w:r w:rsidRPr="005B545E">
        <w:rPr>
          <w:i/>
          <w:sz w:val="20"/>
          <w:lang w:val="fr-CA"/>
        </w:rPr>
        <w:tab/>
        <w:t xml:space="preserve">Successions — Testaments — Biens — </w:t>
      </w:r>
      <w:proofErr w:type="spellStart"/>
      <w:r w:rsidRPr="005B545E">
        <w:rPr>
          <w:i/>
          <w:sz w:val="20"/>
          <w:lang w:val="fr-CA"/>
        </w:rPr>
        <w:t>Equity</w:t>
      </w:r>
      <w:proofErr w:type="spellEnd"/>
      <w:r w:rsidRPr="005B545E">
        <w:rPr>
          <w:i/>
          <w:sz w:val="20"/>
          <w:lang w:val="fr-CA"/>
        </w:rPr>
        <w:t xml:space="preserve"> — </w:t>
      </w:r>
      <w:proofErr w:type="spellStart"/>
      <w:r w:rsidRPr="005B545E">
        <w:rPr>
          <w:i/>
          <w:sz w:val="20"/>
          <w:lang w:val="fr-CA"/>
        </w:rPr>
        <w:t>Préclusion</w:t>
      </w:r>
      <w:proofErr w:type="spellEnd"/>
      <w:r w:rsidRPr="005B545E">
        <w:rPr>
          <w:i/>
          <w:sz w:val="20"/>
          <w:lang w:val="fr-CA"/>
        </w:rPr>
        <w:t xml:space="preserve"> </w:t>
      </w:r>
      <w:proofErr w:type="spellStart"/>
      <w:r w:rsidRPr="005B545E">
        <w:rPr>
          <w:i/>
          <w:sz w:val="20"/>
          <w:lang w:val="fr-CA"/>
        </w:rPr>
        <w:t>propriétale</w:t>
      </w:r>
      <w:proofErr w:type="spellEnd"/>
      <w:r w:rsidRPr="005B545E">
        <w:rPr>
          <w:i/>
          <w:sz w:val="20"/>
          <w:lang w:val="fr-CA"/>
        </w:rPr>
        <w:t xml:space="preserve"> — Recours — Demandeur se fiant, à son préjudice, à des promesses faites par une </w:t>
      </w:r>
      <w:proofErr w:type="spellStart"/>
      <w:r w:rsidRPr="005B545E">
        <w:rPr>
          <w:i/>
          <w:sz w:val="20"/>
          <w:lang w:val="fr-CA"/>
        </w:rPr>
        <w:t>cobénéficiaire</w:t>
      </w:r>
      <w:proofErr w:type="spellEnd"/>
      <w:r w:rsidRPr="005B545E">
        <w:rPr>
          <w:i/>
          <w:sz w:val="20"/>
          <w:lang w:val="fr-CA"/>
        </w:rPr>
        <w:t xml:space="preserve"> de la succession de leur mère, de lui transférer son intérêt de </w:t>
      </w:r>
      <w:proofErr w:type="spellStart"/>
      <w:r w:rsidRPr="005B545E">
        <w:rPr>
          <w:i/>
          <w:sz w:val="20"/>
          <w:lang w:val="fr-CA"/>
        </w:rPr>
        <w:t>cobénéficiaire</w:t>
      </w:r>
      <w:proofErr w:type="spellEnd"/>
      <w:r w:rsidRPr="005B545E">
        <w:rPr>
          <w:i/>
          <w:sz w:val="20"/>
          <w:lang w:val="fr-CA"/>
        </w:rPr>
        <w:t xml:space="preserve"> dans un bien — La juge de première instance a</w:t>
      </w:r>
      <w:r w:rsidRPr="005B545E">
        <w:rPr>
          <w:i/>
          <w:sz w:val="20"/>
          <w:lang w:val="fr-CA"/>
        </w:rPr>
        <w:noBreakHyphen/>
        <w:t>t</w:t>
      </w:r>
      <w:r w:rsidRPr="005B545E">
        <w:rPr>
          <w:i/>
          <w:sz w:val="20"/>
          <w:lang w:val="fr-CA"/>
        </w:rPr>
        <w:noBreakHyphen/>
        <w:t xml:space="preserve">elle conclu à tort que la </w:t>
      </w:r>
      <w:proofErr w:type="spellStart"/>
      <w:r w:rsidRPr="005B545E">
        <w:rPr>
          <w:i/>
          <w:sz w:val="20"/>
          <w:lang w:val="fr-CA"/>
        </w:rPr>
        <w:t>préclusion</w:t>
      </w:r>
      <w:proofErr w:type="spellEnd"/>
      <w:r w:rsidRPr="005B545E">
        <w:rPr>
          <w:i/>
          <w:sz w:val="20"/>
          <w:lang w:val="fr-CA"/>
        </w:rPr>
        <w:t xml:space="preserve"> </w:t>
      </w:r>
      <w:proofErr w:type="spellStart"/>
      <w:r w:rsidRPr="005B545E">
        <w:rPr>
          <w:i/>
          <w:sz w:val="20"/>
          <w:lang w:val="fr-CA"/>
        </w:rPr>
        <w:t>propriétale</w:t>
      </w:r>
      <w:proofErr w:type="spellEnd"/>
      <w:r w:rsidRPr="005B545E">
        <w:rPr>
          <w:i/>
          <w:sz w:val="20"/>
          <w:lang w:val="fr-CA"/>
        </w:rPr>
        <w:t xml:space="preserve"> permettait de faire respecter la promesse de la </w:t>
      </w:r>
      <w:proofErr w:type="spellStart"/>
      <w:r w:rsidRPr="005B545E">
        <w:rPr>
          <w:i/>
          <w:sz w:val="20"/>
          <w:lang w:val="fr-CA"/>
        </w:rPr>
        <w:t>promettante</w:t>
      </w:r>
      <w:proofErr w:type="spellEnd"/>
      <w:r w:rsidRPr="005B545E">
        <w:rPr>
          <w:i/>
          <w:sz w:val="20"/>
          <w:lang w:val="fr-CA"/>
        </w:rPr>
        <w:t>? — La preuve étaye</w:t>
      </w:r>
      <w:r w:rsidRPr="005B545E">
        <w:rPr>
          <w:i/>
          <w:sz w:val="20"/>
          <w:lang w:val="fr-CA"/>
        </w:rPr>
        <w:noBreakHyphen/>
        <w:t>t</w:t>
      </w:r>
      <w:r w:rsidRPr="005B545E">
        <w:rPr>
          <w:i/>
          <w:sz w:val="20"/>
          <w:lang w:val="fr-CA"/>
        </w:rPr>
        <w:noBreakHyphen/>
        <w:t xml:space="preserve">elle la conclusion de la juge de première instance selon laquelle les éléments de la </w:t>
      </w:r>
      <w:proofErr w:type="spellStart"/>
      <w:r w:rsidRPr="005B545E">
        <w:rPr>
          <w:i/>
          <w:sz w:val="20"/>
          <w:lang w:val="fr-CA"/>
        </w:rPr>
        <w:t>préclusion</w:t>
      </w:r>
      <w:proofErr w:type="spellEnd"/>
      <w:r w:rsidRPr="005B545E">
        <w:rPr>
          <w:i/>
          <w:sz w:val="20"/>
          <w:lang w:val="fr-CA"/>
        </w:rPr>
        <w:t xml:space="preserve"> </w:t>
      </w:r>
      <w:proofErr w:type="spellStart"/>
      <w:r w:rsidRPr="005B545E">
        <w:rPr>
          <w:i/>
          <w:sz w:val="20"/>
          <w:lang w:val="fr-CA"/>
        </w:rPr>
        <w:t>propriétale</w:t>
      </w:r>
      <w:proofErr w:type="spellEnd"/>
      <w:r w:rsidRPr="005B545E">
        <w:rPr>
          <w:i/>
          <w:sz w:val="20"/>
          <w:lang w:val="fr-CA"/>
        </w:rPr>
        <w:t xml:space="preserve"> sont réunis? — La demande en </w:t>
      </w:r>
      <w:proofErr w:type="spellStart"/>
      <w:r w:rsidRPr="005B545E">
        <w:rPr>
          <w:i/>
          <w:sz w:val="20"/>
          <w:lang w:val="fr-CA"/>
        </w:rPr>
        <w:t>equity</w:t>
      </w:r>
      <w:proofErr w:type="spellEnd"/>
      <w:r w:rsidRPr="005B545E">
        <w:rPr>
          <w:i/>
          <w:sz w:val="20"/>
          <w:lang w:val="fr-CA"/>
        </w:rPr>
        <w:t xml:space="preserve"> du demandeur </w:t>
      </w:r>
      <w:proofErr w:type="spellStart"/>
      <w:r w:rsidRPr="005B545E">
        <w:rPr>
          <w:i/>
          <w:sz w:val="20"/>
          <w:lang w:val="fr-CA"/>
        </w:rPr>
        <w:t>doit</w:t>
      </w:r>
      <w:r w:rsidRPr="005B545E">
        <w:rPr>
          <w:i/>
          <w:sz w:val="20"/>
          <w:lang w:val="fr-CA"/>
        </w:rPr>
        <w:noBreakHyphen/>
        <w:t>elle</w:t>
      </w:r>
      <w:proofErr w:type="spellEnd"/>
      <w:r w:rsidRPr="005B545E">
        <w:rPr>
          <w:i/>
          <w:sz w:val="20"/>
          <w:lang w:val="fr-CA"/>
        </w:rPr>
        <w:t xml:space="preserve"> </w:t>
      </w:r>
      <w:proofErr w:type="gramStart"/>
      <w:r w:rsidRPr="005B545E">
        <w:rPr>
          <w:i/>
          <w:sz w:val="20"/>
          <w:lang w:val="fr-CA"/>
        </w:rPr>
        <w:t>échouer</w:t>
      </w:r>
      <w:proofErr w:type="gramEnd"/>
      <w:r w:rsidRPr="005B545E">
        <w:rPr>
          <w:i/>
          <w:sz w:val="20"/>
          <w:lang w:val="fr-CA"/>
        </w:rPr>
        <w:t xml:space="preserve"> parce que la </w:t>
      </w:r>
      <w:proofErr w:type="spellStart"/>
      <w:r w:rsidRPr="005B545E">
        <w:rPr>
          <w:i/>
          <w:sz w:val="20"/>
          <w:lang w:val="fr-CA"/>
        </w:rPr>
        <w:t>promettante</w:t>
      </w:r>
      <w:proofErr w:type="spellEnd"/>
      <w:r w:rsidRPr="005B545E">
        <w:rPr>
          <w:i/>
          <w:sz w:val="20"/>
          <w:lang w:val="fr-CA"/>
        </w:rPr>
        <w:t xml:space="preserve"> ne détenait aucun intérêt dans le bien au moment de la promesse? — Quelle réparation convient</w:t>
      </w:r>
      <w:r w:rsidRPr="005B545E">
        <w:rPr>
          <w:i/>
          <w:sz w:val="20"/>
          <w:lang w:val="fr-CA"/>
        </w:rPr>
        <w:noBreakHyphen/>
        <w:t>il d’accorder?</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Dès 1992, E et A ont indiqué clairement qu’après leur décès, leur propriété serait partagée également entre leurs trois enfants G, M et N. Cependant, après le décès d’A, la planification successorale d’E a changé du tout au tout : cette dernière a transféré le titre de la maison familiale à Victoria et tous ses placements en propriété conjointe avec G, indiquant dans une déclaration de fiducie que G aurait un droit absolu sur ces biens à son décès. Malgré le fait que la déclaration de fiducie et la stipulation relative à la propriété conjointe des biens, si elles étaient valides, faisaient en sorte que la succession était pour ainsi dire dépourvue de tout bien, E a aussi signé un nouveau testament dans lequel elle a nommé G exécutrice testamentaire et prévu que sa succession serait partagée également entre les trois enfants.</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En 2005, lorsque E n’a pas plus été capable de vivre seule, M a accepté de revenir vivre à Victoria pour s’occuper d’elle, renonçant à son revenu d’emploi, à la location d’une petite maison, aux contacts qu’il avait avec ses enfants et à sa vie sociale, mais il l’a fait uniquement après que G eut accepté qu’il pourrait vivre dans la maison familiale de façon permanente et acquérir un jour l’intérêt de celle</w:t>
      </w:r>
      <w:r w:rsidRPr="005B545E">
        <w:rPr>
          <w:sz w:val="20"/>
          <w:lang w:val="fr-CA"/>
        </w:rPr>
        <w:noBreakHyphen/>
        <w:t xml:space="preserve">ci sur le tiers de la propriété. Après le décès d’E, la déclaration de fiducie a été mise au jour et, en 2011, G a annoncé qu’elle avait l’intention de vendre la maison familiale, dans laquelle M vivait toujours. M et N ont sollicité une ordonnance annulant la déclaration de fiducie pour cause d’influence indue de G sur E, et déclarant que G détenait la propriété et les placements en fiducie au bénéfice de la succession d’E et que ces biens devaient être partagés également entre les trois enfants conformément au testament le plus récent d’E. Invoquant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ils ont également fait valoir que M était en droit d’acheter l’intérêt de G sur le tiers de la propriété. Les frères ont eu gain de cause en première instance, où la juge a conclu que G n’avait pas réfuté les présomptions d’influence indue et de fiducie </w:t>
      </w:r>
      <w:proofErr w:type="spellStart"/>
      <w:r w:rsidRPr="005B545E">
        <w:rPr>
          <w:sz w:val="20"/>
          <w:lang w:val="fr-CA"/>
        </w:rPr>
        <w:t>résultoire</w:t>
      </w:r>
      <w:proofErr w:type="spellEnd"/>
      <w:r w:rsidRPr="005B545E">
        <w:rPr>
          <w:sz w:val="20"/>
          <w:lang w:val="fr-CA"/>
        </w:rPr>
        <w:t xml:space="preserve">, et déclaré que la propriété appartenait à la succession d’E. La Cour d’appel a confirmé à l’unanimité les conclusions de la juge de première instance concernant l’influence indue et la fiducie </w:t>
      </w:r>
      <w:proofErr w:type="spellStart"/>
      <w:r w:rsidRPr="005B545E">
        <w:rPr>
          <w:sz w:val="20"/>
          <w:lang w:val="fr-CA"/>
        </w:rPr>
        <w:t>résultoire</w:t>
      </w:r>
      <w:proofErr w:type="spellEnd"/>
      <w:r w:rsidRPr="005B545E">
        <w:rPr>
          <w:sz w:val="20"/>
          <w:lang w:val="fr-CA"/>
        </w:rPr>
        <w:t xml:space="preserve">, mais elle était divisée sur la question de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Les juges majoritaires ont conclu que, comme G ne détenait aucun intérêt dans la propriété au moment où elle avait donné des assurances à M, il ne pouvait y avoir de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M se pourvoit sur la question de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rStyle w:val="QuoteChar"/>
          <w:sz w:val="20"/>
          <w:lang w:val="fr-CA"/>
        </w:rPr>
        <w:tab/>
        <w:t>Arrêt</w:t>
      </w:r>
      <w:r w:rsidRPr="005B545E">
        <w:rPr>
          <w:sz w:val="20"/>
          <w:lang w:val="fr-CA"/>
        </w:rPr>
        <w:t> : Le pourvoi est accueilli.</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i/>
          <w:sz w:val="20"/>
          <w:lang w:val="fr-CA"/>
        </w:rPr>
        <w:lastRenderedPageBreak/>
        <w:tab/>
        <w:t>La</w:t>
      </w:r>
      <w:r w:rsidRPr="005B545E">
        <w:rPr>
          <w:sz w:val="20"/>
          <w:lang w:val="fr-CA"/>
        </w:rPr>
        <w:t xml:space="preserve"> juge en chef </w:t>
      </w:r>
      <w:proofErr w:type="spellStart"/>
      <w:r w:rsidRPr="005B545E">
        <w:rPr>
          <w:b/>
          <w:sz w:val="20"/>
          <w:lang w:val="fr-CA"/>
        </w:rPr>
        <w:t>McLachlin</w:t>
      </w:r>
      <w:proofErr w:type="spellEnd"/>
      <w:r w:rsidRPr="005B545E">
        <w:rPr>
          <w:b/>
          <w:sz w:val="20"/>
          <w:lang w:val="fr-CA"/>
        </w:rPr>
        <w:t xml:space="preserve"> </w:t>
      </w:r>
      <w:r w:rsidRPr="005B545E">
        <w:rPr>
          <w:sz w:val="20"/>
          <w:lang w:val="fr-CA"/>
        </w:rPr>
        <w:t xml:space="preserve">et les juges Abella, </w:t>
      </w:r>
      <w:proofErr w:type="spellStart"/>
      <w:r w:rsidRPr="005B545E">
        <w:rPr>
          <w:sz w:val="20"/>
          <w:lang w:val="fr-CA"/>
        </w:rPr>
        <w:t>Moldaver</w:t>
      </w:r>
      <w:proofErr w:type="spellEnd"/>
      <w:r w:rsidRPr="005B545E">
        <w:rPr>
          <w:sz w:val="20"/>
          <w:lang w:val="fr-CA"/>
        </w:rPr>
        <w:t xml:space="preserve">, </w:t>
      </w:r>
      <w:proofErr w:type="spellStart"/>
      <w:r w:rsidRPr="005B545E">
        <w:rPr>
          <w:sz w:val="20"/>
          <w:lang w:val="fr-CA"/>
        </w:rPr>
        <w:t>Karakatsanis</w:t>
      </w:r>
      <w:proofErr w:type="spellEnd"/>
      <w:r w:rsidRPr="005B545E">
        <w:rPr>
          <w:sz w:val="20"/>
          <w:lang w:val="fr-CA"/>
        </w:rPr>
        <w:t xml:space="preserve">, Wagner, Gascon et Rowe : La juge de première instance n’a pas conclu à tort que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permettait de faire respecter la promesse de G. Vu que l’existence d’un intérêt dans le bien en cause au moment où une personne se fie à la déclaration qui lui est faite ou à l’assurance qui lui est donnée n’est pas nécessaire pour que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puisse être invoquée, ce n’est pas parce que G n’avait pas d’intérêt dans ce bien au moment où M s’est </w:t>
      </w:r>
      <w:proofErr w:type="spellStart"/>
      <w:r w:rsidRPr="005B545E">
        <w:rPr>
          <w:sz w:val="20"/>
          <w:lang w:val="fr-CA"/>
        </w:rPr>
        <w:t>fié</w:t>
      </w:r>
      <w:proofErr w:type="spellEnd"/>
      <w:r w:rsidRPr="005B545E">
        <w:rPr>
          <w:sz w:val="20"/>
          <w:lang w:val="fr-CA"/>
        </w:rPr>
        <w:t xml:space="preserve"> à la promesse qu’elle lui avait faite que G n’est pas tenue de respecter sa promesse.</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 xml:space="preserve">Pour établir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il faut d’abord démontrer l’existence d’un droit en </w:t>
      </w:r>
      <w:proofErr w:type="spellStart"/>
      <w:r w:rsidRPr="005B545E">
        <w:rPr>
          <w:sz w:val="20"/>
          <w:lang w:val="fr-CA"/>
        </w:rPr>
        <w:t>equity</w:t>
      </w:r>
      <w:proofErr w:type="spellEnd"/>
      <w:r w:rsidRPr="005B545E">
        <w:rPr>
          <w:sz w:val="20"/>
          <w:lang w:val="fr-CA"/>
        </w:rPr>
        <w:t xml:space="preserve"> du type de ceux que protège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Les circonstances suivantes donnent naissance à un tel droit : (1) une déclaration est faite au demandeur ou une assurance est donnée à celui</w:t>
      </w:r>
      <w:r w:rsidRPr="005B545E">
        <w:rPr>
          <w:sz w:val="20"/>
          <w:lang w:val="fr-CA"/>
        </w:rPr>
        <w:noBreakHyphen/>
        <w:t xml:space="preserve">ci, sur le fondement de laquelle le demandeur s’attend à bénéficier d’un certain droit ou avantage dans un bien; (2) le demandeur s’appuie sur cette attente en faisant quelque chose ou en s’abstenant de faire quelque chose, et cet acte de confiance est raisonnable eu égard à l’ensemble des circonstances; (3) le demandeur subit un préjudice en raison de son acte de confiance raisonnable, de sorte qu’il serait inéquitable ou injuste que la partie à l’origine de la déclaration ou de l’assurance revienne sur sa parole et insiste sur le respect de ses droits stricts. Lorsque la partie dont émane la déclaration ou l’assurance possède dans le bien un intérêt suffisant pour répondre à l’attente du demandeur,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grève cet intérêt et protège le droit en </w:t>
      </w:r>
      <w:proofErr w:type="spellStart"/>
      <w:r w:rsidRPr="005B545E">
        <w:rPr>
          <w:sz w:val="20"/>
          <w:lang w:val="fr-CA"/>
        </w:rPr>
        <w:t>equity</w:t>
      </w:r>
      <w:proofErr w:type="spellEnd"/>
      <w:r w:rsidRPr="005B545E">
        <w:rPr>
          <w:sz w:val="20"/>
          <w:lang w:val="fr-CA"/>
        </w:rPr>
        <w:t xml:space="preserve"> en cause en rendant obligatoire la déclaration ou l’assurance. Il n’est pas nécessaire que la partie à l’origine de l’attente possède un intérêt dans le bien au moment de l’acte de confiance du demandeur — lorsque la partie à l’origine de l’attente a un intérêt suffisant dans le bien ou en acquiert un,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grèvera cet intérêt et protègera le droit en </w:t>
      </w:r>
      <w:proofErr w:type="spellStart"/>
      <w:r w:rsidRPr="005B545E">
        <w:rPr>
          <w:sz w:val="20"/>
          <w:lang w:val="fr-CA"/>
        </w:rPr>
        <w:t>equity</w:t>
      </w:r>
      <w:proofErr w:type="spellEnd"/>
      <w:r w:rsidRPr="005B545E">
        <w:rPr>
          <w:sz w:val="20"/>
          <w:lang w:val="fr-CA"/>
        </w:rPr>
        <w:t xml:space="preserve"> en cause. La question de savoir si l’acte de confiance du demandeur était raisonnable dans les circonstances est une question mixte de fait et de droit. La décision du juge de première instance à cet égard commande la déférence, sauf si elle est entachée d’une erreur manifeste et dominante.</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 xml:space="preserve">Lorsque le demandeur a établi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le tribunal </w:t>
      </w:r>
      <w:proofErr w:type="gramStart"/>
      <w:r w:rsidRPr="005B545E">
        <w:rPr>
          <w:sz w:val="20"/>
          <w:lang w:val="fr-CA"/>
        </w:rPr>
        <w:t>dispose</w:t>
      </w:r>
      <w:proofErr w:type="gramEnd"/>
      <w:r w:rsidRPr="005B545E">
        <w:rPr>
          <w:sz w:val="20"/>
          <w:lang w:val="fr-CA"/>
        </w:rPr>
        <w:t xml:space="preserve"> d’un large pouvoir discrétionnaire pour concevoir une réparation adaptée aux circonstances, et le tribunal d’appel ne devrait intervenir que si la décision du juge de première instance révèle une erreur de principe ou est nettement erronée. Cependant, le demandeur qui démontre qu’il est nécessaire d’appliquer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n’a droit qu’à la réparation minimale nécessaire pour donner effet au droit en </w:t>
      </w:r>
      <w:proofErr w:type="spellStart"/>
      <w:r w:rsidRPr="005B545E">
        <w:rPr>
          <w:sz w:val="20"/>
          <w:lang w:val="fr-CA"/>
        </w:rPr>
        <w:t>equity</w:t>
      </w:r>
      <w:proofErr w:type="spellEnd"/>
      <w:r w:rsidRPr="005B545E">
        <w:rPr>
          <w:sz w:val="20"/>
          <w:lang w:val="fr-CA"/>
        </w:rPr>
        <w:t xml:space="preserve"> en sa faveur et ne peut obtenir plus que ce à quoi il s’attendait. De plus, il doit y avoir proportionnalité entre la réparation et le préjudice. Les tribunaux d’</w:t>
      </w:r>
      <w:proofErr w:type="spellStart"/>
      <w:r w:rsidRPr="005B545E">
        <w:rPr>
          <w:sz w:val="20"/>
          <w:lang w:val="fr-CA"/>
        </w:rPr>
        <w:t>equity</w:t>
      </w:r>
      <w:proofErr w:type="spellEnd"/>
      <w:r w:rsidRPr="005B545E">
        <w:rPr>
          <w:sz w:val="20"/>
          <w:lang w:val="fr-CA"/>
        </w:rPr>
        <w:t xml:space="preserve"> doivent établir un équilibre entre la reconnaissance des attentes subjectives du demandeur et la réparation de ce préjudice.</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 xml:space="preserve">En l’espèce, il ressort des conclusions de la juge de première instance que M et G avaient tous deux clairement compris depuis plus d’une décennie que la succession d’E, y compris la maison familiale, serait partagée également entre ses trois enfants à son décès. Il était donc suffisamment certain que G hériterait d’un intérêt sur le tiers de la propriété pour que l’assurance qu’elle avait donnée soit sérieusement considérée par M comme une assurance à laquelle il pouvait se fier. Il n’y a aucune raison d’infirmer la conclusion de la juge de première instance selon laquelle l’acte de confiance de M était raisonnable. Un droit en </w:t>
      </w:r>
      <w:proofErr w:type="spellStart"/>
      <w:r w:rsidRPr="005B545E">
        <w:rPr>
          <w:sz w:val="20"/>
          <w:lang w:val="fr-CA"/>
        </w:rPr>
        <w:t>equity</w:t>
      </w:r>
      <w:proofErr w:type="spellEnd"/>
      <w:r w:rsidRPr="005B545E">
        <w:rPr>
          <w:sz w:val="20"/>
          <w:lang w:val="fr-CA"/>
        </w:rPr>
        <w:t xml:space="preserve"> a pris naissance en faveur de M lorsque ce dernier s’est fondé raisonnablement, à son préjudice, sur le fait qu’il s’attendait à pouvoir acquérir l’intérêt de G sur le tiers de la maison familiale.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ne pouvait pas protéger ce droit au moment où il a pris naissance, parce que G ne détenait alors aucun intérêt dans la propriété. Toutefois, elle grèvera l’intérêt de G aussitôt que G l’aura obtenu de la succession. G, en sa qualité d’exécutrice testamentaire, peut se voir ordonner de transférer un intérêt sur le tiers de la propriété à chacun des bénéficiaires de la succession de manière à ce que la promesse qu’elle a faite à M puisse être respectée. Un partage en nature de la propriété n’est pas contraire à l’intention d’E et la Cour </w:t>
      </w:r>
      <w:proofErr w:type="gramStart"/>
      <w:r w:rsidRPr="005B545E">
        <w:rPr>
          <w:sz w:val="20"/>
          <w:lang w:val="fr-CA"/>
        </w:rPr>
        <w:t>a</w:t>
      </w:r>
      <w:proofErr w:type="gramEnd"/>
      <w:r w:rsidRPr="005B545E">
        <w:rPr>
          <w:sz w:val="20"/>
          <w:lang w:val="fr-CA"/>
        </w:rPr>
        <w:t xml:space="preserve"> le pouvoir d’ordonner à G d’exercer son pouvoir discrétionnaire d’exécutrice testamentaire d’une certaine façon. Pour ce qui est de la réparation à accorder, le minimum requis pour donner effet au droit en </w:t>
      </w:r>
      <w:proofErr w:type="spellStart"/>
      <w:r w:rsidRPr="005B545E">
        <w:rPr>
          <w:sz w:val="20"/>
          <w:lang w:val="fr-CA"/>
        </w:rPr>
        <w:t>equity</w:t>
      </w:r>
      <w:proofErr w:type="spellEnd"/>
      <w:r w:rsidRPr="005B545E">
        <w:rPr>
          <w:sz w:val="20"/>
          <w:lang w:val="fr-CA"/>
        </w:rPr>
        <w:t xml:space="preserve"> de M consiste à rendre une ordonnance lui permettant d’acheter l’intérêt de G dans la maison familiale à sa juste valeur marchande établie à la date approximative à laquelle il se serait raisonnablement attendu à pouvoir l’acquérir au départ.</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i/>
          <w:sz w:val="20"/>
          <w:lang w:val="fr-CA"/>
        </w:rPr>
        <w:tab/>
        <w:t>Le</w:t>
      </w:r>
      <w:r w:rsidRPr="005B545E">
        <w:rPr>
          <w:sz w:val="20"/>
          <w:lang w:val="fr-CA"/>
        </w:rPr>
        <w:t xml:space="preserve"> juge </w:t>
      </w:r>
      <w:r w:rsidRPr="005B545E">
        <w:rPr>
          <w:b/>
          <w:sz w:val="20"/>
          <w:lang w:val="fr-CA"/>
        </w:rPr>
        <w:t>Brown </w:t>
      </w:r>
      <w:r w:rsidRPr="005B545E">
        <w:rPr>
          <w:sz w:val="20"/>
          <w:lang w:val="fr-CA"/>
        </w:rPr>
        <w:t xml:space="preserve">: Il y a accord avec les juges majoritaires sur le fait que la juge de première instance n’a pas commis d’erreur en faisant droit à la demande fondée sur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mais désaccord sur la réparation qu’il convient d’accorder. Un droit en </w:t>
      </w:r>
      <w:proofErr w:type="spellStart"/>
      <w:r w:rsidRPr="005B545E">
        <w:rPr>
          <w:sz w:val="20"/>
          <w:lang w:val="fr-CA"/>
        </w:rPr>
        <w:t>equity</w:t>
      </w:r>
      <w:proofErr w:type="spellEnd"/>
      <w:r w:rsidRPr="005B545E">
        <w:rPr>
          <w:sz w:val="20"/>
          <w:lang w:val="fr-CA"/>
        </w:rPr>
        <w:t xml:space="preserve"> suffisant pour justifier une demande fondée sur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peut prendre naissance lorsque le promettant n’est pas en fait titulaire du droit ou de l’avantage promis au moment où il fait la promesse, mais ce droit ne naît que si, et au moment où, le promettant obtient le droit ou l’avantage qui a été promis au demandeur, et non au moment de l’acte de confiance préjudiciable. Lorsque l’acquisition par le promettant du droit ou de l’avantage promis dépend de la réalisation d’une éventualité, aucun droit en </w:t>
      </w:r>
      <w:proofErr w:type="spellStart"/>
      <w:r w:rsidRPr="005B545E">
        <w:rPr>
          <w:sz w:val="20"/>
          <w:lang w:val="fr-CA"/>
        </w:rPr>
        <w:t>equity</w:t>
      </w:r>
      <w:proofErr w:type="spellEnd"/>
      <w:r w:rsidRPr="005B545E">
        <w:rPr>
          <w:sz w:val="20"/>
          <w:lang w:val="fr-CA"/>
        </w:rPr>
        <w:t xml:space="preserve"> — dont une atteinte est susceptible </w:t>
      </w:r>
      <w:r w:rsidRPr="005B545E">
        <w:rPr>
          <w:sz w:val="20"/>
          <w:lang w:val="fr-CA"/>
        </w:rPr>
        <w:lastRenderedPageBreak/>
        <w:t xml:space="preserve">d’être réparée au moyen de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 ne peut prendre naissance tant que l’éventualité ne s’est pas réalisée. Si le promettant n’est pas titulaire du droit ou de l’avantage promis au moment de la promesse, un droit virtuel en </w:t>
      </w:r>
      <w:proofErr w:type="spellStart"/>
      <w:r w:rsidRPr="005B545E">
        <w:rPr>
          <w:sz w:val="20"/>
          <w:lang w:val="fr-CA"/>
        </w:rPr>
        <w:t>equity</w:t>
      </w:r>
      <w:proofErr w:type="spellEnd"/>
      <w:r w:rsidRPr="005B545E">
        <w:rPr>
          <w:sz w:val="20"/>
          <w:lang w:val="fr-CA"/>
        </w:rPr>
        <w:t xml:space="preserve"> prend naissance en faveur du demandeur au moment de l’acte de confiance préjudiciable du demandeur à l’égard de celle</w:t>
      </w:r>
      <w:r w:rsidRPr="005B545E">
        <w:rPr>
          <w:sz w:val="20"/>
          <w:lang w:val="fr-CA"/>
        </w:rPr>
        <w:noBreakHyphen/>
        <w:t xml:space="preserve">ci; toutefois, avant que l’on puisse établir l’existence d’un droit en </w:t>
      </w:r>
      <w:proofErr w:type="spellStart"/>
      <w:r w:rsidRPr="005B545E">
        <w:rPr>
          <w:sz w:val="20"/>
          <w:lang w:val="fr-CA"/>
        </w:rPr>
        <w:t>equity</w:t>
      </w:r>
      <w:proofErr w:type="spellEnd"/>
      <w:r w:rsidRPr="005B545E">
        <w:rPr>
          <w:sz w:val="20"/>
          <w:lang w:val="fr-CA"/>
        </w:rPr>
        <w:t xml:space="preserve"> susceptible de conférer un droit </w:t>
      </w:r>
      <w:proofErr w:type="spellStart"/>
      <w:r w:rsidRPr="005B545E">
        <w:rPr>
          <w:sz w:val="20"/>
          <w:lang w:val="fr-CA"/>
        </w:rPr>
        <w:t>propriétal</w:t>
      </w:r>
      <w:proofErr w:type="spellEnd"/>
      <w:r w:rsidRPr="005B545E">
        <w:rPr>
          <w:sz w:val="20"/>
          <w:lang w:val="fr-CA"/>
        </w:rPr>
        <w:t xml:space="preserve">, le promettant doit acquérir le droit ou l’avantage promis, car il ne peut accorder ce qu’il n’a pas. Pour constituer un droit en </w:t>
      </w:r>
      <w:proofErr w:type="spellStart"/>
      <w:r w:rsidRPr="005B545E">
        <w:rPr>
          <w:sz w:val="20"/>
          <w:lang w:val="fr-CA"/>
        </w:rPr>
        <w:t>equity</w:t>
      </w:r>
      <w:proofErr w:type="spellEnd"/>
      <w:r w:rsidRPr="005B545E">
        <w:rPr>
          <w:sz w:val="20"/>
          <w:lang w:val="fr-CA"/>
        </w:rPr>
        <w:t xml:space="preserve"> justifiant l’application de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le droit en </w:t>
      </w:r>
      <w:proofErr w:type="spellStart"/>
      <w:r w:rsidRPr="005B545E">
        <w:rPr>
          <w:sz w:val="20"/>
          <w:lang w:val="fr-CA"/>
        </w:rPr>
        <w:t>equity</w:t>
      </w:r>
      <w:proofErr w:type="spellEnd"/>
      <w:r w:rsidRPr="005B545E">
        <w:rPr>
          <w:sz w:val="20"/>
          <w:lang w:val="fr-CA"/>
        </w:rPr>
        <w:t xml:space="preserve"> en cause doit être de nature </w:t>
      </w:r>
      <w:proofErr w:type="spellStart"/>
      <w:r w:rsidRPr="005B545E">
        <w:rPr>
          <w:sz w:val="20"/>
          <w:lang w:val="fr-CA"/>
        </w:rPr>
        <w:t>propriétale</w:t>
      </w:r>
      <w:proofErr w:type="spellEnd"/>
      <w:r w:rsidRPr="005B545E">
        <w:rPr>
          <w:sz w:val="20"/>
          <w:lang w:val="fr-CA"/>
        </w:rPr>
        <w:t xml:space="preserve">, parce qu’il doit être susceptible de contraindre un promettant à renoncer à un droit </w:t>
      </w:r>
      <w:proofErr w:type="spellStart"/>
      <w:r w:rsidRPr="005B545E">
        <w:rPr>
          <w:sz w:val="20"/>
          <w:lang w:val="fr-CA"/>
        </w:rPr>
        <w:t>propriétal</w:t>
      </w:r>
      <w:proofErr w:type="spellEnd"/>
      <w:r w:rsidRPr="005B545E">
        <w:rPr>
          <w:sz w:val="20"/>
          <w:lang w:val="fr-CA"/>
        </w:rPr>
        <w:t xml:space="preserve"> dont il est effectivement titulaire.</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 xml:space="preserve">En l’espèce, le droit en </w:t>
      </w:r>
      <w:proofErr w:type="spellStart"/>
      <w:r w:rsidRPr="005B545E">
        <w:rPr>
          <w:sz w:val="20"/>
          <w:lang w:val="fr-CA"/>
        </w:rPr>
        <w:t>equity</w:t>
      </w:r>
      <w:proofErr w:type="spellEnd"/>
      <w:r w:rsidRPr="005B545E">
        <w:rPr>
          <w:sz w:val="20"/>
          <w:lang w:val="fr-CA"/>
        </w:rPr>
        <w:t xml:space="preserve"> nécessaire ne prendra naissance qu’à partir du moment où G sera titulaire du droit ou de l’avantage qu’elle a promis à M, c’est</w:t>
      </w:r>
      <w:r w:rsidRPr="005B545E">
        <w:rPr>
          <w:sz w:val="20"/>
          <w:lang w:val="fr-CA"/>
        </w:rPr>
        <w:noBreakHyphen/>
        <w:t>à</w:t>
      </w:r>
      <w:r w:rsidRPr="005B545E">
        <w:rPr>
          <w:sz w:val="20"/>
          <w:lang w:val="fr-CA"/>
        </w:rPr>
        <w:noBreakHyphen/>
        <w:t xml:space="preserve">dire le moment où la Cour lui ordonnera de partager la propriété en intérêts égaux d’un tiers qu’elle remettra aux bénéficiaires de la succession d’E. En conséquence, le minimum nécessaire pour donner effet au droit en </w:t>
      </w:r>
      <w:proofErr w:type="spellStart"/>
      <w:r w:rsidRPr="005B545E">
        <w:rPr>
          <w:sz w:val="20"/>
          <w:lang w:val="fr-CA"/>
        </w:rPr>
        <w:t>equity</w:t>
      </w:r>
      <w:proofErr w:type="spellEnd"/>
      <w:r w:rsidRPr="005B545E">
        <w:rPr>
          <w:sz w:val="20"/>
          <w:lang w:val="fr-CA"/>
        </w:rPr>
        <w:t xml:space="preserve">, dès qu’il prendra naissance, est de permettre à M d’acheter la part d’un tiers de G dans la propriété à la date de l’ordonnance de la Cour. </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r>
      <w:r w:rsidRPr="005B545E">
        <w:rPr>
          <w:i/>
          <w:sz w:val="20"/>
          <w:lang w:val="fr-CA"/>
        </w:rPr>
        <w:t xml:space="preserve">La </w:t>
      </w:r>
      <w:r w:rsidRPr="005B545E">
        <w:rPr>
          <w:sz w:val="20"/>
          <w:lang w:val="fr-CA"/>
        </w:rPr>
        <w:t>juge</w:t>
      </w:r>
      <w:r w:rsidRPr="005B545E">
        <w:rPr>
          <w:i/>
          <w:sz w:val="20"/>
          <w:lang w:val="fr-CA"/>
        </w:rPr>
        <w:t xml:space="preserve"> </w:t>
      </w:r>
      <w:r w:rsidRPr="005B545E">
        <w:rPr>
          <w:b/>
          <w:sz w:val="20"/>
          <w:lang w:val="fr-CA"/>
        </w:rPr>
        <w:t>Côté</w:t>
      </w:r>
      <w:r w:rsidRPr="005B545E">
        <w:rPr>
          <w:sz w:val="20"/>
          <w:lang w:val="fr-CA"/>
        </w:rPr>
        <w:t xml:space="preserve"> : Il y a accord avec les juges majoritaires sur le fait qu’il est possible d’invoquer la </w:t>
      </w:r>
      <w:proofErr w:type="spellStart"/>
      <w:r w:rsidRPr="005B545E">
        <w:rPr>
          <w:sz w:val="20"/>
          <w:lang w:val="fr-CA"/>
        </w:rPr>
        <w:t>préclusion</w:t>
      </w:r>
      <w:proofErr w:type="spellEnd"/>
      <w:r w:rsidRPr="005B545E">
        <w:rPr>
          <w:sz w:val="20"/>
          <w:lang w:val="fr-CA"/>
        </w:rPr>
        <w:t xml:space="preserve"> </w:t>
      </w:r>
      <w:proofErr w:type="spellStart"/>
      <w:r w:rsidRPr="005B545E">
        <w:rPr>
          <w:sz w:val="20"/>
          <w:lang w:val="fr-CA"/>
        </w:rPr>
        <w:t>propriétale</w:t>
      </w:r>
      <w:proofErr w:type="spellEnd"/>
      <w:r w:rsidRPr="005B545E">
        <w:rPr>
          <w:sz w:val="20"/>
          <w:lang w:val="fr-CA"/>
        </w:rPr>
        <w:t xml:space="preserve"> même si le promettant ne détenait aucun intérêt </w:t>
      </w:r>
      <w:proofErr w:type="spellStart"/>
      <w:r w:rsidRPr="005B545E">
        <w:rPr>
          <w:sz w:val="20"/>
          <w:lang w:val="fr-CA"/>
        </w:rPr>
        <w:t>propriétal</w:t>
      </w:r>
      <w:proofErr w:type="spellEnd"/>
      <w:r w:rsidRPr="005B545E">
        <w:rPr>
          <w:sz w:val="20"/>
          <w:lang w:val="fr-CA"/>
        </w:rPr>
        <w:t xml:space="preserve"> dans le bien en cause au moment de la promesse, et que la décision par le destinataire de la promesse de s’y fier n’est pas déraisonnable en droit simplement parce que le promettant n’est pas propriétaire du bien au moment où le destinataire de la promesse agit à son préjudice en s’y fiant. Cela dit, un tribunal ne peut ordonner à un exécuteur testamentaire de procéder à la distribution de la succession sans tenir compte de l’intention expresse du testateur, et ce, à la seule fin de permettre à une bénéficiaire de tenir la promesse qu’elle a faite à un tiers. Ce principe s’applique même lorsque cette bénéficiaire agit également comme exécutrice testamentaire.</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5B545E">
        <w:rPr>
          <w:sz w:val="20"/>
          <w:lang w:val="fr-CA"/>
        </w:rPr>
        <w:tab/>
        <w:t>En l’espèce, la Cour n’a pas compétence pour ordonner à G d’exercer son pouvoir discrétionnaire d’exécutrice testamentaire d’une façon particulière. Le testament d’E accordait expressément et sans équivoque à G un pouvoir discrétionnaire dans l’administration de sa succession, lui confiant le soin de décider du sort de la propriété en cause, notamment de déterminer s’il convenait ou non de la vendre. En enjoignant à G de transférer aux bénéficiaires de la succession leur part dans la propriété, la Cour se trouve à substituer son propre jugement à celui de G et à décider de la façon dont le bien devrait être administré, créant dans les faits un legs spécifique qu’E a elle</w:t>
      </w:r>
      <w:r w:rsidRPr="005B545E">
        <w:rPr>
          <w:sz w:val="20"/>
          <w:lang w:val="fr-CA"/>
        </w:rPr>
        <w:noBreakHyphen/>
        <w:t>même choisi de ne pas faire. Si les devoirs de G en tant qu’exécutrice testamentaire sont réellement en conflit avec ses intérêts en tant que bénéficiaire, de sorte qu’il y a manquement à son devoir fiduciaire, la réparation appropriée ne consiste pas à ordonner un partage en nature, mais plutôt à remplacer G en tant qu’exécutrice testamentaire. Toutefois, s’il est ordonné à G de partager la propriété en nature et qu’elle est obligée de vendre sa part à M, le prix de la vente devrait être établi en fonction de la valeur de la propriété à la date de l’ordonnance de la Cour.</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sz w:val="20"/>
          <w:lang w:val="fr-CA"/>
        </w:rPr>
      </w:pPr>
      <w:r w:rsidRPr="00125C70">
        <w:rPr>
          <w:sz w:val="20"/>
          <w:lang w:val="fr-CA"/>
        </w:rPr>
        <w:tab/>
        <w:t>POURVOI contre un arrêt de la Cour d’appel de la Colombie</w:t>
      </w:r>
      <w:r w:rsidRPr="00125C70">
        <w:rPr>
          <w:sz w:val="20"/>
          <w:lang w:val="fr-CA"/>
        </w:rPr>
        <w:noBreakHyphen/>
        <w:t xml:space="preserve">Britannique (les juges Saunders, Smith et </w:t>
      </w:r>
      <w:proofErr w:type="spellStart"/>
      <w:r w:rsidRPr="00125C70">
        <w:rPr>
          <w:sz w:val="20"/>
          <w:lang w:val="fr-CA"/>
        </w:rPr>
        <w:t>Willcock</w:t>
      </w:r>
      <w:proofErr w:type="spellEnd"/>
      <w:r w:rsidRPr="00125C70">
        <w:rPr>
          <w:sz w:val="20"/>
          <w:lang w:val="fr-CA"/>
        </w:rPr>
        <w:t xml:space="preserve">), 2016 BCCA 200, 400 D.L.R. (4th) 579, 386 B.C.A.C. 287, 667 W.A.C. 287, [2016] 10 W.W.R. 497, 19 E.T.R. (4th) 225, 87 B.C.L.R. (5th) 273, [2016] B.C.J. No. 927 (QL), 2016 </w:t>
      </w:r>
      <w:proofErr w:type="spellStart"/>
      <w:r w:rsidRPr="00125C70">
        <w:rPr>
          <w:sz w:val="20"/>
          <w:lang w:val="fr-CA"/>
        </w:rPr>
        <w:t>CarswellBC</w:t>
      </w:r>
      <w:proofErr w:type="spellEnd"/>
      <w:r w:rsidRPr="00125C70">
        <w:rPr>
          <w:sz w:val="20"/>
          <w:lang w:val="fr-CA"/>
        </w:rPr>
        <w:t xml:space="preserve"> 1238 (WL Can.), qui a infirmé en partie une décision de la juge Brown, 2015 BCSC 1170, 10 E.T.R. (4th) 218, [2015] B.C.J. No. 1428 (QL), 2015 </w:t>
      </w:r>
      <w:proofErr w:type="spellStart"/>
      <w:r w:rsidRPr="00125C70">
        <w:rPr>
          <w:sz w:val="20"/>
          <w:lang w:val="fr-CA"/>
        </w:rPr>
        <w:t>CarswellBC</w:t>
      </w:r>
      <w:proofErr w:type="spellEnd"/>
      <w:r w:rsidRPr="00125C70">
        <w:rPr>
          <w:sz w:val="20"/>
          <w:lang w:val="fr-CA"/>
        </w:rPr>
        <w:t xml:space="preserve"> 1871 (WL Can.). </w:t>
      </w:r>
      <w:r w:rsidRPr="005B545E">
        <w:rPr>
          <w:sz w:val="20"/>
          <w:lang w:val="fr-CA"/>
        </w:rPr>
        <w:t>Pourvoi accueilli.</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rStyle w:val="SCCCounselPartyRoleChar"/>
          <w:sz w:val="20"/>
          <w:lang w:val="fr-CA"/>
        </w:rPr>
      </w:pPr>
      <w:r w:rsidRPr="005B545E">
        <w:rPr>
          <w:rStyle w:val="SCCCounselNameChar"/>
          <w:sz w:val="20"/>
          <w:lang w:val="fr-CA"/>
        </w:rPr>
        <w:tab/>
        <w:t xml:space="preserve">G. Darren Williams, Ellen </w:t>
      </w:r>
      <w:proofErr w:type="spellStart"/>
      <w:r w:rsidRPr="005B545E">
        <w:rPr>
          <w:rStyle w:val="SCCCounselNameChar"/>
          <w:sz w:val="20"/>
          <w:lang w:val="fr-CA"/>
        </w:rPr>
        <w:t>Vandergrift</w:t>
      </w:r>
      <w:proofErr w:type="spellEnd"/>
      <w:r w:rsidRPr="005B545E">
        <w:rPr>
          <w:rStyle w:val="SCCCounselNameChar"/>
          <w:sz w:val="20"/>
          <w:lang w:val="fr-CA"/>
        </w:rPr>
        <w:t xml:space="preserve"> et Moira Dillon</w:t>
      </w:r>
      <w:r w:rsidRPr="005B545E">
        <w:rPr>
          <w:rStyle w:val="SCCCounselPartyRoleChar"/>
          <w:sz w:val="20"/>
          <w:lang w:val="fr-CA"/>
        </w:rPr>
        <w:t>, pour l’appelant.</w:t>
      </w:r>
    </w:p>
    <w:p w:rsidR="00125C70" w:rsidRPr="005B545E" w:rsidRDefault="00125C70" w:rsidP="00125C70">
      <w:pPr>
        <w:pStyle w:val="SCCNormalDoubleSpacing"/>
        <w:spacing w:line="240" w:lineRule="auto"/>
        <w:rPr>
          <w:sz w:val="20"/>
          <w:lang w:val="fr-CA"/>
        </w:rPr>
      </w:pPr>
    </w:p>
    <w:p w:rsidR="00125C70" w:rsidRDefault="00125C70" w:rsidP="00125C70">
      <w:pPr>
        <w:pStyle w:val="SCCNormalDoubleSpacing"/>
        <w:spacing w:line="240" w:lineRule="auto"/>
        <w:rPr>
          <w:rStyle w:val="SCCCounselPartyRoleChar"/>
          <w:sz w:val="20"/>
          <w:lang w:val="fr-CA"/>
        </w:rPr>
      </w:pPr>
      <w:r w:rsidRPr="005B545E">
        <w:rPr>
          <w:rStyle w:val="SCCCounselNameChar"/>
          <w:sz w:val="20"/>
          <w:lang w:val="fr-CA"/>
        </w:rPr>
        <w:tab/>
        <w:t>Claire E. Hunter</w:t>
      </w:r>
      <w:r w:rsidRPr="005B545E">
        <w:rPr>
          <w:rStyle w:val="SCCCounselSeparatorChar"/>
          <w:rFonts w:eastAsia="Calibri"/>
          <w:sz w:val="20"/>
        </w:rPr>
        <w:t xml:space="preserve"> et </w:t>
      </w:r>
      <w:r w:rsidRPr="005B545E">
        <w:rPr>
          <w:rStyle w:val="SCCCounselNameChar"/>
          <w:sz w:val="20"/>
          <w:lang w:val="fr-CA"/>
        </w:rPr>
        <w:t xml:space="preserve">Ryan J. M. </w:t>
      </w:r>
      <w:proofErr w:type="spellStart"/>
      <w:r w:rsidRPr="005B545E">
        <w:rPr>
          <w:rStyle w:val="SCCCounselNameChar"/>
          <w:sz w:val="20"/>
          <w:lang w:val="fr-CA"/>
        </w:rPr>
        <w:t>Androsoff</w:t>
      </w:r>
      <w:proofErr w:type="spellEnd"/>
      <w:r w:rsidRPr="005B545E">
        <w:rPr>
          <w:rStyle w:val="SCCCounselPartyRoleChar"/>
          <w:sz w:val="20"/>
          <w:lang w:val="fr-CA"/>
        </w:rPr>
        <w:t>, pour l’intimée.</w:t>
      </w:r>
    </w:p>
    <w:p w:rsidR="00813894" w:rsidRPr="00125C70" w:rsidRDefault="00813894" w:rsidP="005C6840">
      <w:pPr>
        <w:rPr>
          <w:rFonts w:cs="Times New Roman"/>
          <w:sz w:val="20"/>
          <w:szCs w:val="20"/>
          <w:lang w:val="fr-CA"/>
        </w:rPr>
      </w:pPr>
    </w:p>
    <w:p w:rsidR="005C6840" w:rsidRDefault="00F964D5" w:rsidP="005C6840">
      <w:pPr>
        <w:rPr>
          <w:lang w:val="fr-CA"/>
        </w:rPr>
      </w:pPr>
      <w:r>
        <w:rPr>
          <w:rFonts w:cs="Times New Roman"/>
          <w:sz w:val="20"/>
          <w:szCs w:val="20"/>
          <w:lang w:val="fr-CA"/>
        </w:rPr>
        <w:pict>
          <v:rect id="_x0000_i1095" style="width:144.3pt;height:1pt" o:hrpct="300" o:hralign="center" o:hrstd="t" o:hrnoshade="t" o:hr="t" fillcolor="black [3213]" stroked="f"/>
        </w:pict>
      </w:r>
      <w:r w:rsidR="005C6840">
        <w:rPr>
          <w:lang w:val="fr-CA"/>
        </w:rPr>
        <w:br w:type="page"/>
      </w:r>
    </w:p>
    <w:p w:rsidR="0052229C" w:rsidRPr="00C45CB4" w:rsidRDefault="004A61F1" w:rsidP="0052229C">
      <w:pPr>
        <w:ind w:left="720" w:hanging="720"/>
        <w:rPr>
          <w:rFonts w:eastAsia="Calibri"/>
          <w:b/>
          <w:sz w:val="20"/>
          <w:szCs w:val="20"/>
        </w:rPr>
      </w:pPr>
      <w:r w:rsidRPr="00C45CB4">
        <w:rPr>
          <w:i/>
          <w:sz w:val="20"/>
          <w:szCs w:val="20"/>
        </w:rPr>
        <w:lastRenderedPageBreak/>
        <w:t xml:space="preserve">British Columbia Human Rights Tribunal v. </w:t>
      </w:r>
      <w:r w:rsidR="00F964D5">
        <w:rPr>
          <w:i/>
          <w:sz w:val="20"/>
          <w:szCs w:val="20"/>
        </w:rPr>
        <w:t xml:space="preserve">Edward </w:t>
      </w:r>
      <w:proofErr w:type="spellStart"/>
      <w:r w:rsidR="00F964D5">
        <w:rPr>
          <w:i/>
          <w:sz w:val="20"/>
          <w:szCs w:val="20"/>
        </w:rPr>
        <w:t>Schrenk</w:t>
      </w:r>
      <w:proofErr w:type="spellEnd"/>
      <w:r w:rsidR="00F964D5">
        <w:rPr>
          <w:i/>
          <w:sz w:val="20"/>
          <w:szCs w:val="20"/>
        </w:rPr>
        <w:t xml:space="preserve"> </w:t>
      </w:r>
      <w:r w:rsidRPr="00C45CB4">
        <w:rPr>
          <w:i/>
          <w:sz w:val="20"/>
          <w:szCs w:val="20"/>
        </w:rPr>
        <w:t xml:space="preserve">et al. </w:t>
      </w:r>
      <w:r w:rsidR="0052229C" w:rsidRPr="00C45CB4">
        <w:rPr>
          <w:sz w:val="20"/>
          <w:szCs w:val="20"/>
        </w:rPr>
        <w:t>(</w:t>
      </w:r>
      <w:r w:rsidRPr="00C45CB4">
        <w:rPr>
          <w:sz w:val="20"/>
          <w:szCs w:val="20"/>
        </w:rPr>
        <w:t>B.C.</w:t>
      </w:r>
      <w:r w:rsidR="0052229C" w:rsidRPr="00C45CB4">
        <w:rPr>
          <w:sz w:val="20"/>
          <w:szCs w:val="20"/>
        </w:rPr>
        <w:t>) (</w:t>
      </w:r>
      <w:hyperlink r:id="rId110" w:history="1">
        <w:r w:rsidR="0052229C" w:rsidRPr="00C45CB4">
          <w:rPr>
            <w:rStyle w:val="Hyperlink"/>
            <w:sz w:val="20"/>
            <w:szCs w:val="20"/>
          </w:rPr>
          <w:t>3</w:t>
        </w:r>
        <w:r w:rsidRPr="00C45CB4">
          <w:rPr>
            <w:rStyle w:val="Hyperlink"/>
            <w:sz w:val="20"/>
            <w:szCs w:val="20"/>
          </w:rPr>
          <w:t>7041</w:t>
        </w:r>
      </w:hyperlink>
      <w:r w:rsidR="0052229C" w:rsidRPr="00C45CB4">
        <w:rPr>
          <w:sz w:val="20"/>
          <w:szCs w:val="20"/>
        </w:rPr>
        <w:t>)</w:t>
      </w:r>
    </w:p>
    <w:p w:rsidR="004A61F1" w:rsidRPr="00C45CB4" w:rsidRDefault="0052229C" w:rsidP="0052229C">
      <w:pPr>
        <w:jc w:val="both"/>
        <w:rPr>
          <w:rStyle w:val="SCCAppellantForIndexChar"/>
          <w:rFonts w:eastAsiaTheme="minorHAnsi"/>
          <w:sz w:val="20"/>
          <w:lang w:val="en-CA"/>
        </w:rPr>
      </w:pPr>
      <w:r w:rsidRPr="00C45CB4">
        <w:rPr>
          <w:b/>
          <w:sz w:val="20"/>
          <w:szCs w:val="20"/>
        </w:rPr>
        <w:t xml:space="preserve">Indexed as:  </w:t>
      </w:r>
      <w:r w:rsidR="004A61F1" w:rsidRPr="00C45CB4">
        <w:rPr>
          <w:rStyle w:val="SCCAppellantForIndexChar"/>
          <w:rFonts w:eastAsiaTheme="minorHAnsi"/>
          <w:sz w:val="20"/>
          <w:lang w:val="en-US"/>
        </w:rPr>
        <w:t>British Columbia Human Rights Tribunal</w:t>
      </w:r>
      <w:r w:rsidR="004A61F1" w:rsidRPr="00C45CB4">
        <w:rPr>
          <w:b/>
          <w:sz w:val="20"/>
          <w:szCs w:val="20"/>
        </w:rPr>
        <w:t xml:space="preserve"> </w:t>
      </w:r>
      <w:r w:rsidR="004A61F1" w:rsidRPr="00C45CB4">
        <w:rPr>
          <w:b/>
          <w:i/>
          <w:sz w:val="20"/>
          <w:szCs w:val="20"/>
        </w:rPr>
        <w:t>v.</w:t>
      </w:r>
      <w:r w:rsidR="004A61F1" w:rsidRPr="00C45CB4">
        <w:rPr>
          <w:b/>
          <w:sz w:val="20"/>
          <w:szCs w:val="20"/>
        </w:rPr>
        <w:t xml:space="preserve"> </w:t>
      </w:r>
      <w:proofErr w:type="spellStart"/>
      <w:r w:rsidR="004A61F1" w:rsidRPr="00C45CB4">
        <w:rPr>
          <w:rStyle w:val="SCCRespondentForIndexChar"/>
          <w:rFonts w:eastAsiaTheme="minorHAnsi"/>
          <w:sz w:val="20"/>
        </w:rPr>
        <w:t>Schrenk</w:t>
      </w:r>
      <w:proofErr w:type="spellEnd"/>
      <w:r w:rsidRPr="00C45CB4">
        <w:rPr>
          <w:rStyle w:val="SCCAppellantForIndexChar"/>
          <w:rFonts w:eastAsiaTheme="minorHAnsi"/>
          <w:sz w:val="20"/>
          <w:lang w:val="en-CA"/>
        </w:rPr>
        <w:t xml:space="preserve">/ </w:t>
      </w:r>
    </w:p>
    <w:p w:rsidR="0052229C" w:rsidRPr="00C45CB4" w:rsidRDefault="0052229C" w:rsidP="0052229C">
      <w:pPr>
        <w:jc w:val="both"/>
        <w:rPr>
          <w:b/>
          <w:sz w:val="20"/>
          <w:szCs w:val="20"/>
        </w:rPr>
      </w:pPr>
      <w:proofErr w:type="spellStart"/>
      <w:proofErr w:type="gramStart"/>
      <w:r w:rsidRPr="00C45CB4">
        <w:rPr>
          <w:b/>
          <w:sz w:val="20"/>
          <w:szCs w:val="20"/>
        </w:rPr>
        <w:t>Répertorié</w:t>
      </w:r>
      <w:proofErr w:type="spellEnd"/>
      <w:r w:rsidRPr="00C45CB4">
        <w:rPr>
          <w:b/>
          <w:sz w:val="20"/>
          <w:szCs w:val="20"/>
        </w:rPr>
        <w:t> :</w:t>
      </w:r>
      <w:proofErr w:type="gramEnd"/>
      <w:r w:rsidRPr="00C45CB4">
        <w:rPr>
          <w:b/>
          <w:sz w:val="20"/>
          <w:szCs w:val="20"/>
        </w:rPr>
        <w:t> </w:t>
      </w:r>
      <w:r w:rsidR="004A61F1" w:rsidRPr="00C45CB4">
        <w:rPr>
          <w:rStyle w:val="SCCAppellantForIndexChar"/>
          <w:rFonts w:eastAsiaTheme="minorHAnsi"/>
          <w:sz w:val="20"/>
          <w:lang w:val="en-US"/>
        </w:rPr>
        <w:t>British Columbia Human Rights Tribunal</w:t>
      </w:r>
      <w:r w:rsidR="004A61F1" w:rsidRPr="00C45CB4">
        <w:rPr>
          <w:rFonts w:cs="Times New Roman"/>
          <w:b/>
          <w:sz w:val="20"/>
          <w:szCs w:val="20"/>
        </w:rPr>
        <w:t xml:space="preserve"> </w:t>
      </w:r>
      <w:r w:rsidR="004A61F1" w:rsidRPr="00C45CB4">
        <w:rPr>
          <w:rFonts w:cs="Times New Roman"/>
          <w:b/>
          <w:i/>
          <w:sz w:val="20"/>
          <w:szCs w:val="20"/>
        </w:rPr>
        <w:t>c.</w:t>
      </w:r>
      <w:r w:rsidR="004A61F1" w:rsidRPr="00C45CB4">
        <w:rPr>
          <w:rFonts w:cs="Times New Roman"/>
          <w:b/>
          <w:sz w:val="20"/>
          <w:szCs w:val="20"/>
        </w:rPr>
        <w:t xml:space="preserve"> </w:t>
      </w:r>
      <w:proofErr w:type="spellStart"/>
      <w:r w:rsidR="004A61F1" w:rsidRPr="00C45CB4">
        <w:rPr>
          <w:rStyle w:val="SCCRespondentForIndexChar"/>
          <w:rFonts w:eastAsiaTheme="minorHAnsi"/>
          <w:sz w:val="20"/>
        </w:rPr>
        <w:t>Schrenk</w:t>
      </w:r>
      <w:proofErr w:type="spellEnd"/>
    </w:p>
    <w:p w:rsidR="0052229C" w:rsidRPr="00C45CB4" w:rsidRDefault="0052229C" w:rsidP="0052229C">
      <w:pPr>
        <w:pStyle w:val="SCCSystemYear"/>
        <w:jc w:val="both"/>
        <w:rPr>
          <w:sz w:val="20"/>
        </w:rPr>
      </w:pPr>
      <w:proofErr w:type="spellStart"/>
      <w:r w:rsidRPr="00C45CB4">
        <w:rPr>
          <w:sz w:val="20"/>
        </w:rPr>
        <w:t>Neutral</w:t>
      </w:r>
      <w:proofErr w:type="spellEnd"/>
      <w:r w:rsidRPr="00C45CB4">
        <w:rPr>
          <w:sz w:val="20"/>
        </w:rPr>
        <w:t xml:space="preserve"> citation</w:t>
      </w:r>
      <w:proofErr w:type="gramStart"/>
      <w:r w:rsidRPr="00C45CB4">
        <w:rPr>
          <w:sz w:val="20"/>
        </w:rPr>
        <w:t xml:space="preserve">:  </w:t>
      </w:r>
      <w:r w:rsidR="0030050B" w:rsidRPr="00C45CB4">
        <w:rPr>
          <w:sz w:val="20"/>
        </w:rPr>
        <w:t>201</w:t>
      </w:r>
      <w:r w:rsidR="0056248C" w:rsidRPr="00C45CB4">
        <w:rPr>
          <w:sz w:val="20"/>
        </w:rPr>
        <w:t>7</w:t>
      </w:r>
      <w:proofErr w:type="gramEnd"/>
      <w:r w:rsidRPr="00C45CB4">
        <w:rPr>
          <w:sz w:val="20"/>
        </w:rPr>
        <w:t xml:space="preserve"> SCC </w:t>
      </w:r>
      <w:r w:rsidR="00C45CB4" w:rsidRPr="00C45CB4">
        <w:rPr>
          <w:sz w:val="20"/>
        </w:rPr>
        <w:t>62</w:t>
      </w:r>
      <w:r w:rsidRPr="00C45CB4">
        <w:rPr>
          <w:sz w:val="20"/>
        </w:rPr>
        <w:t xml:space="preserve"> / Référence neutre : </w:t>
      </w:r>
      <w:r w:rsidR="0030050B" w:rsidRPr="00C45CB4">
        <w:rPr>
          <w:sz w:val="20"/>
        </w:rPr>
        <w:t>201</w:t>
      </w:r>
      <w:r w:rsidR="0056248C" w:rsidRPr="00C45CB4">
        <w:rPr>
          <w:sz w:val="20"/>
        </w:rPr>
        <w:t>7</w:t>
      </w:r>
      <w:r w:rsidRPr="00C45CB4">
        <w:rPr>
          <w:sz w:val="20"/>
        </w:rPr>
        <w:t xml:space="preserve"> CSC </w:t>
      </w:r>
      <w:r w:rsidR="00C45CB4" w:rsidRPr="00C45CB4">
        <w:rPr>
          <w:sz w:val="20"/>
        </w:rPr>
        <w:t>6</w:t>
      </w:r>
      <w:r w:rsidR="0056248C" w:rsidRPr="00C45CB4">
        <w:rPr>
          <w:sz w:val="20"/>
        </w:rPr>
        <w:t>2</w:t>
      </w:r>
    </w:p>
    <w:p w:rsidR="0052229C" w:rsidRPr="00C45CB4" w:rsidRDefault="0052229C" w:rsidP="0052229C">
      <w:pPr>
        <w:rPr>
          <w:sz w:val="20"/>
          <w:szCs w:val="20"/>
          <w:lang w:val="fr-CA"/>
        </w:rPr>
      </w:pPr>
      <w:proofErr w:type="spellStart"/>
      <w:r w:rsidRPr="00C45CB4">
        <w:rPr>
          <w:sz w:val="20"/>
          <w:szCs w:val="20"/>
          <w:lang w:val="fr-CA"/>
        </w:rPr>
        <w:t>Hearing</w:t>
      </w:r>
      <w:proofErr w:type="spellEnd"/>
      <w:proofErr w:type="gramStart"/>
      <w:r w:rsidRPr="00C45CB4">
        <w:rPr>
          <w:sz w:val="20"/>
          <w:szCs w:val="20"/>
          <w:lang w:val="fr-CA"/>
        </w:rPr>
        <w:t xml:space="preserve">:  </w:t>
      </w:r>
      <w:r w:rsidR="00C45CB4" w:rsidRPr="00C45CB4">
        <w:rPr>
          <w:sz w:val="20"/>
          <w:szCs w:val="20"/>
          <w:lang w:val="fr-CA"/>
        </w:rPr>
        <w:t>March</w:t>
      </w:r>
      <w:proofErr w:type="gramEnd"/>
      <w:r w:rsidR="00C45CB4" w:rsidRPr="00C45CB4">
        <w:rPr>
          <w:sz w:val="20"/>
          <w:szCs w:val="20"/>
          <w:lang w:val="fr-CA"/>
        </w:rPr>
        <w:t xml:space="preserve"> 28, 2017</w:t>
      </w:r>
      <w:r w:rsidRPr="00C45CB4">
        <w:rPr>
          <w:sz w:val="20"/>
          <w:szCs w:val="20"/>
          <w:lang w:val="fr-CA"/>
        </w:rPr>
        <w:t xml:space="preserve"> / </w:t>
      </w:r>
      <w:proofErr w:type="spellStart"/>
      <w:r w:rsidRPr="00C45CB4">
        <w:rPr>
          <w:sz w:val="20"/>
          <w:szCs w:val="20"/>
          <w:lang w:val="fr-CA"/>
        </w:rPr>
        <w:t>Judgment</w:t>
      </w:r>
      <w:proofErr w:type="spellEnd"/>
      <w:r w:rsidRPr="00C45CB4">
        <w:rPr>
          <w:sz w:val="20"/>
          <w:szCs w:val="20"/>
          <w:lang w:val="fr-CA"/>
        </w:rPr>
        <w:t xml:space="preserve">:  </w:t>
      </w:r>
      <w:proofErr w:type="spellStart"/>
      <w:r w:rsidR="00C45CB4" w:rsidRPr="00C45CB4">
        <w:rPr>
          <w:sz w:val="20"/>
          <w:szCs w:val="20"/>
          <w:lang w:val="fr-CA"/>
        </w:rPr>
        <w:t>December</w:t>
      </w:r>
      <w:proofErr w:type="spellEnd"/>
      <w:r w:rsidR="00C45CB4" w:rsidRPr="00C45CB4">
        <w:rPr>
          <w:sz w:val="20"/>
          <w:szCs w:val="20"/>
          <w:lang w:val="fr-CA"/>
        </w:rPr>
        <w:t xml:space="preserve"> 15</w:t>
      </w:r>
      <w:r w:rsidRPr="00C45CB4">
        <w:rPr>
          <w:sz w:val="20"/>
          <w:szCs w:val="20"/>
          <w:lang w:val="fr-CA"/>
        </w:rPr>
        <w:t xml:space="preserve">, </w:t>
      </w:r>
      <w:r w:rsidR="0030050B" w:rsidRPr="00C45CB4">
        <w:rPr>
          <w:sz w:val="20"/>
          <w:szCs w:val="20"/>
          <w:lang w:val="fr-CA"/>
        </w:rPr>
        <w:t>201</w:t>
      </w:r>
      <w:r w:rsidR="0056248C" w:rsidRPr="00C45CB4">
        <w:rPr>
          <w:sz w:val="20"/>
          <w:szCs w:val="20"/>
          <w:lang w:val="fr-CA"/>
        </w:rPr>
        <w:t>7</w:t>
      </w:r>
    </w:p>
    <w:p w:rsidR="0052229C" w:rsidRPr="00C45CB4" w:rsidRDefault="0052229C" w:rsidP="0052229C">
      <w:pPr>
        <w:rPr>
          <w:sz w:val="20"/>
          <w:szCs w:val="20"/>
          <w:lang w:val="fr-CA"/>
        </w:rPr>
      </w:pPr>
      <w:r w:rsidRPr="00C45CB4">
        <w:rPr>
          <w:sz w:val="20"/>
          <w:szCs w:val="20"/>
          <w:lang w:val="fr-CA"/>
        </w:rPr>
        <w:t xml:space="preserve">Audition : Le </w:t>
      </w:r>
      <w:r w:rsidR="00C45CB4" w:rsidRPr="00C45CB4">
        <w:rPr>
          <w:sz w:val="20"/>
          <w:szCs w:val="20"/>
          <w:lang w:val="fr-CA"/>
        </w:rPr>
        <w:t>28 mars</w:t>
      </w:r>
      <w:r w:rsidRPr="00C45CB4">
        <w:rPr>
          <w:sz w:val="20"/>
          <w:szCs w:val="20"/>
          <w:lang w:val="fr-CA"/>
        </w:rPr>
        <w:t xml:space="preserve"> 201</w:t>
      </w:r>
      <w:r w:rsidR="00C45CB4" w:rsidRPr="00C45CB4">
        <w:rPr>
          <w:sz w:val="20"/>
          <w:szCs w:val="20"/>
          <w:lang w:val="fr-CA"/>
        </w:rPr>
        <w:t>7</w:t>
      </w:r>
      <w:r w:rsidRPr="00C45CB4">
        <w:rPr>
          <w:sz w:val="20"/>
          <w:szCs w:val="20"/>
          <w:lang w:val="fr-CA"/>
        </w:rPr>
        <w:t xml:space="preserve"> / Jugement : Le </w:t>
      </w:r>
      <w:r w:rsidR="00C45CB4" w:rsidRPr="00C45CB4">
        <w:rPr>
          <w:sz w:val="20"/>
          <w:szCs w:val="20"/>
          <w:lang w:val="fr-CA"/>
        </w:rPr>
        <w:t>15 décembre</w:t>
      </w:r>
      <w:r w:rsidRPr="00C45CB4">
        <w:rPr>
          <w:sz w:val="20"/>
          <w:szCs w:val="20"/>
          <w:lang w:val="fr-CA"/>
        </w:rPr>
        <w:t xml:space="preserve"> </w:t>
      </w:r>
      <w:r w:rsidR="0030050B" w:rsidRPr="00C45CB4">
        <w:rPr>
          <w:sz w:val="20"/>
          <w:szCs w:val="20"/>
          <w:lang w:val="fr-CA"/>
        </w:rPr>
        <w:t>201</w:t>
      </w:r>
      <w:r w:rsidR="0056248C" w:rsidRPr="00C45CB4">
        <w:rPr>
          <w:sz w:val="20"/>
          <w:szCs w:val="20"/>
          <w:lang w:val="fr-CA"/>
        </w:rPr>
        <w:t>7</w:t>
      </w:r>
    </w:p>
    <w:p w:rsidR="005C6840" w:rsidRPr="004A61F1" w:rsidRDefault="00F964D5" w:rsidP="005C6840">
      <w:pPr>
        <w:rPr>
          <w:sz w:val="20"/>
          <w:szCs w:val="20"/>
        </w:rPr>
      </w:pPr>
      <w:r>
        <w:rPr>
          <w:i/>
          <w:sz w:val="20"/>
          <w:szCs w:val="20"/>
        </w:rPr>
        <w:pict>
          <v:rect id="_x0000_i1096" style="width:480.95pt;height:1pt" o:hralign="center" o:hrstd="t" o:hrnoshade="t" o:hr="t" fillcolor="black [3213]" stroked="f"/>
        </w:pict>
      </w:r>
    </w:p>
    <w:p w:rsidR="005C6840" w:rsidRPr="004A61F1" w:rsidRDefault="005C6840" w:rsidP="005C6840">
      <w:pPr>
        <w:spacing w:line="0" w:lineRule="atLeast"/>
        <w:rPr>
          <w:sz w:val="20"/>
          <w:szCs w:val="20"/>
        </w:rPr>
      </w:pPr>
    </w:p>
    <w:p w:rsidR="002F3C61" w:rsidRPr="00F925EC" w:rsidRDefault="002F3C61" w:rsidP="002F3C61">
      <w:pPr>
        <w:jc w:val="both"/>
        <w:rPr>
          <w:sz w:val="20"/>
          <w:szCs w:val="20"/>
        </w:rPr>
      </w:pPr>
      <w:r w:rsidRPr="00F925EC">
        <w:rPr>
          <w:sz w:val="20"/>
          <w:szCs w:val="20"/>
        </w:rPr>
        <w:t xml:space="preserve">Present: </w:t>
      </w:r>
      <w:proofErr w:type="spellStart"/>
      <w:r w:rsidRPr="00F925EC">
        <w:rPr>
          <w:sz w:val="20"/>
          <w:szCs w:val="20"/>
        </w:rPr>
        <w:t>McLachlin</w:t>
      </w:r>
      <w:proofErr w:type="spellEnd"/>
      <w:r w:rsidRPr="00F925EC">
        <w:rPr>
          <w:sz w:val="20"/>
          <w:szCs w:val="20"/>
        </w:rPr>
        <w:t xml:space="preserve"> C.J. and </w:t>
      </w:r>
      <w:proofErr w:type="spellStart"/>
      <w:r w:rsidRPr="00F925EC">
        <w:rPr>
          <w:sz w:val="20"/>
          <w:szCs w:val="20"/>
        </w:rPr>
        <w:t>Abella</w:t>
      </w:r>
      <w:proofErr w:type="spellEnd"/>
      <w:r w:rsidRPr="00F925EC">
        <w:rPr>
          <w:sz w:val="20"/>
          <w:szCs w:val="20"/>
        </w:rPr>
        <w:t xml:space="preserve">, </w:t>
      </w:r>
      <w:proofErr w:type="spellStart"/>
      <w:r w:rsidRPr="00F925EC">
        <w:rPr>
          <w:sz w:val="20"/>
          <w:szCs w:val="20"/>
        </w:rPr>
        <w:t>Moldaver</w:t>
      </w:r>
      <w:proofErr w:type="spellEnd"/>
      <w:r w:rsidRPr="00F925EC">
        <w:rPr>
          <w:sz w:val="20"/>
          <w:szCs w:val="20"/>
        </w:rPr>
        <w:t xml:space="preserve">, </w:t>
      </w:r>
      <w:proofErr w:type="spellStart"/>
      <w:r w:rsidRPr="00F925EC">
        <w:rPr>
          <w:sz w:val="20"/>
          <w:szCs w:val="20"/>
        </w:rPr>
        <w:t>Karakatsanis</w:t>
      </w:r>
      <w:proofErr w:type="spellEnd"/>
      <w:r w:rsidRPr="00F925EC">
        <w:rPr>
          <w:sz w:val="20"/>
          <w:szCs w:val="20"/>
        </w:rPr>
        <w:t xml:space="preserve">, Wagner, </w:t>
      </w:r>
      <w:proofErr w:type="spellStart"/>
      <w:r w:rsidRPr="00F925EC">
        <w:rPr>
          <w:sz w:val="20"/>
          <w:szCs w:val="20"/>
        </w:rPr>
        <w:t>Gascon</w:t>
      </w:r>
      <w:proofErr w:type="spellEnd"/>
      <w:r w:rsidRPr="00F925EC">
        <w:rPr>
          <w:sz w:val="20"/>
          <w:szCs w:val="20"/>
        </w:rPr>
        <w:t xml:space="preserve">, </w:t>
      </w:r>
      <w:proofErr w:type="spellStart"/>
      <w:r w:rsidRPr="00F925EC">
        <w:rPr>
          <w:sz w:val="20"/>
          <w:szCs w:val="20"/>
        </w:rPr>
        <w:t>Côté</w:t>
      </w:r>
      <w:proofErr w:type="spellEnd"/>
      <w:r w:rsidRPr="00F925EC">
        <w:rPr>
          <w:sz w:val="20"/>
          <w:szCs w:val="20"/>
        </w:rPr>
        <w:t>, Brown and Rowe JJ.</w:t>
      </w:r>
    </w:p>
    <w:p w:rsidR="002F3C61" w:rsidRDefault="002F3C61" w:rsidP="002F3C61">
      <w:pPr>
        <w:pStyle w:val="SCCNormalDoubleSpacing"/>
        <w:spacing w:line="240" w:lineRule="auto"/>
        <w:rPr>
          <w:i/>
          <w:sz w:val="20"/>
        </w:rPr>
      </w:pPr>
    </w:p>
    <w:p w:rsidR="002F3C61" w:rsidRDefault="002F3C61" w:rsidP="002F3C61">
      <w:pPr>
        <w:pStyle w:val="SCCNormalDoubleSpacing"/>
        <w:spacing w:line="240" w:lineRule="auto"/>
        <w:rPr>
          <w:i/>
          <w:sz w:val="20"/>
        </w:rPr>
      </w:pPr>
      <w:r w:rsidRPr="00F925EC">
        <w:rPr>
          <w:i/>
          <w:sz w:val="20"/>
        </w:rPr>
        <w:tab/>
        <w:t xml:space="preserve">Human rights — Human Rights Tribunal — Jurisdiction — Discrimination — Employment — Act prohibiting a “person” from discriminating against someone “regarding </w:t>
      </w:r>
      <w:r w:rsidRPr="00F925EC">
        <w:rPr>
          <w:rFonts w:eastAsiaTheme="minorHAnsi"/>
          <w:i/>
          <w:sz w:val="20"/>
          <w:lang w:val="en-US" w:eastAsia="en-US" w:bidi="en-US"/>
        </w:rPr>
        <w:t>employment</w:t>
      </w:r>
      <w:r w:rsidRPr="00F925EC">
        <w:rPr>
          <w:i/>
          <w:sz w:val="20"/>
        </w:rPr>
        <w:t>” — Scope of prohibition — Complaint alleging discrimination at workplace by co</w:t>
      </w:r>
      <w:r w:rsidRPr="00F925EC">
        <w:rPr>
          <w:i/>
          <w:sz w:val="20"/>
        </w:rPr>
        <w:noBreakHyphen/>
        <w:t>worker — Whether discrimination “regarding employment” can be perpetrated by someone other than complainant’s employer or superior — Whether British Columbia Human Rights Tribunal erred in finding that it had jurisdiction over complaint — Human Rights Code, R.S.B.C. 1996, c. 210, ss. 1 “employment”, “person”, 13(1)(b), 27(1)(a).</w:t>
      </w:r>
    </w:p>
    <w:p w:rsidR="002F3C61" w:rsidRPr="00F925EC" w:rsidRDefault="002F3C61" w:rsidP="002F3C61">
      <w:pPr>
        <w:pStyle w:val="SCCNormalDoubleSpacing"/>
        <w:spacing w:line="240" w:lineRule="auto"/>
        <w:rPr>
          <w:i/>
          <w:sz w:val="20"/>
        </w:rPr>
      </w:pPr>
    </w:p>
    <w:p w:rsidR="002F3C61" w:rsidRDefault="002F3C61" w:rsidP="002F3C61">
      <w:pPr>
        <w:pStyle w:val="SCCNormalDoubleSpacing"/>
        <w:spacing w:line="240" w:lineRule="auto"/>
        <w:rPr>
          <w:sz w:val="20"/>
        </w:rPr>
      </w:pPr>
      <w:r w:rsidRPr="00F925EC">
        <w:rPr>
          <w:sz w:val="20"/>
        </w:rPr>
        <w:tab/>
        <w:t>S</w:t>
      </w:r>
      <w:r w:rsidRPr="00F925EC">
        <w:rPr>
          <w:sz w:val="20"/>
        </w:rPr>
        <w:noBreakHyphen/>
        <w:t xml:space="preserve">M worked for Omega and Associates Engineering Ltd. as a civil engineer on a road </w:t>
      </w:r>
      <w:r w:rsidRPr="00F925EC">
        <w:rPr>
          <w:rFonts w:eastAsiaTheme="minorHAnsi"/>
          <w:sz w:val="20"/>
          <w:lang w:val="en-US" w:eastAsia="en-US" w:bidi="en-US"/>
        </w:rPr>
        <w:t>improvement</w:t>
      </w:r>
      <w:r w:rsidRPr="00F925EC">
        <w:rPr>
          <w:sz w:val="20"/>
        </w:rPr>
        <w:t xml:space="preserve"> project. Omega had certain supervisory powers over employees of </w:t>
      </w:r>
      <w:proofErr w:type="spellStart"/>
      <w:r w:rsidRPr="00F925EC">
        <w:rPr>
          <w:sz w:val="20"/>
        </w:rPr>
        <w:t>Clemas</w:t>
      </w:r>
      <w:proofErr w:type="spellEnd"/>
      <w:r w:rsidRPr="00F925EC">
        <w:rPr>
          <w:sz w:val="20"/>
        </w:rPr>
        <w:t xml:space="preserve"> Construction Ltd., the primary construction contractor on the project. </w:t>
      </w:r>
      <w:proofErr w:type="spellStart"/>
      <w:r w:rsidRPr="00F925EC">
        <w:rPr>
          <w:sz w:val="20"/>
        </w:rPr>
        <w:t>Clemas</w:t>
      </w:r>
      <w:proofErr w:type="spellEnd"/>
      <w:r w:rsidRPr="00F925EC">
        <w:rPr>
          <w:sz w:val="20"/>
        </w:rPr>
        <w:t xml:space="preserve"> employed S as site foreman and superintendent. When S made racist and homophobic statements to S</w:t>
      </w:r>
      <w:r w:rsidRPr="00F925EC">
        <w:rPr>
          <w:sz w:val="20"/>
        </w:rPr>
        <w:noBreakHyphen/>
        <w:t>M on the worksite, S</w:t>
      </w:r>
      <w:r w:rsidRPr="00F925EC">
        <w:rPr>
          <w:sz w:val="20"/>
        </w:rPr>
        <w:noBreakHyphen/>
        <w:t xml:space="preserve">M raised the comments with Omega. Following further statements by S, Omega asked </w:t>
      </w:r>
      <w:proofErr w:type="spellStart"/>
      <w:r w:rsidRPr="00F925EC">
        <w:rPr>
          <w:sz w:val="20"/>
        </w:rPr>
        <w:t>Clemas</w:t>
      </w:r>
      <w:proofErr w:type="spellEnd"/>
      <w:r w:rsidRPr="00F925EC">
        <w:rPr>
          <w:sz w:val="20"/>
        </w:rPr>
        <w:t xml:space="preserve"> to remove S from the site. </w:t>
      </w:r>
      <w:proofErr w:type="spellStart"/>
      <w:r w:rsidRPr="00F925EC">
        <w:rPr>
          <w:sz w:val="20"/>
        </w:rPr>
        <w:t>Clemas</w:t>
      </w:r>
      <w:proofErr w:type="spellEnd"/>
      <w:r w:rsidRPr="00F925EC">
        <w:rPr>
          <w:sz w:val="20"/>
        </w:rPr>
        <w:t xml:space="preserve"> did so without delay, but S continued to be involved on the project in some capacity. When the harassment continued, </w:t>
      </w:r>
      <w:proofErr w:type="spellStart"/>
      <w:r w:rsidRPr="00F925EC">
        <w:rPr>
          <w:sz w:val="20"/>
        </w:rPr>
        <w:t>Clemas</w:t>
      </w:r>
      <w:proofErr w:type="spellEnd"/>
      <w:r w:rsidRPr="00F925EC">
        <w:rPr>
          <w:sz w:val="20"/>
        </w:rPr>
        <w:t xml:space="preserve"> terminated S’s employment.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S</w:t>
      </w:r>
      <w:r w:rsidRPr="00F925EC">
        <w:rPr>
          <w:sz w:val="20"/>
        </w:rPr>
        <w:noBreakHyphen/>
        <w:t xml:space="preserve">M filed a complaint before the British Columbia Human Rights Tribunal against S alleging </w:t>
      </w:r>
      <w:r w:rsidRPr="00F925EC">
        <w:rPr>
          <w:rFonts w:eastAsiaTheme="minorHAnsi"/>
          <w:sz w:val="20"/>
          <w:lang w:val="en-US" w:eastAsia="en-US" w:bidi="en-US"/>
        </w:rPr>
        <w:t>discrimination</w:t>
      </w:r>
      <w:r w:rsidRPr="00F925EC">
        <w:rPr>
          <w:sz w:val="20"/>
        </w:rPr>
        <w:t xml:space="preserve"> on the basis of religion, place of origin, and sexual orientation. S applied to dismiss the complaint, arguing that s. 13 of the </w:t>
      </w:r>
      <w:r w:rsidRPr="00F925EC">
        <w:rPr>
          <w:i/>
          <w:sz w:val="20"/>
        </w:rPr>
        <w:t xml:space="preserve">Human Rights Code </w:t>
      </w:r>
      <w:r w:rsidRPr="00F925EC">
        <w:rPr>
          <w:sz w:val="20"/>
        </w:rPr>
        <w:t>had no application because S</w:t>
      </w:r>
      <w:r w:rsidRPr="00F925EC">
        <w:rPr>
          <w:sz w:val="20"/>
        </w:rPr>
        <w:noBreakHyphen/>
        <w:t>M was not in an employment relationship with S. The Tribunal held that it had jurisdiction to deal with the complaint and, accordingly, it denied S’s application under s. 27(1</w:t>
      </w:r>
      <w:proofErr w:type="gramStart"/>
      <w:r w:rsidRPr="00F925EC">
        <w:rPr>
          <w:sz w:val="20"/>
        </w:rPr>
        <w:t>)(</w:t>
      </w:r>
      <w:proofErr w:type="gramEnd"/>
      <w:r w:rsidRPr="00F925EC">
        <w:rPr>
          <w:sz w:val="20"/>
        </w:rPr>
        <w:t>a) of the Code. The British Columbia Supreme Court dismissed S’s application for judicial review, but the Court of Appeal allowed S’s appeal and found that the Tribunal erred in law by concluding that it had jurisdiction over the complaint.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r>
      <w:r w:rsidRPr="00F925EC">
        <w:rPr>
          <w:i/>
          <w:sz w:val="20"/>
        </w:rPr>
        <w:t xml:space="preserve">Held </w:t>
      </w:r>
      <w:r w:rsidRPr="00F925EC">
        <w:rPr>
          <w:sz w:val="20"/>
        </w:rPr>
        <w:t>(</w:t>
      </w:r>
      <w:proofErr w:type="spellStart"/>
      <w:r w:rsidRPr="00F925EC">
        <w:rPr>
          <w:sz w:val="20"/>
        </w:rPr>
        <w:t>McLachlin</w:t>
      </w:r>
      <w:proofErr w:type="spellEnd"/>
      <w:r w:rsidRPr="00F925EC">
        <w:rPr>
          <w:sz w:val="20"/>
        </w:rPr>
        <w:t xml:space="preserve"> C.J. and </w:t>
      </w:r>
      <w:proofErr w:type="spellStart"/>
      <w:r w:rsidRPr="00F925EC">
        <w:rPr>
          <w:sz w:val="20"/>
        </w:rPr>
        <w:t>Côté</w:t>
      </w:r>
      <w:proofErr w:type="spellEnd"/>
      <w:r w:rsidRPr="00F925EC">
        <w:rPr>
          <w:sz w:val="20"/>
        </w:rPr>
        <w:t xml:space="preserve"> </w:t>
      </w:r>
      <w:r w:rsidRPr="00F925EC">
        <w:rPr>
          <w:rFonts w:eastAsiaTheme="minorHAnsi"/>
          <w:sz w:val="20"/>
          <w:lang w:val="en-US" w:eastAsia="en-US" w:bidi="en-US"/>
        </w:rPr>
        <w:t>and</w:t>
      </w:r>
      <w:r w:rsidRPr="00F925EC">
        <w:rPr>
          <w:sz w:val="20"/>
        </w:rPr>
        <w:t xml:space="preserve"> Brown JJ. dissenting): The appeal should be allowed.</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rFonts w:eastAsia="Calibri"/>
          <w:sz w:val="20"/>
        </w:rPr>
        <w:tab/>
      </w:r>
      <w:r w:rsidRPr="00F925EC">
        <w:rPr>
          <w:rFonts w:eastAsia="Calibri"/>
          <w:i/>
          <w:sz w:val="20"/>
        </w:rPr>
        <w:t xml:space="preserve">Per </w:t>
      </w:r>
      <w:proofErr w:type="spellStart"/>
      <w:r w:rsidRPr="00F925EC">
        <w:rPr>
          <w:rFonts w:eastAsia="Calibri"/>
          <w:sz w:val="20"/>
        </w:rPr>
        <w:t>Moldaver</w:t>
      </w:r>
      <w:proofErr w:type="spellEnd"/>
      <w:r w:rsidRPr="00F925EC">
        <w:rPr>
          <w:rFonts w:eastAsia="Calibri"/>
          <w:sz w:val="20"/>
        </w:rPr>
        <w:t xml:space="preserve">, </w:t>
      </w:r>
      <w:proofErr w:type="spellStart"/>
      <w:r w:rsidRPr="00F925EC">
        <w:rPr>
          <w:rFonts w:eastAsia="Calibri"/>
          <w:sz w:val="20"/>
        </w:rPr>
        <w:t>Karakatsanis</w:t>
      </w:r>
      <w:proofErr w:type="spellEnd"/>
      <w:r w:rsidRPr="00F925EC">
        <w:rPr>
          <w:rFonts w:eastAsia="Calibri"/>
          <w:sz w:val="20"/>
        </w:rPr>
        <w:t xml:space="preserve">, Wagner, </w:t>
      </w:r>
      <w:proofErr w:type="spellStart"/>
      <w:r w:rsidRPr="00F925EC">
        <w:rPr>
          <w:rFonts w:eastAsia="Calibri"/>
          <w:sz w:val="20"/>
        </w:rPr>
        <w:t>Gascon</w:t>
      </w:r>
      <w:proofErr w:type="spellEnd"/>
      <w:r w:rsidRPr="00F925EC">
        <w:rPr>
          <w:rFonts w:eastAsia="Calibri"/>
          <w:sz w:val="20"/>
        </w:rPr>
        <w:t xml:space="preserve"> and </w:t>
      </w:r>
      <w:r w:rsidRPr="00F925EC">
        <w:rPr>
          <w:rFonts w:eastAsia="Calibri"/>
          <w:b/>
          <w:sz w:val="20"/>
        </w:rPr>
        <w:t>Rowe</w:t>
      </w:r>
      <w:r w:rsidRPr="00F925EC">
        <w:rPr>
          <w:rFonts w:eastAsia="Calibri"/>
          <w:sz w:val="20"/>
        </w:rPr>
        <w:t xml:space="preserve"> JJ.: </w:t>
      </w:r>
      <w:r w:rsidRPr="00F925EC">
        <w:rPr>
          <w:sz w:val="20"/>
        </w:rPr>
        <w:t>Section 13(1</w:t>
      </w:r>
      <w:proofErr w:type="gramStart"/>
      <w:r w:rsidRPr="00F925EC">
        <w:rPr>
          <w:sz w:val="20"/>
        </w:rPr>
        <w:t>)(</w:t>
      </w:r>
      <w:proofErr w:type="gramEnd"/>
      <w:r w:rsidRPr="00F925EC">
        <w:rPr>
          <w:sz w:val="20"/>
        </w:rPr>
        <w:t>b) of the Code</w:t>
      </w:r>
      <w:r w:rsidRPr="00F925EC">
        <w:rPr>
          <w:i/>
          <w:sz w:val="20"/>
        </w:rPr>
        <w:t xml:space="preserve"> </w:t>
      </w:r>
      <w:r w:rsidRPr="00F925EC">
        <w:rPr>
          <w:sz w:val="20"/>
        </w:rPr>
        <w:t>is not limited to protecting employees solely from discriminatory harassment by their superiors in the workplace. Reading the Code</w:t>
      </w:r>
      <w:r w:rsidRPr="00F925EC">
        <w:rPr>
          <w:i/>
          <w:sz w:val="20"/>
        </w:rPr>
        <w:t xml:space="preserve"> </w:t>
      </w:r>
      <w:r w:rsidRPr="00F925EC">
        <w:rPr>
          <w:sz w:val="20"/>
        </w:rPr>
        <w:t>in line with the modern principle of statutory interpretation and the particular rules that apply to the interpretation of human rights legislation, s. 13(1</w:t>
      </w:r>
      <w:proofErr w:type="gramStart"/>
      <w:r w:rsidRPr="00F925EC">
        <w:rPr>
          <w:sz w:val="20"/>
        </w:rPr>
        <w:t>)(</w:t>
      </w:r>
      <w:proofErr w:type="gramEnd"/>
      <w:r w:rsidRPr="00F925EC">
        <w:rPr>
          <w:sz w:val="20"/>
        </w:rPr>
        <w:t>b) prohibits discrimination against employees whenever that discrimination has a sufficient nexus with the employment context. This may include discrimination by their co</w:t>
      </w:r>
      <w:r w:rsidRPr="00F925EC">
        <w:rPr>
          <w:sz w:val="20"/>
        </w:rPr>
        <w:noBreakHyphen/>
        <w:t>workers, even when those co</w:t>
      </w:r>
      <w:r w:rsidRPr="00F925EC">
        <w:rPr>
          <w:sz w:val="20"/>
        </w:rPr>
        <w:noBreakHyphen/>
        <w:t>workers have a different employer.</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 xml:space="preserve">In determining whether discriminatory conduct has a sufficient nexus with the employment context, the Human Rights Tribunal must conduct a contextual analysis that considers all relevant circumstances. Factors which may inform this analysis </w:t>
      </w:r>
      <w:r w:rsidRPr="00F925EC">
        <w:rPr>
          <w:rFonts w:eastAsiaTheme="minorHAnsi"/>
          <w:sz w:val="20"/>
          <w:lang w:val="en-US" w:eastAsia="en-US" w:bidi="en-US"/>
        </w:rPr>
        <w:t>include</w:t>
      </w:r>
      <w:r w:rsidRPr="00F925EC">
        <w:rPr>
          <w:sz w:val="20"/>
        </w:rPr>
        <w:t>: (1) whether the respondent was integral to the claimant’s workplace; (2) whether the impugned conduct occurred in the claimant’s workplace; and (3) whether the claimant’s work performance or work environment was negatively affected. These factors are not exhaustive and their relative importance will depend on the circumstances. This contextual interpretation furthers the purposes of the Code by recognizing how employee vulnerability stems not only from economic subordination to their employers but also from being a captive audience to other perpetrators of discrimination, such as a harassing co</w:t>
      </w:r>
      <w:r w:rsidRPr="00F925EC">
        <w:rPr>
          <w:sz w:val="20"/>
        </w:rPr>
        <w:noBreakHyphen/>
        <w:t>worker.</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 xml:space="preserve">This contextual approach to determining whether conduct amounts to discrimination “regarding </w:t>
      </w:r>
      <w:r w:rsidRPr="00F925EC">
        <w:rPr>
          <w:rFonts w:eastAsiaTheme="minorHAnsi"/>
          <w:sz w:val="20"/>
          <w:lang w:val="en-US" w:eastAsia="en-US" w:bidi="en-US"/>
        </w:rPr>
        <w:t>employment</w:t>
      </w:r>
      <w:r w:rsidRPr="00F925EC">
        <w:rPr>
          <w:sz w:val="20"/>
        </w:rPr>
        <w:t>” is supported by the text, the scheme and the purpose of the Code. It is equally supported by the legislative history of the Code and it aligns with the recent jurisprudence.</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The text of s. 13(1</w:t>
      </w:r>
      <w:proofErr w:type="gramStart"/>
      <w:r w:rsidRPr="00F925EC">
        <w:rPr>
          <w:sz w:val="20"/>
        </w:rPr>
        <w:t>)(</w:t>
      </w:r>
      <w:proofErr w:type="gramEnd"/>
      <w:r w:rsidRPr="00F925EC">
        <w:rPr>
          <w:sz w:val="20"/>
        </w:rPr>
        <w:t>b) prohibits employment discrimination by any “person”. In the context of the Code, the term “person” defines the class of actors against whom the prohibition in s. 13(1</w:t>
      </w:r>
      <w:proofErr w:type="gramStart"/>
      <w:r w:rsidRPr="00F925EC">
        <w:rPr>
          <w:sz w:val="20"/>
        </w:rPr>
        <w:t>)(</w:t>
      </w:r>
      <w:proofErr w:type="gramEnd"/>
      <w:r w:rsidRPr="00F925EC">
        <w:rPr>
          <w:sz w:val="20"/>
        </w:rPr>
        <w:t xml:space="preserve">b) applies. The ordinary meaning of </w:t>
      </w:r>
      <w:r w:rsidRPr="00F925EC">
        <w:rPr>
          <w:sz w:val="20"/>
        </w:rPr>
        <w:lastRenderedPageBreak/>
        <w:t xml:space="preserve">“person” is broad, and encompasses a broader range of actors than </w:t>
      </w:r>
      <w:r w:rsidRPr="00F925EC">
        <w:rPr>
          <w:rFonts w:eastAsiaTheme="minorHAnsi"/>
          <w:sz w:val="20"/>
          <w:lang w:val="en-US" w:eastAsia="en-US" w:bidi="en-US"/>
        </w:rPr>
        <w:t>merely</w:t>
      </w:r>
      <w:r w:rsidRPr="00F925EC">
        <w:rPr>
          <w:sz w:val="20"/>
        </w:rPr>
        <w:t xml:space="preserve"> any person with economic authority over the complainant. The definition of “person” in s. 1 of the Code is not exhaustive and provides additional meanings that supplement its ordinary meaning. Next, the words “regarding employment” are critical because they delineate the kind of discrimination that s. 13(1</w:t>
      </w:r>
      <w:proofErr w:type="gramStart"/>
      <w:r w:rsidRPr="00F925EC">
        <w:rPr>
          <w:sz w:val="20"/>
        </w:rPr>
        <w:t>)(</w:t>
      </w:r>
      <w:proofErr w:type="gramEnd"/>
      <w:r w:rsidRPr="00F925EC">
        <w:rPr>
          <w:sz w:val="20"/>
        </w:rPr>
        <w:t>b) prohibits. In this case, they indicate that the discrimination at issue must be related to the employment context in some way without solely prohibiting discrimination within hierarchical workplace relationships. Section 13(1</w:t>
      </w:r>
      <w:proofErr w:type="gramStart"/>
      <w:r w:rsidRPr="00F925EC">
        <w:rPr>
          <w:sz w:val="20"/>
        </w:rPr>
        <w:t>)(</w:t>
      </w:r>
      <w:proofErr w:type="gramEnd"/>
      <w:r w:rsidRPr="00F925EC">
        <w:rPr>
          <w:sz w:val="20"/>
        </w:rPr>
        <w:t>b) defines who can suffer workplace discrimination rather than restricting who can perpetrate discrimination. In this way, it prohibits discriminatory conduct that targets employees so long as that conduct is sufficiently related to the employment context.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The scheme of the Code reinforces this contextual interpretation of s. 13(1</w:t>
      </w:r>
      <w:proofErr w:type="gramStart"/>
      <w:r w:rsidRPr="00F925EC">
        <w:rPr>
          <w:sz w:val="20"/>
        </w:rPr>
        <w:t>)(</w:t>
      </w:r>
      <w:proofErr w:type="gramEnd"/>
      <w:r w:rsidRPr="00F925EC">
        <w:rPr>
          <w:sz w:val="20"/>
        </w:rPr>
        <w:t>b). First, the presumption against redundancy in legislative drafting underpins the view that the prohibition against discrimination “</w:t>
      </w:r>
      <w:r w:rsidRPr="00F925EC">
        <w:rPr>
          <w:rFonts w:eastAsiaTheme="minorHAnsi"/>
          <w:sz w:val="20"/>
          <w:lang w:val="en-US" w:eastAsia="en-US" w:bidi="en-US"/>
        </w:rPr>
        <w:t>regarding</w:t>
      </w:r>
      <w:r w:rsidRPr="00F925EC">
        <w:rPr>
          <w:sz w:val="20"/>
        </w:rPr>
        <w:t xml:space="preserve"> employment” applies to more than just employers, who are already subject to a prohibition against discrimination “regarding any term or condition of employment”. Further, where the Code seeks to limit the class of actors against whom a particular prohibition applies, it employs specific language which contrasts with the use of the general term “person”. Finally, the structure of the Code supports an approach that views employment as a context requiring remedy against the exploitation of vulnerability rather than as a relationship needing unidirectional protection.</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 xml:space="preserve">The modern principle of interpretation requires that courts approach statutory language in the manner that best reflects the underlying aims of the statute. Here, the </w:t>
      </w:r>
      <w:r w:rsidRPr="00F925EC">
        <w:rPr>
          <w:rFonts w:eastAsiaTheme="minorHAnsi"/>
          <w:sz w:val="20"/>
          <w:lang w:val="en-US" w:eastAsia="en-US" w:bidi="en-US"/>
        </w:rPr>
        <w:t>contextual</w:t>
      </w:r>
      <w:r w:rsidRPr="00F925EC">
        <w:rPr>
          <w:sz w:val="20"/>
        </w:rPr>
        <w:t xml:space="preserve"> approach aligns with the remedial purposes set out in s. 3 of the Code as it gives employees a greater scope to obtain remedies before the Tribunal.</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Finally, while the legislative history is not determinative, it indicates that the British Columbia Legislature intended to expand the scope of s. 13(1</w:t>
      </w:r>
      <w:proofErr w:type="gramStart"/>
      <w:r w:rsidRPr="00F925EC">
        <w:rPr>
          <w:sz w:val="20"/>
        </w:rPr>
        <w:t>)(</w:t>
      </w:r>
      <w:proofErr w:type="gramEnd"/>
      <w:r w:rsidRPr="00F925EC">
        <w:rPr>
          <w:sz w:val="20"/>
        </w:rPr>
        <w:t>b) when it removed the word “employer” and replaced it with the much broader term “person”.</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sz w:val="20"/>
        </w:rPr>
      </w:pPr>
      <w:r w:rsidRPr="00F925EC">
        <w:rPr>
          <w:sz w:val="20"/>
        </w:rPr>
        <w:tab/>
        <w:t xml:space="preserve">Consequently, applying the correctness standard of review, the Tribunal did not err in </w:t>
      </w:r>
      <w:r w:rsidRPr="00F925EC">
        <w:rPr>
          <w:rFonts w:eastAsiaTheme="minorHAnsi"/>
          <w:sz w:val="20"/>
          <w:lang w:val="en-US" w:eastAsia="en-US" w:bidi="en-US"/>
        </w:rPr>
        <w:t>concluding</w:t>
      </w:r>
      <w:r w:rsidRPr="00F925EC">
        <w:rPr>
          <w:sz w:val="20"/>
        </w:rPr>
        <w:t xml:space="preserve"> that S’s conduct was covered by s. 13(1</w:t>
      </w:r>
      <w:proofErr w:type="gramStart"/>
      <w:r w:rsidRPr="00F925EC">
        <w:rPr>
          <w:sz w:val="20"/>
        </w:rPr>
        <w:t>)(</w:t>
      </w:r>
      <w:proofErr w:type="gramEnd"/>
      <w:r w:rsidRPr="00F925EC">
        <w:rPr>
          <w:sz w:val="20"/>
        </w:rPr>
        <w:t>b) despite the fact that he was not S</w:t>
      </w:r>
      <w:r w:rsidRPr="00F925EC">
        <w:rPr>
          <w:sz w:val="20"/>
        </w:rPr>
        <w:noBreakHyphen/>
        <w:t>M’s employer or superior in the workplace. As the foreman of the worksite, S was an integral and unavoidable part of S</w:t>
      </w:r>
      <w:r w:rsidRPr="00F925EC">
        <w:rPr>
          <w:sz w:val="20"/>
        </w:rPr>
        <w:noBreakHyphen/>
        <w:t>M’s work environment. S’s discriminatory behaviour had a detrimental impact on the workplace because it forced S</w:t>
      </w:r>
      <w:r w:rsidRPr="00F925EC">
        <w:rPr>
          <w:sz w:val="20"/>
        </w:rPr>
        <w:noBreakHyphen/>
        <w:t>M to contend with repeated affronts to his dignity. This conduct amounted to discrimination regarding employment: it was perpetrated against an employee by someone integral to his employment context. S</w:t>
      </w:r>
      <w:r w:rsidRPr="00F925EC">
        <w:rPr>
          <w:sz w:val="20"/>
        </w:rPr>
        <w:noBreakHyphen/>
        <w:t>M’s complaint was consequently within the jurisdiction of the Tribunal pursuant to s. 13(1</w:t>
      </w:r>
      <w:proofErr w:type="gramStart"/>
      <w:r w:rsidRPr="00F925EC">
        <w:rPr>
          <w:sz w:val="20"/>
        </w:rPr>
        <w:t>)(</w:t>
      </w:r>
      <w:proofErr w:type="gramEnd"/>
      <w:r w:rsidRPr="00F925EC">
        <w:rPr>
          <w:sz w:val="20"/>
        </w:rPr>
        <w:t>b) of the Code.</w:t>
      </w:r>
    </w:p>
    <w:p w:rsidR="002F3C61" w:rsidRPr="00F925EC" w:rsidRDefault="002F3C61" w:rsidP="002F3C61">
      <w:pPr>
        <w:pStyle w:val="SCCNormalDoubleSpacing"/>
        <w:spacing w:line="240" w:lineRule="auto"/>
        <w:rPr>
          <w:sz w:val="20"/>
          <w:u w:val="single"/>
        </w:rPr>
      </w:pPr>
    </w:p>
    <w:p w:rsidR="002F3C61" w:rsidRDefault="002F3C61" w:rsidP="002F3C61">
      <w:pPr>
        <w:pStyle w:val="SCCNormalDoubleSpacing"/>
        <w:spacing w:line="240" w:lineRule="auto"/>
        <w:rPr>
          <w:rFonts w:eastAsiaTheme="minorEastAsia"/>
          <w:sz w:val="20"/>
          <w:lang w:eastAsia="en-US"/>
        </w:rPr>
      </w:pPr>
      <w:r w:rsidRPr="00F925EC">
        <w:rPr>
          <w:rFonts w:eastAsiaTheme="minorEastAsia"/>
          <w:sz w:val="20"/>
          <w:lang w:eastAsia="en-US"/>
        </w:rPr>
        <w:tab/>
      </w:r>
      <w:r w:rsidRPr="00F925EC">
        <w:rPr>
          <w:rFonts w:eastAsiaTheme="minorEastAsia"/>
          <w:i/>
          <w:sz w:val="20"/>
          <w:lang w:eastAsia="en-US"/>
        </w:rPr>
        <w:t xml:space="preserve">Per </w:t>
      </w:r>
      <w:proofErr w:type="spellStart"/>
      <w:r w:rsidRPr="00F925EC">
        <w:rPr>
          <w:rFonts w:eastAsiaTheme="minorEastAsia"/>
          <w:b/>
          <w:sz w:val="20"/>
          <w:lang w:eastAsia="en-US"/>
        </w:rPr>
        <w:t>Abella</w:t>
      </w:r>
      <w:proofErr w:type="spellEnd"/>
      <w:r w:rsidRPr="00F925EC">
        <w:rPr>
          <w:rFonts w:eastAsiaTheme="minorEastAsia"/>
          <w:sz w:val="20"/>
          <w:lang w:eastAsia="en-US"/>
        </w:rPr>
        <w:t xml:space="preserve"> J.: The issue in this case is whether employment discrimination under the British Columbia </w:t>
      </w:r>
      <w:r w:rsidRPr="00F925EC">
        <w:rPr>
          <w:rFonts w:eastAsiaTheme="minorEastAsia"/>
          <w:i/>
          <w:sz w:val="20"/>
          <w:lang w:eastAsia="en-US"/>
        </w:rPr>
        <w:t>Human Rights Code</w:t>
      </w:r>
      <w:r w:rsidRPr="00F925EC">
        <w:rPr>
          <w:rFonts w:eastAsiaTheme="minorEastAsia"/>
          <w:sz w:val="20"/>
          <w:lang w:eastAsia="en-US"/>
        </w:rPr>
        <w:t xml:space="preserve"> can be found where the harasser is not in a position of authority over the complainant. </w:t>
      </w:r>
      <w:r w:rsidRPr="00F925EC">
        <w:rPr>
          <w:rFonts w:eastAsiaTheme="minorEastAsia"/>
          <w:sz w:val="20"/>
          <w:lang w:val="en-US" w:eastAsia="en-US"/>
        </w:rPr>
        <w:t>The analysis requires that the meaning of employment discrimination be considered in a way that is consistent with, and emerges from, the Court’s well</w:t>
      </w:r>
      <w:r w:rsidRPr="00F925EC">
        <w:rPr>
          <w:rFonts w:eastAsiaTheme="minorEastAsia"/>
          <w:sz w:val="20"/>
          <w:lang w:val="en-US" w:eastAsia="en-US"/>
        </w:rPr>
        <w:noBreakHyphen/>
        <w:t>settled human rights principles, and not just the particular words of the</w:t>
      </w:r>
      <w:r w:rsidRPr="00F925EC">
        <w:rPr>
          <w:rFonts w:eastAsiaTheme="minorEastAsia"/>
          <w:i/>
          <w:sz w:val="20"/>
          <w:lang w:val="en-US" w:eastAsia="en-US"/>
        </w:rPr>
        <w:t xml:space="preserve"> Code</w:t>
      </w:r>
      <w:r w:rsidRPr="00F925EC">
        <w:rPr>
          <w:rFonts w:eastAsiaTheme="minorEastAsia"/>
          <w:sz w:val="20"/>
          <w:lang w:val="en-US" w:eastAsia="en-US"/>
        </w:rPr>
        <w:t xml:space="preserve">. </w:t>
      </w:r>
      <w:r w:rsidRPr="00F925EC">
        <w:rPr>
          <w:rFonts w:eastAsiaTheme="minorEastAsia"/>
          <w:sz w:val="20"/>
          <w:lang w:eastAsia="en-US"/>
        </w:rPr>
        <w:t>Applying these principles leads to the conclusion that an employee is protected from discrimination related to or associated with his or her employment, whether or not he or she occupies a position of authority. The Human Rights Tribunal, as a result, has jurisdiction to hear the complaint.</w:t>
      </w:r>
    </w:p>
    <w:p w:rsidR="002F3C61" w:rsidRPr="00F925EC" w:rsidRDefault="002F3C61" w:rsidP="002F3C61">
      <w:pPr>
        <w:pStyle w:val="SCCNormalDoubleSpacing"/>
        <w:spacing w:line="240" w:lineRule="auto"/>
        <w:rPr>
          <w:rFonts w:eastAsiaTheme="minorEastAsia"/>
          <w:sz w:val="20"/>
          <w:lang w:eastAsia="en-US"/>
        </w:rPr>
      </w:pPr>
    </w:p>
    <w:p w:rsidR="002F3C61" w:rsidRDefault="002F3C61" w:rsidP="002F3C61">
      <w:pPr>
        <w:pStyle w:val="SCCNormalDoubleSpacing"/>
        <w:spacing w:line="240" w:lineRule="auto"/>
        <w:rPr>
          <w:rFonts w:eastAsiaTheme="minorEastAsia"/>
          <w:sz w:val="20"/>
          <w:lang w:eastAsia="en-US"/>
        </w:rPr>
      </w:pPr>
      <w:r w:rsidRPr="00F925EC">
        <w:rPr>
          <w:rFonts w:eastAsiaTheme="minorEastAsia"/>
          <w:sz w:val="20"/>
          <w:lang w:eastAsia="en-US"/>
        </w:rPr>
        <w:tab/>
        <w:t xml:space="preserve">The starting point for the discrimination analysis is the </w:t>
      </w:r>
      <w:r w:rsidRPr="00F925EC">
        <w:rPr>
          <w:rFonts w:eastAsiaTheme="minorEastAsia"/>
          <w:i/>
          <w:sz w:val="20"/>
          <w:lang w:eastAsia="en-US"/>
        </w:rPr>
        <w:t xml:space="preserve">prima facie </w:t>
      </w:r>
      <w:r w:rsidRPr="00F925EC">
        <w:rPr>
          <w:rFonts w:eastAsiaTheme="minorEastAsia"/>
          <w:sz w:val="20"/>
          <w:lang w:eastAsia="en-US"/>
        </w:rPr>
        <w:t xml:space="preserve">test for discrimination set </w:t>
      </w:r>
      <w:r w:rsidRPr="00F925EC">
        <w:rPr>
          <w:rFonts w:eastAsiaTheme="minorHAnsi"/>
          <w:sz w:val="20"/>
          <w:lang w:val="en-US" w:eastAsia="en-US" w:bidi="en-US"/>
        </w:rPr>
        <w:t>out</w:t>
      </w:r>
      <w:r w:rsidRPr="00F925EC">
        <w:rPr>
          <w:rFonts w:eastAsiaTheme="minorEastAsia"/>
          <w:sz w:val="20"/>
          <w:lang w:eastAsia="en-US"/>
        </w:rPr>
        <w:t xml:space="preserve"> in </w:t>
      </w:r>
      <w:r w:rsidRPr="00F925EC">
        <w:rPr>
          <w:rFonts w:eastAsiaTheme="minorEastAsia"/>
          <w:i/>
          <w:sz w:val="20"/>
          <w:lang w:eastAsia="en-US"/>
        </w:rPr>
        <w:t>Moore v. British Columbia (Education)</w:t>
      </w:r>
      <w:r w:rsidRPr="00F925EC">
        <w:rPr>
          <w:rFonts w:eastAsiaTheme="minorEastAsia"/>
          <w:sz w:val="20"/>
          <w:lang w:eastAsia="en-US"/>
        </w:rPr>
        <w:t xml:space="preserve">, [2012] 3 S.C.R. 360. In the employment context, the complainant must demonstrate that he or she has a characteristic protected under the </w:t>
      </w:r>
      <w:r w:rsidRPr="00F925EC">
        <w:rPr>
          <w:rFonts w:eastAsiaTheme="minorEastAsia"/>
          <w:i/>
          <w:sz w:val="20"/>
          <w:lang w:eastAsia="en-US"/>
        </w:rPr>
        <w:t>Code</w:t>
      </w:r>
      <w:r w:rsidRPr="00F925EC">
        <w:rPr>
          <w:rFonts w:eastAsiaTheme="minorEastAsia"/>
          <w:sz w:val="20"/>
          <w:lang w:eastAsia="en-US"/>
        </w:rPr>
        <w:t>, has experienced an adverse impact “regarding employment”, and that the protected characteristic was a factor in the adverse impact. The question posed by s. 13(1</w:t>
      </w:r>
      <w:proofErr w:type="gramStart"/>
      <w:r w:rsidRPr="00F925EC">
        <w:rPr>
          <w:rFonts w:eastAsiaTheme="minorEastAsia"/>
          <w:sz w:val="20"/>
          <w:lang w:eastAsia="en-US"/>
        </w:rPr>
        <w:t>)(</w:t>
      </w:r>
      <w:proofErr w:type="gramEnd"/>
      <w:r w:rsidRPr="00F925EC">
        <w:rPr>
          <w:rFonts w:eastAsiaTheme="minorEastAsia"/>
          <w:sz w:val="20"/>
          <w:lang w:eastAsia="en-US"/>
        </w:rPr>
        <w:t>b) is whether the complainant has experienced an adverse impact related to or associated with his or her employment. Section 13(1</w:t>
      </w:r>
      <w:proofErr w:type="gramStart"/>
      <w:r w:rsidRPr="00F925EC">
        <w:rPr>
          <w:rFonts w:eastAsiaTheme="minorEastAsia"/>
          <w:sz w:val="20"/>
          <w:lang w:eastAsia="en-US"/>
        </w:rPr>
        <w:t>)(</w:t>
      </w:r>
      <w:proofErr w:type="gramEnd"/>
      <w:r w:rsidRPr="00F925EC">
        <w:rPr>
          <w:rFonts w:eastAsiaTheme="minorEastAsia"/>
          <w:sz w:val="20"/>
          <w:lang w:eastAsia="en-US"/>
        </w:rPr>
        <w:t>b) is meant to protect all employees from the indignity of discriminatory conduct in a workplace, verbal or otherwise.</w:t>
      </w:r>
      <w:r w:rsidRPr="00F925EC">
        <w:rPr>
          <w:rFonts w:eastAsiaTheme="minorEastAsia"/>
          <w:sz w:val="20"/>
          <w:lang w:val="en-US" w:eastAsia="en-US"/>
        </w:rPr>
        <w:t xml:space="preserve"> </w:t>
      </w:r>
      <w:r w:rsidRPr="00F925EC">
        <w:rPr>
          <w:rFonts w:eastAsiaTheme="minorEastAsia"/>
          <w:sz w:val="20"/>
          <w:lang w:eastAsia="en-US"/>
        </w:rPr>
        <w:t xml:space="preserve">The discrimination inquiry is concerned with the impact on the complainant, not the intention or authority of the person who is said to be engaging in discriminatory conduct. The key is whether that harassment has a detrimental effect on the complainant’s work environment. Discrimination can and does occur in the absence of an economic power imbalance. It cannot depend on technical lines of authority which may end up defeating the goals of human rights legislation. </w:t>
      </w:r>
      <w:r w:rsidRPr="00F925EC">
        <w:rPr>
          <w:rFonts w:eastAsiaTheme="minorEastAsia"/>
          <w:i/>
          <w:sz w:val="20"/>
          <w:lang w:eastAsia="en-US"/>
        </w:rPr>
        <w:t>All</w:t>
      </w:r>
      <w:r w:rsidRPr="00F925EC">
        <w:rPr>
          <w:rFonts w:eastAsiaTheme="minorEastAsia"/>
          <w:sz w:val="20"/>
          <w:lang w:eastAsia="en-US"/>
        </w:rPr>
        <w:t xml:space="preserve"> individuals have the right to be protected from discrimination in the workplace, including those in a position of authority. This approach is responsive to the realities of modern workplaces, many of which consist of diverse organizational structures.</w:t>
      </w:r>
    </w:p>
    <w:p w:rsidR="002F3C61" w:rsidRPr="00F925EC" w:rsidRDefault="002F3C61" w:rsidP="002F3C61">
      <w:pPr>
        <w:pStyle w:val="SCCNormalDoubleSpacing"/>
        <w:spacing w:line="240" w:lineRule="auto"/>
        <w:rPr>
          <w:rFonts w:eastAsiaTheme="minorEastAsia"/>
          <w:sz w:val="20"/>
          <w:lang w:eastAsia="en-US"/>
        </w:rPr>
      </w:pPr>
    </w:p>
    <w:p w:rsidR="002F3C61" w:rsidRDefault="002F3C61" w:rsidP="002F3C61">
      <w:pPr>
        <w:pStyle w:val="SCCNormalDoubleSpacing"/>
        <w:spacing w:line="240" w:lineRule="auto"/>
        <w:rPr>
          <w:rFonts w:eastAsiaTheme="minorEastAsia"/>
          <w:sz w:val="20"/>
          <w:lang w:eastAsia="en-US"/>
        </w:rPr>
      </w:pPr>
      <w:r w:rsidRPr="00F925EC">
        <w:rPr>
          <w:rFonts w:eastAsiaTheme="minorEastAsia"/>
          <w:sz w:val="20"/>
          <w:lang w:eastAsia="en-US"/>
        </w:rPr>
        <w:lastRenderedPageBreak/>
        <w:tab/>
        <w:t xml:space="preserve">While employers have a special duty and capacity to address discrimination, this does not prevent </w:t>
      </w:r>
      <w:r w:rsidRPr="00F925EC">
        <w:rPr>
          <w:rFonts w:eastAsiaTheme="minorHAnsi"/>
          <w:sz w:val="20"/>
          <w:lang w:val="en-US" w:eastAsia="en-US" w:bidi="en-US"/>
        </w:rPr>
        <w:t>individual</w:t>
      </w:r>
      <w:r w:rsidRPr="00F925EC">
        <w:rPr>
          <w:rFonts w:eastAsiaTheme="minorEastAsia"/>
          <w:sz w:val="20"/>
          <w:lang w:eastAsia="en-US"/>
        </w:rPr>
        <w:t xml:space="preserve"> harassers from also potentially being held responsible, whether or not they are in authority roles. Prohibiting all “persons” in a workplace from engaging in discrimination recognizes that preventing employment discrimination is a shared responsibility among those who share a workplace. This is especially so where the employer’s best efforts are inadequate to resolve the issue or where, as here, the subject of the assault himself occupies a position of some authority. The harasser’s degree of control and ability to stop the offensive conduct is clearly relevant, but this goes to the factual matrix, not to the jurisdiction of the Tribunal to hear the complaint.</w:t>
      </w:r>
    </w:p>
    <w:p w:rsidR="002F3C61" w:rsidRPr="00F925EC" w:rsidRDefault="002F3C61" w:rsidP="002F3C61">
      <w:pPr>
        <w:pStyle w:val="SCCNormalDoubleSpacing"/>
        <w:spacing w:line="240" w:lineRule="auto"/>
        <w:rPr>
          <w:rFonts w:eastAsiaTheme="minorEastAsia"/>
          <w:sz w:val="20"/>
          <w:lang w:eastAsia="en-US"/>
        </w:rPr>
      </w:pPr>
    </w:p>
    <w:p w:rsidR="002F3C61" w:rsidRDefault="002F3C61" w:rsidP="002F3C61">
      <w:pPr>
        <w:pStyle w:val="SCCNormalDoubleSpacing"/>
        <w:spacing w:line="240" w:lineRule="auto"/>
        <w:rPr>
          <w:sz w:val="20"/>
          <w:lang w:eastAsia="en-US"/>
        </w:rPr>
      </w:pPr>
      <w:r w:rsidRPr="00F925EC">
        <w:rPr>
          <w:sz w:val="20"/>
          <w:lang w:eastAsia="en-US"/>
        </w:rPr>
        <w:tab/>
      </w:r>
      <w:r w:rsidRPr="00F925EC">
        <w:rPr>
          <w:i/>
          <w:sz w:val="20"/>
          <w:lang w:eastAsia="en-US"/>
        </w:rPr>
        <w:t>Per</w:t>
      </w:r>
      <w:r w:rsidRPr="00F925EC">
        <w:rPr>
          <w:sz w:val="20"/>
          <w:lang w:eastAsia="en-US"/>
        </w:rPr>
        <w:t xml:space="preserve"> </w:t>
      </w:r>
      <w:proofErr w:type="spellStart"/>
      <w:r w:rsidRPr="00F925EC">
        <w:rPr>
          <w:b/>
          <w:sz w:val="20"/>
          <w:lang w:eastAsia="en-US"/>
        </w:rPr>
        <w:t>McLachlin</w:t>
      </w:r>
      <w:proofErr w:type="spellEnd"/>
      <w:r w:rsidRPr="00F925EC">
        <w:rPr>
          <w:sz w:val="20"/>
          <w:lang w:eastAsia="en-US"/>
        </w:rPr>
        <w:t xml:space="preserve"> C.J. and </w:t>
      </w:r>
      <w:proofErr w:type="spellStart"/>
      <w:r w:rsidRPr="00F925EC">
        <w:rPr>
          <w:sz w:val="20"/>
          <w:lang w:eastAsia="en-US"/>
        </w:rPr>
        <w:t>Côté</w:t>
      </w:r>
      <w:proofErr w:type="spellEnd"/>
      <w:r w:rsidRPr="00F925EC">
        <w:rPr>
          <w:sz w:val="20"/>
          <w:lang w:eastAsia="en-US"/>
        </w:rPr>
        <w:t xml:space="preserve"> and Brown JJ. (dissenting): The workplace discrimination prohibition in s. 13(1)(b) of the </w:t>
      </w:r>
      <w:r w:rsidRPr="00F925EC">
        <w:rPr>
          <w:i/>
          <w:sz w:val="20"/>
          <w:lang w:eastAsia="en-US"/>
        </w:rPr>
        <w:t>Human Rights Code</w:t>
      </w:r>
      <w:r w:rsidRPr="00F925EC">
        <w:rPr>
          <w:sz w:val="20"/>
          <w:lang w:eastAsia="en-US"/>
        </w:rPr>
        <w:t xml:space="preserve"> applies only to employer</w:t>
      </w:r>
      <w:r w:rsidRPr="00F925EC">
        <w:rPr>
          <w:sz w:val="20"/>
          <w:lang w:eastAsia="en-US"/>
        </w:rPr>
        <w:noBreakHyphen/>
        <w:t xml:space="preserve">employee or similar relationships and authorizes claims against those </w:t>
      </w:r>
      <w:r w:rsidRPr="00F925EC">
        <w:rPr>
          <w:rFonts w:eastAsiaTheme="minorHAnsi"/>
          <w:sz w:val="20"/>
          <w:lang w:val="en-US" w:eastAsia="en-US" w:bidi="en-US"/>
        </w:rPr>
        <w:t>responsible</w:t>
      </w:r>
      <w:r w:rsidRPr="00F925EC">
        <w:rPr>
          <w:sz w:val="20"/>
          <w:lang w:eastAsia="en-US"/>
        </w:rPr>
        <w:t xml:space="preserve"> for ensuring that workplaces are free of discrimination. This conclusion is consistent with the text, context and purpose of s. 13(1</w:t>
      </w:r>
      <w:proofErr w:type="gramStart"/>
      <w:r w:rsidRPr="00F925EC">
        <w:rPr>
          <w:sz w:val="20"/>
          <w:lang w:eastAsia="en-US"/>
        </w:rPr>
        <w:t>)(</w:t>
      </w:r>
      <w:proofErr w:type="gramEnd"/>
      <w:r w:rsidRPr="00F925EC">
        <w:rPr>
          <w:sz w:val="20"/>
          <w:lang w:eastAsia="en-US"/>
        </w:rPr>
        <w:t>b), as well as with the jurisprudence. Therefore, the Human Rights Tribunal had no jurisdiction over the complaint.</w:t>
      </w:r>
    </w:p>
    <w:p w:rsidR="002F3C61" w:rsidRPr="00F925EC" w:rsidRDefault="002F3C61" w:rsidP="002F3C61">
      <w:pPr>
        <w:pStyle w:val="SCCNormalDoubleSpacing"/>
        <w:spacing w:line="240" w:lineRule="auto"/>
        <w:rPr>
          <w:sz w:val="20"/>
          <w:lang w:eastAsia="en-US"/>
        </w:rPr>
      </w:pPr>
    </w:p>
    <w:p w:rsidR="002F3C61" w:rsidRDefault="002F3C61" w:rsidP="002F3C61">
      <w:pPr>
        <w:pStyle w:val="SCCNormalDoubleSpacing"/>
        <w:spacing w:line="240" w:lineRule="auto"/>
        <w:rPr>
          <w:rFonts w:eastAsia="Calibri"/>
          <w:sz w:val="20"/>
          <w:lang w:eastAsia="en-US" w:bidi="en-US"/>
        </w:rPr>
      </w:pPr>
      <w:r w:rsidRPr="00F925EC">
        <w:rPr>
          <w:sz w:val="20"/>
          <w:lang w:eastAsia="en-US"/>
        </w:rPr>
        <w:tab/>
        <w:t>The text of the provision, read as a whole, suggests that the Legislature was targeting discrimination committed directly or through inaction by an employer or a person in an employer</w:t>
      </w:r>
      <w:r w:rsidRPr="00F925EC">
        <w:rPr>
          <w:sz w:val="20"/>
          <w:lang w:eastAsia="en-US"/>
        </w:rPr>
        <w:noBreakHyphen/>
        <w:t>like relationship with the complainant. Section 1 of the Code defines “employment” in terms of the relationship between the complainant and the employer, master or principal</w:t>
      </w:r>
      <w:r w:rsidRPr="00F925EC">
        <w:rPr>
          <w:rFonts w:eastAsia="Calibri"/>
          <w:sz w:val="20"/>
          <w:lang w:eastAsia="en-US" w:bidi="en-US"/>
        </w:rPr>
        <w:t xml:space="preserve"> which suggests that there is something about the nature or extent of responsibility over work or the workplace that defines who can perpetrate discrimination “regarding employment” for the purpose of s. 13(1)(b). </w:t>
      </w:r>
      <w:r w:rsidRPr="00F925EC">
        <w:rPr>
          <w:sz w:val="20"/>
          <w:lang w:eastAsia="en-US"/>
        </w:rPr>
        <w:t>The use of the word “person” at the outset of s. 13(1) neither expands nor limits the ambit of the section because the words controlling the ambit of the protection are “regarding employment”</w:t>
      </w:r>
      <w:r w:rsidRPr="00F925EC">
        <w:rPr>
          <w:rFonts w:eastAsia="Calibri"/>
          <w:sz w:val="20"/>
          <w:lang w:eastAsia="en-US" w:bidi="en-US"/>
        </w:rPr>
        <w:t>.</w:t>
      </w:r>
    </w:p>
    <w:p w:rsidR="002F3C61" w:rsidRPr="00F925EC" w:rsidRDefault="002F3C61" w:rsidP="002F3C61">
      <w:pPr>
        <w:pStyle w:val="SCCNormalDoubleSpacing"/>
        <w:spacing w:line="240" w:lineRule="auto"/>
        <w:rPr>
          <w:sz w:val="20"/>
          <w:lang w:eastAsia="en-US"/>
        </w:rPr>
      </w:pPr>
    </w:p>
    <w:p w:rsidR="002F3C61" w:rsidRDefault="002F3C61" w:rsidP="002F3C61">
      <w:pPr>
        <w:pStyle w:val="SCCNormalDoubleSpacing"/>
        <w:spacing w:line="240" w:lineRule="auto"/>
        <w:rPr>
          <w:sz w:val="20"/>
          <w:lang w:eastAsia="en-US"/>
        </w:rPr>
      </w:pPr>
      <w:r w:rsidRPr="00F925EC">
        <w:rPr>
          <w:sz w:val="20"/>
          <w:lang w:eastAsia="en-US"/>
        </w:rPr>
        <w:tab/>
        <w:t xml:space="preserve">A contextual reading of s. 13(1) also supports that view. First, s. 14 provides a </w:t>
      </w:r>
      <w:r w:rsidRPr="00F925EC">
        <w:rPr>
          <w:rFonts w:eastAsiaTheme="minorHAnsi"/>
          <w:sz w:val="20"/>
          <w:lang w:val="en-US" w:eastAsia="en-US" w:bidi="en-US"/>
        </w:rPr>
        <w:t>separate</w:t>
      </w:r>
      <w:r w:rsidRPr="00F925EC">
        <w:rPr>
          <w:sz w:val="20"/>
          <w:lang w:eastAsia="en-US"/>
        </w:rPr>
        <w:t xml:space="preserve"> protection against discrimination by unions and associations. If s. 13(1</w:t>
      </w:r>
      <w:proofErr w:type="gramStart"/>
      <w:r w:rsidRPr="00F925EC">
        <w:rPr>
          <w:sz w:val="20"/>
          <w:lang w:eastAsia="en-US"/>
        </w:rPr>
        <w:t>)(</w:t>
      </w:r>
      <w:proofErr w:type="gramEnd"/>
      <w:r w:rsidRPr="00F925EC">
        <w:rPr>
          <w:sz w:val="20"/>
          <w:lang w:eastAsia="en-US"/>
        </w:rPr>
        <w:t>b) were interpreted so as to allow claims against anyone in the workplace, most of s. 14 would be redundant. Second, the scheme of the Code suggests that ss. 7 to 14 not intended to govern private acts of discrimination between individuals in a general sense. In provisions where the prohibition initially appears broad enough to catch private communications or interactions between private citizens more generally, specific exclusions are set out. No such exclusions are present in s. 13(1</w:t>
      </w:r>
      <w:proofErr w:type="gramStart"/>
      <w:r w:rsidRPr="00F925EC">
        <w:rPr>
          <w:sz w:val="20"/>
          <w:lang w:eastAsia="en-US"/>
        </w:rPr>
        <w:t>)(</w:t>
      </w:r>
      <w:proofErr w:type="gramEnd"/>
      <w:r w:rsidRPr="00F925EC">
        <w:rPr>
          <w:sz w:val="20"/>
          <w:lang w:eastAsia="en-US"/>
        </w:rPr>
        <w:t>b), simply because it was not intended to cover such broad claims. Third, the scheme of the Code also supports the view that the Legislature was concerned with power imbalances — rather than targeting all acts of discrimination, it narrowed its focus to discrimination by those in a position of power over more vulnerable people. Fourth, if s. 13(1)(b) enables a claim based on emails sent after S was removed from the project and workplace, it is not clear how s. 13(1)(b) and s. 7(2) can be reconciled. Under that provision, no complaint can be brought on the basis of a discriminatory, though private, communication between individuals. Finally, s. 44(2) of the Code confirms the Legislature’s intent to target discrimination arising from the employment or equivalent relationship. It makes employers and their equivalents respondents in workplace discrimination claims.</w:t>
      </w:r>
    </w:p>
    <w:p w:rsidR="002F3C61" w:rsidRPr="00F925EC" w:rsidRDefault="002F3C61" w:rsidP="002F3C61">
      <w:pPr>
        <w:pStyle w:val="SCCNormalDoubleSpacing"/>
        <w:spacing w:line="240" w:lineRule="auto"/>
        <w:rPr>
          <w:sz w:val="20"/>
          <w:lang w:eastAsia="en-US"/>
        </w:rPr>
      </w:pPr>
    </w:p>
    <w:p w:rsidR="002F3C61" w:rsidRDefault="002F3C61" w:rsidP="002F3C61">
      <w:pPr>
        <w:pStyle w:val="SCCNormalDoubleSpacing"/>
        <w:spacing w:line="240" w:lineRule="auto"/>
        <w:rPr>
          <w:sz w:val="20"/>
          <w:lang w:eastAsia="en-US"/>
        </w:rPr>
      </w:pPr>
      <w:r w:rsidRPr="00F925EC">
        <w:rPr>
          <w:sz w:val="20"/>
          <w:lang w:eastAsia="en-US"/>
        </w:rPr>
        <w:tab/>
        <w:t>Focussing on those responsible for maintaining a discrimination</w:t>
      </w:r>
      <w:r w:rsidRPr="00F925EC">
        <w:rPr>
          <w:sz w:val="20"/>
          <w:lang w:eastAsia="en-US"/>
        </w:rPr>
        <w:noBreakHyphen/>
        <w:t>free workplace also upholds the Code’s purpose. Where they fail to intervene to prevent or correct discrimination, s. 13(1</w:t>
      </w:r>
      <w:proofErr w:type="gramStart"/>
      <w:r w:rsidRPr="00F925EC">
        <w:rPr>
          <w:sz w:val="20"/>
          <w:lang w:eastAsia="en-US"/>
        </w:rPr>
        <w:t>)(</w:t>
      </w:r>
      <w:proofErr w:type="gramEnd"/>
      <w:r w:rsidRPr="00F925EC">
        <w:rPr>
          <w:sz w:val="20"/>
          <w:lang w:eastAsia="en-US"/>
        </w:rPr>
        <w:t xml:space="preserve">b) is engaged. While this interpretation may </w:t>
      </w:r>
      <w:r w:rsidRPr="00F925EC">
        <w:rPr>
          <w:rFonts w:eastAsiaTheme="minorHAnsi"/>
          <w:sz w:val="20"/>
          <w:lang w:val="en-US" w:eastAsia="en-US" w:bidi="en-US"/>
        </w:rPr>
        <w:t>preclude</w:t>
      </w:r>
      <w:r w:rsidRPr="00F925EC">
        <w:rPr>
          <w:sz w:val="20"/>
          <w:lang w:eastAsia="en-US"/>
        </w:rPr>
        <w:t xml:space="preserve"> claims under the Code against harassing co</w:t>
      </w:r>
      <w:r w:rsidRPr="00F925EC">
        <w:rPr>
          <w:sz w:val="20"/>
          <w:lang w:eastAsia="en-US"/>
        </w:rPr>
        <w:noBreakHyphen/>
        <w:t>workers, an employee’s remedy is to go to the employer or person responsible for providing a discrimination</w:t>
      </w:r>
      <w:r w:rsidRPr="00F925EC">
        <w:rPr>
          <w:sz w:val="20"/>
          <w:lang w:eastAsia="en-US"/>
        </w:rPr>
        <w:noBreakHyphen/>
        <w:t>free workplace. If the employer fails to remedy the discrimination, the employee can bring a claim against the employer under s. 43 of the Code.</w:t>
      </w:r>
    </w:p>
    <w:p w:rsidR="002F3C61" w:rsidRPr="00F925EC" w:rsidRDefault="002F3C61" w:rsidP="002F3C61">
      <w:pPr>
        <w:pStyle w:val="SCCNormalDoubleSpacing"/>
        <w:spacing w:line="240" w:lineRule="auto"/>
        <w:rPr>
          <w:sz w:val="20"/>
          <w:lang w:eastAsia="en-US"/>
        </w:rPr>
      </w:pPr>
    </w:p>
    <w:p w:rsidR="002F3C61" w:rsidRDefault="002F3C61" w:rsidP="002F3C61">
      <w:pPr>
        <w:pStyle w:val="SCCNormalDoubleSpacing"/>
        <w:spacing w:line="240" w:lineRule="auto"/>
        <w:rPr>
          <w:sz w:val="20"/>
          <w:lang w:eastAsia="en-US"/>
        </w:rPr>
      </w:pPr>
      <w:r w:rsidRPr="00F925EC">
        <w:rPr>
          <w:sz w:val="20"/>
          <w:lang w:eastAsia="en-US"/>
        </w:rPr>
        <w:tab/>
        <w:t>Finally, an interpretation of s. 13(1</w:t>
      </w:r>
      <w:proofErr w:type="gramStart"/>
      <w:r w:rsidRPr="00F925EC">
        <w:rPr>
          <w:sz w:val="20"/>
          <w:lang w:eastAsia="en-US"/>
        </w:rPr>
        <w:t>)(</w:t>
      </w:r>
      <w:proofErr w:type="gramEnd"/>
      <w:r w:rsidRPr="00F925EC">
        <w:rPr>
          <w:sz w:val="20"/>
          <w:lang w:eastAsia="en-US"/>
        </w:rPr>
        <w:t xml:space="preserve">b) predicated on the responsibilities of employers and their equivalents is consistent with the jurisprudence, whereas the broad interpretation proposed by the majority would conflict with the </w:t>
      </w:r>
      <w:r w:rsidRPr="00F925EC">
        <w:rPr>
          <w:rFonts w:eastAsiaTheme="minorHAnsi"/>
          <w:sz w:val="20"/>
          <w:lang w:val="en-US" w:eastAsia="en-US" w:bidi="en-US"/>
        </w:rPr>
        <w:t>jurisprudence</w:t>
      </w:r>
      <w:r w:rsidRPr="00F925EC">
        <w:rPr>
          <w:sz w:val="20"/>
          <w:lang w:eastAsia="en-US"/>
        </w:rPr>
        <w:t xml:space="preserve"> in two ways. First, it would narrow the principle that the nature of the relationship between complainant and respondent is dispositive of whether s. 13(1</w:t>
      </w:r>
      <w:proofErr w:type="gramStart"/>
      <w:r w:rsidRPr="00F925EC">
        <w:rPr>
          <w:sz w:val="20"/>
          <w:lang w:eastAsia="en-US"/>
        </w:rPr>
        <w:t>)(</w:t>
      </w:r>
      <w:proofErr w:type="gramEnd"/>
      <w:r w:rsidRPr="00F925EC">
        <w:rPr>
          <w:sz w:val="20"/>
          <w:lang w:eastAsia="en-US"/>
        </w:rPr>
        <w:t>b) applies. Second, it is difficult to see how a co</w:t>
      </w:r>
      <w:r w:rsidRPr="00F925EC">
        <w:rPr>
          <w:sz w:val="20"/>
          <w:lang w:eastAsia="en-US"/>
        </w:rPr>
        <w:noBreakHyphen/>
        <w:t>worker like S could ever claim a bona fide occupational requirement as a justification for his conduct.</w:t>
      </w:r>
    </w:p>
    <w:p w:rsidR="002F3C61" w:rsidRPr="00F925EC" w:rsidRDefault="002F3C61" w:rsidP="002F3C61">
      <w:pPr>
        <w:pStyle w:val="SCCNormalDoubleSpacing"/>
        <w:spacing w:line="240" w:lineRule="auto"/>
        <w:rPr>
          <w:sz w:val="20"/>
          <w:lang w:eastAsia="en-US"/>
        </w:rPr>
      </w:pPr>
    </w:p>
    <w:p w:rsidR="002F3C61" w:rsidRDefault="002F3C61" w:rsidP="002F3C61">
      <w:pPr>
        <w:pStyle w:val="SCCNormalDoubleSpacing"/>
        <w:spacing w:line="240" w:lineRule="auto"/>
        <w:rPr>
          <w:sz w:val="20"/>
        </w:rPr>
      </w:pPr>
      <w:r w:rsidRPr="00F925EC">
        <w:rPr>
          <w:sz w:val="20"/>
        </w:rPr>
        <w:tab/>
        <w:t>APPEAL from a judgment of the British Columbia Court of Appeal (</w:t>
      </w:r>
      <w:proofErr w:type="spellStart"/>
      <w:r w:rsidRPr="00F925EC">
        <w:rPr>
          <w:sz w:val="20"/>
        </w:rPr>
        <w:t>MacKenzie</w:t>
      </w:r>
      <w:proofErr w:type="spellEnd"/>
      <w:r w:rsidRPr="00F925EC">
        <w:rPr>
          <w:sz w:val="20"/>
        </w:rPr>
        <w:t xml:space="preserve">, </w:t>
      </w:r>
      <w:proofErr w:type="spellStart"/>
      <w:r w:rsidRPr="00F925EC">
        <w:rPr>
          <w:sz w:val="20"/>
        </w:rPr>
        <w:t>Willcock</w:t>
      </w:r>
      <w:proofErr w:type="spellEnd"/>
      <w:r w:rsidRPr="00F925EC">
        <w:rPr>
          <w:sz w:val="20"/>
        </w:rPr>
        <w:t xml:space="preserve"> and </w:t>
      </w:r>
      <w:proofErr w:type="spellStart"/>
      <w:r w:rsidRPr="00F925EC">
        <w:rPr>
          <w:sz w:val="20"/>
        </w:rPr>
        <w:t>Fenlon</w:t>
      </w:r>
      <w:proofErr w:type="spellEnd"/>
      <w:r w:rsidRPr="00F925EC">
        <w:rPr>
          <w:sz w:val="20"/>
        </w:rPr>
        <w:t xml:space="preserve"> JJ.A.), 2016 BCCA 146, 86 B.C.L.R. (5th) 221, 385 B.C.A.C. 185, 665 W.A.C. 185, 2016 CLLC </w:t>
      </w:r>
      <w:r w:rsidRPr="00F925EC">
        <w:rPr>
          <w:sz w:val="20"/>
          <w:lang w:val="en"/>
        </w:rPr>
        <w:t>¶</w:t>
      </w:r>
      <w:r w:rsidRPr="00F925EC">
        <w:rPr>
          <w:sz w:val="20"/>
        </w:rPr>
        <w:t>230</w:t>
      </w:r>
      <w:r w:rsidRPr="00F925EC">
        <w:rPr>
          <w:sz w:val="20"/>
        </w:rPr>
        <w:noBreakHyphen/>
        <w:t xml:space="preserve">025, [2016] 9 W.W.R. 440, 400 D.L.R. (4th) 44, 84 C.H.R.R. D/40, [2016] B.C.J. No. 658 (QL), 2016 </w:t>
      </w:r>
      <w:proofErr w:type="spellStart"/>
      <w:r w:rsidRPr="00F925EC">
        <w:rPr>
          <w:sz w:val="20"/>
        </w:rPr>
        <w:t>CarswellBC</w:t>
      </w:r>
      <w:proofErr w:type="spellEnd"/>
      <w:r w:rsidRPr="00F925EC">
        <w:rPr>
          <w:sz w:val="20"/>
        </w:rPr>
        <w:t xml:space="preserve"> 869 (WL Can.), setting aside a decision of Brown J., 2015 BCSC 1342, [2015] B.C.J. No. 1629 (QL), 2015 </w:t>
      </w:r>
      <w:proofErr w:type="spellStart"/>
      <w:r w:rsidRPr="00F925EC">
        <w:rPr>
          <w:sz w:val="20"/>
        </w:rPr>
        <w:t>CarswellBC</w:t>
      </w:r>
      <w:proofErr w:type="spellEnd"/>
      <w:r w:rsidRPr="00F925EC">
        <w:rPr>
          <w:sz w:val="20"/>
        </w:rPr>
        <w:t xml:space="preserve"> 2155 (WL Can.), affirming a decision of the British Columbia Human Rights Tribunal, 2015 BCHRT 17, [2015] B.C.H.R.T.D. No. 17 (QL), 2015 </w:t>
      </w:r>
      <w:proofErr w:type="spellStart"/>
      <w:r w:rsidRPr="00F925EC">
        <w:rPr>
          <w:sz w:val="20"/>
        </w:rPr>
        <w:t>CarswellBC</w:t>
      </w:r>
      <w:proofErr w:type="spellEnd"/>
      <w:r w:rsidRPr="00F925EC">
        <w:rPr>
          <w:sz w:val="20"/>
        </w:rPr>
        <w:t xml:space="preserve"> 190 (WL Can.). Appeal allowed, </w:t>
      </w:r>
      <w:proofErr w:type="spellStart"/>
      <w:r w:rsidRPr="00F925EC">
        <w:rPr>
          <w:sz w:val="20"/>
        </w:rPr>
        <w:t>McLachlin</w:t>
      </w:r>
      <w:proofErr w:type="spellEnd"/>
      <w:r w:rsidRPr="00F925EC">
        <w:rPr>
          <w:sz w:val="20"/>
        </w:rPr>
        <w:t xml:space="preserve"> C.J. and </w:t>
      </w:r>
      <w:proofErr w:type="spellStart"/>
      <w:r w:rsidRPr="00F925EC">
        <w:rPr>
          <w:sz w:val="20"/>
        </w:rPr>
        <w:t>Côté</w:t>
      </w:r>
      <w:proofErr w:type="spellEnd"/>
      <w:r w:rsidRPr="00F925EC">
        <w:rPr>
          <w:sz w:val="20"/>
        </w:rPr>
        <w:t xml:space="preserve"> and Brown JJ. </w:t>
      </w:r>
      <w:proofErr w:type="gramStart"/>
      <w:r w:rsidRPr="00F925EC">
        <w:rPr>
          <w:sz w:val="20"/>
        </w:rPr>
        <w:t>dissenting</w:t>
      </w:r>
      <w:proofErr w:type="gramEnd"/>
      <w:r w:rsidRPr="00F925EC">
        <w:rPr>
          <w:sz w:val="20"/>
        </w:rPr>
        <w: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lastRenderedPageBreak/>
        <w:tab/>
        <w:t xml:space="preserve">Katherine </w:t>
      </w:r>
      <w:proofErr w:type="spellStart"/>
      <w:r w:rsidRPr="00F925EC">
        <w:rPr>
          <w:rStyle w:val="SCCCounselNameChar"/>
          <w:sz w:val="20"/>
        </w:rPr>
        <w:t>Hardie</w:t>
      </w:r>
      <w:proofErr w:type="spellEnd"/>
      <w:r w:rsidRPr="002F3C61">
        <w:rPr>
          <w:rStyle w:val="SCCCounselSeparatorChar"/>
          <w:rFonts w:eastAsia="Calibri"/>
          <w:sz w:val="20"/>
          <w:lang w:val="en-US"/>
        </w:rPr>
        <w:t xml:space="preserve"> and </w:t>
      </w:r>
      <w:r w:rsidRPr="00F925EC">
        <w:rPr>
          <w:rStyle w:val="SCCCounselNameChar"/>
          <w:sz w:val="20"/>
        </w:rPr>
        <w:t xml:space="preserve">Devyn </w:t>
      </w:r>
      <w:proofErr w:type="spellStart"/>
      <w:r w:rsidRPr="00F925EC">
        <w:rPr>
          <w:rStyle w:val="SCCCounselNameChar"/>
          <w:sz w:val="20"/>
        </w:rPr>
        <w:t>Cousineau</w:t>
      </w:r>
      <w:proofErr w:type="spellEnd"/>
      <w:r w:rsidRPr="00F925EC">
        <w:rPr>
          <w:rStyle w:val="SCCCounselPartyRoleChar"/>
          <w:sz w:val="20"/>
        </w:rPr>
        <w:t>, for the appellant.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t>Mark D. Andrews, Q.C.</w:t>
      </w:r>
      <w:r w:rsidRPr="002F3C61">
        <w:rPr>
          <w:rStyle w:val="SCCCounselSeparatorChar"/>
          <w:rFonts w:eastAsia="Calibri"/>
          <w:sz w:val="20"/>
          <w:lang w:val="en-US"/>
        </w:rPr>
        <w:t xml:space="preserve">, </w:t>
      </w:r>
      <w:r w:rsidRPr="00F925EC">
        <w:rPr>
          <w:rStyle w:val="SCCCounselNameChar"/>
          <w:sz w:val="20"/>
        </w:rPr>
        <w:t>David G. Wong</w:t>
      </w:r>
      <w:r w:rsidRPr="002F3C61">
        <w:rPr>
          <w:rStyle w:val="SCCCounselSeparatorChar"/>
          <w:rFonts w:eastAsia="Calibri"/>
          <w:sz w:val="20"/>
          <w:lang w:val="en-US"/>
        </w:rPr>
        <w:t xml:space="preserve"> and </w:t>
      </w:r>
      <w:r w:rsidRPr="00F925EC">
        <w:rPr>
          <w:rStyle w:val="SCCCounselNameChar"/>
          <w:sz w:val="20"/>
        </w:rPr>
        <w:t>Stephanie D. Gutierrez</w:t>
      </w:r>
      <w:r w:rsidRPr="00F925EC">
        <w:rPr>
          <w:rStyle w:val="SCCCounselPartyRoleChar"/>
          <w:sz w:val="20"/>
        </w:rPr>
        <w:t>, for the respondent.</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t>Douglas Wray</w:t>
      </w:r>
      <w:r w:rsidRPr="00F925EC">
        <w:rPr>
          <w:rStyle w:val="SCCCounselPartyRoleChar"/>
          <w:sz w:val="20"/>
        </w:rPr>
        <w:t xml:space="preserve"> and </w:t>
      </w:r>
      <w:r w:rsidRPr="00F925EC">
        <w:rPr>
          <w:rStyle w:val="SCCCounselPartyRoleChar"/>
          <w:i/>
          <w:sz w:val="20"/>
        </w:rPr>
        <w:t xml:space="preserve">Jesse </w:t>
      </w:r>
      <w:proofErr w:type="spellStart"/>
      <w:r w:rsidRPr="00F925EC">
        <w:rPr>
          <w:rStyle w:val="SCCCounselPartyRoleChar"/>
          <w:i/>
          <w:sz w:val="20"/>
        </w:rPr>
        <w:t>Kugler</w:t>
      </w:r>
      <w:proofErr w:type="spellEnd"/>
      <w:r w:rsidRPr="00F925EC">
        <w:rPr>
          <w:rStyle w:val="SCCCounselPartyRoleChar"/>
          <w:sz w:val="20"/>
        </w:rPr>
        <w:t>, for the intervener the Canadian Association of Labour Lawyers.</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t xml:space="preserve">David </w:t>
      </w:r>
      <w:proofErr w:type="spellStart"/>
      <w:r w:rsidRPr="00F925EC">
        <w:rPr>
          <w:rStyle w:val="SCCCounselNameChar"/>
          <w:sz w:val="20"/>
        </w:rPr>
        <w:t>Outerbridge</w:t>
      </w:r>
      <w:proofErr w:type="spellEnd"/>
      <w:r w:rsidRPr="002F3C61">
        <w:rPr>
          <w:rStyle w:val="SCCCounselSeparatorChar"/>
          <w:rFonts w:eastAsia="Calibri"/>
          <w:sz w:val="20"/>
          <w:lang w:val="en-US"/>
        </w:rPr>
        <w:t xml:space="preserve"> and </w:t>
      </w:r>
      <w:r w:rsidRPr="00F925EC">
        <w:rPr>
          <w:rStyle w:val="SCCCounselNameChar"/>
          <w:sz w:val="20"/>
        </w:rPr>
        <w:t xml:space="preserve">Jeremy </w:t>
      </w:r>
      <w:proofErr w:type="spellStart"/>
      <w:r w:rsidRPr="00F925EC">
        <w:rPr>
          <w:rStyle w:val="SCCCounselNameChar"/>
          <w:sz w:val="20"/>
        </w:rPr>
        <w:t>Opolsky</w:t>
      </w:r>
      <w:proofErr w:type="spellEnd"/>
      <w:r w:rsidRPr="00F925EC">
        <w:rPr>
          <w:rStyle w:val="SCCCounselPartyRoleChar"/>
          <w:sz w:val="20"/>
        </w:rPr>
        <w:t>, for the intervener the Canadian Construction Association.</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t xml:space="preserve">Lindsay M. </w:t>
      </w:r>
      <w:proofErr w:type="spellStart"/>
      <w:r w:rsidRPr="00F925EC">
        <w:rPr>
          <w:rStyle w:val="SCCCounselNameChar"/>
          <w:sz w:val="20"/>
        </w:rPr>
        <w:t>Lyster</w:t>
      </w:r>
      <w:proofErr w:type="spellEnd"/>
      <w:r w:rsidRPr="002F3C61">
        <w:rPr>
          <w:rStyle w:val="SCCCounselSeparatorChar"/>
          <w:rFonts w:eastAsia="Calibri"/>
          <w:sz w:val="20"/>
          <w:lang w:val="en-US"/>
        </w:rPr>
        <w:t xml:space="preserve"> and </w:t>
      </w:r>
      <w:r w:rsidRPr="00F925EC">
        <w:rPr>
          <w:rStyle w:val="SCCCounselNameChar"/>
          <w:sz w:val="20"/>
        </w:rPr>
        <w:t xml:space="preserve">Juliana </w:t>
      </w:r>
      <w:proofErr w:type="spellStart"/>
      <w:r w:rsidRPr="00F925EC">
        <w:rPr>
          <w:rStyle w:val="SCCCounselNameChar"/>
          <w:sz w:val="20"/>
        </w:rPr>
        <w:t>Dalley</w:t>
      </w:r>
      <w:proofErr w:type="spellEnd"/>
      <w:r w:rsidRPr="00F925EC">
        <w:rPr>
          <w:rStyle w:val="SCCCounselPartyRoleChar"/>
          <w:sz w:val="20"/>
        </w:rPr>
        <w:t>, for the intervener the Community Legal Assistance Society.</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r>
      <w:proofErr w:type="spellStart"/>
      <w:r w:rsidRPr="00F925EC">
        <w:rPr>
          <w:rStyle w:val="SCCCounselNameChar"/>
          <w:sz w:val="20"/>
        </w:rPr>
        <w:t>Clea</w:t>
      </w:r>
      <w:proofErr w:type="spellEnd"/>
      <w:r w:rsidRPr="00F925EC">
        <w:rPr>
          <w:rStyle w:val="SCCCounselNameChar"/>
          <w:sz w:val="20"/>
        </w:rPr>
        <w:t> F. Parfitt</w:t>
      </w:r>
      <w:r w:rsidRPr="002F3C61">
        <w:rPr>
          <w:rStyle w:val="SCCCounselSeparatorChar"/>
          <w:rFonts w:eastAsia="Calibri"/>
          <w:sz w:val="20"/>
          <w:lang w:val="en-US"/>
        </w:rPr>
        <w:t xml:space="preserve"> and </w:t>
      </w:r>
      <w:proofErr w:type="spellStart"/>
      <w:r w:rsidRPr="00F925EC">
        <w:rPr>
          <w:rStyle w:val="SCCCounselNameChar"/>
          <w:sz w:val="20"/>
        </w:rPr>
        <w:t>Rajwant</w:t>
      </w:r>
      <w:proofErr w:type="spellEnd"/>
      <w:r w:rsidRPr="00F925EC">
        <w:rPr>
          <w:rStyle w:val="SCCCounselNameChar"/>
          <w:sz w:val="20"/>
        </w:rPr>
        <w:t xml:space="preserve"> </w:t>
      </w:r>
      <w:proofErr w:type="spellStart"/>
      <w:r w:rsidRPr="00F925EC">
        <w:rPr>
          <w:rStyle w:val="SCCCounselNameChar"/>
          <w:sz w:val="20"/>
        </w:rPr>
        <w:t>Mangat</w:t>
      </w:r>
      <w:proofErr w:type="spellEnd"/>
      <w:r w:rsidRPr="00F925EC">
        <w:rPr>
          <w:rStyle w:val="SCCCounselPartyRoleChar"/>
          <w:sz w:val="20"/>
        </w:rPr>
        <w:t>, for the intervener the West Coast Women’s Legal Education and Action Fund.</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t>Robin J. Gage, Kate Feeney</w:t>
      </w:r>
      <w:r w:rsidRPr="002F3C61">
        <w:rPr>
          <w:rStyle w:val="SCCCounselSeparatorChar"/>
          <w:rFonts w:eastAsia="Calibri"/>
          <w:sz w:val="20"/>
          <w:lang w:val="en-US"/>
        </w:rPr>
        <w:t xml:space="preserve"> and </w:t>
      </w:r>
      <w:r w:rsidRPr="00F925EC">
        <w:rPr>
          <w:rStyle w:val="SCCCounselNameChar"/>
          <w:sz w:val="20"/>
        </w:rPr>
        <w:t>Erin Pritchard</w:t>
      </w:r>
      <w:r w:rsidRPr="00F925EC">
        <w:rPr>
          <w:rStyle w:val="SCCCounselPartyRoleChar"/>
          <w:sz w:val="20"/>
        </w:rPr>
        <w:t>, for the intervener the Retail Action Network.</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r>
      <w:proofErr w:type="spellStart"/>
      <w:r w:rsidRPr="00F925EC">
        <w:rPr>
          <w:rStyle w:val="SCCCounselNameChar"/>
          <w:sz w:val="20"/>
        </w:rPr>
        <w:t>Kristan</w:t>
      </w:r>
      <w:proofErr w:type="spellEnd"/>
      <w:r w:rsidRPr="00F925EC">
        <w:rPr>
          <w:rStyle w:val="SCCCounselNameChar"/>
          <w:sz w:val="20"/>
        </w:rPr>
        <w:t xml:space="preserve"> McLeod</w:t>
      </w:r>
      <w:r w:rsidRPr="00F925EC">
        <w:rPr>
          <w:rStyle w:val="SCCCounselPartyRoleChar"/>
          <w:sz w:val="20"/>
        </w:rPr>
        <w:t>, for the interveners the Alberta Federation of Labour and the International Association of Machinists and Aerospace Workers Local Lodge 99.</w:t>
      </w:r>
    </w:p>
    <w:p w:rsidR="002F3C61" w:rsidRPr="00F925EC"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F925EC">
        <w:rPr>
          <w:rStyle w:val="SCCCounselNameChar"/>
          <w:sz w:val="20"/>
        </w:rPr>
        <w:tab/>
      </w:r>
      <w:proofErr w:type="spellStart"/>
      <w:r w:rsidRPr="00F925EC">
        <w:rPr>
          <w:rStyle w:val="SCCCounselNameChar"/>
          <w:sz w:val="20"/>
        </w:rPr>
        <w:t>Reema</w:t>
      </w:r>
      <w:proofErr w:type="spellEnd"/>
      <w:r w:rsidRPr="00F925EC">
        <w:rPr>
          <w:rStyle w:val="SCCCounselNameChar"/>
          <w:sz w:val="20"/>
        </w:rPr>
        <w:t xml:space="preserve"> </w:t>
      </w:r>
      <w:proofErr w:type="spellStart"/>
      <w:r w:rsidRPr="00F925EC">
        <w:rPr>
          <w:rStyle w:val="SCCCounselNameChar"/>
          <w:sz w:val="20"/>
        </w:rPr>
        <w:t>Khawja</w:t>
      </w:r>
      <w:proofErr w:type="spellEnd"/>
      <w:r w:rsidRPr="00F925EC">
        <w:rPr>
          <w:rStyle w:val="SCCCounselPartyRoleChar"/>
          <w:sz w:val="20"/>
        </w:rPr>
        <w:t>, for the intervener the Ontario Human Rights Commission.</w:t>
      </w:r>
    </w:p>
    <w:p w:rsidR="002F3C61" w:rsidRPr="00F925EC" w:rsidRDefault="002F3C61" w:rsidP="002F3C61">
      <w:pPr>
        <w:pStyle w:val="SCCNormalDoubleSpacing"/>
        <w:spacing w:line="240" w:lineRule="auto"/>
        <w:rPr>
          <w:sz w:val="20"/>
        </w:rPr>
      </w:pPr>
    </w:p>
    <w:p w:rsidR="002F3C61" w:rsidRPr="00F925EC" w:rsidRDefault="002F3C61" w:rsidP="002F3C61">
      <w:pPr>
        <w:pStyle w:val="SCCNormalDoubleSpacing"/>
        <w:spacing w:line="240" w:lineRule="auto"/>
        <w:rPr>
          <w:sz w:val="20"/>
        </w:rPr>
      </w:pPr>
      <w:r w:rsidRPr="00F925EC">
        <w:rPr>
          <w:rStyle w:val="SCCCounselNameChar"/>
          <w:sz w:val="20"/>
        </w:rPr>
        <w:tab/>
        <w:t xml:space="preserve">Faisal Mirza, </w:t>
      </w:r>
      <w:proofErr w:type="spellStart"/>
      <w:r w:rsidRPr="00F925EC">
        <w:rPr>
          <w:rStyle w:val="SCCCounselNameChar"/>
          <w:sz w:val="20"/>
        </w:rPr>
        <w:t>Danardo</w:t>
      </w:r>
      <w:proofErr w:type="spellEnd"/>
      <w:r w:rsidRPr="00F925EC">
        <w:rPr>
          <w:rStyle w:val="SCCCounselNameChar"/>
          <w:sz w:val="20"/>
        </w:rPr>
        <w:t xml:space="preserve"> Jones and Dena M. Smith</w:t>
      </w:r>
      <w:r w:rsidRPr="00F925EC">
        <w:rPr>
          <w:rStyle w:val="SCCCounselPartyRoleChar"/>
          <w:sz w:val="20"/>
        </w:rPr>
        <w:t>, for the intervener the African Canadian Legal Clinic.</w:t>
      </w:r>
    </w:p>
    <w:p w:rsidR="002F3C61" w:rsidRDefault="002F3C61" w:rsidP="002F3C61">
      <w:pPr>
        <w:pStyle w:val="SCCNormalDoubleSpacing"/>
        <w:spacing w:line="240" w:lineRule="auto"/>
        <w:rPr>
          <w:sz w:val="20"/>
        </w:rPr>
      </w:pPr>
    </w:p>
    <w:p w:rsidR="0052229C" w:rsidRPr="00F964D5" w:rsidRDefault="002F3C61" w:rsidP="00813894">
      <w:pPr>
        <w:pStyle w:val="SCCNormalDoubleSpacing"/>
        <w:spacing w:line="240" w:lineRule="auto"/>
        <w:rPr>
          <w:sz w:val="20"/>
          <w:lang w:val="fr-CA"/>
        </w:rPr>
      </w:pPr>
      <w:r w:rsidRPr="00F964D5">
        <w:rPr>
          <w:sz w:val="20"/>
          <w:lang w:val="fr-CA"/>
        </w:rPr>
        <w:t>__________________</w:t>
      </w:r>
    </w:p>
    <w:p w:rsidR="00902E51" w:rsidRPr="00F964D5" w:rsidRDefault="00902E51" w:rsidP="00902E51">
      <w:pPr>
        <w:rPr>
          <w:sz w:val="20"/>
          <w:szCs w:val="20"/>
          <w:lang w:val="fr-CA"/>
        </w:rPr>
      </w:pPr>
    </w:p>
    <w:p w:rsidR="002F3C61" w:rsidRDefault="002F3C61" w:rsidP="002F3C61">
      <w:pPr>
        <w:jc w:val="both"/>
        <w:rPr>
          <w:rFonts w:cs="Times New Roman"/>
          <w:sz w:val="20"/>
          <w:szCs w:val="20"/>
          <w:lang w:val="fr-CA"/>
        </w:rPr>
      </w:pPr>
      <w:r w:rsidRPr="00D53356">
        <w:rPr>
          <w:rFonts w:cs="Times New Roman"/>
          <w:sz w:val="20"/>
          <w:szCs w:val="20"/>
          <w:lang w:val="fr-CA"/>
        </w:rPr>
        <w:t xml:space="preserve">Présents : La juge en chef </w:t>
      </w:r>
      <w:proofErr w:type="spellStart"/>
      <w:r w:rsidRPr="00D53356">
        <w:rPr>
          <w:rFonts w:cs="Times New Roman"/>
          <w:sz w:val="20"/>
          <w:szCs w:val="20"/>
          <w:lang w:val="fr-CA"/>
        </w:rPr>
        <w:t>McLachlin</w:t>
      </w:r>
      <w:proofErr w:type="spellEnd"/>
      <w:r w:rsidRPr="00D53356">
        <w:rPr>
          <w:rFonts w:cs="Times New Roman"/>
          <w:sz w:val="20"/>
          <w:szCs w:val="20"/>
          <w:lang w:val="fr-CA"/>
        </w:rPr>
        <w:t xml:space="preserve"> et les juges Abella, </w:t>
      </w:r>
      <w:proofErr w:type="spellStart"/>
      <w:r w:rsidRPr="00D53356">
        <w:rPr>
          <w:rFonts w:cs="Times New Roman"/>
          <w:sz w:val="20"/>
          <w:szCs w:val="20"/>
          <w:lang w:val="fr-CA"/>
        </w:rPr>
        <w:t>Moldaver</w:t>
      </w:r>
      <w:proofErr w:type="spellEnd"/>
      <w:r w:rsidRPr="00D53356">
        <w:rPr>
          <w:rFonts w:cs="Times New Roman"/>
          <w:sz w:val="20"/>
          <w:szCs w:val="20"/>
          <w:lang w:val="fr-CA"/>
        </w:rPr>
        <w:t xml:space="preserve">, </w:t>
      </w:r>
      <w:proofErr w:type="spellStart"/>
      <w:r w:rsidRPr="00D53356">
        <w:rPr>
          <w:rFonts w:cs="Times New Roman"/>
          <w:sz w:val="20"/>
          <w:szCs w:val="20"/>
          <w:lang w:val="fr-CA"/>
        </w:rPr>
        <w:t>Karakatsanis</w:t>
      </w:r>
      <w:proofErr w:type="spellEnd"/>
      <w:r w:rsidRPr="00D53356">
        <w:rPr>
          <w:rFonts w:cs="Times New Roman"/>
          <w:sz w:val="20"/>
          <w:szCs w:val="20"/>
          <w:lang w:val="fr-CA"/>
        </w:rPr>
        <w:t>, Wagner, Gascon, Côté, Brown et Rowe.</w:t>
      </w:r>
    </w:p>
    <w:p w:rsidR="002F3C61" w:rsidRPr="00D53356" w:rsidRDefault="002F3C61" w:rsidP="002F3C61">
      <w:pPr>
        <w:jc w:val="both"/>
        <w:rPr>
          <w:rFonts w:cs="Times New Roman"/>
          <w:sz w:val="20"/>
          <w:szCs w:val="20"/>
          <w:lang w:val="fr-CA"/>
        </w:rPr>
      </w:pPr>
    </w:p>
    <w:p w:rsidR="002F3C61" w:rsidRDefault="002F3C61" w:rsidP="002F3C61">
      <w:pPr>
        <w:pStyle w:val="SCCNormalDoubleSpacing"/>
        <w:spacing w:line="240" w:lineRule="auto"/>
        <w:rPr>
          <w:sz w:val="20"/>
          <w:lang w:val="fr-CA"/>
        </w:rPr>
      </w:pPr>
      <w:r w:rsidRPr="00D53356">
        <w:rPr>
          <w:sz w:val="20"/>
          <w:lang w:val="fr-CA"/>
        </w:rPr>
        <w:tab/>
      </w:r>
      <w:r w:rsidRPr="00D53356">
        <w:rPr>
          <w:i/>
          <w:sz w:val="20"/>
          <w:lang w:val="fr-CA"/>
        </w:rPr>
        <w:t>Droits de la personne — Tribunal des droits de la personne — Compétence — Discrimination — Emploi — Loi interdisant à une « personne » de faire preuve de discrimination envers une autre « relativement à son emploi » — Champ d’application de l’interdiction — Plainte faisant état d’allégations de discrimination de la part d’un collègue sur le lieu de travail — Est</w:t>
      </w:r>
      <w:r w:rsidRPr="00D53356">
        <w:rPr>
          <w:i/>
          <w:sz w:val="20"/>
          <w:lang w:val="fr-CA"/>
        </w:rPr>
        <w:noBreakHyphen/>
        <w:t>ce qu’une personne autre que l’employeur ou le superviseur du plaignant peut se rendre coupable de discrimination « relativement à l’emploi» ? — Le Tribunal des droits de la personne de la Colombie</w:t>
      </w:r>
      <w:r w:rsidRPr="00D53356">
        <w:rPr>
          <w:i/>
          <w:sz w:val="20"/>
          <w:lang w:val="fr-CA"/>
        </w:rPr>
        <w:noBreakHyphen/>
        <w:t xml:space="preserve">Britannique </w:t>
      </w:r>
      <w:proofErr w:type="spellStart"/>
      <w:r w:rsidRPr="00D53356">
        <w:rPr>
          <w:i/>
          <w:sz w:val="20"/>
          <w:lang w:val="fr-CA"/>
        </w:rPr>
        <w:t>a</w:t>
      </w:r>
      <w:r w:rsidRPr="00D53356">
        <w:rPr>
          <w:i/>
          <w:sz w:val="20"/>
          <w:lang w:val="fr-CA"/>
        </w:rPr>
        <w:noBreakHyphen/>
        <w:t>t</w:t>
      </w:r>
      <w:r w:rsidRPr="00D53356">
        <w:rPr>
          <w:i/>
          <w:sz w:val="20"/>
          <w:lang w:val="fr-CA"/>
        </w:rPr>
        <w:noBreakHyphen/>
        <w:t>il</w:t>
      </w:r>
      <w:proofErr w:type="spellEnd"/>
      <w:r w:rsidRPr="00D53356">
        <w:rPr>
          <w:i/>
          <w:sz w:val="20"/>
          <w:lang w:val="fr-CA"/>
        </w:rPr>
        <w:t xml:space="preserve"> commis une erreur en concluant qu’il avait compétence pour examiner la plainte ? — </w:t>
      </w:r>
      <w:proofErr w:type="spellStart"/>
      <w:r w:rsidRPr="00D53356">
        <w:rPr>
          <w:i/>
          <w:sz w:val="20"/>
          <w:lang w:val="fr-CA"/>
        </w:rPr>
        <w:t>Human</w:t>
      </w:r>
      <w:proofErr w:type="spellEnd"/>
      <w:r w:rsidRPr="00D53356">
        <w:rPr>
          <w:i/>
          <w:sz w:val="20"/>
          <w:lang w:val="fr-CA"/>
        </w:rPr>
        <w:t xml:space="preserve"> </w:t>
      </w:r>
      <w:proofErr w:type="spellStart"/>
      <w:r w:rsidRPr="00D53356">
        <w:rPr>
          <w:i/>
          <w:sz w:val="20"/>
          <w:lang w:val="fr-CA"/>
        </w:rPr>
        <w:t>Rights</w:t>
      </w:r>
      <w:proofErr w:type="spellEnd"/>
      <w:r w:rsidRPr="00D53356">
        <w:rPr>
          <w:i/>
          <w:sz w:val="20"/>
          <w:lang w:val="fr-CA"/>
        </w:rPr>
        <w:t xml:space="preserve"> Code, R.S.B.C. 1996, c. 210, art. 1 « emploi », « personne », 13(1</w:t>
      </w:r>
      <w:proofErr w:type="gramStart"/>
      <w:r w:rsidRPr="00D53356">
        <w:rPr>
          <w:i/>
          <w:sz w:val="20"/>
          <w:lang w:val="fr-CA"/>
        </w:rPr>
        <w:t>)(</w:t>
      </w:r>
      <w:proofErr w:type="gramEnd"/>
      <w:r w:rsidRPr="00D53356">
        <w:rPr>
          <w:i/>
          <w:sz w:val="20"/>
          <w:lang w:val="fr-CA"/>
        </w:rPr>
        <w:t>b), 27(1)(a)</w:t>
      </w:r>
      <w:r w:rsidRPr="00D53356">
        <w:rPr>
          <w:sz w:val="20"/>
          <w:lang w:val="fr-CA"/>
        </w:rPr>
        <w:t>.</w:t>
      </w:r>
    </w:p>
    <w:p w:rsidR="002F3C61" w:rsidRPr="00D53356" w:rsidRDefault="002F3C61" w:rsidP="002F3C61">
      <w:pPr>
        <w:pStyle w:val="SCCNormalDoubleSpacing"/>
        <w:spacing w:line="240" w:lineRule="auto"/>
        <w:rPr>
          <w:i/>
          <w:sz w:val="20"/>
          <w:lang w:val="fr-CA"/>
        </w:rPr>
      </w:pPr>
    </w:p>
    <w:p w:rsidR="002F3C61" w:rsidRDefault="002F3C61" w:rsidP="002F3C61">
      <w:pPr>
        <w:pStyle w:val="SCCNormalDoubleSpacing"/>
        <w:spacing w:line="240" w:lineRule="auto"/>
        <w:rPr>
          <w:sz w:val="20"/>
          <w:lang w:val="fr-CA"/>
        </w:rPr>
      </w:pPr>
      <w:r w:rsidRPr="00D53356">
        <w:rPr>
          <w:sz w:val="20"/>
          <w:lang w:val="fr-CA"/>
        </w:rPr>
        <w:tab/>
        <w:t>S</w:t>
      </w:r>
      <w:r w:rsidRPr="00D53356">
        <w:rPr>
          <w:sz w:val="20"/>
          <w:lang w:val="fr-CA"/>
        </w:rPr>
        <w:noBreakHyphen/>
        <w:t xml:space="preserve">M était un ingénieur civil à l’emploi d’Omega and Associates Engineering Ltd. engagée pour des travaux de réfection d’une route. Omega disposait de certains pouvoirs de supervision à l’égard des employés de </w:t>
      </w:r>
      <w:proofErr w:type="spellStart"/>
      <w:r w:rsidRPr="00D53356">
        <w:rPr>
          <w:sz w:val="20"/>
          <w:lang w:val="fr-CA"/>
        </w:rPr>
        <w:t>Clemas</w:t>
      </w:r>
      <w:proofErr w:type="spellEnd"/>
      <w:r w:rsidRPr="00D53356">
        <w:rPr>
          <w:sz w:val="20"/>
          <w:lang w:val="fr-CA"/>
        </w:rPr>
        <w:t xml:space="preserve"> Construction Ltd., le principal entrepreneur du projet. </w:t>
      </w:r>
      <w:proofErr w:type="spellStart"/>
      <w:r w:rsidRPr="00D53356">
        <w:rPr>
          <w:sz w:val="20"/>
          <w:lang w:val="fr-CA"/>
        </w:rPr>
        <w:t>Clemas</w:t>
      </w:r>
      <w:proofErr w:type="spellEnd"/>
      <w:r w:rsidRPr="00D53356">
        <w:rPr>
          <w:sz w:val="20"/>
          <w:lang w:val="fr-CA"/>
        </w:rPr>
        <w:t xml:space="preserve"> a embauché S comme contremaître du site et directeur des travaux. Lorsque S a formulé des commentaires racistes et homophobes à l’endroit de S</w:t>
      </w:r>
      <w:r w:rsidRPr="00D53356">
        <w:rPr>
          <w:sz w:val="20"/>
          <w:lang w:val="fr-CA"/>
        </w:rPr>
        <w:noBreakHyphen/>
        <w:t xml:space="preserve">M sur le chantier, ce dernier en a avisé Omega. Après que S eut tenu d’autres propos discriminatoires, Omega a demandé à </w:t>
      </w:r>
      <w:proofErr w:type="spellStart"/>
      <w:r w:rsidRPr="00D53356">
        <w:rPr>
          <w:sz w:val="20"/>
          <w:lang w:val="fr-CA"/>
        </w:rPr>
        <w:t>Clemas</w:t>
      </w:r>
      <w:proofErr w:type="spellEnd"/>
      <w:r w:rsidRPr="00D53356">
        <w:rPr>
          <w:sz w:val="20"/>
          <w:lang w:val="fr-CA"/>
        </w:rPr>
        <w:t xml:space="preserve"> de renvoyer S du chantier. Bien que </w:t>
      </w:r>
      <w:proofErr w:type="spellStart"/>
      <w:r w:rsidRPr="00D53356">
        <w:rPr>
          <w:sz w:val="20"/>
          <w:lang w:val="fr-CA"/>
        </w:rPr>
        <w:t>Clemas</w:t>
      </w:r>
      <w:proofErr w:type="spellEnd"/>
      <w:r w:rsidRPr="00D53356">
        <w:rPr>
          <w:sz w:val="20"/>
          <w:lang w:val="fr-CA"/>
        </w:rPr>
        <w:t xml:space="preserve"> l’ait renvoyé sur</w:t>
      </w:r>
      <w:r w:rsidRPr="00D53356">
        <w:rPr>
          <w:sz w:val="20"/>
          <w:lang w:val="fr-CA"/>
        </w:rPr>
        <w:noBreakHyphen/>
        <w:t>le</w:t>
      </w:r>
      <w:r w:rsidRPr="00D53356">
        <w:rPr>
          <w:sz w:val="20"/>
          <w:lang w:val="fr-CA"/>
        </w:rPr>
        <w:noBreakHyphen/>
        <w:t xml:space="preserve">champ, S a continué à participer aux travaux d’une manière ou d’une autre. Lorsqu’il s’est avéré que le harcèlement continuait, </w:t>
      </w:r>
      <w:proofErr w:type="spellStart"/>
      <w:r w:rsidRPr="00D53356">
        <w:rPr>
          <w:sz w:val="20"/>
          <w:lang w:val="fr-CA"/>
        </w:rPr>
        <w:t>Clemas</w:t>
      </w:r>
      <w:proofErr w:type="spellEnd"/>
      <w:r w:rsidRPr="00D53356">
        <w:rPr>
          <w:sz w:val="20"/>
          <w:lang w:val="fr-CA"/>
        </w:rPr>
        <w:t xml:space="preserve"> a congédié S.</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S</w:t>
      </w:r>
      <w:r w:rsidRPr="00D53356">
        <w:rPr>
          <w:sz w:val="20"/>
          <w:lang w:val="fr-CA"/>
        </w:rPr>
        <w:noBreakHyphen/>
        <w:t>M a déposé une plainte contre S devant le Tribunal des droits de la personne de la Colombie</w:t>
      </w:r>
      <w:r w:rsidRPr="00D53356">
        <w:rPr>
          <w:sz w:val="20"/>
          <w:lang w:val="fr-CA"/>
        </w:rPr>
        <w:noBreakHyphen/>
        <w:t xml:space="preserve">Britannique, alléguant qu’il avait été victime de discrimination fondée sur la religion, le lieu d’origine et l’orientation sexuelle. S a demandé le rejet de la plainte faisant valoir que l’art. 13 du </w:t>
      </w:r>
      <w:proofErr w:type="spellStart"/>
      <w:r w:rsidRPr="00D53356">
        <w:rPr>
          <w:i/>
          <w:sz w:val="20"/>
          <w:lang w:val="fr-CA"/>
        </w:rPr>
        <w:t>Human</w:t>
      </w:r>
      <w:proofErr w:type="spellEnd"/>
      <w:r w:rsidRPr="00D53356">
        <w:rPr>
          <w:i/>
          <w:sz w:val="20"/>
          <w:lang w:val="fr-CA"/>
        </w:rPr>
        <w:t xml:space="preserve"> </w:t>
      </w:r>
      <w:proofErr w:type="spellStart"/>
      <w:r w:rsidRPr="00D53356">
        <w:rPr>
          <w:i/>
          <w:sz w:val="20"/>
          <w:lang w:val="fr-CA"/>
        </w:rPr>
        <w:t>Rights</w:t>
      </w:r>
      <w:proofErr w:type="spellEnd"/>
      <w:r w:rsidRPr="00D53356">
        <w:rPr>
          <w:i/>
          <w:sz w:val="20"/>
          <w:lang w:val="fr-CA"/>
        </w:rPr>
        <w:t xml:space="preserve"> Code </w:t>
      </w:r>
      <w:r w:rsidRPr="00D53356">
        <w:rPr>
          <w:sz w:val="20"/>
          <w:lang w:val="fr-CA"/>
        </w:rPr>
        <w:t>ne s’appliquait pas parce que S</w:t>
      </w:r>
      <w:r w:rsidRPr="00D53356">
        <w:rPr>
          <w:sz w:val="20"/>
          <w:lang w:val="fr-CA"/>
        </w:rPr>
        <w:noBreakHyphen/>
        <w:t xml:space="preserve">M n’avait pas de lien d’emploi avec S. Le Tribunal a conclu qu’il avait compétence pour examiner la plainte et, en conséquence, il a rejeté la demande de S fondée sur l’al. 27(1)a) du </w:t>
      </w:r>
      <w:r w:rsidRPr="00D53356">
        <w:rPr>
          <w:i/>
          <w:sz w:val="20"/>
          <w:lang w:val="fr-CA"/>
        </w:rPr>
        <w:t>Code</w:t>
      </w:r>
      <w:r w:rsidRPr="00D53356">
        <w:rPr>
          <w:sz w:val="20"/>
          <w:lang w:val="fr-CA"/>
        </w:rPr>
        <w:t>. La Cour suprême de la Colombie</w:t>
      </w:r>
      <w:r w:rsidRPr="00D53356">
        <w:rPr>
          <w:sz w:val="20"/>
          <w:lang w:val="fr-CA"/>
        </w:rPr>
        <w:noBreakHyphen/>
        <w:t>Britannique a rejeté la demande de contrôle judiciaire présentée par S, mais la Cour d’appel a accueilli le pourvoi de ce dernier et conclu que le Tribunal avait commis une erreur de droit en concluant qu’il avait compétence pour examiner la plainte.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r>
      <w:r w:rsidRPr="00D53356">
        <w:rPr>
          <w:i/>
          <w:sz w:val="20"/>
          <w:lang w:val="fr-CA"/>
        </w:rPr>
        <w:t xml:space="preserve">Arrêt </w:t>
      </w:r>
      <w:r w:rsidRPr="00D53356">
        <w:rPr>
          <w:sz w:val="20"/>
          <w:lang w:val="fr-CA"/>
        </w:rPr>
        <w:t xml:space="preserve">(la juge en chef </w:t>
      </w:r>
      <w:proofErr w:type="spellStart"/>
      <w:r w:rsidRPr="00D53356">
        <w:rPr>
          <w:sz w:val="20"/>
          <w:lang w:val="fr-CA"/>
        </w:rPr>
        <w:t>McLachlin</w:t>
      </w:r>
      <w:proofErr w:type="spellEnd"/>
      <w:r w:rsidRPr="00D53356">
        <w:rPr>
          <w:sz w:val="20"/>
          <w:lang w:val="fr-CA"/>
        </w:rPr>
        <w:t xml:space="preserve"> et les juges Côté et Brown sont dissidents) : Le pourvoi est accueilli.</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rFonts w:eastAsia="Calibri"/>
          <w:sz w:val="20"/>
          <w:lang w:val="fr-CA"/>
        </w:rPr>
        <w:tab/>
      </w:r>
      <w:r w:rsidRPr="00D53356">
        <w:rPr>
          <w:rFonts w:eastAsia="Calibri"/>
          <w:i/>
          <w:sz w:val="20"/>
          <w:lang w:val="fr-CA"/>
        </w:rPr>
        <w:t xml:space="preserve">Les </w:t>
      </w:r>
      <w:r w:rsidRPr="00D53356">
        <w:rPr>
          <w:rFonts w:eastAsia="Calibri"/>
          <w:sz w:val="20"/>
          <w:lang w:val="fr-CA"/>
        </w:rPr>
        <w:t>juges</w:t>
      </w:r>
      <w:r w:rsidRPr="00D53356">
        <w:rPr>
          <w:rFonts w:eastAsia="Calibri"/>
          <w:i/>
          <w:sz w:val="20"/>
          <w:lang w:val="fr-CA"/>
        </w:rPr>
        <w:t xml:space="preserve"> </w:t>
      </w:r>
      <w:proofErr w:type="spellStart"/>
      <w:r w:rsidRPr="00D53356">
        <w:rPr>
          <w:rFonts w:eastAsia="Calibri"/>
          <w:sz w:val="20"/>
          <w:lang w:val="fr-CA"/>
        </w:rPr>
        <w:t>Moldaver</w:t>
      </w:r>
      <w:proofErr w:type="spellEnd"/>
      <w:r w:rsidRPr="00D53356">
        <w:rPr>
          <w:rFonts w:eastAsia="Calibri"/>
          <w:sz w:val="20"/>
          <w:lang w:val="fr-CA"/>
        </w:rPr>
        <w:t xml:space="preserve">, </w:t>
      </w:r>
      <w:proofErr w:type="spellStart"/>
      <w:r w:rsidRPr="00D53356">
        <w:rPr>
          <w:rFonts w:eastAsia="Calibri"/>
          <w:sz w:val="20"/>
          <w:lang w:val="fr-CA"/>
        </w:rPr>
        <w:t>Karakatsanis</w:t>
      </w:r>
      <w:proofErr w:type="spellEnd"/>
      <w:r w:rsidRPr="00D53356">
        <w:rPr>
          <w:rFonts w:eastAsia="Calibri"/>
          <w:sz w:val="20"/>
          <w:lang w:val="fr-CA"/>
        </w:rPr>
        <w:t xml:space="preserve">, Wagner, Gascon et </w:t>
      </w:r>
      <w:r w:rsidRPr="00D53356">
        <w:rPr>
          <w:rFonts w:eastAsia="Calibri"/>
          <w:b/>
          <w:sz w:val="20"/>
          <w:lang w:val="fr-CA"/>
        </w:rPr>
        <w:t>Rowe</w:t>
      </w:r>
      <w:r w:rsidRPr="00D53356">
        <w:rPr>
          <w:rFonts w:eastAsia="Calibri"/>
          <w:sz w:val="20"/>
          <w:lang w:val="fr-CA"/>
        </w:rPr>
        <w:t xml:space="preserve"> : </w:t>
      </w:r>
      <w:r w:rsidRPr="00D53356">
        <w:rPr>
          <w:sz w:val="20"/>
          <w:lang w:val="fr-CA"/>
        </w:rPr>
        <w:t xml:space="preserve">Le champ d’application de l’al. 13(1)b) du </w:t>
      </w:r>
      <w:r w:rsidRPr="00D53356">
        <w:rPr>
          <w:i/>
          <w:sz w:val="20"/>
          <w:lang w:val="fr-CA"/>
        </w:rPr>
        <w:t>Code</w:t>
      </w:r>
      <w:r w:rsidRPr="00D53356">
        <w:rPr>
          <w:sz w:val="20"/>
          <w:lang w:val="fr-CA"/>
        </w:rPr>
        <w:t xml:space="preserve"> ne se limite pas à la protection des employés uniquement contre le harcèlement discriminatoire de la part de leurs </w:t>
      </w:r>
      <w:r w:rsidRPr="00D53356">
        <w:rPr>
          <w:sz w:val="20"/>
          <w:lang w:val="fr-CA"/>
        </w:rPr>
        <w:lastRenderedPageBreak/>
        <w:t>supérieurs en milieu de travail.</w:t>
      </w:r>
      <w:r w:rsidRPr="00D53356">
        <w:rPr>
          <w:rFonts w:eastAsia="Calibri"/>
          <w:sz w:val="20"/>
          <w:lang w:val="fr-CA"/>
        </w:rPr>
        <w:t xml:space="preserve"> </w:t>
      </w:r>
      <w:r w:rsidRPr="00D53356">
        <w:rPr>
          <w:sz w:val="20"/>
          <w:lang w:val="fr-CA"/>
        </w:rPr>
        <w:t xml:space="preserve">À la lecture du </w:t>
      </w:r>
      <w:r w:rsidRPr="00D53356">
        <w:rPr>
          <w:i/>
          <w:sz w:val="20"/>
          <w:lang w:val="fr-CA"/>
        </w:rPr>
        <w:t>Code</w:t>
      </w:r>
      <w:r w:rsidRPr="00D53356">
        <w:rPr>
          <w:sz w:val="20"/>
          <w:lang w:val="fr-CA"/>
        </w:rPr>
        <w:t xml:space="preserve"> conformément au principe moderne d’interprétation législative et aux règles particulières qui s’appliquent à l’interprétation de la législation en matière de droits de la personne, l’al. 13(1)b) interdit la discrimination envers les employés dès lors que cette dernière a un lien suffisant avec le contexte d’emploi. Cela peut comprendre la discrimination de la part de leurs collègues, même ceux qui travaillent pour un autre employeur.</w:t>
      </w:r>
    </w:p>
    <w:p w:rsidR="002F3C61" w:rsidRPr="00D53356" w:rsidRDefault="002F3C61" w:rsidP="002F3C61">
      <w:pPr>
        <w:pStyle w:val="SCCNormalDoubleSpacing"/>
        <w:spacing w:line="240" w:lineRule="auto"/>
        <w:rPr>
          <w:rFonts w:eastAsia="Calibri"/>
          <w:sz w:val="20"/>
          <w:lang w:val="fr-CA"/>
        </w:rPr>
      </w:pPr>
    </w:p>
    <w:p w:rsidR="002F3C61" w:rsidRDefault="002F3C61" w:rsidP="002F3C61">
      <w:pPr>
        <w:pStyle w:val="SCCNormalDoubleSpacing"/>
        <w:spacing w:line="240" w:lineRule="auto"/>
        <w:rPr>
          <w:sz w:val="20"/>
          <w:lang w:val="fr-CA"/>
        </w:rPr>
      </w:pPr>
      <w:r w:rsidRPr="00D53356">
        <w:rPr>
          <w:sz w:val="20"/>
          <w:lang w:val="fr-CA"/>
        </w:rPr>
        <w:tab/>
        <w:t xml:space="preserve">Pour déterminer si un comportement discriminatoire a un lien suffisant avec le contexte d’emploi, le Tribunal des droits de la personne doit procéder à une analyse contextuelle qui tient compte de toutes les circonstances pertinentes. Les facteurs qui peuvent éclairer cette analyse comprennent le fait de savoir : 1) si l’intimé faisait partie intégrante du milieu de travail du plaignant; 2) si la conduite reprochée a été adoptée sur le lieu de travail du plaignant; et, 3) si le comportement a nui à l’emploi du plaignant ou à son environnement de travail. Cette liste de facteurs n’est pas exhaustive et l’importance relative de chacun d’entre eux dépend des circonstances. Cette interprétation contextuelle favorise la réalisation des objets du </w:t>
      </w:r>
      <w:r w:rsidRPr="00D53356">
        <w:rPr>
          <w:i/>
          <w:sz w:val="20"/>
          <w:lang w:val="fr-CA"/>
        </w:rPr>
        <w:t>Code</w:t>
      </w:r>
      <w:r w:rsidRPr="00D53356">
        <w:rPr>
          <w:sz w:val="20"/>
          <w:lang w:val="fr-CA"/>
        </w:rPr>
        <w:t xml:space="preserve"> en reconnaissant que la vulnérabilité des employés découle non seulement de leur subordination à leur employeur sur le plan économique, mais aussi du fait qu’ils ne peuvent échapper aux personnes qui font preuve de discrimination, comme un collègue harceleur.</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Cette approche contextuelle pour déterminer si une conduite constitue de la discrimination [</w:t>
      </w:r>
      <w:r w:rsidRPr="00D53356">
        <w:rPr>
          <w:smallCaps/>
          <w:sz w:val="20"/>
          <w:lang w:val="fr-CA"/>
        </w:rPr>
        <w:t>traduction</w:t>
      </w:r>
      <w:r w:rsidRPr="00D53356">
        <w:rPr>
          <w:sz w:val="20"/>
          <w:lang w:val="fr-CA"/>
        </w:rPr>
        <w:t>] « relativement à [l’</w:t>
      </w:r>
      <w:proofErr w:type="gramStart"/>
      <w:r w:rsidRPr="00D53356">
        <w:rPr>
          <w:sz w:val="20"/>
          <w:lang w:val="fr-CA"/>
        </w:rPr>
        <w:t>]emploi</w:t>
      </w:r>
      <w:proofErr w:type="gramEnd"/>
      <w:r w:rsidRPr="00D53356">
        <w:rPr>
          <w:sz w:val="20"/>
          <w:lang w:val="fr-CA"/>
        </w:rPr>
        <w:t xml:space="preserve"> » est étayée par le libellé, l’économie et l’objet du </w:t>
      </w:r>
      <w:r w:rsidRPr="00D53356">
        <w:rPr>
          <w:i/>
          <w:sz w:val="20"/>
          <w:lang w:val="fr-CA"/>
        </w:rPr>
        <w:t>Code</w:t>
      </w:r>
      <w:r w:rsidRPr="00D53356">
        <w:rPr>
          <w:sz w:val="20"/>
          <w:lang w:val="fr-CA"/>
        </w:rPr>
        <w:t xml:space="preserve">. Elle est tout autant étayée par l’historique législatif du </w:t>
      </w:r>
      <w:r w:rsidRPr="00D53356">
        <w:rPr>
          <w:i/>
          <w:sz w:val="20"/>
          <w:lang w:val="fr-CA"/>
        </w:rPr>
        <w:t>Code</w:t>
      </w:r>
      <w:r w:rsidRPr="00D53356">
        <w:rPr>
          <w:sz w:val="20"/>
          <w:lang w:val="fr-CA"/>
        </w:rPr>
        <w:t xml:space="preserve"> et elle est conforme à la jurisprudence récente.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Le texte de l’al. 13(1)b) interdit la discrimination relativement à l’emploi dont fait preuve toute [</w:t>
      </w:r>
      <w:r w:rsidRPr="00D53356">
        <w:rPr>
          <w:smallCaps/>
          <w:sz w:val="20"/>
          <w:lang w:val="fr-CA"/>
        </w:rPr>
        <w:t>traduction</w:t>
      </w:r>
      <w:r w:rsidRPr="00D53356">
        <w:rPr>
          <w:sz w:val="20"/>
          <w:lang w:val="fr-CA"/>
        </w:rPr>
        <w:t xml:space="preserve">] « personne ». Dans le contexte du </w:t>
      </w:r>
      <w:r w:rsidRPr="00D53356">
        <w:rPr>
          <w:i/>
          <w:sz w:val="20"/>
          <w:lang w:val="fr-CA"/>
        </w:rPr>
        <w:t>Code</w:t>
      </w:r>
      <w:r w:rsidRPr="00D53356">
        <w:rPr>
          <w:sz w:val="20"/>
          <w:lang w:val="fr-CA"/>
        </w:rPr>
        <w:t xml:space="preserve">, le mot « personne » désigne la catégorie d’acteurs à qui s’applique l’interdiction prévue à l’al. 13(1)b). Le sens ordinaire du mot « personne » est large et il comprend un éventail d’acteurs plus étendu que simplement toute personne qui exerce un pouvoir économique sur le plaignant. La définition du mot « personne » énoncée à l’article premier du </w:t>
      </w:r>
      <w:r w:rsidRPr="00D53356">
        <w:rPr>
          <w:i/>
          <w:sz w:val="20"/>
          <w:lang w:val="fr-CA"/>
        </w:rPr>
        <w:t>Code</w:t>
      </w:r>
      <w:r w:rsidRPr="00D53356">
        <w:rPr>
          <w:sz w:val="20"/>
          <w:lang w:val="fr-CA"/>
        </w:rPr>
        <w:t xml:space="preserve"> n’est pas exhaustive et prévoit des sens additionnels qui complètent son sens ordinaire. Ensuite, l’expression « relativement à l’emploi» (« </w:t>
      </w:r>
      <w:proofErr w:type="spellStart"/>
      <w:r w:rsidRPr="00D53356">
        <w:rPr>
          <w:i/>
          <w:sz w:val="20"/>
          <w:lang w:val="fr-CA"/>
        </w:rPr>
        <w:t>regarding</w:t>
      </w:r>
      <w:proofErr w:type="spellEnd"/>
      <w:r w:rsidRPr="00D53356">
        <w:rPr>
          <w:i/>
          <w:sz w:val="20"/>
          <w:lang w:val="fr-CA"/>
        </w:rPr>
        <w:t xml:space="preserve"> </w:t>
      </w:r>
      <w:proofErr w:type="spellStart"/>
      <w:r w:rsidRPr="00D53356">
        <w:rPr>
          <w:i/>
          <w:sz w:val="20"/>
          <w:lang w:val="fr-CA"/>
        </w:rPr>
        <w:t>employment</w:t>
      </w:r>
      <w:proofErr w:type="spellEnd"/>
      <w:r w:rsidRPr="00D53356">
        <w:rPr>
          <w:sz w:val="20"/>
          <w:lang w:val="fr-CA"/>
        </w:rPr>
        <w:t> ») est déterminante parce qu’elle délimite le type de discrimination que proscrit l’al. 13(1)b). En l’espèce, elle indique que la discrimination en cause doit de quelque manière être reliée</w:t>
      </w:r>
      <w:r w:rsidRPr="00D53356">
        <w:rPr>
          <w:i/>
          <w:sz w:val="20"/>
          <w:lang w:val="fr-CA"/>
        </w:rPr>
        <w:t xml:space="preserve"> </w:t>
      </w:r>
      <w:r w:rsidRPr="00D53356">
        <w:rPr>
          <w:sz w:val="20"/>
          <w:lang w:val="fr-CA"/>
        </w:rPr>
        <w:t>au contexte de</w:t>
      </w:r>
      <w:r w:rsidRPr="00D53356">
        <w:rPr>
          <w:i/>
          <w:sz w:val="20"/>
          <w:lang w:val="fr-CA"/>
        </w:rPr>
        <w:t xml:space="preserve"> </w:t>
      </w:r>
      <w:r w:rsidRPr="00D53356">
        <w:rPr>
          <w:sz w:val="20"/>
          <w:lang w:val="fr-CA"/>
        </w:rPr>
        <w:t>l’emploi et n’interdit pas uniquement la discrimination qui a cours dans le contexte des relations hiérarchiques en milieu de travail. L’alinéa 13(1)b) définit qui peut souffrir de discrimination dans le contexte du travail plutôt que de limiter ceux qui peuvent faire preuve de discrimination. Ainsi, il prohibe le comportement discriminatoire qui vise les employés dans la mesure où ce comportement a un lien suffisant avec le contexte d’emploi.</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 xml:space="preserve">L’économie du </w:t>
      </w:r>
      <w:r w:rsidRPr="00D53356">
        <w:rPr>
          <w:i/>
          <w:sz w:val="20"/>
          <w:lang w:val="fr-CA"/>
        </w:rPr>
        <w:t>Code</w:t>
      </w:r>
      <w:r w:rsidRPr="00D53356">
        <w:rPr>
          <w:sz w:val="20"/>
          <w:lang w:val="fr-CA"/>
        </w:rPr>
        <w:t xml:space="preserve"> favorise cette interprétation contextuelle de l’al. 13(1)b). Premièrement, la présomption contre la redondance en matière de rédaction législative sous</w:t>
      </w:r>
      <w:r w:rsidRPr="00D53356">
        <w:rPr>
          <w:sz w:val="20"/>
          <w:lang w:val="fr-CA"/>
        </w:rPr>
        <w:noBreakHyphen/>
        <w:t>tend le point de vue selon lequel l’interdiction de la discrimination « relativement à l’emploi » ne s’applique pas qu’aux employeurs, qui sont déjà visés par l’interdiction de faire preuve de discrimination relativement [</w:t>
      </w:r>
      <w:r w:rsidRPr="00D53356">
        <w:rPr>
          <w:smallCaps/>
          <w:sz w:val="20"/>
          <w:lang w:val="fr-CA"/>
        </w:rPr>
        <w:t>traduction</w:t>
      </w:r>
      <w:r w:rsidRPr="00D53356">
        <w:rPr>
          <w:sz w:val="20"/>
          <w:lang w:val="fr-CA"/>
        </w:rPr>
        <w:t>] « aux modalités [d’</w:t>
      </w:r>
      <w:proofErr w:type="gramStart"/>
      <w:r w:rsidRPr="00D53356">
        <w:rPr>
          <w:sz w:val="20"/>
          <w:lang w:val="fr-CA"/>
        </w:rPr>
        <w:t>]emploi</w:t>
      </w:r>
      <w:proofErr w:type="gramEnd"/>
      <w:r w:rsidRPr="00D53356">
        <w:rPr>
          <w:sz w:val="20"/>
          <w:lang w:val="fr-CA"/>
        </w:rPr>
        <w:t xml:space="preserve"> ». En outre, lorsque le </w:t>
      </w:r>
      <w:r w:rsidRPr="00D53356">
        <w:rPr>
          <w:i/>
          <w:sz w:val="20"/>
          <w:lang w:val="fr-CA"/>
        </w:rPr>
        <w:t>Code</w:t>
      </w:r>
      <w:r w:rsidRPr="00D53356">
        <w:rPr>
          <w:sz w:val="20"/>
          <w:lang w:val="fr-CA"/>
        </w:rPr>
        <w:t xml:space="preserve"> vise à limiter la catégorie d’acteurs à qui s’applique une interdiction précise, il utilise une formulation précise qui contraste avec le terme général « personne ». Enfin, la structure du </w:t>
      </w:r>
      <w:r w:rsidRPr="00D53356">
        <w:rPr>
          <w:i/>
          <w:sz w:val="20"/>
          <w:lang w:val="fr-CA"/>
        </w:rPr>
        <w:t>Code</w:t>
      </w:r>
      <w:r w:rsidRPr="00D53356">
        <w:rPr>
          <w:sz w:val="20"/>
          <w:lang w:val="fr-CA"/>
        </w:rPr>
        <w:t xml:space="preserve"> favorise une approche qui considère l’emploi comme un contexte qui requiert de remédier à l’exploitation de la vulnérabilité plutôt que comme une relation qui nécessite une protection unidirectionnelle.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Le principe moderne d’interprétation exige que les tribunaux abordent le texte de la loi de la manière qui reflète le mieux les objets qui la sous</w:t>
      </w:r>
      <w:r w:rsidRPr="00D53356">
        <w:rPr>
          <w:sz w:val="20"/>
          <w:lang w:val="fr-CA"/>
        </w:rPr>
        <w:noBreakHyphen/>
        <w:t xml:space="preserve">tendent. En l’espèce, l’approche contextuelle est conforme aux objectifs de réparation énoncés à l’art. 3 du </w:t>
      </w:r>
      <w:r w:rsidRPr="00D53356">
        <w:rPr>
          <w:i/>
          <w:sz w:val="20"/>
          <w:lang w:val="fr-CA"/>
        </w:rPr>
        <w:t>Code</w:t>
      </w:r>
      <w:r w:rsidRPr="00D53356">
        <w:rPr>
          <w:sz w:val="20"/>
          <w:lang w:val="fr-CA"/>
        </w:rPr>
        <w:t xml:space="preserve"> puisqu’il permet aux employés d’intenter un plus vaste éventail de recours devant le Tribunal. </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Enfin, bien que l’historique législatif ne soit pas déterminant, il indique que la législature de la Colombie</w:t>
      </w:r>
      <w:r w:rsidRPr="00D53356">
        <w:rPr>
          <w:sz w:val="20"/>
          <w:lang w:val="fr-CA"/>
        </w:rPr>
        <w:noBreakHyphen/>
        <w:t>Britannique avait l’intention d’élargir le champ d’application de l’al. 13(1)b) lorsqu’elle a supprimé le mot [</w:t>
      </w:r>
      <w:r w:rsidRPr="00D53356">
        <w:rPr>
          <w:smallCaps/>
          <w:sz w:val="20"/>
          <w:lang w:val="fr-CA"/>
        </w:rPr>
        <w:t>traduction</w:t>
      </w:r>
      <w:r w:rsidRPr="00D53356">
        <w:rPr>
          <w:sz w:val="20"/>
          <w:lang w:val="fr-CA"/>
        </w:rPr>
        <w:t>] « employeur » et l’a remplacé par le terme beaucoup plus large « personne ».</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En conséquence, appliquant la norme de la décision correcte, le Tribunal n’a pas commis d’erreur en concluant que la conduite de S était visée par l’al. 13(1)b) en dépit du fait qu’il n’était ni l’employeur de S</w:t>
      </w:r>
      <w:r w:rsidRPr="00D53356">
        <w:rPr>
          <w:sz w:val="20"/>
          <w:lang w:val="fr-CA"/>
        </w:rPr>
        <w:noBreakHyphen/>
        <w:t>M ni son superviseur sur son lieu de travail. En tant que contremaître du chantier, il faisait inévitablement partie intégrante du milieu de travail de S</w:t>
      </w:r>
      <w:r w:rsidRPr="00D53356">
        <w:rPr>
          <w:sz w:val="20"/>
          <w:lang w:val="fr-CA"/>
        </w:rPr>
        <w:noBreakHyphen/>
        <w:t>M. Le comportement discriminatoire de S a eu une incidence néfaste sur le milieu de travail puisqu’il a forcé S</w:t>
      </w:r>
      <w:r w:rsidRPr="00D53356">
        <w:rPr>
          <w:sz w:val="20"/>
          <w:lang w:val="fr-CA"/>
        </w:rPr>
        <w:noBreakHyphen/>
        <w:t xml:space="preserve">M à subir des affronts répétés à sa dignité. Ce comportement constituait de la discrimination relativement à l’emploi : il a été </w:t>
      </w:r>
      <w:r w:rsidRPr="00D53356">
        <w:rPr>
          <w:sz w:val="20"/>
          <w:lang w:val="fr-CA"/>
        </w:rPr>
        <w:lastRenderedPageBreak/>
        <w:t>adopté contre un employé par une personne qui faisait partie intégrante du contexte de son travail. La plainte de S</w:t>
      </w:r>
      <w:r w:rsidRPr="00D53356">
        <w:rPr>
          <w:sz w:val="20"/>
          <w:lang w:val="fr-CA"/>
        </w:rPr>
        <w:noBreakHyphen/>
        <w:t xml:space="preserve">M relevait donc de la compétence du Tribunal d’examiner une plainte fondée sur l’al. 13(1)b) du </w:t>
      </w:r>
      <w:r w:rsidRPr="00D53356">
        <w:rPr>
          <w:i/>
          <w:sz w:val="20"/>
          <w:lang w:val="fr-CA"/>
        </w:rPr>
        <w:t>Code</w:t>
      </w:r>
      <w:r w:rsidRPr="00D53356">
        <w:rPr>
          <w:sz w:val="20"/>
          <w:lang w:val="fr-CA"/>
        </w:rPr>
        <w:t>.</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r>
      <w:r w:rsidRPr="00D53356">
        <w:rPr>
          <w:i/>
          <w:sz w:val="20"/>
          <w:lang w:val="fr-CA"/>
        </w:rPr>
        <w:t xml:space="preserve">La </w:t>
      </w:r>
      <w:r w:rsidRPr="00D53356">
        <w:rPr>
          <w:sz w:val="20"/>
          <w:lang w:val="fr-CA"/>
        </w:rPr>
        <w:t xml:space="preserve">juge </w:t>
      </w:r>
      <w:r w:rsidRPr="00D53356">
        <w:rPr>
          <w:b/>
          <w:sz w:val="20"/>
          <w:lang w:val="fr-CA"/>
        </w:rPr>
        <w:t>Abella</w:t>
      </w:r>
      <w:r w:rsidRPr="00D53356">
        <w:rPr>
          <w:sz w:val="20"/>
          <w:lang w:val="fr-CA"/>
        </w:rPr>
        <w:t xml:space="preserve"> : La question en l’espèce est celle de savoir s’il peut y avoir discrimination en matière d’emploi aux termes du </w:t>
      </w:r>
      <w:proofErr w:type="spellStart"/>
      <w:r w:rsidRPr="00D53356">
        <w:rPr>
          <w:i/>
          <w:sz w:val="20"/>
          <w:lang w:val="fr-CA"/>
        </w:rPr>
        <w:t>Human</w:t>
      </w:r>
      <w:proofErr w:type="spellEnd"/>
      <w:r w:rsidRPr="00D53356">
        <w:rPr>
          <w:i/>
          <w:sz w:val="20"/>
          <w:lang w:val="fr-CA"/>
        </w:rPr>
        <w:t xml:space="preserve"> </w:t>
      </w:r>
      <w:proofErr w:type="spellStart"/>
      <w:r w:rsidRPr="00D53356">
        <w:rPr>
          <w:i/>
          <w:sz w:val="20"/>
          <w:lang w:val="fr-CA"/>
        </w:rPr>
        <w:t>Rights</w:t>
      </w:r>
      <w:proofErr w:type="spellEnd"/>
      <w:r w:rsidRPr="00D53356">
        <w:rPr>
          <w:sz w:val="20"/>
          <w:lang w:val="fr-CA"/>
        </w:rPr>
        <w:t xml:space="preserve"> </w:t>
      </w:r>
      <w:r w:rsidRPr="00D53356">
        <w:rPr>
          <w:i/>
          <w:sz w:val="20"/>
          <w:lang w:val="fr-CA"/>
        </w:rPr>
        <w:t>Code</w:t>
      </w:r>
      <w:r w:rsidRPr="00D53356">
        <w:rPr>
          <w:sz w:val="20"/>
          <w:lang w:val="fr-CA"/>
        </w:rPr>
        <w:t xml:space="preserve"> de la Colombie</w:t>
      </w:r>
      <w:r w:rsidRPr="00D53356">
        <w:rPr>
          <w:sz w:val="20"/>
          <w:lang w:val="fr-CA"/>
        </w:rPr>
        <w:noBreakHyphen/>
        <w:t xml:space="preserve">Britannique lorsque le harceleur ne se trouve pas dans une situation d’autorité par rapport au plaignant. L’analyse requiert de se pencher sur ce que représente la discrimination en matière d’emploi d’une manière qui soit compatible avec les principes bien établis par la Cour en droit de la personne et qui en découle, et non uniquement en fonction du libellé particulier du </w:t>
      </w:r>
      <w:r w:rsidRPr="00D53356">
        <w:rPr>
          <w:i/>
          <w:sz w:val="20"/>
          <w:lang w:val="fr-CA"/>
        </w:rPr>
        <w:t>Code</w:t>
      </w:r>
      <w:r w:rsidRPr="00D53356">
        <w:rPr>
          <w:sz w:val="20"/>
          <w:lang w:val="fr-CA"/>
        </w:rPr>
        <w:t xml:space="preserve">. Appliquer ces principes amène à conclure qu’un employé est protégé contre la discrimination reliée ou associée à son emploi, qu’il ou elle se retrouve ou non dans une situation d’autorité. En conséquence, le Tribunal des droits de la personne a compétence pour entendre la plainte. </w:t>
      </w:r>
    </w:p>
    <w:p w:rsidR="002F3C61" w:rsidRPr="00D53356" w:rsidRDefault="002F3C61" w:rsidP="002F3C61">
      <w:pPr>
        <w:pStyle w:val="SCCNormalDoubleSpacing"/>
        <w:spacing w:line="240" w:lineRule="auto"/>
        <w:rPr>
          <w:sz w:val="20"/>
          <w:lang w:val="fr-CA"/>
        </w:rPr>
      </w:pPr>
    </w:p>
    <w:p w:rsidR="002F3C61" w:rsidRDefault="002F3C61" w:rsidP="002F3C61">
      <w:pPr>
        <w:pStyle w:val="ParaNoNdepar-AltN"/>
        <w:numPr>
          <w:ilvl w:val="0"/>
          <w:numId w:val="0"/>
        </w:numPr>
        <w:spacing w:before="0" w:after="0" w:line="240" w:lineRule="auto"/>
        <w:rPr>
          <w:rFonts w:cs="Times New Roman"/>
          <w:sz w:val="20"/>
          <w:szCs w:val="20"/>
        </w:rPr>
      </w:pPr>
      <w:r w:rsidRPr="00D53356">
        <w:rPr>
          <w:rFonts w:cs="Times New Roman"/>
          <w:sz w:val="20"/>
          <w:szCs w:val="20"/>
        </w:rPr>
        <w:tab/>
        <w:t xml:space="preserve">Le point de départ de l’analyse de la discrimination est le test de discrimination </w:t>
      </w:r>
      <w:r w:rsidRPr="00D53356">
        <w:rPr>
          <w:rFonts w:cs="Times New Roman"/>
          <w:i/>
          <w:sz w:val="20"/>
          <w:szCs w:val="20"/>
        </w:rPr>
        <w:t xml:space="preserve">prima </w:t>
      </w:r>
      <w:proofErr w:type="spellStart"/>
      <w:r w:rsidRPr="00D53356">
        <w:rPr>
          <w:rFonts w:cs="Times New Roman"/>
          <w:i/>
          <w:sz w:val="20"/>
          <w:szCs w:val="20"/>
        </w:rPr>
        <w:t>facie</w:t>
      </w:r>
      <w:proofErr w:type="spellEnd"/>
      <w:r w:rsidRPr="00D53356">
        <w:rPr>
          <w:rFonts w:cs="Times New Roman"/>
          <w:sz w:val="20"/>
          <w:szCs w:val="20"/>
        </w:rPr>
        <w:t xml:space="preserve"> énoncé dans l’arrêt </w:t>
      </w:r>
      <w:r w:rsidRPr="00D53356">
        <w:rPr>
          <w:rFonts w:cs="Times New Roman"/>
          <w:i/>
          <w:sz w:val="20"/>
          <w:szCs w:val="20"/>
        </w:rPr>
        <w:t>Moore c. Colombie</w:t>
      </w:r>
      <w:r w:rsidRPr="00D53356">
        <w:rPr>
          <w:rFonts w:cs="Times New Roman"/>
          <w:i/>
          <w:sz w:val="20"/>
          <w:szCs w:val="20"/>
        </w:rPr>
        <w:noBreakHyphen/>
        <w:t>Britannique (Éducation)</w:t>
      </w:r>
      <w:r w:rsidRPr="00D53356">
        <w:rPr>
          <w:rFonts w:cs="Times New Roman"/>
          <w:sz w:val="20"/>
          <w:szCs w:val="20"/>
        </w:rPr>
        <w:t xml:space="preserve">, [2012] 3 R.C.S. 360. Dans le contexte de l’emploi, le plaignant doit démontrer qu’il possède une caractéristique protégée par le </w:t>
      </w:r>
      <w:r w:rsidRPr="00D53356">
        <w:rPr>
          <w:rFonts w:cs="Times New Roman"/>
          <w:i/>
          <w:sz w:val="20"/>
          <w:szCs w:val="20"/>
        </w:rPr>
        <w:t>Code</w:t>
      </w:r>
      <w:r w:rsidRPr="00D53356">
        <w:rPr>
          <w:rFonts w:cs="Times New Roman"/>
          <w:sz w:val="20"/>
          <w:szCs w:val="20"/>
        </w:rPr>
        <w:t>, qu’il a subi un effet préjudiciable « relativement à son emploi », et que la caractéristique protégée a constitué un facteur dans la manifestation de l’effet préjudiciable. La question soulevée par l’al. 13(1</w:t>
      </w:r>
      <w:proofErr w:type="gramStart"/>
      <w:r w:rsidRPr="00D53356">
        <w:rPr>
          <w:rFonts w:cs="Times New Roman"/>
          <w:sz w:val="20"/>
          <w:szCs w:val="20"/>
        </w:rPr>
        <w:t>)(</w:t>
      </w:r>
      <w:proofErr w:type="gramEnd"/>
      <w:r w:rsidRPr="00D53356">
        <w:rPr>
          <w:rFonts w:cs="Times New Roman"/>
          <w:sz w:val="20"/>
          <w:szCs w:val="20"/>
        </w:rPr>
        <w:t xml:space="preserve">b) est de savoir si le plaignant a subi un effet préjudiciable relié ou associé à son emploi. L’alinéa 13(1)b) a pour objet de protéger tous les employés contre l’indignité de la conduite discriminatoire dans un milieu de travail, qu’elle survienne verbalement ou autrement. L’analyse relative à la discrimination a trait à l’effet sur le plaignant, et non à l’intention ou à l’autorité de la personne qui aurait eu une conduite discriminatoire. L’essentiel consiste à savoir si ce harcèlement a un effet préjudiciable sur le milieu de travail du plaignant. La discrimination peut survenir et survient en l’absence d’inégalité de pouvoir économique. Son interprétation ne peut dépendre de hiérarchies techniques d’autorité qui sont susceptibles de faire échec aux objectifs des lois sur les droits de la personne. </w:t>
      </w:r>
      <w:r w:rsidRPr="00D53356">
        <w:rPr>
          <w:rFonts w:cs="Times New Roman"/>
          <w:i/>
          <w:sz w:val="20"/>
          <w:szCs w:val="20"/>
        </w:rPr>
        <w:t xml:space="preserve">Toute </w:t>
      </w:r>
      <w:r w:rsidRPr="00D53356">
        <w:rPr>
          <w:rFonts w:cs="Times New Roman"/>
          <w:sz w:val="20"/>
          <w:szCs w:val="20"/>
        </w:rPr>
        <w:t xml:space="preserve">personne a le droit d’être protégée contre la discrimination en milieu de travail, y compris celles qui sont en situation d’autorité. Cette approche répond à la réalité des milieux de travail modernes, dont bon nombre sont constitués de diverses structures organisationnelles. </w:t>
      </w:r>
    </w:p>
    <w:p w:rsidR="002F3C61" w:rsidRPr="00D53356" w:rsidRDefault="002F3C61" w:rsidP="002F3C61">
      <w:pPr>
        <w:pStyle w:val="ParaNoNdepar-AltN"/>
        <w:numPr>
          <w:ilvl w:val="0"/>
          <w:numId w:val="0"/>
        </w:numPr>
        <w:spacing w:before="0" w:after="0" w:line="240" w:lineRule="auto"/>
        <w:rPr>
          <w:rFonts w:cs="Times New Roman"/>
          <w:sz w:val="20"/>
          <w:szCs w:val="20"/>
        </w:rPr>
      </w:pPr>
    </w:p>
    <w:p w:rsidR="002F3C61" w:rsidRDefault="002F3C61" w:rsidP="002F3C61">
      <w:pPr>
        <w:pStyle w:val="SCCNormalDoubleSpacing"/>
        <w:spacing w:line="240" w:lineRule="auto"/>
        <w:rPr>
          <w:rFonts w:eastAsiaTheme="minorEastAsia"/>
          <w:sz w:val="20"/>
          <w:lang w:val="fr-CA"/>
        </w:rPr>
      </w:pPr>
      <w:r w:rsidRPr="00D53356">
        <w:rPr>
          <w:rFonts w:eastAsiaTheme="minorEastAsia"/>
          <w:sz w:val="20"/>
          <w:lang w:val="fr-CA"/>
        </w:rPr>
        <w:tab/>
        <w:t xml:space="preserve">Bien </w:t>
      </w:r>
      <w:r w:rsidRPr="00D53356">
        <w:rPr>
          <w:sz w:val="20"/>
          <w:lang w:val="fr-CA"/>
        </w:rPr>
        <w:t xml:space="preserve">que les employeurs aient l’obligation et la capacité particulière de lutter contre la discrimination, cela n’empêche pas que des individus ayant une conduite discriminatoire puissent également être tenus responsables, peu importe s’ils se trouvent en situation d’autorité. </w:t>
      </w:r>
      <w:r w:rsidRPr="00D53356">
        <w:rPr>
          <w:rFonts w:eastAsiaTheme="minorEastAsia"/>
          <w:sz w:val="20"/>
          <w:lang w:val="fr-CA"/>
        </w:rPr>
        <w:t xml:space="preserve">Le </w:t>
      </w:r>
      <w:r w:rsidRPr="00D53356">
        <w:rPr>
          <w:sz w:val="20"/>
          <w:lang w:val="fr-CA"/>
        </w:rPr>
        <w:t>fait d’interdire à toutes les « personne[s] » dans un milieu de travail de faire preuve de discrimination reconnaît que la prévention de la discrimination en matière d’emploi est une responsabilité qui incombe à tous ceux qui partagent un milieu de travail. Cela est d’autant plus vrai lorsque l’employeur ne réussit pas, malgré tous ses efforts, à régler la question ou lorsque, comme en l’espèce, la victime de la conduite discriminatoire se trouve elle</w:t>
      </w:r>
      <w:r w:rsidRPr="00D53356">
        <w:rPr>
          <w:sz w:val="20"/>
          <w:lang w:val="fr-CA"/>
        </w:rPr>
        <w:noBreakHyphen/>
        <w:t>même dans une situation comportant une certaine autorité. Le degré de contrôle et la capacité du harceleur à mettre fin à la conduite offensante sont manifestement pertinents, mais ces facteurs relèvent des fondements factuels, et non de la compétence du Tribunal en ce qui a trait à l’examen de la plainte</w:t>
      </w:r>
      <w:r w:rsidRPr="00D53356">
        <w:rPr>
          <w:rFonts w:eastAsiaTheme="minorEastAsia"/>
          <w:sz w:val="20"/>
          <w:lang w:val="fr-CA"/>
        </w:rPr>
        <w:t>.</w:t>
      </w:r>
    </w:p>
    <w:p w:rsidR="002F3C61" w:rsidRPr="00D53356" w:rsidRDefault="002F3C61" w:rsidP="002F3C61">
      <w:pPr>
        <w:pStyle w:val="SCCNormalDoubleSpacing"/>
        <w:spacing w:line="240" w:lineRule="auto"/>
        <w:rPr>
          <w:rFonts w:eastAsiaTheme="minorEastAsia"/>
          <w:sz w:val="20"/>
          <w:lang w:val="fr-CA"/>
        </w:rPr>
      </w:pPr>
    </w:p>
    <w:p w:rsidR="002F3C61" w:rsidRDefault="002F3C61" w:rsidP="002F3C61">
      <w:pPr>
        <w:pStyle w:val="SCCNormalDoubleSpacing"/>
        <w:spacing w:line="240" w:lineRule="auto"/>
        <w:rPr>
          <w:sz w:val="20"/>
          <w:lang w:val="fr-CA"/>
        </w:rPr>
      </w:pPr>
      <w:r w:rsidRPr="00D53356">
        <w:rPr>
          <w:sz w:val="20"/>
          <w:lang w:val="fr-CA"/>
        </w:rPr>
        <w:tab/>
      </w:r>
      <w:r w:rsidRPr="00D53356">
        <w:rPr>
          <w:i/>
          <w:sz w:val="20"/>
          <w:lang w:val="fr-CA"/>
        </w:rPr>
        <w:t>La</w:t>
      </w:r>
      <w:r w:rsidRPr="00D53356">
        <w:rPr>
          <w:sz w:val="20"/>
          <w:lang w:val="fr-CA"/>
        </w:rPr>
        <w:t xml:space="preserve"> juge en chef </w:t>
      </w:r>
      <w:proofErr w:type="spellStart"/>
      <w:r w:rsidRPr="00D53356">
        <w:rPr>
          <w:b/>
          <w:sz w:val="20"/>
          <w:lang w:val="fr-CA"/>
        </w:rPr>
        <w:t>McLachlin</w:t>
      </w:r>
      <w:proofErr w:type="spellEnd"/>
      <w:r w:rsidRPr="00D53356">
        <w:rPr>
          <w:sz w:val="20"/>
          <w:lang w:val="fr-CA"/>
        </w:rPr>
        <w:t xml:space="preserve"> et les juges Côté et Brown (dissidents) : L’interdiction relative à la discrimination en milieu de travail prévue à l’al. 13(1)b) du </w:t>
      </w:r>
      <w:proofErr w:type="spellStart"/>
      <w:r w:rsidRPr="00D53356">
        <w:rPr>
          <w:i/>
          <w:sz w:val="20"/>
          <w:lang w:val="fr-CA"/>
        </w:rPr>
        <w:t>Human</w:t>
      </w:r>
      <w:proofErr w:type="spellEnd"/>
      <w:r w:rsidRPr="00D53356">
        <w:rPr>
          <w:i/>
          <w:sz w:val="20"/>
          <w:lang w:val="fr-CA"/>
        </w:rPr>
        <w:t xml:space="preserve"> </w:t>
      </w:r>
      <w:proofErr w:type="spellStart"/>
      <w:r w:rsidRPr="00D53356">
        <w:rPr>
          <w:i/>
          <w:sz w:val="20"/>
          <w:lang w:val="fr-CA"/>
        </w:rPr>
        <w:t>Rights</w:t>
      </w:r>
      <w:proofErr w:type="spellEnd"/>
      <w:r w:rsidRPr="00D53356">
        <w:rPr>
          <w:i/>
          <w:sz w:val="20"/>
          <w:lang w:val="fr-CA"/>
        </w:rPr>
        <w:t xml:space="preserve"> Code</w:t>
      </w:r>
      <w:r w:rsidRPr="00D53356">
        <w:rPr>
          <w:sz w:val="20"/>
          <w:lang w:val="fr-CA"/>
        </w:rPr>
        <w:t xml:space="preserve"> s’applique seulement aux relations employeurs</w:t>
      </w:r>
      <w:r w:rsidRPr="00D53356">
        <w:rPr>
          <w:sz w:val="20"/>
          <w:lang w:val="fr-CA"/>
        </w:rPr>
        <w:noBreakHyphen/>
        <w:t>employés et aux relations semblables et permet que des plaintes soient portées contre les personnes responsables de faire en sorte que les milieux de travail sont exempts de discrimination. Cette conclusion est compatible avec le libellé, le contexte et l’objet de l’al. 13(1)b), ainsi qu’avec la jurisprudence. En conséquence, le Tribunal des droits de la personne n’avait pas compétence pour examiner la plainte.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 xml:space="preserve">Le texte de la disposition suggère globalement que le législateur voulait cibler la discrimination commise directement par un employeur ou une personne qui entretient une relation semblable à une relation d’emploi avec le plaignant, ou la discrimination causée par leur inaction. L’article premier du </w:t>
      </w:r>
      <w:r w:rsidRPr="00D53356">
        <w:rPr>
          <w:i/>
          <w:sz w:val="20"/>
          <w:lang w:val="fr-CA"/>
        </w:rPr>
        <w:t>Code</w:t>
      </w:r>
      <w:r w:rsidRPr="00D53356">
        <w:rPr>
          <w:sz w:val="20"/>
          <w:lang w:val="fr-CA"/>
        </w:rPr>
        <w:t xml:space="preserve"> définit le mot [</w:t>
      </w:r>
      <w:r w:rsidRPr="00D53356">
        <w:rPr>
          <w:smallCaps/>
          <w:sz w:val="20"/>
          <w:lang w:val="fr-CA"/>
        </w:rPr>
        <w:t>traduction</w:t>
      </w:r>
      <w:r w:rsidRPr="00D53356">
        <w:rPr>
          <w:sz w:val="20"/>
          <w:lang w:val="fr-CA"/>
        </w:rPr>
        <w:t>] « emploi » sous l’angle de la relation entre le plaignant et l’employeur, le commettant, le maître ou le mandant, ce qui tend à indiquer que c’est la nature ou l’étendue de la responsabilité à l’égard du travail ou du milieu de travail qui détermine qui peut faire preuve de discrimination « relativement à l’emploi» pour l’application de l’al. 13(1)b). L’utilisation du mot « personne » au début du par. 13(1) n’a aucune incidence sur le champ d’application de la disposition puisque les mots contrôlant l’étendue de la protection sont « relativement à l’emploi ».</w:t>
      </w:r>
    </w:p>
    <w:p w:rsidR="002F3C61" w:rsidRPr="00D53356" w:rsidRDefault="002F3C61" w:rsidP="002F3C61">
      <w:pPr>
        <w:pStyle w:val="SCCNormalDoubleSpacing"/>
        <w:spacing w:line="240" w:lineRule="auto"/>
        <w:rPr>
          <w:sz w:val="20"/>
          <w:lang w:val="fr-CA"/>
        </w:rPr>
      </w:pPr>
    </w:p>
    <w:p w:rsidR="002F3C61" w:rsidRDefault="002F3C61" w:rsidP="002F3C61">
      <w:pPr>
        <w:pStyle w:val="ParaNoNdepar-AltN"/>
        <w:numPr>
          <w:ilvl w:val="0"/>
          <w:numId w:val="0"/>
        </w:numPr>
        <w:tabs>
          <w:tab w:val="left" w:pos="708"/>
        </w:tabs>
        <w:spacing w:before="0" w:after="0" w:line="240" w:lineRule="auto"/>
        <w:rPr>
          <w:rFonts w:cs="Times New Roman"/>
          <w:sz w:val="20"/>
          <w:szCs w:val="20"/>
        </w:rPr>
      </w:pPr>
      <w:r w:rsidRPr="00D53356">
        <w:rPr>
          <w:rFonts w:cs="Times New Roman"/>
          <w:sz w:val="20"/>
          <w:szCs w:val="20"/>
        </w:rPr>
        <w:tab/>
        <w:t xml:space="preserve">Une interprétation contextuelle du par. 13(1) étaye également ce point de vue. Premièrement, l’art. 14 prévoit une protection distincte contre la discrimination dont se rendent coupables les syndicats et les associations. Si l’al. 13(1)b) était interprété de façon à permettre que des plaintes soient faites contre qui que ce soit dans le milieu de travail, une </w:t>
      </w:r>
      <w:r w:rsidRPr="00D53356">
        <w:rPr>
          <w:rFonts w:cs="Times New Roman"/>
          <w:sz w:val="20"/>
          <w:szCs w:val="20"/>
        </w:rPr>
        <w:lastRenderedPageBreak/>
        <w:t xml:space="preserve">grande partie de l’art. 14 serait redondante. Deuxièmement, le régime du </w:t>
      </w:r>
      <w:r w:rsidRPr="00D53356">
        <w:rPr>
          <w:rFonts w:cs="Times New Roman"/>
          <w:i/>
          <w:sz w:val="20"/>
          <w:szCs w:val="20"/>
        </w:rPr>
        <w:t>Code</w:t>
      </w:r>
      <w:r w:rsidRPr="00D53356">
        <w:rPr>
          <w:rFonts w:cs="Times New Roman"/>
          <w:sz w:val="20"/>
          <w:szCs w:val="20"/>
        </w:rPr>
        <w:t xml:space="preserve"> suggère que </w:t>
      </w:r>
      <w:proofErr w:type="gramStart"/>
      <w:r w:rsidRPr="00D53356">
        <w:rPr>
          <w:rFonts w:cs="Times New Roman"/>
          <w:sz w:val="20"/>
          <w:szCs w:val="20"/>
        </w:rPr>
        <w:t>les art</w:t>
      </w:r>
      <w:proofErr w:type="gramEnd"/>
      <w:r w:rsidRPr="00D53356">
        <w:rPr>
          <w:rFonts w:cs="Times New Roman"/>
          <w:sz w:val="20"/>
          <w:szCs w:val="20"/>
        </w:rPr>
        <w:t xml:space="preserve">. 7 à 14 n’étaient pas censés régir des actes privés de discrimination entre particuliers de façon générale. Dans les dispositions où l’interdiction peut sembler à première vue assez vaste pour englober des communications ou des interactions privées entre particuliers plus généralement, des exclusions précises sont prévues. Il n’y a pas de telles exclusions à l’al. 13(1)b), tout simplement parce que cette disposition ne devait pas s’appliquer à des plaintes aussi larges. Troisièmement, le régime du </w:t>
      </w:r>
      <w:r w:rsidRPr="00D53356">
        <w:rPr>
          <w:rFonts w:cs="Times New Roman"/>
          <w:i/>
          <w:sz w:val="20"/>
          <w:szCs w:val="20"/>
        </w:rPr>
        <w:t>Code</w:t>
      </w:r>
      <w:r w:rsidRPr="00D53356">
        <w:rPr>
          <w:rFonts w:cs="Times New Roman"/>
          <w:sz w:val="20"/>
          <w:szCs w:val="20"/>
        </w:rPr>
        <w:t xml:space="preserve"> appuie également la thèse selon laquelle le législateur voulait viser les inégalités de pouvoir — plutôt que de viser tous les actes de discrimination, il s’est concentré sur la discrimination exercée par des personnes qui sont en position de pouvoir par rapport à des individus plus vulnérables. Quatrièmement, si l’al. 13(1)b) permettait le dépôt d’une plainte contre S en raison des courriels qu’il a envoyés après son renvoi du projet et du milieu de travail, la façon dont cette disposition et le par. 7(2) pourraient être conciliés n’est pas claire. Conformément à cette disposition, aucune plainte ne peut être portée en raison d’une communication discriminatoire, mais privée, entre particuliers. Finalement, le par. 44(2) du </w:t>
      </w:r>
      <w:r w:rsidRPr="00D53356">
        <w:rPr>
          <w:rFonts w:cs="Times New Roman"/>
          <w:i/>
          <w:sz w:val="20"/>
          <w:szCs w:val="20"/>
        </w:rPr>
        <w:t>Code</w:t>
      </w:r>
      <w:r w:rsidRPr="00D53356">
        <w:rPr>
          <w:rFonts w:cs="Times New Roman"/>
          <w:sz w:val="20"/>
          <w:szCs w:val="20"/>
        </w:rPr>
        <w:t xml:space="preserve"> confirme l’intention du législateur de cibler la discrimination découlant d’une relation d’emploi ou d’une relation équivalente. Il fait en sorte que les employeurs et leurs équivalents sont défendeurs dans les plaintes relatives à la discrimination en milieu de travail.</w:t>
      </w:r>
    </w:p>
    <w:p w:rsidR="002F3C61" w:rsidRPr="00D53356" w:rsidRDefault="002F3C61" w:rsidP="002F3C61">
      <w:pPr>
        <w:pStyle w:val="ParaNoNdepar-AltN"/>
        <w:numPr>
          <w:ilvl w:val="0"/>
          <w:numId w:val="0"/>
        </w:numPr>
        <w:tabs>
          <w:tab w:val="left" w:pos="708"/>
        </w:tabs>
        <w:spacing w:before="0" w:after="0" w:line="240" w:lineRule="auto"/>
        <w:rPr>
          <w:rFonts w:cs="Times New Roman"/>
          <w:sz w:val="20"/>
          <w:szCs w:val="20"/>
        </w:rPr>
      </w:pPr>
    </w:p>
    <w:p w:rsidR="002F3C61" w:rsidRDefault="002F3C61" w:rsidP="002F3C61">
      <w:pPr>
        <w:pStyle w:val="SCCNormalDoubleSpacing"/>
        <w:spacing w:line="240" w:lineRule="auto"/>
        <w:rPr>
          <w:sz w:val="20"/>
          <w:lang w:val="fr-CA"/>
        </w:rPr>
      </w:pPr>
      <w:r w:rsidRPr="00D53356">
        <w:rPr>
          <w:sz w:val="20"/>
          <w:lang w:val="fr-CA"/>
        </w:rPr>
        <w:tab/>
        <w:t xml:space="preserve">Le fait que le législateur a choisi de se concentrer sur les personnes responsables d’assurer que le milieu de travail est exempt de discrimination confirme aussi l’objet du </w:t>
      </w:r>
      <w:r w:rsidRPr="00D53356">
        <w:rPr>
          <w:i/>
          <w:sz w:val="20"/>
          <w:lang w:val="fr-CA"/>
        </w:rPr>
        <w:t>Code</w:t>
      </w:r>
      <w:r w:rsidRPr="00D53356">
        <w:rPr>
          <w:sz w:val="20"/>
          <w:lang w:val="fr-CA"/>
        </w:rPr>
        <w:t xml:space="preserve">. Si elles faillissent à la tâche d’intervenir pour prévenir la discrimination ou y remédier, l’al. 13(1)b) s’applique. Bien que cette interprétation puisse laisser sans recours fondés sur le </w:t>
      </w:r>
      <w:r w:rsidRPr="00D53356">
        <w:rPr>
          <w:i/>
          <w:sz w:val="20"/>
          <w:lang w:val="fr-CA"/>
        </w:rPr>
        <w:t>Code</w:t>
      </w:r>
      <w:r w:rsidRPr="00D53356">
        <w:rPr>
          <w:sz w:val="20"/>
          <w:lang w:val="fr-CA"/>
        </w:rPr>
        <w:t xml:space="preserve"> certaines victimes de la discrimination de la part de leurs collègues, le recours d’un employé est de s’adresser à l’employeur ou à la personne responsable de s’assurer que le milieu de travail est exempt de discrimination. Si l’employeur ne fait pas cesser le comportement discriminatoire, l’employé peut intenter un recours contre lui en vertu de l’art. 43 du </w:t>
      </w:r>
      <w:r w:rsidRPr="00D53356">
        <w:rPr>
          <w:i/>
          <w:sz w:val="20"/>
          <w:lang w:val="fr-CA"/>
        </w:rPr>
        <w:t>Code</w:t>
      </w:r>
      <w:r w:rsidRPr="00D53356">
        <w:rPr>
          <w:sz w:val="20"/>
          <w:lang w:val="fr-CA"/>
        </w:rPr>
        <w:t>.</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D53356">
        <w:rPr>
          <w:sz w:val="20"/>
          <w:lang w:val="fr-CA"/>
        </w:rPr>
        <w:tab/>
        <w:t>Finalement, l’interprétation de l’al. 13(1)b) reposant sur les responsabilités de l’employeur et ses équivalents est conforme à la jurisprudence, tandis que l’interprétation large proposée par les juges majoritaires serait contraire à la jurisprudence de deux façons. D’abord, elle restreindrait le principe selon lequel la nature de la relation entre le plaignant et le défendeur est décisive pour juger de l’application ou non de l’al. 13(1)b). Ensuite, il est difficile de voir comment une personne dans une position de collègue, comme S, pourrait justifier sa conduite par une norme professionnelle justifiée.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sz w:val="20"/>
          <w:lang w:val="fr-CA"/>
        </w:rPr>
      </w:pPr>
      <w:r w:rsidRPr="002F3C61">
        <w:rPr>
          <w:sz w:val="20"/>
          <w:lang w:val="fr-CA"/>
        </w:rPr>
        <w:tab/>
      </w:r>
      <w:r w:rsidRPr="00F964D5">
        <w:rPr>
          <w:sz w:val="20"/>
          <w:lang w:val="fr-CA"/>
        </w:rPr>
        <w:t>POURVOI contre un arrêt de la Cour d’appel de la Colombie</w:t>
      </w:r>
      <w:r w:rsidRPr="00F964D5">
        <w:rPr>
          <w:sz w:val="20"/>
          <w:lang w:val="fr-CA"/>
        </w:rPr>
        <w:noBreakHyphen/>
        <w:t xml:space="preserve">Britannique (les juges </w:t>
      </w:r>
      <w:proofErr w:type="spellStart"/>
      <w:r w:rsidRPr="00F964D5">
        <w:rPr>
          <w:sz w:val="20"/>
          <w:lang w:val="fr-CA"/>
        </w:rPr>
        <w:t>MacKenzie</w:t>
      </w:r>
      <w:proofErr w:type="spellEnd"/>
      <w:r w:rsidRPr="00F964D5">
        <w:rPr>
          <w:sz w:val="20"/>
          <w:lang w:val="fr-CA"/>
        </w:rPr>
        <w:t xml:space="preserve">, </w:t>
      </w:r>
      <w:proofErr w:type="spellStart"/>
      <w:r w:rsidRPr="00F964D5">
        <w:rPr>
          <w:sz w:val="20"/>
          <w:lang w:val="fr-CA"/>
        </w:rPr>
        <w:t>Willcock</w:t>
      </w:r>
      <w:proofErr w:type="spellEnd"/>
      <w:r w:rsidRPr="00F964D5">
        <w:rPr>
          <w:sz w:val="20"/>
          <w:lang w:val="fr-CA"/>
        </w:rPr>
        <w:t xml:space="preserve"> et </w:t>
      </w:r>
      <w:proofErr w:type="spellStart"/>
      <w:r w:rsidRPr="00F964D5">
        <w:rPr>
          <w:sz w:val="20"/>
          <w:lang w:val="fr-CA"/>
        </w:rPr>
        <w:t>Fenlon</w:t>
      </w:r>
      <w:proofErr w:type="spellEnd"/>
      <w:r w:rsidRPr="00F964D5">
        <w:rPr>
          <w:sz w:val="20"/>
          <w:lang w:val="fr-CA"/>
        </w:rPr>
        <w:t>), 2016 BCCA 146, 86 B.C.L.R. (5th) 221, 385 B.C.A.C. 185, 665 W.A.C. 185, 2016 CLLC ¶230</w:t>
      </w:r>
      <w:r w:rsidRPr="00F964D5">
        <w:rPr>
          <w:sz w:val="20"/>
          <w:lang w:val="fr-CA"/>
        </w:rPr>
        <w:noBreakHyphen/>
        <w:t xml:space="preserve">025, [2016] 9 W.W.R. 440, 400 D.L.R. (4th) 44, 84 C.H.R.R. D/40, [2016] B.C.J. No. 658 (QL), 2016 </w:t>
      </w:r>
      <w:proofErr w:type="spellStart"/>
      <w:r w:rsidRPr="00F964D5">
        <w:rPr>
          <w:sz w:val="20"/>
          <w:lang w:val="fr-CA"/>
        </w:rPr>
        <w:t>CarswellBC</w:t>
      </w:r>
      <w:proofErr w:type="spellEnd"/>
      <w:r w:rsidRPr="00F964D5">
        <w:rPr>
          <w:sz w:val="20"/>
          <w:lang w:val="fr-CA"/>
        </w:rPr>
        <w:t xml:space="preserve"> 869 (WL Can.), qui a infirmé une décision de la juge Brown, 2015 BCSC 1342, [2015] B.C.J. No. 1629 (QL), 2015 </w:t>
      </w:r>
      <w:proofErr w:type="spellStart"/>
      <w:r w:rsidRPr="00F964D5">
        <w:rPr>
          <w:sz w:val="20"/>
          <w:lang w:val="fr-CA"/>
        </w:rPr>
        <w:t>CarswellBC</w:t>
      </w:r>
      <w:proofErr w:type="spellEnd"/>
      <w:r w:rsidRPr="00F964D5">
        <w:rPr>
          <w:sz w:val="20"/>
          <w:lang w:val="fr-CA"/>
        </w:rPr>
        <w:t xml:space="preserve"> 2155 (WL Can.), confirmant une décision du British Columbia </w:t>
      </w:r>
      <w:proofErr w:type="spellStart"/>
      <w:r w:rsidRPr="00F964D5">
        <w:rPr>
          <w:sz w:val="20"/>
          <w:lang w:val="fr-CA"/>
        </w:rPr>
        <w:t>Human</w:t>
      </w:r>
      <w:proofErr w:type="spellEnd"/>
      <w:r w:rsidRPr="00F964D5">
        <w:rPr>
          <w:sz w:val="20"/>
          <w:lang w:val="fr-CA"/>
        </w:rPr>
        <w:t xml:space="preserve"> </w:t>
      </w:r>
      <w:proofErr w:type="spellStart"/>
      <w:r w:rsidRPr="00F964D5">
        <w:rPr>
          <w:sz w:val="20"/>
          <w:lang w:val="fr-CA"/>
        </w:rPr>
        <w:t>Rights</w:t>
      </w:r>
      <w:proofErr w:type="spellEnd"/>
      <w:r w:rsidRPr="00F964D5">
        <w:rPr>
          <w:sz w:val="20"/>
          <w:lang w:val="fr-CA"/>
        </w:rPr>
        <w:t xml:space="preserve"> Tribunal, 2015 BCHRT 17, [2015] B.C.H.R.T.D. No. 17 (QL), 2015 </w:t>
      </w:r>
      <w:proofErr w:type="spellStart"/>
      <w:r w:rsidRPr="00F964D5">
        <w:rPr>
          <w:sz w:val="20"/>
          <w:lang w:val="fr-CA"/>
        </w:rPr>
        <w:t>CarswellBC</w:t>
      </w:r>
      <w:proofErr w:type="spellEnd"/>
      <w:r w:rsidRPr="00F964D5">
        <w:rPr>
          <w:sz w:val="20"/>
          <w:lang w:val="fr-CA"/>
        </w:rPr>
        <w:t xml:space="preserve"> 190 (WL Can.). </w:t>
      </w:r>
      <w:r w:rsidRPr="00D53356">
        <w:rPr>
          <w:sz w:val="20"/>
          <w:lang w:val="fr-CA"/>
        </w:rPr>
        <w:t xml:space="preserve">Pourvoi accueilli, la juge en chef </w:t>
      </w:r>
      <w:proofErr w:type="spellStart"/>
      <w:r w:rsidRPr="00D53356">
        <w:rPr>
          <w:sz w:val="20"/>
          <w:lang w:val="fr-CA"/>
        </w:rPr>
        <w:t>McLachlin</w:t>
      </w:r>
      <w:proofErr w:type="spellEnd"/>
      <w:r w:rsidRPr="00D53356">
        <w:rPr>
          <w:sz w:val="20"/>
          <w:lang w:val="fr-CA"/>
        </w:rPr>
        <w:t xml:space="preserve"> et les juges Côté et Brown sont dissidents.</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lang w:val="fr-CA"/>
        </w:rPr>
        <w:tab/>
        <w:t>Katherine Hardie</w:t>
      </w:r>
      <w:r w:rsidRPr="00D53356">
        <w:rPr>
          <w:rStyle w:val="SCCCounselSeparatorChar"/>
          <w:rFonts w:eastAsia="Calibri"/>
          <w:sz w:val="20"/>
        </w:rPr>
        <w:t xml:space="preserve"> et </w:t>
      </w:r>
      <w:proofErr w:type="spellStart"/>
      <w:r w:rsidRPr="00D53356">
        <w:rPr>
          <w:rStyle w:val="SCCCounselNameChar"/>
          <w:sz w:val="20"/>
          <w:lang w:val="fr-CA"/>
        </w:rPr>
        <w:t>Devyn</w:t>
      </w:r>
      <w:proofErr w:type="spellEnd"/>
      <w:r w:rsidRPr="00D53356">
        <w:rPr>
          <w:rStyle w:val="SCCCounselNameChar"/>
          <w:sz w:val="20"/>
          <w:lang w:val="fr-CA"/>
        </w:rPr>
        <w:t xml:space="preserve"> Cousineau</w:t>
      </w:r>
      <w:r w:rsidRPr="00D53356">
        <w:rPr>
          <w:rStyle w:val="SCCCounselPartyRoleChar"/>
          <w:sz w:val="20"/>
          <w:lang w:val="fr-CA"/>
        </w:rPr>
        <w:t>, pour l’appelant.</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lang w:val="fr-CA"/>
        </w:rPr>
        <w:tab/>
        <w:t xml:space="preserve">Mark D. Andrews, </w:t>
      </w:r>
      <w:proofErr w:type="spellStart"/>
      <w:proofErr w:type="gramStart"/>
      <w:r w:rsidRPr="00D53356">
        <w:rPr>
          <w:rStyle w:val="SCCCounselNameChar"/>
          <w:sz w:val="20"/>
          <w:lang w:val="fr-CA"/>
        </w:rPr>
        <w:t>c.r</w:t>
      </w:r>
      <w:proofErr w:type="spellEnd"/>
      <w:r w:rsidRPr="00D53356">
        <w:rPr>
          <w:rStyle w:val="SCCCounselNameChar"/>
          <w:sz w:val="20"/>
          <w:lang w:val="fr-CA"/>
        </w:rPr>
        <w:t>.</w:t>
      </w:r>
      <w:r w:rsidRPr="00D53356">
        <w:rPr>
          <w:rStyle w:val="SCCCounselSeparatorChar"/>
          <w:rFonts w:eastAsia="Calibri"/>
          <w:sz w:val="20"/>
        </w:rPr>
        <w:t>,</w:t>
      </w:r>
      <w:proofErr w:type="gramEnd"/>
      <w:r w:rsidRPr="00D53356">
        <w:rPr>
          <w:rStyle w:val="SCCCounselSeparatorChar"/>
          <w:rFonts w:eastAsia="Calibri"/>
          <w:sz w:val="20"/>
        </w:rPr>
        <w:t xml:space="preserve"> </w:t>
      </w:r>
      <w:r w:rsidRPr="00D53356">
        <w:rPr>
          <w:rStyle w:val="SCCCounselNameChar"/>
          <w:sz w:val="20"/>
          <w:lang w:val="fr-CA"/>
        </w:rPr>
        <w:t>David G. Wong</w:t>
      </w:r>
      <w:r w:rsidRPr="00D53356">
        <w:rPr>
          <w:rStyle w:val="SCCCounselSeparatorChar"/>
          <w:rFonts w:eastAsia="Calibri"/>
          <w:sz w:val="20"/>
        </w:rPr>
        <w:t xml:space="preserve"> et</w:t>
      </w:r>
      <w:r w:rsidRPr="00D53356">
        <w:rPr>
          <w:rStyle w:val="SCCCounselNameChar"/>
          <w:sz w:val="20"/>
          <w:lang w:val="fr-CA"/>
        </w:rPr>
        <w:t xml:space="preserve"> </w:t>
      </w:r>
      <w:proofErr w:type="spellStart"/>
      <w:r w:rsidRPr="00D53356">
        <w:rPr>
          <w:rStyle w:val="SCCCounselNameChar"/>
          <w:sz w:val="20"/>
          <w:lang w:val="fr-CA"/>
        </w:rPr>
        <w:t>Stephanie</w:t>
      </w:r>
      <w:proofErr w:type="spellEnd"/>
      <w:r w:rsidRPr="00D53356">
        <w:rPr>
          <w:rStyle w:val="SCCCounselNameChar"/>
          <w:sz w:val="20"/>
          <w:lang w:val="fr-CA"/>
        </w:rPr>
        <w:t> D. Gutierrez</w:t>
      </w:r>
      <w:r w:rsidRPr="00D53356">
        <w:rPr>
          <w:rStyle w:val="SCCCounselPartyRoleChar"/>
          <w:sz w:val="20"/>
          <w:lang w:val="fr-CA"/>
        </w:rPr>
        <w:t>, pour l’intimé.</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lang w:val="fr-CA"/>
        </w:rPr>
        <w:tab/>
        <w:t>Douglas Wray et Jesse Kugler</w:t>
      </w:r>
      <w:r w:rsidRPr="00D53356">
        <w:rPr>
          <w:rStyle w:val="SCCCounselPartyRoleChar"/>
          <w:sz w:val="20"/>
          <w:lang w:val="fr-CA"/>
        </w:rPr>
        <w:t>, pour l’intervenante l’Association canadienne des avocats du mouvement syndical.</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lang w:val="fr-CA"/>
        </w:rPr>
        <w:tab/>
        <w:t xml:space="preserve">David </w:t>
      </w:r>
      <w:proofErr w:type="spellStart"/>
      <w:r w:rsidRPr="00D53356">
        <w:rPr>
          <w:rStyle w:val="SCCCounselNameChar"/>
          <w:sz w:val="20"/>
          <w:lang w:val="fr-CA"/>
        </w:rPr>
        <w:t>Outerbridge</w:t>
      </w:r>
      <w:proofErr w:type="spellEnd"/>
      <w:r w:rsidRPr="00D53356">
        <w:rPr>
          <w:rStyle w:val="SCCCounselSeparatorChar"/>
          <w:rFonts w:eastAsia="Calibri"/>
          <w:sz w:val="20"/>
        </w:rPr>
        <w:t xml:space="preserve"> et </w:t>
      </w:r>
      <w:r w:rsidRPr="00D53356">
        <w:rPr>
          <w:rStyle w:val="SCCCounselNameChar"/>
          <w:sz w:val="20"/>
          <w:lang w:val="fr-CA"/>
        </w:rPr>
        <w:t xml:space="preserve">Jeremy </w:t>
      </w:r>
      <w:proofErr w:type="spellStart"/>
      <w:r w:rsidRPr="00D53356">
        <w:rPr>
          <w:rStyle w:val="SCCCounselNameChar"/>
          <w:sz w:val="20"/>
          <w:lang w:val="fr-CA"/>
        </w:rPr>
        <w:t>Opolsky</w:t>
      </w:r>
      <w:proofErr w:type="spellEnd"/>
      <w:r w:rsidRPr="00D53356">
        <w:rPr>
          <w:rStyle w:val="SCCCounselPartyRoleChar"/>
          <w:sz w:val="20"/>
          <w:lang w:val="fr-CA"/>
        </w:rPr>
        <w:t>, pour l’intervenante l’Association canadienne de la construction.</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rPr>
      </w:pPr>
      <w:r w:rsidRPr="00D53356">
        <w:rPr>
          <w:rStyle w:val="SCCCounselNameChar"/>
          <w:sz w:val="20"/>
          <w:lang w:val="fr-CA"/>
        </w:rPr>
        <w:tab/>
      </w:r>
      <w:r w:rsidRPr="00D53356">
        <w:rPr>
          <w:rStyle w:val="SCCCounselNameChar"/>
          <w:sz w:val="20"/>
        </w:rPr>
        <w:t>Lindsay M. </w:t>
      </w:r>
      <w:proofErr w:type="spellStart"/>
      <w:r w:rsidRPr="00D53356">
        <w:rPr>
          <w:rStyle w:val="SCCCounselNameChar"/>
          <w:sz w:val="20"/>
        </w:rPr>
        <w:t>Lyster</w:t>
      </w:r>
      <w:proofErr w:type="spellEnd"/>
      <w:r w:rsidRPr="002F3C61">
        <w:rPr>
          <w:rStyle w:val="SCCCounselSeparatorChar"/>
          <w:rFonts w:eastAsia="Calibri"/>
          <w:sz w:val="20"/>
          <w:lang w:val="en-US"/>
        </w:rPr>
        <w:t xml:space="preserve"> </w:t>
      </w:r>
      <w:proofErr w:type="gramStart"/>
      <w:r w:rsidRPr="002F3C61">
        <w:rPr>
          <w:rStyle w:val="SCCCounselSeparatorChar"/>
          <w:rFonts w:eastAsia="Calibri"/>
          <w:sz w:val="20"/>
          <w:lang w:val="en-US"/>
        </w:rPr>
        <w:t>et</w:t>
      </w:r>
      <w:proofErr w:type="gramEnd"/>
      <w:r w:rsidRPr="002F3C61">
        <w:rPr>
          <w:rStyle w:val="SCCCounselSeparatorChar"/>
          <w:rFonts w:eastAsia="Calibri"/>
          <w:sz w:val="20"/>
          <w:lang w:val="en-US"/>
        </w:rPr>
        <w:t xml:space="preserve"> </w:t>
      </w:r>
      <w:r w:rsidRPr="00D53356">
        <w:rPr>
          <w:rStyle w:val="SCCCounselNameChar"/>
          <w:sz w:val="20"/>
        </w:rPr>
        <w:t xml:space="preserve">Juliana </w:t>
      </w:r>
      <w:proofErr w:type="spellStart"/>
      <w:r w:rsidRPr="00D53356">
        <w:rPr>
          <w:rStyle w:val="SCCCounselNameChar"/>
          <w:sz w:val="20"/>
        </w:rPr>
        <w:t>Dalley</w:t>
      </w:r>
      <w:proofErr w:type="spellEnd"/>
      <w:r w:rsidRPr="00D53356">
        <w:rPr>
          <w:rStyle w:val="SCCCounselPartyRoleChar"/>
          <w:sz w:val="20"/>
        </w:rPr>
        <w:t xml:space="preserve">, pour </w:t>
      </w:r>
      <w:proofErr w:type="spellStart"/>
      <w:r w:rsidRPr="00D53356">
        <w:rPr>
          <w:rStyle w:val="SCCCounselPartyRoleChar"/>
          <w:sz w:val="20"/>
        </w:rPr>
        <w:t>l’intervenante</w:t>
      </w:r>
      <w:proofErr w:type="spellEnd"/>
      <w:r w:rsidRPr="00D53356">
        <w:rPr>
          <w:rStyle w:val="SCCCounselPartyRoleChar"/>
          <w:sz w:val="20"/>
        </w:rPr>
        <w:t xml:space="preserve"> Community Legal Assistance Society.</w:t>
      </w:r>
    </w:p>
    <w:p w:rsidR="002F3C61" w:rsidRPr="00D53356"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D53356">
        <w:rPr>
          <w:rStyle w:val="SCCCounselNameChar"/>
          <w:sz w:val="20"/>
        </w:rPr>
        <w:tab/>
      </w:r>
      <w:proofErr w:type="spellStart"/>
      <w:r w:rsidRPr="00D53356">
        <w:rPr>
          <w:rStyle w:val="SCCCounselNameChar"/>
          <w:sz w:val="20"/>
        </w:rPr>
        <w:t>Clea</w:t>
      </w:r>
      <w:proofErr w:type="spellEnd"/>
      <w:r w:rsidRPr="00D53356">
        <w:rPr>
          <w:rStyle w:val="SCCCounselNameChar"/>
          <w:sz w:val="20"/>
        </w:rPr>
        <w:t> F. Parfitt</w:t>
      </w:r>
      <w:r w:rsidRPr="002F3C61">
        <w:rPr>
          <w:rStyle w:val="SCCCounselSeparatorChar"/>
          <w:rFonts w:eastAsia="Calibri"/>
          <w:sz w:val="20"/>
          <w:lang w:val="en-US"/>
        </w:rPr>
        <w:t xml:space="preserve"> </w:t>
      </w:r>
      <w:proofErr w:type="gramStart"/>
      <w:r w:rsidRPr="002F3C61">
        <w:rPr>
          <w:rStyle w:val="SCCCounselSeparatorChar"/>
          <w:rFonts w:eastAsia="Calibri"/>
          <w:sz w:val="20"/>
          <w:lang w:val="en-US"/>
        </w:rPr>
        <w:t>et</w:t>
      </w:r>
      <w:proofErr w:type="gramEnd"/>
      <w:r w:rsidRPr="002F3C61">
        <w:rPr>
          <w:rStyle w:val="SCCCounselSeparatorChar"/>
          <w:rFonts w:eastAsia="Calibri"/>
          <w:sz w:val="20"/>
          <w:lang w:val="en-US"/>
        </w:rPr>
        <w:t xml:space="preserve"> </w:t>
      </w:r>
      <w:proofErr w:type="spellStart"/>
      <w:r w:rsidRPr="00D53356">
        <w:rPr>
          <w:rStyle w:val="SCCCounselNameChar"/>
          <w:sz w:val="20"/>
        </w:rPr>
        <w:t>Rajwant</w:t>
      </w:r>
      <w:proofErr w:type="spellEnd"/>
      <w:r w:rsidRPr="00D53356">
        <w:rPr>
          <w:rStyle w:val="SCCCounselNameChar"/>
          <w:sz w:val="20"/>
        </w:rPr>
        <w:t xml:space="preserve"> </w:t>
      </w:r>
      <w:proofErr w:type="spellStart"/>
      <w:r w:rsidRPr="00D53356">
        <w:rPr>
          <w:rStyle w:val="SCCCounselNameChar"/>
          <w:sz w:val="20"/>
        </w:rPr>
        <w:t>Mangat</w:t>
      </w:r>
      <w:proofErr w:type="spellEnd"/>
      <w:r w:rsidRPr="00D53356">
        <w:rPr>
          <w:rStyle w:val="SCCCounselPartyRoleChar"/>
          <w:sz w:val="20"/>
        </w:rPr>
        <w:t xml:space="preserve">, pour </w:t>
      </w:r>
      <w:proofErr w:type="spellStart"/>
      <w:r w:rsidRPr="00D53356">
        <w:rPr>
          <w:rStyle w:val="SCCCounselPartyRoleChar"/>
          <w:sz w:val="20"/>
        </w:rPr>
        <w:t>l’intervenant</w:t>
      </w:r>
      <w:proofErr w:type="spellEnd"/>
      <w:r w:rsidRPr="00D53356">
        <w:rPr>
          <w:rStyle w:val="SCCCounselPartyRoleChar"/>
          <w:sz w:val="20"/>
        </w:rPr>
        <w:t xml:space="preserve"> West Coast Women’s Legal Education and Action Fund.</w:t>
      </w:r>
    </w:p>
    <w:p w:rsidR="002F3C61" w:rsidRPr="00D53356"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D53356">
        <w:rPr>
          <w:rStyle w:val="SCCCounselNameChar"/>
          <w:sz w:val="20"/>
        </w:rPr>
        <w:tab/>
        <w:t>Robin J. Gage, Kate Feeney</w:t>
      </w:r>
      <w:r w:rsidRPr="002F3C61">
        <w:rPr>
          <w:rStyle w:val="SCCCounselSeparatorChar"/>
          <w:rFonts w:eastAsia="Calibri"/>
          <w:sz w:val="20"/>
          <w:lang w:val="en-CA"/>
        </w:rPr>
        <w:t xml:space="preserve"> </w:t>
      </w:r>
      <w:proofErr w:type="gramStart"/>
      <w:r w:rsidRPr="002F3C61">
        <w:rPr>
          <w:rStyle w:val="SCCCounselSeparatorChar"/>
          <w:rFonts w:eastAsia="Calibri"/>
          <w:sz w:val="20"/>
          <w:lang w:val="en-CA"/>
        </w:rPr>
        <w:t>et</w:t>
      </w:r>
      <w:proofErr w:type="gramEnd"/>
      <w:r w:rsidRPr="002F3C61">
        <w:rPr>
          <w:rStyle w:val="SCCCounselSeparatorChar"/>
          <w:rFonts w:eastAsia="Calibri"/>
          <w:sz w:val="20"/>
          <w:lang w:val="en-CA"/>
        </w:rPr>
        <w:t xml:space="preserve"> </w:t>
      </w:r>
      <w:r w:rsidRPr="00D53356">
        <w:rPr>
          <w:rStyle w:val="SCCCounselNameChar"/>
          <w:sz w:val="20"/>
        </w:rPr>
        <w:t>Erin Pritchard</w:t>
      </w:r>
      <w:r w:rsidRPr="00D53356">
        <w:rPr>
          <w:rStyle w:val="SCCCounselPartyRoleChar"/>
          <w:sz w:val="20"/>
        </w:rPr>
        <w:t xml:space="preserve">, pour </w:t>
      </w:r>
      <w:proofErr w:type="spellStart"/>
      <w:r w:rsidRPr="00D53356">
        <w:rPr>
          <w:rStyle w:val="SCCCounselPartyRoleChar"/>
          <w:sz w:val="20"/>
        </w:rPr>
        <w:t>l’intervenant</w:t>
      </w:r>
      <w:proofErr w:type="spellEnd"/>
      <w:r w:rsidRPr="00D53356">
        <w:rPr>
          <w:rStyle w:val="SCCCounselPartyRoleChar"/>
          <w:sz w:val="20"/>
        </w:rPr>
        <w:t xml:space="preserve"> Retail Action Network.</w:t>
      </w:r>
    </w:p>
    <w:p w:rsidR="002F3C61" w:rsidRPr="00D53356"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rPr>
      </w:pPr>
      <w:r w:rsidRPr="00D53356">
        <w:rPr>
          <w:rStyle w:val="SCCCounselNameChar"/>
          <w:sz w:val="20"/>
        </w:rPr>
        <w:tab/>
      </w:r>
      <w:proofErr w:type="spellStart"/>
      <w:r w:rsidRPr="00D53356">
        <w:rPr>
          <w:rStyle w:val="SCCCounselNameChar"/>
          <w:sz w:val="20"/>
        </w:rPr>
        <w:t>Kristan</w:t>
      </w:r>
      <w:proofErr w:type="spellEnd"/>
      <w:r w:rsidRPr="00D53356">
        <w:rPr>
          <w:rStyle w:val="SCCCounselNameChar"/>
          <w:sz w:val="20"/>
        </w:rPr>
        <w:t xml:space="preserve"> McLeod</w:t>
      </w:r>
      <w:r w:rsidRPr="00D53356">
        <w:rPr>
          <w:rStyle w:val="SCCCounselPartyRoleChar"/>
          <w:sz w:val="20"/>
        </w:rPr>
        <w:t xml:space="preserve">, pour les </w:t>
      </w:r>
      <w:proofErr w:type="spellStart"/>
      <w:r w:rsidRPr="00D53356">
        <w:rPr>
          <w:rStyle w:val="SCCCounselPartyRoleChar"/>
          <w:sz w:val="20"/>
        </w:rPr>
        <w:t>intervenantes</w:t>
      </w:r>
      <w:proofErr w:type="spellEnd"/>
      <w:r w:rsidRPr="00D53356">
        <w:rPr>
          <w:rStyle w:val="SCCCounselPartyRoleChar"/>
          <w:sz w:val="20"/>
        </w:rPr>
        <w:t xml:space="preserve"> Alberta Federation of Labour </w:t>
      </w:r>
      <w:proofErr w:type="gramStart"/>
      <w:r w:rsidRPr="00D53356">
        <w:rPr>
          <w:rStyle w:val="SCCCounselPartyRoleChar"/>
          <w:sz w:val="20"/>
        </w:rPr>
        <w:t>et</w:t>
      </w:r>
      <w:proofErr w:type="gramEnd"/>
      <w:r w:rsidRPr="00D53356">
        <w:rPr>
          <w:rStyle w:val="SCCCounselPartyRoleChar"/>
          <w:sz w:val="20"/>
        </w:rPr>
        <w:t xml:space="preserve"> International Association of Machinists and Aerospace Workers Local Lodge 99.</w:t>
      </w:r>
    </w:p>
    <w:p w:rsidR="002F3C61" w:rsidRPr="00D53356" w:rsidRDefault="002F3C61" w:rsidP="002F3C61">
      <w:pPr>
        <w:pStyle w:val="SCCNormalDoubleSpacing"/>
        <w:spacing w:line="240" w:lineRule="auto"/>
        <w:rPr>
          <w:sz w:val="20"/>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rPr>
        <w:tab/>
      </w:r>
      <w:proofErr w:type="spellStart"/>
      <w:r w:rsidRPr="00D53356">
        <w:rPr>
          <w:rStyle w:val="SCCCounselNameChar"/>
          <w:sz w:val="20"/>
          <w:lang w:val="fr-CA"/>
        </w:rPr>
        <w:t>Reema</w:t>
      </w:r>
      <w:proofErr w:type="spellEnd"/>
      <w:r w:rsidRPr="00D53356">
        <w:rPr>
          <w:rStyle w:val="SCCCounselNameChar"/>
          <w:sz w:val="20"/>
          <w:lang w:val="fr-CA"/>
        </w:rPr>
        <w:t xml:space="preserve"> </w:t>
      </w:r>
      <w:proofErr w:type="spellStart"/>
      <w:r w:rsidRPr="00D53356">
        <w:rPr>
          <w:rStyle w:val="SCCCounselNameChar"/>
          <w:sz w:val="20"/>
          <w:lang w:val="fr-CA"/>
        </w:rPr>
        <w:t>Khawja</w:t>
      </w:r>
      <w:proofErr w:type="spellEnd"/>
      <w:r w:rsidRPr="00D53356">
        <w:rPr>
          <w:rStyle w:val="SCCCounselPartyRoleChar"/>
          <w:sz w:val="20"/>
          <w:lang w:val="fr-CA"/>
        </w:rPr>
        <w:t>, pour l’intervenante la Commission ontarienne des droits de la personne.</w:t>
      </w:r>
    </w:p>
    <w:p w:rsidR="002F3C61" w:rsidRPr="00D53356" w:rsidRDefault="002F3C61" w:rsidP="002F3C61">
      <w:pPr>
        <w:pStyle w:val="SCCNormalDoubleSpacing"/>
        <w:spacing w:line="240" w:lineRule="auto"/>
        <w:rPr>
          <w:sz w:val="20"/>
          <w:lang w:val="fr-CA"/>
        </w:rPr>
      </w:pPr>
    </w:p>
    <w:p w:rsidR="002F3C61" w:rsidRDefault="002F3C61" w:rsidP="002F3C61">
      <w:pPr>
        <w:pStyle w:val="SCCNormalDoubleSpacing"/>
        <w:spacing w:line="240" w:lineRule="auto"/>
        <w:rPr>
          <w:rStyle w:val="SCCCounselPartyRoleChar"/>
          <w:sz w:val="20"/>
          <w:lang w:val="fr-CA"/>
        </w:rPr>
      </w:pPr>
      <w:r w:rsidRPr="00D53356">
        <w:rPr>
          <w:rStyle w:val="SCCCounselNameChar"/>
          <w:sz w:val="20"/>
          <w:lang w:val="fr-CA"/>
        </w:rPr>
        <w:tab/>
      </w:r>
      <w:proofErr w:type="spellStart"/>
      <w:r w:rsidRPr="00D53356">
        <w:rPr>
          <w:rStyle w:val="SCCCounselNameChar"/>
          <w:sz w:val="20"/>
          <w:lang w:val="fr-CA"/>
        </w:rPr>
        <w:t>Faisal</w:t>
      </w:r>
      <w:proofErr w:type="spellEnd"/>
      <w:r w:rsidRPr="00D53356">
        <w:rPr>
          <w:rStyle w:val="SCCCounselNameChar"/>
          <w:sz w:val="20"/>
          <w:lang w:val="fr-CA"/>
        </w:rPr>
        <w:t xml:space="preserve"> Mirza, </w:t>
      </w:r>
      <w:proofErr w:type="spellStart"/>
      <w:r w:rsidRPr="00D53356">
        <w:rPr>
          <w:rStyle w:val="SCCCounselNameChar"/>
          <w:sz w:val="20"/>
          <w:lang w:val="fr-CA"/>
        </w:rPr>
        <w:t>Danardo</w:t>
      </w:r>
      <w:proofErr w:type="spellEnd"/>
      <w:r w:rsidRPr="00D53356">
        <w:rPr>
          <w:rStyle w:val="SCCCounselNameChar"/>
          <w:sz w:val="20"/>
          <w:lang w:val="fr-CA"/>
        </w:rPr>
        <w:t xml:space="preserve"> Jones et </w:t>
      </w:r>
      <w:proofErr w:type="spellStart"/>
      <w:r w:rsidRPr="00D53356">
        <w:rPr>
          <w:rStyle w:val="SCCCounselNameChar"/>
          <w:sz w:val="20"/>
          <w:lang w:val="fr-CA"/>
        </w:rPr>
        <w:t>Dena</w:t>
      </w:r>
      <w:proofErr w:type="spellEnd"/>
      <w:r w:rsidRPr="00D53356">
        <w:rPr>
          <w:rStyle w:val="SCCCounselNameChar"/>
          <w:sz w:val="20"/>
          <w:lang w:val="fr-CA"/>
        </w:rPr>
        <w:t> M. Smith</w:t>
      </w:r>
      <w:r w:rsidRPr="00D53356">
        <w:rPr>
          <w:rStyle w:val="SCCCounselPartyRoleChar"/>
          <w:sz w:val="20"/>
          <w:lang w:val="fr-CA"/>
        </w:rPr>
        <w:t>, pour l’intervenant le Bureau d’Aide Juridique Afro</w:t>
      </w:r>
      <w:r w:rsidRPr="00D53356">
        <w:rPr>
          <w:rStyle w:val="SCCCounselPartyRoleChar"/>
          <w:sz w:val="20"/>
          <w:lang w:val="fr-CA"/>
        </w:rPr>
        <w:noBreakHyphen/>
        <w:t>Canadien.</w:t>
      </w:r>
    </w:p>
    <w:p w:rsidR="002F3C61" w:rsidRPr="002F3C61" w:rsidRDefault="002F3C61" w:rsidP="00902E51">
      <w:pPr>
        <w:rPr>
          <w:sz w:val="20"/>
          <w:szCs w:val="20"/>
          <w:lang w:val="fr-CA"/>
        </w:rPr>
      </w:pPr>
    </w:p>
    <w:p w:rsidR="002F3C61" w:rsidRPr="002F3C61" w:rsidRDefault="002F3C61" w:rsidP="00902E51">
      <w:pPr>
        <w:rPr>
          <w:sz w:val="20"/>
          <w:szCs w:val="20"/>
          <w:lang w:val="fr-CA"/>
        </w:rPr>
      </w:pPr>
    </w:p>
    <w:p w:rsidR="00902E51" w:rsidRPr="004A61F1" w:rsidRDefault="00F964D5" w:rsidP="00902E51">
      <w:pPr>
        <w:rPr>
          <w:rFonts w:cs="Times New Roman"/>
          <w:sz w:val="20"/>
          <w:szCs w:val="20"/>
        </w:rPr>
      </w:pPr>
      <w:r>
        <w:rPr>
          <w:rFonts w:cs="Times New Roman"/>
          <w:sz w:val="20"/>
          <w:szCs w:val="20"/>
          <w:lang w:val="fr-CA"/>
        </w:rPr>
        <w:pict>
          <v:rect id="_x0000_i1097"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576" w:footer="960" w:gutter="0"/>
          <w:cols w:space="720"/>
          <w:titlePg/>
          <w:docGrid w:linePitch="272"/>
        </w:sectPr>
      </w:pPr>
    </w:p>
    <w:p w:rsidR="00F16C8D" w:rsidRPr="00C50A5C" w:rsidRDefault="00F16C8D" w:rsidP="002410B8">
      <w:pPr>
        <w:rPr>
          <w:sz w:val="20"/>
          <w:szCs w:val="20"/>
        </w:r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9B4689">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9B4689">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9B468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B4689">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9B4689">
            <w:pPr>
              <w:jc w:val="center"/>
              <w:rPr>
                <w:rFonts w:ascii="Arial" w:hAnsi="Arial" w:cs="Arial"/>
                <w:b/>
                <w:sz w:val="13"/>
                <w:szCs w:val="13"/>
              </w:rPr>
            </w:pPr>
          </w:p>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2" w:type="pct"/>
            <w:tcMar>
              <w:bottom w:w="43" w:type="dxa"/>
            </w:tcMar>
            <w:vAlign w:val="bottom"/>
          </w:tcPr>
          <w:p w:rsidR="007E6F25" w:rsidRPr="00C33804" w:rsidRDefault="007E6F25" w:rsidP="009B4689">
            <w:pPr>
              <w:jc w:val="center"/>
              <w:rPr>
                <w:rFonts w:ascii="Arial" w:hAnsi="Arial" w:cs="Arial"/>
                <w:sz w:val="13"/>
                <w:szCs w:val="13"/>
              </w:rPr>
            </w:pPr>
          </w:p>
        </w:tc>
        <w:tc>
          <w:tcPr>
            <w:tcW w:w="225" w:type="pct"/>
            <w:tcMar>
              <w:bottom w:w="43" w:type="dxa"/>
            </w:tcMar>
            <w:vAlign w:val="bottom"/>
          </w:tcPr>
          <w:p w:rsidR="007E6F25" w:rsidRPr="00C33804" w:rsidRDefault="007E6F25" w:rsidP="009B4689">
            <w:pPr>
              <w:jc w:val="center"/>
              <w:rPr>
                <w:rFonts w:ascii="Arial" w:hAnsi="Arial" w:cs="Arial"/>
                <w:sz w:val="13"/>
                <w:szCs w:val="13"/>
              </w:rPr>
            </w:pPr>
          </w:p>
        </w:tc>
        <w:tc>
          <w:tcPr>
            <w:tcW w:w="223" w:type="pct"/>
            <w:tcMar>
              <w:bottom w:w="43" w:type="dxa"/>
            </w:tcMar>
            <w:vAlign w:val="bottom"/>
          </w:tcPr>
          <w:p w:rsidR="007E6F25" w:rsidRPr="00C33804" w:rsidRDefault="007E6F25" w:rsidP="009B4689">
            <w:pPr>
              <w:jc w:val="center"/>
              <w:rPr>
                <w:rFonts w:ascii="Arial" w:hAnsi="Arial" w:cs="Arial"/>
                <w:sz w:val="13"/>
                <w:szCs w:val="13"/>
              </w:rPr>
            </w:pPr>
          </w:p>
        </w:tc>
        <w:tc>
          <w:tcPr>
            <w:tcW w:w="224" w:type="pct"/>
            <w:tcMar>
              <w:bottom w:w="43" w:type="dxa"/>
            </w:tcMar>
            <w:vAlign w:val="bottom"/>
          </w:tcPr>
          <w:p w:rsidR="007E6F25" w:rsidRPr="00C33804" w:rsidRDefault="007E6F25" w:rsidP="009B4689">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r>
      <w:tr w:rsidR="007E6F25" w:rsidRPr="00C33804" w:rsidTr="009B4689">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B468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B4689">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r>
      <w:tr w:rsidR="007E6F25" w:rsidRPr="00C33804" w:rsidTr="009B4689">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9B4689">
            <w:pPr>
              <w:jc w:val="center"/>
              <w:rPr>
                <w:rFonts w:ascii="Arial" w:hAnsi="Arial" w:cs="Arial"/>
                <w:b/>
                <w:sz w:val="13"/>
                <w:szCs w:val="13"/>
              </w:rPr>
            </w:pPr>
            <w:r>
              <w:rPr>
                <w:rFonts w:ascii="Arial" w:hAnsi="Arial" w:cs="Arial"/>
                <w:b/>
                <w:sz w:val="13"/>
                <w:szCs w:val="13"/>
              </w:rPr>
              <w:t>H</w:t>
            </w:r>
          </w:p>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9B4689">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9B4689">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r>
      <w:tr w:rsidR="007E6F25" w:rsidRPr="00C33804" w:rsidTr="009B4689">
        <w:trPr>
          <w:trHeight w:val="346"/>
        </w:trPr>
        <w:tc>
          <w:tcPr>
            <w:tcW w:w="225"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r>
      <w:tr w:rsidR="007E6F25" w:rsidRPr="00C33804" w:rsidTr="009B4689">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9B4689">
            <w:pPr>
              <w:rPr>
                <w:rFonts w:ascii="Arial" w:hAnsi="Arial" w:cs="Arial"/>
                <w:sz w:val="13"/>
                <w:szCs w:val="13"/>
              </w:rPr>
            </w:pPr>
            <w:r w:rsidRPr="00CB2402">
              <w:rPr>
                <w:rFonts w:ascii="Arial" w:hAnsi="Arial" w:cs="Arial"/>
                <w:sz w:val="13"/>
                <w:szCs w:val="13"/>
              </w:rPr>
              <w:t xml:space="preserve"> 24 /</w:t>
            </w:r>
          </w:p>
          <w:p w:rsidR="007E6F25" w:rsidRPr="00CB2402" w:rsidRDefault="007E6F25" w:rsidP="009B4689">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B468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B4689">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9B468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9B4689">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9B4689">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9B4689">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9B4689">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B4689">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9B468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2" w:type="pct"/>
            <w:tcMar>
              <w:bottom w:w="43" w:type="dxa"/>
            </w:tcMar>
            <w:vAlign w:val="bottom"/>
          </w:tcPr>
          <w:p w:rsidR="007E6F25" w:rsidRPr="00C33804" w:rsidRDefault="007E6F25" w:rsidP="009B4689">
            <w:pPr>
              <w:jc w:val="center"/>
              <w:rPr>
                <w:rFonts w:ascii="Arial" w:hAnsi="Arial" w:cs="Arial"/>
                <w:sz w:val="13"/>
                <w:szCs w:val="13"/>
              </w:rPr>
            </w:pPr>
          </w:p>
        </w:tc>
        <w:tc>
          <w:tcPr>
            <w:tcW w:w="223" w:type="pct"/>
            <w:tcMar>
              <w:bottom w:w="43" w:type="dxa"/>
            </w:tcMar>
            <w:vAlign w:val="bottom"/>
          </w:tcPr>
          <w:p w:rsidR="007E6F25" w:rsidRPr="00C33804" w:rsidRDefault="007E6F25" w:rsidP="009B4689">
            <w:pPr>
              <w:jc w:val="center"/>
              <w:rPr>
                <w:rFonts w:ascii="Arial" w:hAnsi="Arial" w:cs="Arial"/>
                <w:sz w:val="13"/>
                <w:szCs w:val="13"/>
              </w:rPr>
            </w:pPr>
          </w:p>
        </w:tc>
        <w:tc>
          <w:tcPr>
            <w:tcW w:w="222" w:type="pct"/>
            <w:tcMar>
              <w:bottom w:w="43" w:type="dxa"/>
            </w:tcMar>
            <w:vAlign w:val="bottom"/>
          </w:tcPr>
          <w:p w:rsidR="007E6F25" w:rsidRPr="00C33804" w:rsidRDefault="007E6F25" w:rsidP="009B4689">
            <w:pPr>
              <w:jc w:val="center"/>
              <w:rPr>
                <w:rFonts w:ascii="Arial" w:hAnsi="Arial" w:cs="Arial"/>
                <w:sz w:val="13"/>
                <w:szCs w:val="13"/>
              </w:rPr>
            </w:pPr>
          </w:p>
        </w:tc>
        <w:tc>
          <w:tcPr>
            <w:tcW w:w="223" w:type="pct"/>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r>
      <w:tr w:rsidR="007E6F25" w:rsidRPr="00C33804" w:rsidTr="009B4689">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r>
      <w:tr w:rsidR="007E6F25" w:rsidRPr="00C33804" w:rsidTr="009B4689">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r>
      <w:tr w:rsidR="007E6F25" w:rsidRPr="00C33804" w:rsidTr="009B4689">
        <w:trPr>
          <w:trHeight w:val="346"/>
        </w:trPr>
        <w:tc>
          <w:tcPr>
            <w:tcW w:w="226" w:type="pct"/>
            <w:tcBorders>
              <w:lef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r>
      <w:tr w:rsidR="007E6F25" w:rsidRPr="00C33804" w:rsidTr="009B4689">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9B4689">
            <w:pPr>
              <w:jc w:val="center"/>
              <w:rPr>
                <w:rFonts w:ascii="Arial" w:hAnsi="Arial" w:cs="Arial"/>
                <w:b/>
                <w:sz w:val="13"/>
                <w:szCs w:val="13"/>
              </w:rPr>
            </w:pPr>
            <w:r w:rsidRPr="004A406E">
              <w:rPr>
                <w:rFonts w:ascii="Arial" w:hAnsi="Arial" w:cs="Arial"/>
                <w:b/>
                <w:sz w:val="13"/>
                <w:szCs w:val="13"/>
              </w:rPr>
              <w:t>H</w:t>
            </w:r>
          </w:p>
          <w:p w:rsidR="007E6F25" w:rsidRPr="00C33804" w:rsidRDefault="007E6F25" w:rsidP="009B4689">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9B4689">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9B468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9B4689">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9B468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w:t>
            </w:r>
          </w:p>
        </w:tc>
      </w:tr>
      <w:tr w:rsidR="007E6F25" w:rsidRPr="00C33804" w:rsidTr="009B4689">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9B4689">
            <w:pPr>
              <w:jc w:val="center"/>
              <w:rPr>
                <w:rFonts w:ascii="Arial" w:hAnsi="Arial" w:cs="Arial"/>
                <w:sz w:val="13"/>
                <w:szCs w:val="13"/>
              </w:rPr>
            </w:pPr>
          </w:p>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9</w:t>
            </w:r>
          </w:p>
        </w:tc>
      </w:tr>
      <w:tr w:rsidR="007E6F25" w:rsidRPr="00C33804" w:rsidTr="009B4689">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16</w:t>
            </w:r>
          </w:p>
        </w:tc>
      </w:tr>
      <w:tr w:rsidR="007E6F25" w:rsidRPr="00C33804" w:rsidTr="009B4689">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9B468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23</w:t>
            </w:r>
          </w:p>
        </w:tc>
      </w:tr>
      <w:tr w:rsidR="007E6F25" w:rsidRPr="00C33804" w:rsidTr="009B4689">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9B4689">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9B468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9B4689">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7"/>
      <w:footerReference w:type="default" r:id="rId11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D5" w:rsidRDefault="00F964D5" w:rsidP="00A87207">
      <w:r>
        <w:separator/>
      </w:r>
    </w:p>
  </w:endnote>
  <w:endnote w:type="continuationSeparator" w:id="0">
    <w:p w:rsidR="00F964D5" w:rsidRDefault="00F964D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A87207">
    <w:pPr>
      <w:pStyle w:val="Footer"/>
    </w:pPr>
    <w:r>
      <w:pict>
        <v:rect id="_x0000_i1031" style="width:480.95pt;height:1pt" o:hralign="center" o:hrstd="t" o:hrnoshade="t" o:hr="t" fillcolor="black [3213]" stroked="f"/>
      </w:pict>
    </w:r>
  </w:p>
  <w:p w:rsidR="00F964D5" w:rsidRPr="00B7374B" w:rsidRDefault="00F964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64D5" w:rsidRDefault="00F964D5">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755F22">
    <w:pPr>
      <w:tabs>
        <w:tab w:val="left" w:pos="-1440"/>
        <w:tab w:val="left" w:pos="-720"/>
      </w:tabs>
    </w:pPr>
    <w:r>
      <w:pict>
        <v:rect id="_x0000_i1082" style="width:480.95pt;height:1pt" o:hralign="center" o:hrstd="t" o:hrnoshade="t" o:hr="t" fillcolor="black [3213]" stroked="f"/>
      </w:pict>
    </w:r>
  </w:p>
  <w:p w:rsidR="00F964D5" w:rsidRDefault="00F964D5" w:rsidP="00EB2B90">
    <w:pPr>
      <w:tabs>
        <w:tab w:val="center" w:pos="4680"/>
      </w:tabs>
    </w:pPr>
    <w:r>
      <w:tab/>
      <w:t xml:space="preserve">- </w:t>
    </w:r>
    <w:r>
      <w:fldChar w:fldCharType="begin"/>
    </w:r>
    <w:r>
      <w:instrText xml:space="preserve"> PAGE   \* MERGEFORMAT </w:instrText>
    </w:r>
    <w:r>
      <w:fldChar w:fldCharType="separate"/>
    </w:r>
    <w:r w:rsidR="0089485C">
      <w:rPr>
        <w:noProof/>
      </w:rPr>
      <w:t>1772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EB2B90">
    <w:pPr>
      <w:tabs>
        <w:tab w:val="center" w:pos="4680"/>
      </w:tabs>
    </w:pPr>
    <w:r>
      <w:pict>
        <v:rect id="_x0000_i1083" style="width:480.95pt;height:1pt" o:hralign="center" o:hrstd="t" o:hrnoshade="t" o:hr="t" fillcolor="black [3213]" stroked="f"/>
      </w:pict>
    </w:r>
  </w:p>
  <w:p w:rsidR="00F964D5" w:rsidRPr="0031432F" w:rsidRDefault="00F964D5" w:rsidP="00EB2B90">
    <w:pPr>
      <w:tabs>
        <w:tab w:val="center" w:pos="4680"/>
      </w:tabs>
    </w:pPr>
    <w:r>
      <w:tab/>
      <w:t xml:space="preserve">- </w:t>
    </w:r>
    <w:r>
      <w:fldChar w:fldCharType="begin"/>
    </w:r>
    <w:r>
      <w:instrText xml:space="preserve"> PAGE   \* MERGEFORMAT </w:instrText>
    </w:r>
    <w:r>
      <w:fldChar w:fldCharType="separate"/>
    </w:r>
    <w:r w:rsidR="0089485C">
      <w:rPr>
        <w:noProof/>
      </w:rPr>
      <w:t>1770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64D5" w:rsidRDefault="00F964D5">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F964D5" w:rsidRDefault="00F964D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Footer"/>
      <w:rPr>
        <w:lang w:val="fr-CA"/>
      </w:rPr>
    </w:pPr>
    <w:r>
      <w:rPr>
        <w:lang w:val="fr-CA"/>
      </w:rPr>
      <w:pict>
        <v:rect id="_x0000_i1089" style="width:480.95pt;height:1pt" o:hralign="center" o:hrstd="t" o:hrnoshade="t" o:hr="t" fillcolor="black [3213]" stroked="f"/>
      </w:pict>
    </w:r>
  </w:p>
  <w:p w:rsidR="00F964D5" w:rsidRDefault="00F964D5" w:rsidP="00EB2B90">
    <w:pPr>
      <w:tabs>
        <w:tab w:val="center" w:pos="4680"/>
      </w:tabs>
    </w:pPr>
    <w:r>
      <w:tab/>
      <w:t xml:space="preserve">- </w:t>
    </w:r>
    <w:r>
      <w:fldChar w:fldCharType="begin"/>
    </w:r>
    <w:r>
      <w:instrText xml:space="preserve"> PAGE   \* MERGEFORMAT </w:instrText>
    </w:r>
    <w:r>
      <w:fldChar w:fldCharType="separate"/>
    </w:r>
    <w:r w:rsidR="0089485C">
      <w:rPr>
        <w:noProof/>
      </w:rPr>
      <w:t>1773</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64D5" w:rsidRDefault="00F964D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732DB7">
    <w:r>
      <w:pict>
        <v:rect id="_x0000_i1092" style="width:480.95pt;height:1pt" o:hralign="center" o:hrstd="t" o:hrnoshade="t" o:hr="t" fillcolor="black" stroked="f"/>
      </w:pict>
    </w:r>
  </w:p>
  <w:p w:rsidR="00F964D5" w:rsidRDefault="00F964D5">
    <w:pPr>
      <w:tabs>
        <w:tab w:val="center" w:pos="4740"/>
      </w:tabs>
      <w:spacing w:line="0" w:lineRule="atLeast"/>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Footer"/>
    </w:pPr>
    <w:r>
      <w:pict>
        <v:rect id="_x0000_i1093" style="width:480.95pt;height:1pt" o:hralign="center" o:hrstd="t" o:hrnoshade="t" o:hr="t" fillcolor="black [3213]" stroked="f"/>
      </w:pict>
    </w:r>
  </w:p>
  <w:p w:rsidR="00F964D5" w:rsidRPr="003C2C0F" w:rsidRDefault="00F964D5" w:rsidP="00697C62">
    <w:pPr>
      <w:tabs>
        <w:tab w:val="center" w:pos="4680"/>
      </w:tabs>
    </w:pPr>
    <w:r>
      <w:tab/>
      <w:t xml:space="preserve">- </w:t>
    </w:r>
    <w:r>
      <w:fldChar w:fldCharType="begin"/>
    </w:r>
    <w:r>
      <w:instrText xml:space="preserve"> PAGE   \* MERGEFORMAT </w:instrText>
    </w:r>
    <w:r>
      <w:fldChar w:fldCharType="separate"/>
    </w:r>
    <w:r w:rsidR="0089485C">
      <w:rPr>
        <w:noProof/>
      </w:rPr>
      <w:t>1774</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64D5" w:rsidRDefault="00F964D5">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755F22">
    <w:pPr>
      <w:tabs>
        <w:tab w:val="left" w:pos="-1440"/>
        <w:tab w:val="left" w:pos="-720"/>
      </w:tabs>
    </w:pPr>
    <w:r>
      <w:pict>
        <v:rect id="_x0000_i1032" style="width:480.95pt;height:1pt" o:hralign="center" o:hrstd="t" o:hrnoshade="t" o:hr="t" fillcolor="black [3213]" stroked="f"/>
      </w:pict>
    </w:r>
  </w:p>
  <w:p w:rsidR="00F964D5" w:rsidRPr="00954D22" w:rsidRDefault="00F964D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9485C">
      <w:rPr>
        <w:noProof/>
        <w:szCs w:val="24"/>
      </w:rPr>
      <w:t>1731</w:t>
    </w:r>
    <w:r>
      <w:rPr>
        <w:szCs w:val="24"/>
      </w:rPr>
      <w:fldChar w:fldCharType="end"/>
    </w:r>
    <w:r w:rsidRPr="00954D22">
      <w:rPr>
        <w:szCs w:val="24"/>
      </w:rPr>
      <w:t xml:space="preserve"> -</w:t>
    </w:r>
  </w:p>
  <w:p w:rsidR="00F964D5" w:rsidRDefault="00F964D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F964D5" w:rsidRDefault="00F964D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9485C">
      <w:rPr>
        <w:noProof/>
        <w:szCs w:val="24"/>
      </w:rPr>
      <w:t>1780</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782AE4">
    <w:pPr>
      <w:tabs>
        <w:tab w:val="center" w:pos="4680"/>
      </w:tabs>
    </w:pPr>
    <w:r>
      <w:pict>
        <v:rect id="_x0000_i1099" style="width:480.95pt;height:1pt" o:hralign="center" o:hrstd="t" o:hrnoshade="t" o:hr="t" fillcolor="black [3213]" stroked="f"/>
      </w:pict>
    </w:r>
  </w:p>
  <w:p w:rsidR="00F964D5" w:rsidRDefault="00F964D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9485C">
      <w:rPr>
        <w:noProof/>
        <w:szCs w:val="24"/>
      </w:rPr>
      <w:t>1775</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Pr="00924065" w:rsidRDefault="00F964D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A87207">
    <w:pPr>
      <w:pStyle w:val="Footer"/>
    </w:pPr>
    <w:r>
      <w:pict>
        <v:rect id="_x0000_i1034" style="width:480.95pt;height:1pt" o:hralign="center" o:hrstd="t" o:hrnoshade="t" o:hr="t" fillcolor="black [3213]" stroked="f"/>
      </w:pict>
    </w:r>
  </w:p>
  <w:p w:rsidR="00F964D5" w:rsidRPr="00B7374B" w:rsidRDefault="00F964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F964D5" w:rsidRPr="00954D22" w:rsidRDefault="00F964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9485C">
      <w:rPr>
        <w:noProof/>
        <w:szCs w:val="24"/>
      </w:rPr>
      <w:t>1732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A87207">
    <w:pPr>
      <w:pStyle w:val="Footer"/>
    </w:pPr>
    <w:r>
      <w:pict>
        <v:rect id="_x0000_i1038" style="width:480.95pt;height:1pt" o:hralign="center" o:hrstd="t" o:hrnoshade="t" o:hr="t" fillcolor="black [3213]" stroked="f"/>
      </w:pict>
    </w:r>
  </w:p>
  <w:p w:rsidR="00F964D5" w:rsidRPr="00B7374B" w:rsidRDefault="00F964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9485C">
      <w:rPr>
        <w:noProof/>
        <w:szCs w:val="24"/>
      </w:rPr>
      <w:t>1734</w:t>
    </w:r>
    <w:r w:rsidRPr="00954D22">
      <w:rPr>
        <w:szCs w:val="24"/>
      </w:rPr>
      <w:fldChar w:fldCharType="end"/>
    </w:r>
    <w:r>
      <w:rPr>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F964D5" w:rsidRPr="00954D22" w:rsidRDefault="00F964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9485C">
      <w:rPr>
        <w:noProof/>
        <w:szCs w:val="24"/>
      </w:rPr>
      <w:t>1733</w:t>
    </w:r>
    <w:r w:rsidRPr="00954D22">
      <w:rPr>
        <w:szCs w:val="24"/>
      </w:rPr>
      <w:fldChar w:fldCharType="end"/>
    </w:r>
    <w:r w:rsidRPr="00954D22">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64D5" w:rsidRDefault="00F964D5">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F964D5" w:rsidRPr="0009648D" w:rsidRDefault="00F964D5" w:rsidP="00ED7E83">
    <w:pPr>
      <w:tabs>
        <w:tab w:val="center" w:pos="4680"/>
      </w:tabs>
    </w:pPr>
    <w:r>
      <w:tab/>
    </w:r>
    <w:r w:rsidRPr="0009648D">
      <w:t xml:space="preserve">- </w:t>
    </w:r>
    <w:r>
      <w:fldChar w:fldCharType="begin"/>
    </w:r>
    <w:r>
      <w:instrText xml:space="preserve"> PAGE   \* MERGEFORMAT </w:instrText>
    </w:r>
    <w:r>
      <w:fldChar w:fldCharType="separate"/>
    </w:r>
    <w:r w:rsidR="0089485C">
      <w:rPr>
        <w:noProof/>
      </w:rPr>
      <w:t>1769</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Footer"/>
      <w:rPr>
        <w:lang w:val="fr-CA"/>
      </w:rPr>
    </w:pPr>
    <w:r>
      <w:rPr>
        <w:lang w:val="fr-CA"/>
      </w:rPr>
      <w:pict>
        <v:rect id="_x0000_i1078" style="width:480.95pt;height:1pt" o:hralign="center" o:hrstd="t" o:hrnoshade="t" o:hr="t" fillcolor="black [3213]" stroked="f"/>
      </w:pict>
    </w:r>
  </w:p>
  <w:p w:rsidR="00F964D5" w:rsidRDefault="00F964D5" w:rsidP="00245129">
    <w:pPr>
      <w:tabs>
        <w:tab w:val="center" w:pos="4680"/>
      </w:tabs>
    </w:pPr>
    <w:r>
      <w:tab/>
    </w:r>
    <w:r w:rsidRPr="0009648D">
      <w:t xml:space="preserve">- </w:t>
    </w:r>
    <w:r>
      <w:fldChar w:fldCharType="begin"/>
    </w:r>
    <w:r>
      <w:instrText xml:space="preserve"> PAGE   \* MERGEFORMAT </w:instrText>
    </w:r>
    <w:r>
      <w:fldChar w:fldCharType="separate"/>
    </w:r>
    <w:r w:rsidR="0089485C">
      <w:rPr>
        <w:noProof/>
      </w:rPr>
      <w:t>1735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D5" w:rsidRDefault="00F964D5" w:rsidP="00A87207">
      <w:r>
        <w:separator/>
      </w:r>
    </w:p>
  </w:footnote>
  <w:footnote w:type="continuationSeparator" w:id="0">
    <w:p w:rsidR="00F964D5" w:rsidRDefault="00F964D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964D5" w:rsidRPr="0044776A" w:rsidTr="00245129">
      <w:tc>
        <w:tcPr>
          <w:tcW w:w="4290" w:type="dxa"/>
          <w:tcMar>
            <w:left w:w="0" w:type="dxa"/>
            <w:right w:w="0" w:type="dxa"/>
          </w:tcMar>
        </w:tcPr>
        <w:p w:rsidR="00F964D5" w:rsidRPr="0044776A" w:rsidRDefault="00F964D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964D5" w:rsidRPr="0044776A" w:rsidRDefault="00F964D5" w:rsidP="002E2327">
          <w:pPr>
            <w:keepNext/>
            <w:keepLines/>
            <w:tabs>
              <w:tab w:val="left" w:pos="-1440"/>
              <w:tab w:val="left" w:pos="-720"/>
            </w:tabs>
            <w:jc w:val="center"/>
            <w:rPr>
              <w:sz w:val="20"/>
              <w:szCs w:val="20"/>
            </w:rPr>
          </w:pPr>
        </w:p>
        <w:p w:rsidR="00F964D5" w:rsidRPr="0044776A" w:rsidRDefault="00F964D5" w:rsidP="002E2327">
          <w:pPr>
            <w:keepNext/>
            <w:keepLines/>
            <w:tabs>
              <w:tab w:val="left" w:pos="-1440"/>
              <w:tab w:val="left" w:pos="-720"/>
            </w:tabs>
            <w:jc w:val="center"/>
            <w:rPr>
              <w:sz w:val="20"/>
              <w:szCs w:val="20"/>
            </w:rPr>
          </w:pPr>
        </w:p>
        <w:p w:rsidR="00F964D5" w:rsidRPr="0044776A" w:rsidRDefault="00F964D5" w:rsidP="002E2327">
          <w:pPr>
            <w:keepNext/>
            <w:keepLines/>
            <w:tabs>
              <w:tab w:val="left" w:pos="-1440"/>
              <w:tab w:val="left" w:pos="-720"/>
            </w:tabs>
            <w:jc w:val="center"/>
            <w:rPr>
              <w:sz w:val="20"/>
              <w:szCs w:val="20"/>
            </w:rPr>
          </w:pPr>
        </w:p>
      </w:tc>
      <w:tc>
        <w:tcPr>
          <w:tcW w:w="4320" w:type="dxa"/>
          <w:tcMar>
            <w:left w:w="0" w:type="dxa"/>
            <w:right w:w="0" w:type="dxa"/>
          </w:tcMar>
        </w:tcPr>
        <w:p w:rsidR="00F964D5" w:rsidRPr="0044776A" w:rsidRDefault="00F964D5" w:rsidP="002E2327">
          <w:pPr>
            <w:keepLines/>
            <w:rPr>
              <w:sz w:val="20"/>
              <w:szCs w:val="20"/>
              <w:lang w:val="fr-CA"/>
            </w:rPr>
          </w:pPr>
          <w:r w:rsidRPr="0044776A">
            <w:rPr>
              <w:sz w:val="20"/>
              <w:szCs w:val="20"/>
              <w:lang w:val="fr-CA"/>
            </w:rPr>
            <w:t>DEMANDES D'AUTORISATION D'APPEL DÉPOSÉES</w:t>
          </w:r>
        </w:p>
      </w:tc>
    </w:tr>
  </w:tbl>
  <w:p w:rsidR="00F964D5" w:rsidRDefault="00F964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964D5">
      <w:tc>
        <w:tcPr>
          <w:tcW w:w="423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964D5"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64D5"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964D5">
      <w:trPr>
        <w:gridAfter w:val="2"/>
        <w:wAfter w:w="5250" w:type="dxa"/>
      </w:trPr>
      <w:tc>
        <w:tcPr>
          <w:tcW w:w="4230" w:type="dxa"/>
          <w:tcMar>
            <w:left w:w="0" w:type="dxa"/>
            <w:right w:w="0" w:type="dxa"/>
          </w:tcMar>
        </w:tcPr>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964D5" w:rsidRPr="00755F22" w:rsidTr="00245129">
      <w:tc>
        <w:tcPr>
          <w:tcW w:w="4230" w:type="dxa"/>
          <w:tcMar>
            <w:left w:w="0" w:type="dxa"/>
            <w:right w:w="0" w:type="dxa"/>
          </w:tcMar>
        </w:tcPr>
        <w:p w:rsidR="00F964D5" w:rsidRPr="00755F22" w:rsidRDefault="00F964D5" w:rsidP="00831CA9">
          <w:pPr>
            <w:keepNext/>
            <w:keepLines/>
            <w:rPr>
              <w:sz w:val="20"/>
              <w:szCs w:val="20"/>
            </w:rPr>
          </w:pPr>
          <w:r w:rsidRPr="00755F22">
            <w:rPr>
              <w:sz w:val="20"/>
              <w:szCs w:val="20"/>
            </w:rPr>
            <w:t>MOTIONS</w:t>
          </w:r>
        </w:p>
      </w:tc>
      <w:tc>
        <w:tcPr>
          <w:tcW w:w="1170" w:type="dxa"/>
          <w:tcMar>
            <w:left w:w="0" w:type="dxa"/>
            <w:right w:w="0" w:type="dxa"/>
          </w:tcMar>
        </w:tcPr>
        <w:p w:rsidR="00F964D5" w:rsidRPr="00755F22" w:rsidRDefault="00F964D5" w:rsidP="00831CA9">
          <w:pPr>
            <w:keepLines/>
            <w:jc w:val="center"/>
            <w:rPr>
              <w:sz w:val="20"/>
              <w:szCs w:val="20"/>
            </w:rPr>
          </w:pPr>
        </w:p>
        <w:p w:rsidR="00F964D5" w:rsidRPr="00755F22" w:rsidRDefault="00F964D5" w:rsidP="00831CA9">
          <w:pPr>
            <w:keepLines/>
            <w:tabs>
              <w:tab w:val="left" w:pos="-1440"/>
              <w:tab w:val="left" w:pos="-720"/>
            </w:tabs>
            <w:jc w:val="center"/>
            <w:rPr>
              <w:sz w:val="20"/>
              <w:szCs w:val="20"/>
            </w:rPr>
          </w:pPr>
        </w:p>
      </w:tc>
      <w:tc>
        <w:tcPr>
          <w:tcW w:w="4080" w:type="dxa"/>
          <w:tcMar>
            <w:left w:w="0" w:type="dxa"/>
            <w:right w:w="0" w:type="dxa"/>
          </w:tcMar>
        </w:tcPr>
        <w:p w:rsidR="00F964D5" w:rsidRPr="00BA6468" w:rsidRDefault="00F964D5" w:rsidP="00BA6468">
          <w:pPr>
            <w:keepLines/>
            <w:rPr>
              <w:sz w:val="20"/>
              <w:szCs w:val="20"/>
              <w:lang w:val="fr-CA"/>
            </w:rPr>
          </w:pPr>
          <w:r w:rsidRPr="00BA6468">
            <w:rPr>
              <w:sz w:val="20"/>
              <w:szCs w:val="20"/>
              <w:lang w:val="fr-CA"/>
            </w:rPr>
            <w:t>REQUÊTES</w:t>
          </w:r>
        </w:p>
      </w:tc>
    </w:tr>
  </w:tbl>
  <w:p w:rsidR="00F964D5" w:rsidRDefault="00F964D5" w:rsidP="00831CA9">
    <w:pPr>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tc>
        <w:tcPr>
          <w:tcW w:w="420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64D5" w:rsidRPr="00B01A03"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964D5" w:rsidRPr="00B01A03"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964D5" w:rsidRPr="00B01A03"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964D5" w:rsidRPr="00F964D5" w:rsidTr="00245129">
      <w:tc>
        <w:tcPr>
          <w:tcW w:w="4200" w:type="dxa"/>
          <w:tcMar>
            <w:left w:w="0" w:type="dxa"/>
            <w:right w:w="0" w:type="dxa"/>
          </w:tcMar>
        </w:tcPr>
        <w:p w:rsidR="00F964D5" w:rsidRPr="00F40249" w:rsidRDefault="00F964D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964D5" w:rsidRDefault="00F964D5" w:rsidP="00102926">
          <w:pPr>
            <w:keepNext/>
            <w:keepLines/>
            <w:tabs>
              <w:tab w:val="left" w:pos="-1440"/>
              <w:tab w:val="left" w:pos="-720"/>
            </w:tabs>
            <w:jc w:val="center"/>
            <w:rPr>
              <w:sz w:val="20"/>
              <w:szCs w:val="20"/>
            </w:rPr>
          </w:pPr>
        </w:p>
        <w:p w:rsidR="00F964D5" w:rsidRDefault="00F964D5" w:rsidP="00102926">
          <w:pPr>
            <w:keepNext/>
            <w:keepLines/>
            <w:tabs>
              <w:tab w:val="left" w:pos="-1440"/>
              <w:tab w:val="left" w:pos="-720"/>
            </w:tabs>
            <w:jc w:val="center"/>
            <w:rPr>
              <w:sz w:val="20"/>
              <w:szCs w:val="20"/>
            </w:rPr>
          </w:pPr>
        </w:p>
        <w:p w:rsidR="00F964D5" w:rsidRPr="00F40249" w:rsidRDefault="00F964D5" w:rsidP="00102926">
          <w:pPr>
            <w:keepNext/>
            <w:keepLines/>
            <w:tabs>
              <w:tab w:val="left" w:pos="-1440"/>
              <w:tab w:val="left" w:pos="-720"/>
            </w:tabs>
            <w:jc w:val="center"/>
            <w:rPr>
              <w:sz w:val="20"/>
              <w:szCs w:val="20"/>
            </w:rPr>
          </w:pPr>
        </w:p>
      </w:tc>
      <w:tc>
        <w:tcPr>
          <w:tcW w:w="4230" w:type="dxa"/>
          <w:tcMar>
            <w:left w:w="0" w:type="dxa"/>
            <w:right w:w="0" w:type="dxa"/>
          </w:tcMar>
        </w:tcPr>
        <w:p w:rsidR="00F964D5" w:rsidRPr="00F40249" w:rsidRDefault="00F964D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964D5" w:rsidRPr="00B01A03" w:rsidRDefault="00F964D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tc>
        <w:tcPr>
          <w:tcW w:w="420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964D5" w:rsidRPr="003C2C0F"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964D5" w:rsidRPr="003C2C0F"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964D5" w:rsidRPr="003C2C0F"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rsidTr="00245129">
      <w:tc>
        <w:tcPr>
          <w:tcW w:w="4200" w:type="dxa"/>
          <w:tcMar>
            <w:left w:w="0" w:type="dxa"/>
            <w:right w:w="0" w:type="dxa"/>
          </w:tcMar>
        </w:tcPr>
        <w:p w:rsidR="00F964D5" w:rsidRPr="00FF6EEC" w:rsidRDefault="00F964D5" w:rsidP="00FF6EEC">
          <w:pPr>
            <w:rPr>
              <w:sz w:val="20"/>
              <w:szCs w:val="20"/>
            </w:rPr>
          </w:pPr>
          <w:r w:rsidRPr="00FF6EEC">
            <w:rPr>
              <w:sz w:val="20"/>
              <w:szCs w:val="20"/>
            </w:rPr>
            <w:t>PRONOUNCEMENTS OF APPEALS RESERVED</w:t>
          </w:r>
        </w:p>
      </w:tc>
      <w:tc>
        <w:tcPr>
          <w:tcW w:w="1200" w:type="dxa"/>
          <w:tcMar>
            <w:left w:w="0" w:type="dxa"/>
            <w:right w:w="0" w:type="dxa"/>
          </w:tcMar>
        </w:tcPr>
        <w:p w:rsidR="00F964D5" w:rsidRPr="00FF6EEC" w:rsidRDefault="00F964D5" w:rsidP="00FF6EEC">
          <w:pPr>
            <w:jc w:val="center"/>
            <w:rPr>
              <w:sz w:val="20"/>
              <w:szCs w:val="20"/>
            </w:rPr>
          </w:pPr>
        </w:p>
        <w:p w:rsidR="00F964D5" w:rsidRPr="00FF6EEC" w:rsidRDefault="00F964D5" w:rsidP="00FF6EEC">
          <w:pPr>
            <w:jc w:val="center"/>
            <w:rPr>
              <w:sz w:val="20"/>
              <w:szCs w:val="20"/>
            </w:rPr>
          </w:pPr>
        </w:p>
        <w:p w:rsidR="00F964D5" w:rsidRPr="00FF6EEC" w:rsidRDefault="00F964D5" w:rsidP="00FF6EEC">
          <w:pPr>
            <w:jc w:val="center"/>
            <w:rPr>
              <w:sz w:val="20"/>
              <w:szCs w:val="20"/>
            </w:rPr>
          </w:pPr>
        </w:p>
      </w:tc>
      <w:tc>
        <w:tcPr>
          <w:tcW w:w="4080" w:type="dxa"/>
          <w:tcMar>
            <w:left w:w="0" w:type="dxa"/>
            <w:right w:w="0" w:type="dxa"/>
          </w:tcMar>
        </w:tcPr>
        <w:p w:rsidR="00F964D5" w:rsidRPr="00FF6EEC" w:rsidRDefault="00F964D5" w:rsidP="00FF6EEC">
          <w:pPr>
            <w:rPr>
              <w:sz w:val="20"/>
              <w:szCs w:val="20"/>
              <w:lang w:val="fr-CA"/>
            </w:rPr>
          </w:pPr>
          <w:r w:rsidRPr="00FF6EEC">
            <w:rPr>
              <w:sz w:val="20"/>
              <w:szCs w:val="20"/>
              <w:lang w:val="fr-CA"/>
            </w:rPr>
            <w:t>JUGEMENTS RENDUS SUR LES APPELS EN DÉLIBÉRÉ</w:t>
          </w:r>
        </w:p>
      </w:tc>
    </w:tr>
  </w:tbl>
  <w:p w:rsidR="00F964D5" w:rsidRPr="003C2C0F" w:rsidRDefault="00F964D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964D5">
      <w:tc>
        <w:tcPr>
          <w:tcW w:w="423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964D5"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964D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964D5" w:rsidRPr="00782AE4" w:rsidTr="00245129">
      <w:tc>
        <w:tcPr>
          <w:tcW w:w="4230" w:type="dxa"/>
          <w:tcMar>
            <w:left w:w="0" w:type="dxa"/>
            <w:right w:w="0" w:type="dxa"/>
          </w:tcMar>
        </w:tcPr>
        <w:p w:rsidR="00F964D5" w:rsidRPr="00782AE4" w:rsidRDefault="00F964D5" w:rsidP="00102926">
          <w:pPr>
            <w:keepNext/>
            <w:keepLines/>
            <w:tabs>
              <w:tab w:val="left" w:pos="-1440"/>
              <w:tab w:val="left" w:pos="-720"/>
            </w:tabs>
            <w:rPr>
              <w:sz w:val="20"/>
              <w:szCs w:val="20"/>
            </w:rPr>
          </w:pPr>
          <w:r w:rsidRPr="00782AE4">
            <w:rPr>
              <w:sz w:val="20"/>
              <w:szCs w:val="20"/>
            </w:rPr>
            <w:t xml:space="preserve">HEADNOTES OF RECENT </w:t>
          </w:r>
        </w:p>
        <w:p w:rsidR="00F964D5" w:rsidRPr="00782AE4"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964D5" w:rsidRDefault="00F964D5" w:rsidP="00102926">
          <w:pPr>
            <w:keepNext/>
            <w:keepLines/>
            <w:tabs>
              <w:tab w:val="left" w:pos="-1440"/>
              <w:tab w:val="left" w:pos="-720"/>
            </w:tabs>
            <w:jc w:val="center"/>
            <w:rPr>
              <w:sz w:val="20"/>
              <w:szCs w:val="20"/>
            </w:rPr>
          </w:pPr>
        </w:p>
        <w:p w:rsidR="00F964D5" w:rsidRDefault="00F964D5" w:rsidP="00102926">
          <w:pPr>
            <w:keepNext/>
            <w:keepLines/>
            <w:tabs>
              <w:tab w:val="left" w:pos="-1440"/>
              <w:tab w:val="left" w:pos="-720"/>
            </w:tabs>
            <w:jc w:val="center"/>
            <w:rPr>
              <w:sz w:val="20"/>
              <w:szCs w:val="20"/>
            </w:rPr>
          </w:pPr>
        </w:p>
        <w:p w:rsidR="00F964D5" w:rsidRPr="00782AE4" w:rsidRDefault="00F964D5" w:rsidP="00102926">
          <w:pPr>
            <w:keepNext/>
            <w:keepLines/>
            <w:tabs>
              <w:tab w:val="left" w:pos="-1440"/>
              <w:tab w:val="left" w:pos="-720"/>
            </w:tabs>
            <w:jc w:val="center"/>
            <w:rPr>
              <w:sz w:val="20"/>
              <w:szCs w:val="20"/>
            </w:rPr>
          </w:pPr>
        </w:p>
      </w:tc>
      <w:tc>
        <w:tcPr>
          <w:tcW w:w="4080" w:type="dxa"/>
          <w:tcMar>
            <w:left w:w="0" w:type="dxa"/>
            <w:right w:w="0" w:type="dxa"/>
          </w:tcMar>
        </w:tcPr>
        <w:p w:rsidR="00F964D5" w:rsidRPr="00102926"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964D5" w:rsidRPr="00782AE4" w:rsidRDefault="00F964D5" w:rsidP="00102926">
          <w:pPr>
            <w:keepLines/>
            <w:tabs>
              <w:tab w:val="left" w:pos="-1440"/>
              <w:tab w:val="left" w:pos="-720"/>
            </w:tabs>
            <w:rPr>
              <w:sz w:val="20"/>
              <w:szCs w:val="20"/>
            </w:rPr>
          </w:pPr>
          <w:r w:rsidRPr="00102926">
            <w:rPr>
              <w:sz w:val="20"/>
              <w:szCs w:val="20"/>
              <w:lang w:val="fr-CA"/>
            </w:rPr>
            <w:t>RÉCENTS</w:t>
          </w:r>
        </w:p>
      </w:tc>
    </w:tr>
  </w:tbl>
  <w:p w:rsidR="00F964D5" w:rsidRDefault="00F964D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rsidTr="00245129">
      <w:tc>
        <w:tcPr>
          <w:tcW w:w="4200" w:type="dxa"/>
          <w:tcMar>
            <w:left w:w="0" w:type="dxa"/>
            <w:right w:w="0" w:type="dxa"/>
          </w:tcMar>
        </w:tcPr>
        <w:p w:rsidR="00F964D5" w:rsidRPr="0044776A" w:rsidRDefault="00F964D5" w:rsidP="0044776A">
          <w:pPr>
            <w:keepNext/>
            <w:keepLines/>
            <w:widowControl w:val="0"/>
            <w:rPr>
              <w:sz w:val="20"/>
              <w:szCs w:val="20"/>
            </w:rPr>
          </w:pPr>
          <w:r>
            <w:rPr>
              <w:sz w:val="20"/>
              <w:szCs w:val="20"/>
            </w:rPr>
            <w:t>APPLICATIONS FOR LEAVE</w:t>
          </w:r>
        </w:p>
        <w:p w:rsidR="00F964D5" w:rsidRPr="0044776A" w:rsidRDefault="00F964D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964D5" w:rsidRPr="0044776A" w:rsidRDefault="00F964D5" w:rsidP="0044776A">
          <w:pPr>
            <w:keepNext/>
            <w:keepLines/>
            <w:widowControl w:val="0"/>
            <w:jc w:val="center"/>
            <w:rPr>
              <w:sz w:val="20"/>
              <w:szCs w:val="20"/>
            </w:rPr>
          </w:pPr>
        </w:p>
        <w:p w:rsidR="00F964D5" w:rsidRPr="0044776A" w:rsidRDefault="00F964D5" w:rsidP="0044776A">
          <w:pPr>
            <w:keepNext/>
            <w:keepLines/>
            <w:widowControl w:val="0"/>
            <w:jc w:val="center"/>
            <w:rPr>
              <w:sz w:val="20"/>
              <w:szCs w:val="20"/>
            </w:rPr>
          </w:pPr>
        </w:p>
        <w:p w:rsidR="00F964D5" w:rsidRPr="0044776A" w:rsidRDefault="00F964D5" w:rsidP="0044776A">
          <w:pPr>
            <w:keepNext/>
            <w:keepLines/>
            <w:widowControl w:val="0"/>
            <w:jc w:val="center"/>
            <w:rPr>
              <w:sz w:val="20"/>
              <w:szCs w:val="20"/>
            </w:rPr>
          </w:pPr>
        </w:p>
      </w:tc>
      <w:tc>
        <w:tcPr>
          <w:tcW w:w="4080" w:type="dxa"/>
          <w:tcMar>
            <w:left w:w="0" w:type="dxa"/>
            <w:right w:w="0" w:type="dxa"/>
          </w:tcMar>
        </w:tcPr>
        <w:p w:rsidR="00F964D5" w:rsidRPr="0044776A" w:rsidRDefault="00F964D5" w:rsidP="0044776A">
          <w:pPr>
            <w:keepLines/>
            <w:widowControl w:val="0"/>
            <w:rPr>
              <w:sz w:val="20"/>
              <w:szCs w:val="20"/>
              <w:lang w:val="fr-CA"/>
            </w:rPr>
          </w:pPr>
          <w:r w:rsidRPr="0044776A">
            <w:rPr>
              <w:sz w:val="20"/>
              <w:szCs w:val="20"/>
              <w:lang w:val="fr-CA"/>
            </w:rPr>
            <w:t>DEMANDES SOUMISES À LA COUR DEPUIS LA DERNIÈRE PARUTION</w:t>
          </w:r>
        </w:p>
        <w:p w:rsidR="00F964D5" w:rsidRPr="0044776A" w:rsidRDefault="00F964D5" w:rsidP="0044776A">
          <w:pPr>
            <w:widowControl w:val="0"/>
            <w:rPr>
              <w:sz w:val="20"/>
              <w:szCs w:val="20"/>
              <w:lang w:val="fr-CA"/>
            </w:rPr>
          </w:pPr>
        </w:p>
      </w:tc>
    </w:tr>
  </w:tbl>
  <w:p w:rsidR="00F964D5" w:rsidRPr="002E2327" w:rsidRDefault="00F964D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rsidTr="00245129">
      <w:tc>
        <w:tcPr>
          <w:tcW w:w="4200" w:type="dxa"/>
          <w:tcMar>
            <w:left w:w="0" w:type="dxa"/>
            <w:right w:w="0" w:type="dxa"/>
          </w:tcMar>
        </w:tcPr>
        <w:p w:rsidR="00F964D5" w:rsidRPr="0044776A" w:rsidRDefault="00F964D5" w:rsidP="0044776A">
          <w:pPr>
            <w:keepNext/>
            <w:keepLines/>
            <w:widowControl w:val="0"/>
            <w:rPr>
              <w:sz w:val="20"/>
              <w:szCs w:val="20"/>
            </w:rPr>
          </w:pPr>
          <w:r>
            <w:rPr>
              <w:sz w:val="20"/>
              <w:szCs w:val="20"/>
            </w:rPr>
            <w:t>APPLICATIONS FOR LEAVE</w:t>
          </w:r>
        </w:p>
        <w:p w:rsidR="00F964D5" w:rsidRPr="0044776A" w:rsidRDefault="00F964D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964D5" w:rsidRPr="0044776A" w:rsidRDefault="00F964D5" w:rsidP="0044776A">
          <w:pPr>
            <w:keepNext/>
            <w:keepLines/>
            <w:widowControl w:val="0"/>
            <w:jc w:val="center"/>
            <w:rPr>
              <w:sz w:val="20"/>
              <w:szCs w:val="20"/>
            </w:rPr>
          </w:pPr>
        </w:p>
        <w:p w:rsidR="00F964D5" w:rsidRPr="0044776A" w:rsidRDefault="00F964D5" w:rsidP="0044776A">
          <w:pPr>
            <w:keepNext/>
            <w:keepLines/>
            <w:widowControl w:val="0"/>
            <w:jc w:val="center"/>
            <w:rPr>
              <w:sz w:val="20"/>
              <w:szCs w:val="20"/>
            </w:rPr>
          </w:pPr>
        </w:p>
        <w:p w:rsidR="00F964D5" w:rsidRPr="0044776A" w:rsidRDefault="00F964D5" w:rsidP="0044776A">
          <w:pPr>
            <w:keepNext/>
            <w:keepLines/>
            <w:widowControl w:val="0"/>
            <w:jc w:val="center"/>
            <w:rPr>
              <w:sz w:val="20"/>
              <w:szCs w:val="20"/>
            </w:rPr>
          </w:pPr>
        </w:p>
      </w:tc>
      <w:tc>
        <w:tcPr>
          <w:tcW w:w="4080" w:type="dxa"/>
          <w:tcMar>
            <w:left w:w="0" w:type="dxa"/>
            <w:right w:w="0" w:type="dxa"/>
          </w:tcMar>
        </w:tcPr>
        <w:p w:rsidR="00F964D5" w:rsidRPr="0044776A" w:rsidRDefault="00F964D5" w:rsidP="0044776A">
          <w:pPr>
            <w:keepLines/>
            <w:widowControl w:val="0"/>
            <w:rPr>
              <w:sz w:val="20"/>
              <w:szCs w:val="20"/>
              <w:lang w:val="fr-CA"/>
            </w:rPr>
          </w:pPr>
          <w:r w:rsidRPr="0044776A">
            <w:rPr>
              <w:sz w:val="20"/>
              <w:szCs w:val="20"/>
              <w:lang w:val="fr-CA"/>
            </w:rPr>
            <w:t>DEMANDES SOUMISES À LA COUR DEPUIS LA DERNIÈRE PARUTION</w:t>
          </w:r>
        </w:p>
        <w:p w:rsidR="00F964D5" w:rsidRPr="0044776A" w:rsidRDefault="00F964D5" w:rsidP="0044776A">
          <w:pPr>
            <w:widowControl w:val="0"/>
            <w:rPr>
              <w:sz w:val="20"/>
              <w:szCs w:val="20"/>
              <w:lang w:val="fr-CA"/>
            </w:rPr>
          </w:pPr>
        </w:p>
      </w:tc>
    </w:tr>
  </w:tbl>
  <w:p w:rsidR="00F964D5" w:rsidRPr="002E2327" w:rsidRDefault="00F964D5">
    <w:pPr>
      <w:pStyle w:val="Heade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tc>
        <w:tcPr>
          <w:tcW w:w="4200" w:type="dxa"/>
          <w:tcMar>
            <w:left w:w="0" w:type="dxa"/>
            <w:right w:w="0" w:type="dxa"/>
          </w:tcMar>
        </w:tcPr>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964D5"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964D5"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64D5" w:rsidRPr="00FF6BA5"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964D5" w:rsidRPr="00FF6BA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964D5" w:rsidRPr="00FF6BA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964D5" w:rsidRPr="00FF6BA5" w:rsidRDefault="00F96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64D5" w:rsidRPr="00F964D5" w:rsidTr="00245129">
      <w:tc>
        <w:tcPr>
          <w:tcW w:w="4200" w:type="dxa"/>
          <w:tcMar>
            <w:left w:w="0" w:type="dxa"/>
            <w:right w:w="0" w:type="dxa"/>
          </w:tcMar>
        </w:tcPr>
        <w:p w:rsidR="00F964D5" w:rsidRPr="00755F22"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964D5" w:rsidRPr="00755F22" w:rsidRDefault="00F964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964D5" w:rsidRPr="00755F22" w:rsidRDefault="00F964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64D5" w:rsidRPr="00755F22" w:rsidRDefault="00F964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64D5" w:rsidRPr="00755F22" w:rsidRDefault="00F964D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964D5" w:rsidRPr="00755F22" w:rsidRDefault="00F964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964D5" w:rsidRPr="00FF6BA5" w:rsidRDefault="00F964D5"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D5" w:rsidRDefault="00F96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F"/>
    <w:rsid w:val="00002704"/>
    <w:rsid w:val="00013745"/>
    <w:rsid w:val="00020DC3"/>
    <w:rsid w:val="0003223B"/>
    <w:rsid w:val="000327B2"/>
    <w:rsid w:val="0004528B"/>
    <w:rsid w:val="00064FBA"/>
    <w:rsid w:val="00083F3E"/>
    <w:rsid w:val="00091FA6"/>
    <w:rsid w:val="0009498F"/>
    <w:rsid w:val="00096BD9"/>
    <w:rsid w:val="000B3C9A"/>
    <w:rsid w:val="000B40A2"/>
    <w:rsid w:val="000B4624"/>
    <w:rsid w:val="000C0ACD"/>
    <w:rsid w:val="000C0D2A"/>
    <w:rsid w:val="000C5CE8"/>
    <w:rsid w:val="000E27A5"/>
    <w:rsid w:val="000E2959"/>
    <w:rsid w:val="000F0B60"/>
    <w:rsid w:val="000F27BA"/>
    <w:rsid w:val="00102926"/>
    <w:rsid w:val="0010587F"/>
    <w:rsid w:val="00111C6B"/>
    <w:rsid w:val="0012102B"/>
    <w:rsid w:val="00125C70"/>
    <w:rsid w:val="0013369E"/>
    <w:rsid w:val="00134E87"/>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37A86"/>
    <w:rsid w:val="002410B8"/>
    <w:rsid w:val="00242AEE"/>
    <w:rsid w:val="00245129"/>
    <w:rsid w:val="0024569C"/>
    <w:rsid w:val="00245879"/>
    <w:rsid w:val="00253236"/>
    <w:rsid w:val="00267FD5"/>
    <w:rsid w:val="00274D34"/>
    <w:rsid w:val="00283811"/>
    <w:rsid w:val="00283ED8"/>
    <w:rsid w:val="002868D0"/>
    <w:rsid w:val="002A008C"/>
    <w:rsid w:val="002A27D1"/>
    <w:rsid w:val="002A4AFA"/>
    <w:rsid w:val="002B516C"/>
    <w:rsid w:val="002D72EB"/>
    <w:rsid w:val="002E2327"/>
    <w:rsid w:val="002E3583"/>
    <w:rsid w:val="002E5576"/>
    <w:rsid w:val="002F3C61"/>
    <w:rsid w:val="0030050B"/>
    <w:rsid w:val="00331B52"/>
    <w:rsid w:val="003359D3"/>
    <w:rsid w:val="00355967"/>
    <w:rsid w:val="00382C47"/>
    <w:rsid w:val="00384384"/>
    <w:rsid w:val="003866AE"/>
    <w:rsid w:val="003B3977"/>
    <w:rsid w:val="003E1D4C"/>
    <w:rsid w:val="00401AA7"/>
    <w:rsid w:val="004137A0"/>
    <w:rsid w:val="004138ED"/>
    <w:rsid w:val="00422D9A"/>
    <w:rsid w:val="00432989"/>
    <w:rsid w:val="00440E24"/>
    <w:rsid w:val="0044776A"/>
    <w:rsid w:val="00460AFC"/>
    <w:rsid w:val="0047471F"/>
    <w:rsid w:val="004A61F1"/>
    <w:rsid w:val="004B195E"/>
    <w:rsid w:val="004B66B4"/>
    <w:rsid w:val="004B7F60"/>
    <w:rsid w:val="004C1AAC"/>
    <w:rsid w:val="004E1E0A"/>
    <w:rsid w:val="004F090E"/>
    <w:rsid w:val="00501F3C"/>
    <w:rsid w:val="0052229C"/>
    <w:rsid w:val="00527CC7"/>
    <w:rsid w:val="0056248C"/>
    <w:rsid w:val="00571CA4"/>
    <w:rsid w:val="00582136"/>
    <w:rsid w:val="005B72EF"/>
    <w:rsid w:val="005C6840"/>
    <w:rsid w:val="005F1ED8"/>
    <w:rsid w:val="005F263E"/>
    <w:rsid w:val="00600252"/>
    <w:rsid w:val="00612A40"/>
    <w:rsid w:val="0062714A"/>
    <w:rsid w:val="00675479"/>
    <w:rsid w:val="00680709"/>
    <w:rsid w:val="00681F61"/>
    <w:rsid w:val="00696BF9"/>
    <w:rsid w:val="00697C62"/>
    <w:rsid w:val="006A2954"/>
    <w:rsid w:val="006A329B"/>
    <w:rsid w:val="006A5035"/>
    <w:rsid w:val="006A7EB8"/>
    <w:rsid w:val="006B6926"/>
    <w:rsid w:val="006C3F47"/>
    <w:rsid w:val="006C5F7A"/>
    <w:rsid w:val="006E06AF"/>
    <w:rsid w:val="006F350F"/>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E6F25"/>
    <w:rsid w:val="007F105B"/>
    <w:rsid w:val="007F387B"/>
    <w:rsid w:val="00802863"/>
    <w:rsid w:val="008112A9"/>
    <w:rsid w:val="00813894"/>
    <w:rsid w:val="0081473A"/>
    <w:rsid w:val="00815B3C"/>
    <w:rsid w:val="0081610A"/>
    <w:rsid w:val="0082783A"/>
    <w:rsid w:val="00831CA9"/>
    <w:rsid w:val="00850E1F"/>
    <w:rsid w:val="0085476B"/>
    <w:rsid w:val="0086340B"/>
    <w:rsid w:val="008902B1"/>
    <w:rsid w:val="00890FEB"/>
    <w:rsid w:val="0089485C"/>
    <w:rsid w:val="00895E7E"/>
    <w:rsid w:val="008A5C1A"/>
    <w:rsid w:val="008D292F"/>
    <w:rsid w:val="008D2CB2"/>
    <w:rsid w:val="008E03DC"/>
    <w:rsid w:val="00902E51"/>
    <w:rsid w:val="00924065"/>
    <w:rsid w:val="00930D68"/>
    <w:rsid w:val="00932756"/>
    <w:rsid w:val="00932DB4"/>
    <w:rsid w:val="00941A4B"/>
    <w:rsid w:val="00946242"/>
    <w:rsid w:val="0095096B"/>
    <w:rsid w:val="00970CD3"/>
    <w:rsid w:val="009723FA"/>
    <w:rsid w:val="00984546"/>
    <w:rsid w:val="00996510"/>
    <w:rsid w:val="009B4689"/>
    <w:rsid w:val="009D1F15"/>
    <w:rsid w:val="009D555E"/>
    <w:rsid w:val="009F3024"/>
    <w:rsid w:val="009F39BA"/>
    <w:rsid w:val="00A0355E"/>
    <w:rsid w:val="00A15212"/>
    <w:rsid w:val="00A375D1"/>
    <w:rsid w:val="00A46CA2"/>
    <w:rsid w:val="00A51D10"/>
    <w:rsid w:val="00A52A83"/>
    <w:rsid w:val="00A6552C"/>
    <w:rsid w:val="00A70734"/>
    <w:rsid w:val="00A87207"/>
    <w:rsid w:val="00A935AA"/>
    <w:rsid w:val="00A956D3"/>
    <w:rsid w:val="00AA6530"/>
    <w:rsid w:val="00AB2201"/>
    <w:rsid w:val="00AD1C76"/>
    <w:rsid w:val="00AD1D34"/>
    <w:rsid w:val="00AD3259"/>
    <w:rsid w:val="00AF1715"/>
    <w:rsid w:val="00AF3904"/>
    <w:rsid w:val="00B010C0"/>
    <w:rsid w:val="00B4740D"/>
    <w:rsid w:val="00B61629"/>
    <w:rsid w:val="00B670E4"/>
    <w:rsid w:val="00B7374B"/>
    <w:rsid w:val="00B90DC0"/>
    <w:rsid w:val="00B9344E"/>
    <w:rsid w:val="00BA116A"/>
    <w:rsid w:val="00BA5582"/>
    <w:rsid w:val="00BA6468"/>
    <w:rsid w:val="00BB1D44"/>
    <w:rsid w:val="00BB4B30"/>
    <w:rsid w:val="00BD06DA"/>
    <w:rsid w:val="00BD4217"/>
    <w:rsid w:val="00BF25F3"/>
    <w:rsid w:val="00C01FCB"/>
    <w:rsid w:val="00C1697B"/>
    <w:rsid w:val="00C21644"/>
    <w:rsid w:val="00C21CB5"/>
    <w:rsid w:val="00C45CB4"/>
    <w:rsid w:val="00C46376"/>
    <w:rsid w:val="00C50A5C"/>
    <w:rsid w:val="00C50FDF"/>
    <w:rsid w:val="00C63381"/>
    <w:rsid w:val="00C661B7"/>
    <w:rsid w:val="00C73D06"/>
    <w:rsid w:val="00C73E1B"/>
    <w:rsid w:val="00C7556C"/>
    <w:rsid w:val="00C759B4"/>
    <w:rsid w:val="00C77713"/>
    <w:rsid w:val="00C81717"/>
    <w:rsid w:val="00C85BB7"/>
    <w:rsid w:val="00CA2DEA"/>
    <w:rsid w:val="00CA774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639E"/>
    <w:rsid w:val="00DA756F"/>
    <w:rsid w:val="00DD0B49"/>
    <w:rsid w:val="00DD0BCE"/>
    <w:rsid w:val="00DE0502"/>
    <w:rsid w:val="00DE349D"/>
    <w:rsid w:val="00E06DFA"/>
    <w:rsid w:val="00E20A0A"/>
    <w:rsid w:val="00E240C2"/>
    <w:rsid w:val="00E356C7"/>
    <w:rsid w:val="00E414CA"/>
    <w:rsid w:val="00E41A5A"/>
    <w:rsid w:val="00E45FE4"/>
    <w:rsid w:val="00E64FA7"/>
    <w:rsid w:val="00E6723D"/>
    <w:rsid w:val="00E72C6F"/>
    <w:rsid w:val="00E75CFD"/>
    <w:rsid w:val="00E770CB"/>
    <w:rsid w:val="00E8544A"/>
    <w:rsid w:val="00E903A1"/>
    <w:rsid w:val="00E940EB"/>
    <w:rsid w:val="00E942C2"/>
    <w:rsid w:val="00E9703F"/>
    <w:rsid w:val="00EB2B90"/>
    <w:rsid w:val="00EC5155"/>
    <w:rsid w:val="00ED7E83"/>
    <w:rsid w:val="00EE091F"/>
    <w:rsid w:val="00EF4B63"/>
    <w:rsid w:val="00F0068D"/>
    <w:rsid w:val="00F0576D"/>
    <w:rsid w:val="00F10177"/>
    <w:rsid w:val="00F14E6D"/>
    <w:rsid w:val="00F15EA8"/>
    <w:rsid w:val="00F16C8D"/>
    <w:rsid w:val="00F26C61"/>
    <w:rsid w:val="00F33CCE"/>
    <w:rsid w:val="00F3597D"/>
    <w:rsid w:val="00F40249"/>
    <w:rsid w:val="00F526C8"/>
    <w:rsid w:val="00F761A3"/>
    <w:rsid w:val="00F80D52"/>
    <w:rsid w:val="00F9272D"/>
    <w:rsid w:val="00F9518C"/>
    <w:rsid w:val="00F964D5"/>
    <w:rsid w:val="00FA316E"/>
    <w:rsid w:val="00FA3373"/>
    <w:rsid w:val="00FA59EF"/>
    <w:rsid w:val="00FB19A2"/>
    <w:rsid w:val="00FB48F9"/>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CA774A"/>
    <w:pPr>
      <w:jc w:val="both"/>
    </w:pPr>
    <w:rPr>
      <w:rFonts w:eastAsia="Calibri" w:cs="Times New Roman"/>
      <w:smallCaps/>
    </w:rPr>
  </w:style>
  <w:style w:type="character" w:customStyle="1" w:styleId="SCCBanSummaryChar">
    <w:name w:val="SCC.BanSummary Char"/>
    <w:basedOn w:val="DefaultParagraphFont"/>
    <w:link w:val="SCCBanSummary"/>
    <w:rsid w:val="00CA774A"/>
    <w:rPr>
      <w:rFonts w:eastAsia="Calibri" w:cs="Times New Roman"/>
      <w:smallCaps/>
      <w:lang w:val="en-CA"/>
    </w:rPr>
  </w:style>
  <w:style w:type="paragraph" w:styleId="NoSpacing">
    <w:name w:val="No Spacing"/>
    <w:uiPriority w:val="1"/>
    <w:qFormat/>
    <w:rsid w:val="00CA774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CA774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CA774A"/>
    <w:rPr>
      <w:rFonts w:eastAsia="Calibri" w:cs="Times New Roman"/>
      <w:szCs w:val="24"/>
      <w:lang w:val="en-CA"/>
    </w:rPr>
  </w:style>
  <w:style w:type="character" w:customStyle="1" w:styleId="DocumentMapChar">
    <w:name w:val="Document Map Char"/>
    <w:basedOn w:val="DefaultParagraphFont"/>
    <w:link w:val="DocumentMap"/>
    <w:uiPriority w:val="99"/>
    <w:semiHidden/>
    <w:rsid w:val="00CA774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A774A"/>
    <w:rPr>
      <w:rFonts w:ascii="Tahoma" w:eastAsia="Times New Roman" w:hAnsi="Tahoma" w:cs="Tahoma"/>
      <w:sz w:val="16"/>
      <w:szCs w:val="16"/>
      <w:lang w:val="en-US"/>
    </w:rPr>
  </w:style>
  <w:style w:type="paragraph" w:customStyle="1" w:styleId="Style268435469">
    <w:name w:val="Style268435469"/>
    <w:rsid w:val="00CA774A"/>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CA774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CA774A"/>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CA774A"/>
    <w:rPr>
      <w:rFonts w:eastAsia="Times New Roman" w:cs="Times New Roman"/>
      <w:sz w:val="20"/>
      <w:szCs w:val="20"/>
    </w:rPr>
  </w:style>
  <w:style w:type="paragraph" w:styleId="CommentText">
    <w:name w:val="annotation text"/>
    <w:basedOn w:val="Normal"/>
    <w:link w:val="CommentTextChar"/>
    <w:uiPriority w:val="99"/>
    <w:semiHidden/>
    <w:unhideWhenUsed/>
    <w:rsid w:val="00CA774A"/>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CA774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A774A"/>
    <w:rPr>
      <w:b/>
      <w:bCs/>
    </w:rPr>
  </w:style>
  <w:style w:type="paragraph" w:customStyle="1" w:styleId="SCCLsocSubfileSeparator">
    <w:name w:val="SCC.Lsoc.SubfileSeparator"/>
    <w:basedOn w:val="Normal"/>
    <w:next w:val="Normal"/>
    <w:link w:val="SCCLsocSubfileSeparatorChar"/>
    <w:rsid w:val="00CA774A"/>
    <w:pPr>
      <w:jc w:val="both"/>
    </w:pPr>
    <w:rPr>
      <w:rFonts w:cs="Times New Roman"/>
      <w:b/>
      <w:szCs w:val="24"/>
    </w:rPr>
  </w:style>
  <w:style w:type="character" w:customStyle="1" w:styleId="SCCLsocSubfileSeparatorChar">
    <w:name w:val="SCC.Lsoc.SubfileSeparator Char"/>
    <w:basedOn w:val="DefaultParagraphFont"/>
    <w:link w:val="SCCLsocSubfileSeparator"/>
    <w:rsid w:val="00CA774A"/>
    <w:rPr>
      <w:rFonts w:cs="Times New Roman"/>
      <w:b/>
      <w:szCs w:val="24"/>
      <w:lang w:val="en-CA"/>
    </w:rPr>
  </w:style>
  <w:style w:type="paragraph" w:customStyle="1" w:styleId="SCCAppellantInfoCoram">
    <w:name w:val="SCC.AppellantInfo.Coram"/>
    <w:basedOn w:val="Normal"/>
    <w:next w:val="Normal"/>
    <w:link w:val="SCCAppellantInfoCoramChar"/>
    <w:rsid w:val="00237A86"/>
    <w:rPr>
      <w:b/>
      <w:szCs w:val="24"/>
    </w:rPr>
  </w:style>
  <w:style w:type="character" w:customStyle="1" w:styleId="SCCAppellantInfoCoramChar">
    <w:name w:val="SCC.AppellantInfo.Coram Char"/>
    <w:basedOn w:val="DefaultParagraphFont"/>
    <w:link w:val="SCCAppellantInfoCoram"/>
    <w:rsid w:val="00237A86"/>
    <w:rPr>
      <w:b/>
      <w:szCs w:val="24"/>
      <w:lang w:val="en-CA"/>
    </w:rPr>
  </w:style>
  <w:style w:type="character" w:customStyle="1" w:styleId="ParaNoNdepar-AltNChar">
    <w:name w:val="Para. No. / Nº de par. - Alt N Char"/>
    <w:basedOn w:val="DefaultParagraphFont"/>
    <w:link w:val="ParaNoNdepar-AltN"/>
    <w:rsid w:val="002F3C61"/>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nl/nlpc/doc/2015/2015canlii13412/2015canlii13412.html" TargetMode="External"/><Relationship Id="rId117" Type="http://schemas.openxmlformats.org/officeDocument/2006/relationships/header" Target="header22.xml"/><Relationship Id="rId21" Type="http://schemas.openxmlformats.org/officeDocument/2006/relationships/header" Target="header5.xml"/><Relationship Id="rId42" Type="http://schemas.openxmlformats.org/officeDocument/2006/relationships/hyperlink" Target="http://canlii.ca/t/h3w76" TargetMode="External"/><Relationship Id="rId47" Type="http://schemas.openxmlformats.org/officeDocument/2006/relationships/hyperlink" Target="https://www.canlii.org/en/qc/qcca/doc/2017/2017qcca212/2017qcca212.html?autocompleteStr=500-09-026375&amp;autocompletePos=1" TargetMode="External"/><Relationship Id="rId63" Type="http://schemas.openxmlformats.org/officeDocument/2006/relationships/hyperlink" Target="http://canlii.ca/t/gjjcd" TargetMode="External"/><Relationship Id="rId68" Type="http://schemas.openxmlformats.org/officeDocument/2006/relationships/hyperlink" Target="https://www.canlii.org/en/on/onscdc/doc/2016/2016onsc7378/2016onsc7378.html?autocompleteStr=2016%20ONSC%207378&amp;autocompletePos=1" TargetMode="External"/><Relationship Id="rId84" Type="http://schemas.openxmlformats.org/officeDocument/2006/relationships/hyperlink" Target="https://www.canlii.org/fr/qc/qcca/doc/2016/2016qcca1168/2016qcca1168.html" TargetMode="External"/><Relationship Id="rId89" Type="http://schemas.openxmlformats.org/officeDocument/2006/relationships/header" Target="header9.xml"/><Relationship Id="rId112" Type="http://schemas.openxmlformats.org/officeDocument/2006/relationships/header" Target="header20.xml"/><Relationship Id="rId16" Type="http://schemas.openxmlformats.org/officeDocument/2006/relationships/footer" Target="footer3.xml"/><Relationship Id="rId107" Type="http://schemas.openxmlformats.org/officeDocument/2006/relationships/header" Target="header1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canlii.org/fr/qc/qcca/doc/2017/2017qcca674/2017qcca674.html" TargetMode="External"/><Relationship Id="rId37" Type="http://schemas.openxmlformats.org/officeDocument/2006/relationships/hyperlink" Target="https://www.canlii.org/en/bc/bcsc/doc/2016/2016bcsc1004/2016bcsc1004.html?autocompleteStr=2016%20BCSC%201004&amp;autocompletePos=1" TargetMode="External"/><Relationship Id="rId40" Type="http://schemas.openxmlformats.org/officeDocument/2006/relationships/hyperlink" Target="http://canlii.ca/t/h3w76" TargetMode="External"/><Relationship Id="rId45" Type="http://schemas.openxmlformats.org/officeDocument/2006/relationships/hyperlink" Target="https://www.canlii.org/en/ab/abqb/doc/2016/2016abqb579/2016abqb579.html?autocompleteStr=2016%20ABQB%20579&amp;autocompletePos=1" TargetMode="External"/><Relationship Id="rId53" Type="http://schemas.openxmlformats.org/officeDocument/2006/relationships/hyperlink" Target="https://www.canlii.org/en/bc/bcsc/doc/2016/2016bcsc707/2016bcsc707.html?resultIndex=1" TargetMode="External"/><Relationship Id="rId58" Type="http://schemas.openxmlformats.org/officeDocument/2006/relationships/hyperlink" Target="https://www.canlii.org/en/on/oncj/doc/2015/2015oncj724/2015oncj724.html?autocompleteStr=2015%20ONCJ%20724&amp;autocompletePos=1" TargetMode="External"/><Relationship Id="rId66" Type="http://schemas.openxmlformats.org/officeDocument/2006/relationships/hyperlink" Target="http://canlii.ca/t/gp2mt" TargetMode="External"/><Relationship Id="rId74" Type="http://schemas.openxmlformats.org/officeDocument/2006/relationships/hyperlink" Target="http://canlii.ca/t/h3760" TargetMode="External"/><Relationship Id="rId79" Type="http://schemas.openxmlformats.org/officeDocument/2006/relationships/hyperlink" Target="https://www.canlii.org/fr/qc/qcca/doc/2016/2016qcca778/2016qcca778.html" TargetMode="External"/><Relationship Id="rId87" Type="http://schemas.openxmlformats.org/officeDocument/2006/relationships/footer" Target="footer7.xml"/><Relationship Id="rId102" Type="http://schemas.openxmlformats.org/officeDocument/2006/relationships/footer" Target="footer15.xml"/><Relationship Id="rId110" Type="http://schemas.openxmlformats.org/officeDocument/2006/relationships/hyperlink" Target="http://www.scc-csc.ca/case-dossier/info/sum-som-eng.aspx?cas=37041" TargetMode="External"/><Relationship Id="rId115"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yperlink" Target="http://canlii.ca/t/h4pzr" TargetMode="External"/><Relationship Id="rId82" Type="http://schemas.openxmlformats.org/officeDocument/2006/relationships/hyperlink" Target="https://www.canlii.org/fr/qc/qcca/doc/2015/2015qcca1630/2015qcca1630.html" TargetMode="External"/><Relationship Id="rId90" Type="http://schemas.openxmlformats.org/officeDocument/2006/relationships/footer" Target="footer9.xml"/><Relationship Id="rId95" Type="http://schemas.openxmlformats.org/officeDocument/2006/relationships/header" Target="header12.xml"/><Relationship Id="rId19" Type="http://schemas.openxmlformats.org/officeDocument/2006/relationships/hyperlink" Target="https://www.canlii.org/fr/qc/qcca/doc/2017/2017qcca1041/2017qcca1041.html?autocompleteStr=r.%20c.%20ledoux&amp;autocompletePos=1"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canlii.org/en/nl/nlca/doc/2017/2017nlca12/2017nlca12.html?resultIndex=1" TargetMode="External"/><Relationship Id="rId30" Type="http://schemas.openxmlformats.org/officeDocument/2006/relationships/hyperlink" Target="https://www.canlii.org/en/nl/nlca/doc/2017/2017nlca12/2017nlca12.html?resultIndex=1" TargetMode="External"/><Relationship Id="rId35" Type="http://schemas.openxmlformats.org/officeDocument/2006/relationships/hyperlink" Target="https://www.canlii.org/en/bc/bcsc/doc/2016/2016bcsc1004/2016bcsc1004.html?autocompleteStr=2016%20BCSC%201004&amp;autocompletePos=1" TargetMode="External"/><Relationship Id="rId43" Type="http://schemas.openxmlformats.org/officeDocument/2006/relationships/hyperlink" Target="https://www.canlii.org/en/ab/abqb/doc/2016/2016abqb579/2016abqb579.html?autocompleteStr=2016%20ABQB%20579&amp;autocompletePos=1" TargetMode="External"/><Relationship Id="rId48" Type="http://schemas.openxmlformats.org/officeDocument/2006/relationships/hyperlink" Target="https://www.canlii.org/en/qc/qcca/doc/2017/2017qcca212/2017qcca212.html?autocompleteStr=500-09-026375&amp;autocompletePos=1" TargetMode="External"/><Relationship Id="rId56" Type="http://schemas.openxmlformats.org/officeDocument/2006/relationships/hyperlink" Target="https://www.canlii.org/en/bc/bcca/doc/2017/2017bcca219/2017bcca219.html?autocompleteStr=2017%20bcca%20219&amp;autocompletePos=1" TargetMode="External"/><Relationship Id="rId64" Type="http://schemas.openxmlformats.org/officeDocument/2006/relationships/hyperlink" Target="http://canlii.ca/t/gp2mt" TargetMode="External"/><Relationship Id="rId69" Type="http://schemas.openxmlformats.org/officeDocument/2006/relationships/hyperlink" Target="https://www.canlii.org/en/on/onsc/doc/2016/2016onsc395/2016onsc395.html" TargetMode="External"/><Relationship Id="rId77" Type="http://schemas.openxmlformats.org/officeDocument/2006/relationships/hyperlink" Target="https://www.canlii.org/fr/qc/qccs/doc/2014/2014qccs3773/2014qccs3773.html" TargetMode="External"/><Relationship Id="rId100" Type="http://schemas.openxmlformats.org/officeDocument/2006/relationships/footer" Target="footer14.xml"/><Relationship Id="rId105" Type="http://schemas.openxmlformats.org/officeDocument/2006/relationships/footer" Target="footer16.xml"/><Relationship Id="rId113" Type="http://schemas.openxmlformats.org/officeDocument/2006/relationships/footer" Target="footer19.xml"/><Relationship Id="rId118"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yperlink" Target="https://www.canlii.org/en/bc/bcsc/doc/2014/2014bcsc1112/2014bcsc1112.html?autocompleteStr=2014%20BCSC%201112&amp;autocompletePos=1" TargetMode="External"/><Relationship Id="rId72" Type="http://schemas.openxmlformats.org/officeDocument/2006/relationships/hyperlink" Target="https://www.canlii.org/en/on/onscdc/doc/2016/2016onsc7847/2016onsc7847.html" TargetMode="External"/><Relationship Id="rId80" Type="http://schemas.openxmlformats.org/officeDocument/2006/relationships/hyperlink" Target="https://www.canlii.org/fr/qc/qcca/doc/2016/2016qcca1168/2016qcca1168.html" TargetMode="External"/><Relationship Id="rId85" Type="http://schemas.openxmlformats.org/officeDocument/2006/relationships/header" Target="header7.xml"/><Relationship Id="rId93" Type="http://schemas.openxmlformats.org/officeDocument/2006/relationships/footer" Target="footer10.xm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nl/nlpc/doc/2014/2014nlpc112/2014nlpc112.html?resultIndex=1" TargetMode="External"/><Relationship Id="rId33" Type="http://schemas.openxmlformats.org/officeDocument/2006/relationships/hyperlink" Target="https://www.canlii.org/fr/qc/qccs/doc/2016/2016qccs5936/2016qccs5936.html?autocompleteStr=commission%20scolaire%20du%20chemin-roy%20&amp;autocompletePos=7" TargetMode="External"/><Relationship Id="rId38" Type="http://schemas.openxmlformats.org/officeDocument/2006/relationships/hyperlink" Target="https://www.canlii.org/en/bc/bcca/doc/2017/2017bcca241/2017bcca241.html?autocompleteStr=2017%20BCCA%20241&amp;autocompletePos=1" TargetMode="External"/><Relationship Id="rId46" Type="http://schemas.openxmlformats.org/officeDocument/2006/relationships/hyperlink" Target="https://www.canlii.org/en/ab/abca/doc/2017/2017abca116/2017abca116.html?autocompleteStr=2017%20ABCA%20116&amp;autocompletePos=1" TargetMode="External"/><Relationship Id="rId59" Type="http://schemas.openxmlformats.org/officeDocument/2006/relationships/hyperlink" Target="https://www.canlii.org/en/on/onscdc/doc/2016/2016onsc7508/2016onsc7508.html?resultIndex=1" TargetMode="External"/><Relationship Id="rId67" Type="http://schemas.openxmlformats.org/officeDocument/2006/relationships/hyperlink" Target="https://www.canlii.org/en/on/onscdc/doc/2016/2016onsc7378/2016onsc7378.html?autocompleteStr=2016%20ONSC%207378&amp;autocompletePos=1" TargetMode="External"/><Relationship Id="rId103" Type="http://schemas.openxmlformats.org/officeDocument/2006/relationships/header" Target="header16.xml"/><Relationship Id="rId108" Type="http://schemas.openxmlformats.org/officeDocument/2006/relationships/footer" Target="footer18.xml"/><Relationship Id="rId116" Type="http://schemas.openxmlformats.org/officeDocument/2006/relationships/footer" Target="footer21.xml"/><Relationship Id="rId20" Type="http://schemas.openxmlformats.org/officeDocument/2006/relationships/hyperlink" Target="https://www.canlii.org/fr/qc/qcca/doc/2017/2017qcca1041/2017qcca1041.html?autocompleteStr=r.%20c.%20ledoux&amp;autocompletePos=1" TargetMode="External"/><Relationship Id="rId41" Type="http://schemas.openxmlformats.org/officeDocument/2006/relationships/hyperlink" Target="http://canlii.ca/t/gkvc6" TargetMode="External"/><Relationship Id="rId54" Type="http://schemas.openxmlformats.org/officeDocument/2006/relationships/hyperlink" Target="https://www.canlii.org/en/bc/bcca/doc/2017/2017bcca219/2017bcca219.html?autocompleteStr=2017%20bcca%20219&amp;autocompletePos=1" TargetMode="External"/><Relationship Id="rId62" Type="http://schemas.openxmlformats.org/officeDocument/2006/relationships/hyperlink" Target="http://canlii.ca/t/h4pzr" TargetMode="External"/><Relationship Id="rId70" Type="http://schemas.openxmlformats.org/officeDocument/2006/relationships/hyperlink" Target="https://www.canlii.org/en/on/onscdc/doc/2016/2016onsc7847/2016onsc7847.html" TargetMode="External"/><Relationship Id="rId75" Type="http://schemas.openxmlformats.org/officeDocument/2006/relationships/hyperlink" Target="http://canlii.ca/t/gfbwg" TargetMode="External"/><Relationship Id="rId83" Type="http://schemas.openxmlformats.org/officeDocument/2006/relationships/hyperlink" Target="https://www.canlii.org/fr/qc/qcca/doc/2016/2016qcca778/2016qcca778.html" TargetMode="External"/><Relationship Id="rId88" Type="http://schemas.openxmlformats.org/officeDocument/2006/relationships/footer" Target="footer8.xml"/><Relationship Id="rId91" Type="http://schemas.openxmlformats.org/officeDocument/2006/relationships/header" Target="header10.xml"/><Relationship Id="rId96" Type="http://schemas.openxmlformats.org/officeDocument/2006/relationships/footer" Target="footer12.xml"/><Relationship Id="rId11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canlii.org/en/nl/nlpc/doc/2014/2014nlpc112/2014nlpc112.html?resultIndex=1" TargetMode="External"/><Relationship Id="rId36" Type="http://schemas.openxmlformats.org/officeDocument/2006/relationships/hyperlink" Target="https://www.canlii.org/en/bc/bcca/doc/2017/2017bcca241/2017bcca241.html?autocompleteStr=2017%20BCCA%20241&amp;autocompletePos=1" TargetMode="External"/><Relationship Id="rId49" Type="http://schemas.openxmlformats.org/officeDocument/2006/relationships/hyperlink" Target="https://www.canlii.org/en/bc/bcsc/doc/2014/2014bcsc1112/2014bcsc1112.html?autocompleteStr=2014%20BCSC%201112&amp;autocompletePos=1" TargetMode="External"/><Relationship Id="rId57" Type="http://schemas.openxmlformats.org/officeDocument/2006/relationships/hyperlink" Target="https://www.canlii.org/en/on/oncj/doc/2015/2015oncj724/2015oncj724.html?autocompleteStr=2015%20ONCJ%20724&amp;autocompletePos=1" TargetMode="External"/><Relationship Id="rId106" Type="http://schemas.openxmlformats.org/officeDocument/2006/relationships/footer" Target="footer17.xml"/><Relationship Id="rId114" Type="http://schemas.openxmlformats.org/officeDocument/2006/relationships/footer" Target="footer20.xml"/><Relationship Id="rId119" Type="http://schemas.openxmlformats.org/officeDocument/2006/relationships/fontTable" Target="fontTable.xml"/><Relationship Id="rId10" Type="http://schemas.openxmlformats.org/officeDocument/2006/relationships/hyperlink" Target="http://www.scc-csc.ca" TargetMode="External"/><Relationship Id="rId31" Type="http://schemas.openxmlformats.org/officeDocument/2006/relationships/hyperlink" Target="https://www.canlii.org/fr/qc/qccs/doc/2016/2016qccs5936/2016qccs5936.html?autocompleteStr=commission%20scolaire%20du%20chemin-roy%20&amp;autocompletePos=7" TargetMode="External"/><Relationship Id="rId44" Type="http://schemas.openxmlformats.org/officeDocument/2006/relationships/hyperlink" Target="https://www.canlii.org/en/ab/abca/doc/2017/2017abca116/2017abca116.html?autocompleteStr=2017%20ABCA%20116&amp;autocompletePos=1" TargetMode="External"/><Relationship Id="rId52" Type="http://schemas.openxmlformats.org/officeDocument/2006/relationships/hyperlink" Target="https://www.canlii.org/en/bc/bcca/doc/2017/2017bcca220/2017bcca220.html?resultIndex=1" TargetMode="External"/><Relationship Id="rId60" Type="http://schemas.openxmlformats.org/officeDocument/2006/relationships/hyperlink" Target="https://www.canlii.org/en/on/onscdc/doc/2016/2016onsc7508/2016onsc7508.html?resultIndex=1" TargetMode="External"/><Relationship Id="rId65" Type="http://schemas.openxmlformats.org/officeDocument/2006/relationships/hyperlink" Target="http://canlii.ca/t/gjjcd" TargetMode="External"/><Relationship Id="rId73" Type="http://schemas.openxmlformats.org/officeDocument/2006/relationships/hyperlink" Target="http://canlii.ca/t/gfbwg" TargetMode="External"/><Relationship Id="rId78" Type="http://schemas.openxmlformats.org/officeDocument/2006/relationships/hyperlink" Target="https://www.canlii.org/fr/qc/qcca/doc/2015/2015qcca1630/2015qcca1630.html" TargetMode="External"/><Relationship Id="rId81" Type="http://schemas.openxmlformats.org/officeDocument/2006/relationships/hyperlink" Target="https://www.canlii.org/fr/qc/qccs/doc/2014/2014qccs3773/2014qccs3773.html" TargetMode="External"/><Relationship Id="rId86" Type="http://schemas.openxmlformats.org/officeDocument/2006/relationships/header" Target="header8.xml"/><Relationship Id="rId94" Type="http://schemas.openxmlformats.org/officeDocument/2006/relationships/footer" Target="footer11.xml"/><Relationship Id="rId99" Type="http://schemas.openxmlformats.org/officeDocument/2006/relationships/footer" Target="footer13.xml"/><Relationship Id="rId10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gkvc6" TargetMode="External"/><Relationship Id="rId109" Type="http://schemas.openxmlformats.org/officeDocument/2006/relationships/hyperlink" Target="http://www.scc-csc.ca/case-dossier/info/sum-som-eng.aspx?cas=37120" TargetMode="External"/><Relationship Id="rId34" Type="http://schemas.openxmlformats.org/officeDocument/2006/relationships/hyperlink" Target="https://www.canlii.org/fr/qc/qcca/doc/2017/2017qcca674/2017qcca674.html" TargetMode="External"/><Relationship Id="rId50" Type="http://schemas.openxmlformats.org/officeDocument/2006/relationships/hyperlink" Target="https://www.canlii.org/en/bc/bcca/doc/2017/2017bcca220/2017bcca220.html?resultIndex=1" TargetMode="External"/><Relationship Id="rId55" Type="http://schemas.openxmlformats.org/officeDocument/2006/relationships/hyperlink" Target="https://www.canlii.org/en/bc/bcsc/doc/2016/2016bcsc707/2016bcsc707.html?resultIndex=1" TargetMode="External"/><Relationship Id="rId76" Type="http://schemas.openxmlformats.org/officeDocument/2006/relationships/hyperlink" Target="http://canlii.ca/t/h3760" TargetMode="External"/><Relationship Id="rId97" Type="http://schemas.openxmlformats.org/officeDocument/2006/relationships/header" Target="header13.xml"/><Relationship Id="rId104" Type="http://schemas.openxmlformats.org/officeDocument/2006/relationships/header" Target="header17.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on/onsc/doc/2016/2016onsc395/2016onsc395.html"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s://www.canlii.org/en/nl/nlpc/doc/2015/2015canlii13412/2015canlii134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9414-1B3E-48C4-8E7C-61D163E7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60</Pages>
  <Words>27222</Words>
  <Characters>155172</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2017-12-14T17:04:00Z</dcterms:created>
  <dcterms:modified xsi:type="dcterms:W3CDTF">2017-12-18T15:05:00Z</dcterms:modified>
</cp:coreProperties>
</file>