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437F82" w:rsidRDefault="00382C47" w:rsidP="00C7556C">
      <w:pPr>
        <w:jc w:val="center"/>
      </w:pPr>
      <w:r w:rsidRPr="00437F82">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437F82"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437F82" w:rsidTr="002E5576">
        <w:tc>
          <w:tcPr>
            <w:tcW w:w="4518" w:type="dxa"/>
          </w:tcPr>
          <w:p w:rsidR="00BF25F3" w:rsidRPr="00437F82" w:rsidRDefault="00BF25F3" w:rsidP="00BF25F3">
            <w:pPr>
              <w:tabs>
                <w:tab w:val="left" w:pos="6075"/>
              </w:tabs>
              <w:jc w:val="center"/>
              <w:rPr>
                <w:b/>
                <w:sz w:val="32"/>
                <w:szCs w:val="32"/>
              </w:rPr>
            </w:pPr>
            <w:r w:rsidRPr="00437F82">
              <w:rPr>
                <w:b/>
                <w:sz w:val="32"/>
                <w:szCs w:val="32"/>
              </w:rPr>
              <w:t>SUPREME COURT OF CANADA</w:t>
            </w:r>
          </w:p>
        </w:tc>
        <w:tc>
          <w:tcPr>
            <w:tcW w:w="630" w:type="dxa"/>
          </w:tcPr>
          <w:p w:rsidR="00BF25F3" w:rsidRPr="00437F82" w:rsidRDefault="00BF25F3" w:rsidP="00BF25F3">
            <w:pPr>
              <w:tabs>
                <w:tab w:val="left" w:pos="6075"/>
              </w:tabs>
              <w:jc w:val="center"/>
              <w:rPr>
                <w:sz w:val="32"/>
                <w:szCs w:val="32"/>
              </w:rPr>
            </w:pPr>
          </w:p>
        </w:tc>
        <w:tc>
          <w:tcPr>
            <w:tcW w:w="4428" w:type="dxa"/>
          </w:tcPr>
          <w:p w:rsidR="00BF25F3" w:rsidRPr="00437F82" w:rsidRDefault="00BF25F3" w:rsidP="00BF25F3">
            <w:pPr>
              <w:tabs>
                <w:tab w:val="left" w:pos="6075"/>
              </w:tabs>
              <w:jc w:val="center"/>
              <w:rPr>
                <w:b/>
                <w:sz w:val="32"/>
                <w:szCs w:val="32"/>
                <w:lang w:val="fr-CA"/>
              </w:rPr>
            </w:pPr>
            <w:r w:rsidRPr="00437F82">
              <w:rPr>
                <w:b/>
                <w:sz w:val="32"/>
                <w:szCs w:val="32"/>
                <w:lang w:val="fr-CA"/>
              </w:rPr>
              <w:t>COUR SUPRÊME DU CANADA</w:t>
            </w:r>
          </w:p>
        </w:tc>
      </w:tr>
      <w:tr w:rsidR="00BF25F3" w:rsidRPr="00437F82" w:rsidTr="002E5576">
        <w:tc>
          <w:tcPr>
            <w:tcW w:w="4518" w:type="dxa"/>
          </w:tcPr>
          <w:p w:rsidR="00BF25F3" w:rsidRPr="00437F82" w:rsidRDefault="00BF25F3" w:rsidP="00BF25F3">
            <w:pPr>
              <w:tabs>
                <w:tab w:val="left" w:pos="6075"/>
              </w:tabs>
            </w:pPr>
          </w:p>
          <w:p w:rsidR="001B5C23" w:rsidRPr="00437F82" w:rsidRDefault="001B5C23" w:rsidP="00BF25F3">
            <w:pPr>
              <w:tabs>
                <w:tab w:val="left" w:pos="6075"/>
              </w:tabs>
            </w:pPr>
          </w:p>
          <w:p w:rsidR="001B5C23" w:rsidRPr="00437F82" w:rsidRDefault="001B5C23" w:rsidP="00BF25F3">
            <w:pPr>
              <w:tabs>
                <w:tab w:val="left" w:pos="6075"/>
              </w:tabs>
            </w:pPr>
          </w:p>
        </w:tc>
        <w:tc>
          <w:tcPr>
            <w:tcW w:w="630" w:type="dxa"/>
          </w:tcPr>
          <w:p w:rsidR="00BF25F3" w:rsidRPr="00437F82" w:rsidRDefault="00BF25F3" w:rsidP="00BF25F3">
            <w:pPr>
              <w:tabs>
                <w:tab w:val="left" w:pos="6075"/>
              </w:tabs>
            </w:pPr>
          </w:p>
        </w:tc>
        <w:tc>
          <w:tcPr>
            <w:tcW w:w="4428" w:type="dxa"/>
          </w:tcPr>
          <w:p w:rsidR="00BF25F3" w:rsidRPr="00437F82" w:rsidRDefault="00BF25F3" w:rsidP="00BF25F3">
            <w:pPr>
              <w:tabs>
                <w:tab w:val="left" w:pos="6075"/>
              </w:tabs>
              <w:rPr>
                <w:lang w:val="fr-CA"/>
              </w:rPr>
            </w:pPr>
          </w:p>
        </w:tc>
      </w:tr>
      <w:tr w:rsidR="00BF25F3" w:rsidRPr="00437F82" w:rsidTr="002E5576">
        <w:tc>
          <w:tcPr>
            <w:tcW w:w="4518" w:type="dxa"/>
          </w:tcPr>
          <w:p w:rsidR="001B5C23" w:rsidRPr="00437F82" w:rsidRDefault="00BF25F3" w:rsidP="00BF25F3">
            <w:pPr>
              <w:tabs>
                <w:tab w:val="left" w:pos="6075"/>
              </w:tabs>
              <w:jc w:val="center"/>
              <w:rPr>
                <w:sz w:val="28"/>
                <w:szCs w:val="28"/>
              </w:rPr>
            </w:pPr>
            <w:r w:rsidRPr="00437F82">
              <w:rPr>
                <w:sz w:val="28"/>
                <w:szCs w:val="28"/>
              </w:rPr>
              <w:t>BULLETIN OF</w:t>
            </w:r>
          </w:p>
          <w:p w:rsidR="00BF25F3" w:rsidRPr="00437F82" w:rsidRDefault="00BF25F3" w:rsidP="00BF25F3">
            <w:pPr>
              <w:tabs>
                <w:tab w:val="left" w:pos="6075"/>
              </w:tabs>
              <w:jc w:val="center"/>
              <w:rPr>
                <w:sz w:val="28"/>
                <w:szCs w:val="28"/>
              </w:rPr>
            </w:pPr>
            <w:r w:rsidRPr="00437F82">
              <w:rPr>
                <w:sz w:val="28"/>
                <w:szCs w:val="28"/>
              </w:rPr>
              <w:t xml:space="preserve"> PROCEEDINGS</w:t>
            </w:r>
          </w:p>
        </w:tc>
        <w:tc>
          <w:tcPr>
            <w:tcW w:w="630" w:type="dxa"/>
          </w:tcPr>
          <w:p w:rsidR="00BF25F3" w:rsidRPr="00437F82" w:rsidRDefault="00BF25F3" w:rsidP="00BF25F3">
            <w:pPr>
              <w:tabs>
                <w:tab w:val="left" w:pos="6075"/>
              </w:tabs>
            </w:pPr>
          </w:p>
        </w:tc>
        <w:tc>
          <w:tcPr>
            <w:tcW w:w="4428" w:type="dxa"/>
          </w:tcPr>
          <w:p w:rsidR="001B5C23" w:rsidRPr="00437F82" w:rsidRDefault="00BF25F3" w:rsidP="00BF25F3">
            <w:pPr>
              <w:tabs>
                <w:tab w:val="left" w:pos="6075"/>
              </w:tabs>
              <w:jc w:val="center"/>
              <w:rPr>
                <w:sz w:val="28"/>
                <w:szCs w:val="28"/>
                <w:lang w:val="fr-CA"/>
              </w:rPr>
            </w:pPr>
            <w:r w:rsidRPr="00437F82">
              <w:rPr>
                <w:sz w:val="28"/>
                <w:szCs w:val="28"/>
                <w:lang w:val="fr-CA"/>
              </w:rPr>
              <w:t>BULLETIN DES</w:t>
            </w:r>
          </w:p>
          <w:p w:rsidR="00BF25F3" w:rsidRPr="00437F82" w:rsidRDefault="00BF25F3" w:rsidP="00BF25F3">
            <w:pPr>
              <w:tabs>
                <w:tab w:val="left" w:pos="6075"/>
              </w:tabs>
              <w:jc w:val="center"/>
              <w:rPr>
                <w:sz w:val="28"/>
                <w:szCs w:val="28"/>
                <w:lang w:val="fr-CA"/>
              </w:rPr>
            </w:pPr>
            <w:r w:rsidRPr="00437F82">
              <w:rPr>
                <w:sz w:val="28"/>
                <w:szCs w:val="28"/>
                <w:lang w:val="fr-CA"/>
              </w:rPr>
              <w:t xml:space="preserve"> PROCÉDURES</w:t>
            </w:r>
          </w:p>
        </w:tc>
      </w:tr>
      <w:tr w:rsidR="00BF25F3" w:rsidRPr="00437F82" w:rsidTr="002E5576">
        <w:tc>
          <w:tcPr>
            <w:tcW w:w="4518" w:type="dxa"/>
          </w:tcPr>
          <w:p w:rsidR="00BF25F3" w:rsidRPr="00437F82" w:rsidRDefault="00BF25F3" w:rsidP="00BF25F3">
            <w:pPr>
              <w:tabs>
                <w:tab w:val="left" w:pos="6075"/>
              </w:tabs>
            </w:pPr>
          </w:p>
          <w:p w:rsidR="001B5C23" w:rsidRPr="00437F82" w:rsidRDefault="001B5C23" w:rsidP="00BF25F3">
            <w:pPr>
              <w:tabs>
                <w:tab w:val="left" w:pos="6075"/>
              </w:tabs>
            </w:pPr>
          </w:p>
        </w:tc>
        <w:tc>
          <w:tcPr>
            <w:tcW w:w="630" w:type="dxa"/>
          </w:tcPr>
          <w:p w:rsidR="00BF25F3" w:rsidRPr="00437F82" w:rsidRDefault="00BF25F3" w:rsidP="00BF25F3">
            <w:pPr>
              <w:tabs>
                <w:tab w:val="left" w:pos="6075"/>
              </w:tabs>
            </w:pPr>
          </w:p>
        </w:tc>
        <w:tc>
          <w:tcPr>
            <w:tcW w:w="4428" w:type="dxa"/>
          </w:tcPr>
          <w:p w:rsidR="00BF25F3" w:rsidRPr="00437F82" w:rsidRDefault="00BF25F3" w:rsidP="00BF25F3">
            <w:pPr>
              <w:tabs>
                <w:tab w:val="left" w:pos="6075"/>
              </w:tabs>
              <w:rPr>
                <w:lang w:val="fr-CA"/>
              </w:rPr>
            </w:pPr>
          </w:p>
        </w:tc>
      </w:tr>
      <w:tr w:rsidR="00BF25F3" w:rsidRPr="00FB017F" w:rsidTr="002E5576">
        <w:tc>
          <w:tcPr>
            <w:tcW w:w="4518" w:type="dxa"/>
          </w:tcPr>
          <w:p w:rsidR="00BF25F3" w:rsidRPr="00437F82" w:rsidRDefault="00BF25F3" w:rsidP="00BF25F3">
            <w:pPr>
              <w:tabs>
                <w:tab w:val="left" w:pos="6075"/>
              </w:tabs>
              <w:jc w:val="both"/>
              <w:rPr>
                <w:rFonts w:ascii="Arial" w:hAnsi="Arial" w:cs="Arial"/>
                <w:i/>
                <w:sz w:val="20"/>
                <w:szCs w:val="20"/>
              </w:rPr>
            </w:pPr>
            <w:r w:rsidRPr="00437F8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437F82" w:rsidRDefault="00BF25F3" w:rsidP="00BF25F3">
            <w:pPr>
              <w:tabs>
                <w:tab w:val="left" w:pos="6075"/>
              </w:tabs>
              <w:jc w:val="both"/>
              <w:rPr>
                <w:rFonts w:ascii="Arial" w:hAnsi="Arial" w:cs="Arial"/>
                <w:i/>
                <w:sz w:val="20"/>
                <w:szCs w:val="20"/>
              </w:rPr>
            </w:pPr>
          </w:p>
        </w:tc>
        <w:tc>
          <w:tcPr>
            <w:tcW w:w="4428" w:type="dxa"/>
          </w:tcPr>
          <w:p w:rsidR="00BF25F3" w:rsidRPr="00437F82" w:rsidRDefault="00BF25F3" w:rsidP="00BF25F3">
            <w:pPr>
              <w:tabs>
                <w:tab w:val="left" w:pos="6075"/>
              </w:tabs>
              <w:jc w:val="both"/>
              <w:rPr>
                <w:rFonts w:ascii="Arial" w:hAnsi="Arial" w:cs="Arial"/>
                <w:i/>
                <w:sz w:val="20"/>
                <w:szCs w:val="20"/>
                <w:lang w:val="fr-CA"/>
              </w:rPr>
            </w:pPr>
            <w:r w:rsidRPr="00437F8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B017F" w:rsidTr="002E5576">
        <w:tc>
          <w:tcPr>
            <w:tcW w:w="4518" w:type="dxa"/>
          </w:tcPr>
          <w:p w:rsidR="00BF25F3" w:rsidRPr="00437F82" w:rsidRDefault="00BF25F3" w:rsidP="00BF25F3">
            <w:pPr>
              <w:tabs>
                <w:tab w:val="left" w:pos="6075"/>
              </w:tabs>
              <w:rPr>
                <w:lang w:val="fr-CA"/>
              </w:rPr>
            </w:pPr>
          </w:p>
          <w:p w:rsidR="00D862C1" w:rsidRPr="00437F82" w:rsidRDefault="00D862C1" w:rsidP="00BF25F3">
            <w:pPr>
              <w:tabs>
                <w:tab w:val="left" w:pos="6075"/>
              </w:tabs>
              <w:rPr>
                <w:lang w:val="fr-CA"/>
              </w:rPr>
            </w:pPr>
          </w:p>
        </w:tc>
        <w:tc>
          <w:tcPr>
            <w:tcW w:w="630" w:type="dxa"/>
          </w:tcPr>
          <w:p w:rsidR="00BF25F3" w:rsidRPr="00437F82" w:rsidRDefault="00BF25F3" w:rsidP="00BF25F3">
            <w:pPr>
              <w:tabs>
                <w:tab w:val="left" w:pos="6075"/>
              </w:tabs>
              <w:rPr>
                <w:lang w:val="fr-CA"/>
              </w:rPr>
            </w:pPr>
          </w:p>
        </w:tc>
        <w:tc>
          <w:tcPr>
            <w:tcW w:w="4428" w:type="dxa"/>
          </w:tcPr>
          <w:p w:rsidR="00BF25F3" w:rsidRPr="00437F82" w:rsidRDefault="00BF25F3" w:rsidP="00BF25F3">
            <w:pPr>
              <w:tabs>
                <w:tab w:val="left" w:pos="6075"/>
              </w:tabs>
              <w:rPr>
                <w:lang w:val="fr-CA"/>
              </w:rPr>
            </w:pPr>
          </w:p>
        </w:tc>
      </w:tr>
      <w:tr w:rsidR="00BF25F3" w:rsidRPr="00FB017F" w:rsidTr="002E5576">
        <w:tc>
          <w:tcPr>
            <w:tcW w:w="4518" w:type="dxa"/>
          </w:tcPr>
          <w:p w:rsidR="00BF25F3" w:rsidRPr="00437F82" w:rsidRDefault="00BF25F3" w:rsidP="009F3024">
            <w:pPr>
              <w:tabs>
                <w:tab w:val="left" w:pos="6075"/>
              </w:tabs>
              <w:jc w:val="both"/>
              <w:rPr>
                <w:rFonts w:ascii="Arial" w:hAnsi="Arial" w:cs="Arial"/>
                <w:i/>
                <w:sz w:val="20"/>
                <w:szCs w:val="20"/>
              </w:rPr>
            </w:pPr>
            <w:r w:rsidRPr="00437F82">
              <w:rPr>
                <w:rFonts w:ascii="Arial" w:hAnsi="Arial" w:cs="Arial"/>
                <w:i/>
                <w:sz w:val="20"/>
                <w:szCs w:val="20"/>
              </w:rPr>
              <w:t xml:space="preserve">During Court sessions </w:t>
            </w:r>
            <w:r w:rsidR="009F3024" w:rsidRPr="00437F82">
              <w:rPr>
                <w:rFonts w:ascii="Arial" w:hAnsi="Arial" w:cs="Arial"/>
                <w:i/>
                <w:sz w:val="20"/>
                <w:szCs w:val="20"/>
              </w:rPr>
              <w:t xml:space="preserve">the Bulletin </w:t>
            </w:r>
            <w:r w:rsidRPr="00437F82">
              <w:rPr>
                <w:rFonts w:ascii="Arial" w:hAnsi="Arial" w:cs="Arial"/>
                <w:i/>
                <w:sz w:val="20"/>
                <w:szCs w:val="20"/>
              </w:rPr>
              <w:t>is usually issued weekly.</w:t>
            </w:r>
          </w:p>
        </w:tc>
        <w:tc>
          <w:tcPr>
            <w:tcW w:w="630" w:type="dxa"/>
          </w:tcPr>
          <w:p w:rsidR="00BF25F3" w:rsidRPr="00437F82" w:rsidRDefault="00BF25F3" w:rsidP="00BF25F3">
            <w:pPr>
              <w:tabs>
                <w:tab w:val="left" w:pos="6075"/>
              </w:tabs>
              <w:jc w:val="both"/>
              <w:rPr>
                <w:rFonts w:ascii="Arial" w:hAnsi="Arial" w:cs="Arial"/>
                <w:i/>
                <w:sz w:val="20"/>
                <w:szCs w:val="20"/>
              </w:rPr>
            </w:pPr>
          </w:p>
        </w:tc>
        <w:tc>
          <w:tcPr>
            <w:tcW w:w="4428" w:type="dxa"/>
          </w:tcPr>
          <w:p w:rsidR="00BF25F3" w:rsidRPr="00437F82" w:rsidRDefault="00BF25F3" w:rsidP="00BF25F3">
            <w:pPr>
              <w:tabs>
                <w:tab w:val="left" w:pos="6075"/>
              </w:tabs>
              <w:jc w:val="both"/>
              <w:rPr>
                <w:rFonts w:ascii="Arial" w:hAnsi="Arial" w:cs="Arial"/>
                <w:i/>
                <w:sz w:val="20"/>
                <w:szCs w:val="20"/>
                <w:lang w:val="fr-CA"/>
              </w:rPr>
            </w:pPr>
            <w:r w:rsidRPr="00437F82">
              <w:rPr>
                <w:rFonts w:ascii="Arial" w:hAnsi="Arial" w:cs="Arial"/>
                <w:i/>
                <w:sz w:val="20"/>
                <w:szCs w:val="20"/>
                <w:lang w:val="fr-CA"/>
              </w:rPr>
              <w:t>Le Bulletin paraît en principe toutes les semaines pendant les sessions de la Cour.</w:t>
            </w:r>
          </w:p>
        </w:tc>
      </w:tr>
      <w:tr w:rsidR="00BF25F3" w:rsidRPr="00FB017F" w:rsidTr="002E5576">
        <w:tc>
          <w:tcPr>
            <w:tcW w:w="4518" w:type="dxa"/>
          </w:tcPr>
          <w:p w:rsidR="00BF25F3" w:rsidRPr="00437F82" w:rsidRDefault="00BF25F3" w:rsidP="00BF25F3">
            <w:pPr>
              <w:tabs>
                <w:tab w:val="left" w:pos="6075"/>
              </w:tabs>
              <w:rPr>
                <w:lang w:val="fr-CA"/>
              </w:rPr>
            </w:pPr>
          </w:p>
          <w:p w:rsidR="00D862C1" w:rsidRPr="00437F82" w:rsidRDefault="00D862C1" w:rsidP="00BF25F3">
            <w:pPr>
              <w:tabs>
                <w:tab w:val="left" w:pos="6075"/>
              </w:tabs>
              <w:rPr>
                <w:lang w:val="fr-CA"/>
              </w:rPr>
            </w:pPr>
          </w:p>
        </w:tc>
        <w:tc>
          <w:tcPr>
            <w:tcW w:w="630" w:type="dxa"/>
          </w:tcPr>
          <w:p w:rsidR="00BF25F3" w:rsidRPr="00437F82" w:rsidRDefault="00BF25F3" w:rsidP="00BF25F3">
            <w:pPr>
              <w:tabs>
                <w:tab w:val="left" w:pos="6075"/>
              </w:tabs>
              <w:rPr>
                <w:lang w:val="fr-CA"/>
              </w:rPr>
            </w:pPr>
          </w:p>
        </w:tc>
        <w:tc>
          <w:tcPr>
            <w:tcW w:w="4428" w:type="dxa"/>
          </w:tcPr>
          <w:p w:rsidR="00BF25F3" w:rsidRPr="00437F82" w:rsidRDefault="00BF25F3" w:rsidP="00BF25F3">
            <w:pPr>
              <w:tabs>
                <w:tab w:val="left" w:pos="6075"/>
              </w:tabs>
              <w:rPr>
                <w:lang w:val="fr-CA"/>
              </w:rPr>
            </w:pPr>
          </w:p>
        </w:tc>
      </w:tr>
      <w:tr w:rsidR="00BF25F3" w:rsidRPr="00FB017F" w:rsidTr="002E5576">
        <w:tc>
          <w:tcPr>
            <w:tcW w:w="4518" w:type="dxa"/>
          </w:tcPr>
          <w:p w:rsidR="00BF25F3" w:rsidRPr="00437F82" w:rsidRDefault="000E27A5" w:rsidP="00BF25F3">
            <w:pPr>
              <w:tabs>
                <w:tab w:val="left" w:pos="6075"/>
              </w:tabs>
              <w:jc w:val="both"/>
              <w:rPr>
                <w:rFonts w:ascii="Arial" w:hAnsi="Arial" w:cs="Arial"/>
                <w:i/>
                <w:sz w:val="20"/>
                <w:szCs w:val="20"/>
              </w:rPr>
            </w:pPr>
            <w:r w:rsidRPr="00437F82">
              <w:rPr>
                <w:rFonts w:ascii="Arial" w:hAnsi="Arial" w:cs="Arial"/>
                <w:i/>
                <w:sz w:val="20"/>
                <w:szCs w:val="20"/>
              </w:rPr>
              <w:fldChar w:fldCharType="begin"/>
            </w:r>
            <w:r w:rsidR="00BF25F3" w:rsidRPr="00437F82">
              <w:rPr>
                <w:rFonts w:ascii="Arial" w:hAnsi="Arial" w:cs="Arial"/>
                <w:i/>
                <w:sz w:val="20"/>
                <w:szCs w:val="20"/>
              </w:rPr>
              <w:instrText xml:space="preserve"> SEQ CHAPTER \h \r 1</w:instrText>
            </w:r>
            <w:r w:rsidRPr="00437F82">
              <w:rPr>
                <w:rFonts w:ascii="Arial" w:hAnsi="Arial" w:cs="Arial"/>
                <w:i/>
                <w:sz w:val="20"/>
                <w:szCs w:val="20"/>
              </w:rPr>
              <w:fldChar w:fldCharType="end"/>
            </w:r>
            <w:r w:rsidR="00BF25F3" w:rsidRPr="00437F8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437F82" w:rsidRDefault="00BF25F3" w:rsidP="00BF25F3">
            <w:pPr>
              <w:tabs>
                <w:tab w:val="left" w:pos="6075"/>
              </w:tabs>
              <w:jc w:val="both"/>
              <w:rPr>
                <w:rFonts w:ascii="Arial" w:hAnsi="Arial" w:cs="Arial"/>
                <w:i/>
                <w:sz w:val="20"/>
                <w:szCs w:val="20"/>
              </w:rPr>
            </w:pPr>
          </w:p>
        </w:tc>
        <w:tc>
          <w:tcPr>
            <w:tcW w:w="4428" w:type="dxa"/>
          </w:tcPr>
          <w:p w:rsidR="00BF25F3" w:rsidRPr="00437F82" w:rsidRDefault="000E27A5" w:rsidP="00BF25F3">
            <w:pPr>
              <w:tabs>
                <w:tab w:val="left" w:pos="6075"/>
              </w:tabs>
              <w:jc w:val="both"/>
              <w:rPr>
                <w:rFonts w:ascii="Arial" w:hAnsi="Arial" w:cs="Arial"/>
                <w:i/>
                <w:sz w:val="20"/>
                <w:szCs w:val="20"/>
                <w:lang w:val="fr-CA"/>
              </w:rPr>
            </w:pPr>
            <w:r w:rsidRPr="00437F82">
              <w:rPr>
                <w:rFonts w:ascii="Arial" w:hAnsi="Arial" w:cs="Arial"/>
                <w:i/>
                <w:sz w:val="20"/>
                <w:szCs w:val="20"/>
                <w:lang w:val="fr-CA"/>
              </w:rPr>
              <w:fldChar w:fldCharType="begin"/>
            </w:r>
            <w:r w:rsidR="00BF25F3" w:rsidRPr="00437F82">
              <w:rPr>
                <w:rFonts w:ascii="Arial" w:hAnsi="Arial" w:cs="Arial"/>
                <w:i/>
                <w:sz w:val="20"/>
                <w:szCs w:val="20"/>
                <w:lang w:val="fr-CA"/>
              </w:rPr>
              <w:instrText xml:space="preserve"> SEQ CHAPTER \h \r 1</w:instrText>
            </w:r>
            <w:r w:rsidRPr="00437F82">
              <w:rPr>
                <w:rFonts w:ascii="Arial" w:hAnsi="Arial" w:cs="Arial"/>
                <w:i/>
                <w:sz w:val="20"/>
                <w:szCs w:val="20"/>
                <w:lang w:val="fr-CA"/>
              </w:rPr>
              <w:fldChar w:fldCharType="end"/>
            </w:r>
            <w:r w:rsidR="00BF25F3" w:rsidRPr="00437F8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B017F" w:rsidTr="002E5576">
        <w:tc>
          <w:tcPr>
            <w:tcW w:w="4518" w:type="dxa"/>
          </w:tcPr>
          <w:p w:rsidR="009F3024" w:rsidRPr="00437F82" w:rsidRDefault="009F3024" w:rsidP="009F3024">
            <w:pPr>
              <w:tabs>
                <w:tab w:val="left" w:pos="6075"/>
              </w:tabs>
              <w:rPr>
                <w:rFonts w:cs="Times New Roman"/>
                <w:szCs w:val="24"/>
                <w:lang w:val="fr-CA"/>
              </w:rPr>
            </w:pPr>
          </w:p>
          <w:p w:rsidR="009F3024" w:rsidRPr="00437F82" w:rsidRDefault="009F3024" w:rsidP="009F3024">
            <w:pPr>
              <w:tabs>
                <w:tab w:val="left" w:pos="6075"/>
              </w:tabs>
              <w:rPr>
                <w:rFonts w:cs="Times New Roman"/>
                <w:szCs w:val="24"/>
                <w:lang w:val="fr-CA"/>
              </w:rPr>
            </w:pPr>
          </w:p>
        </w:tc>
        <w:tc>
          <w:tcPr>
            <w:tcW w:w="630" w:type="dxa"/>
          </w:tcPr>
          <w:p w:rsidR="009F3024" w:rsidRPr="00437F82" w:rsidRDefault="009F3024" w:rsidP="009F3024">
            <w:pPr>
              <w:tabs>
                <w:tab w:val="left" w:pos="6075"/>
              </w:tabs>
              <w:rPr>
                <w:rFonts w:cs="Times New Roman"/>
                <w:szCs w:val="24"/>
                <w:lang w:val="fr-CA"/>
              </w:rPr>
            </w:pPr>
          </w:p>
        </w:tc>
        <w:tc>
          <w:tcPr>
            <w:tcW w:w="4428" w:type="dxa"/>
          </w:tcPr>
          <w:p w:rsidR="009F3024" w:rsidRPr="00437F82" w:rsidRDefault="009F3024" w:rsidP="009F3024">
            <w:pPr>
              <w:tabs>
                <w:tab w:val="left" w:pos="6075"/>
              </w:tabs>
              <w:rPr>
                <w:rFonts w:cs="Times New Roman"/>
                <w:szCs w:val="24"/>
                <w:lang w:val="fr-CA"/>
              </w:rPr>
            </w:pPr>
          </w:p>
        </w:tc>
      </w:tr>
      <w:tr w:rsidR="009F3024" w:rsidRPr="00FB017F" w:rsidTr="002E5576">
        <w:tc>
          <w:tcPr>
            <w:tcW w:w="4518" w:type="dxa"/>
          </w:tcPr>
          <w:p w:rsidR="009F3024" w:rsidRPr="00437F82" w:rsidRDefault="009F3024" w:rsidP="00E414CA">
            <w:pPr>
              <w:tabs>
                <w:tab w:val="left" w:pos="6075"/>
              </w:tabs>
              <w:jc w:val="both"/>
              <w:rPr>
                <w:rFonts w:ascii="Arial" w:hAnsi="Arial" w:cs="Arial"/>
                <w:i/>
                <w:sz w:val="20"/>
                <w:szCs w:val="20"/>
              </w:rPr>
            </w:pPr>
            <w:r w:rsidRPr="00437F82">
              <w:rPr>
                <w:rFonts w:ascii="Arial" w:hAnsi="Arial" w:cs="Arial"/>
                <w:i/>
                <w:sz w:val="20"/>
                <w:szCs w:val="20"/>
              </w:rPr>
              <w:t xml:space="preserve">Consult the Supreme Court of Canada website at </w:t>
            </w:r>
            <w:hyperlink r:id="rId8" w:history="1">
              <w:r w:rsidR="00E414CA" w:rsidRPr="00437F82">
                <w:rPr>
                  <w:rStyle w:val="Hyperlink"/>
                  <w:rFonts w:ascii="Arial" w:hAnsi="Arial" w:cs="Arial"/>
                  <w:i/>
                  <w:sz w:val="20"/>
                  <w:szCs w:val="20"/>
                </w:rPr>
                <w:t>www.scc-csc.ca</w:t>
              </w:r>
            </w:hyperlink>
            <w:r w:rsidRPr="00437F82">
              <w:rPr>
                <w:rFonts w:ascii="Arial" w:hAnsi="Arial" w:cs="Arial"/>
                <w:i/>
                <w:sz w:val="20"/>
                <w:szCs w:val="20"/>
              </w:rPr>
              <w:t xml:space="preserve"> for more information.</w:t>
            </w:r>
          </w:p>
        </w:tc>
        <w:tc>
          <w:tcPr>
            <w:tcW w:w="630" w:type="dxa"/>
          </w:tcPr>
          <w:p w:rsidR="009F3024" w:rsidRPr="00437F82" w:rsidRDefault="009F3024" w:rsidP="00BF25F3">
            <w:pPr>
              <w:tabs>
                <w:tab w:val="left" w:pos="6075"/>
              </w:tabs>
              <w:jc w:val="both"/>
              <w:rPr>
                <w:rFonts w:ascii="Arial" w:hAnsi="Arial" w:cs="Arial"/>
                <w:i/>
                <w:sz w:val="20"/>
                <w:szCs w:val="20"/>
              </w:rPr>
            </w:pPr>
          </w:p>
        </w:tc>
        <w:tc>
          <w:tcPr>
            <w:tcW w:w="4428" w:type="dxa"/>
          </w:tcPr>
          <w:p w:rsidR="009F3024" w:rsidRPr="00437F82" w:rsidRDefault="009F3024" w:rsidP="00E414CA">
            <w:pPr>
              <w:tabs>
                <w:tab w:val="left" w:pos="6075"/>
              </w:tabs>
              <w:jc w:val="both"/>
              <w:rPr>
                <w:rFonts w:ascii="Arial" w:hAnsi="Arial" w:cs="Arial"/>
                <w:i/>
                <w:sz w:val="20"/>
                <w:szCs w:val="20"/>
                <w:lang w:val="fr-CA"/>
              </w:rPr>
            </w:pPr>
            <w:r w:rsidRPr="00437F82">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437F82">
                <w:rPr>
                  <w:rStyle w:val="Hyperlink"/>
                  <w:rFonts w:ascii="Arial" w:hAnsi="Arial" w:cs="Arial"/>
                  <w:i/>
                  <w:sz w:val="20"/>
                  <w:szCs w:val="20"/>
                  <w:lang w:val="fr-CA"/>
                </w:rPr>
                <w:t>www.scc-csc.ca</w:t>
              </w:r>
            </w:hyperlink>
            <w:r w:rsidRPr="00437F82">
              <w:rPr>
                <w:rFonts w:ascii="Arial" w:hAnsi="Arial" w:cs="Arial"/>
                <w:i/>
                <w:sz w:val="20"/>
                <w:szCs w:val="20"/>
                <w:lang w:val="fr-CA"/>
              </w:rPr>
              <w:t xml:space="preserve"> </w:t>
            </w:r>
          </w:p>
        </w:tc>
      </w:tr>
    </w:tbl>
    <w:p w:rsidR="00BF25F3" w:rsidRPr="00437F82" w:rsidRDefault="00BF25F3" w:rsidP="00BF25F3">
      <w:pPr>
        <w:tabs>
          <w:tab w:val="left" w:pos="6075"/>
        </w:tabs>
        <w:rPr>
          <w:lang w:val="fr-CA"/>
        </w:rPr>
      </w:pPr>
    </w:p>
    <w:p w:rsidR="00440E24" w:rsidRPr="00437F82" w:rsidRDefault="00440E24" w:rsidP="00440E24">
      <w:pPr>
        <w:pBdr>
          <w:bottom w:val="single" w:sz="6" w:space="1" w:color="auto"/>
        </w:pBdr>
        <w:tabs>
          <w:tab w:val="left" w:pos="6075"/>
        </w:tabs>
        <w:rPr>
          <w:lang w:val="fr-CA"/>
        </w:rPr>
      </w:pPr>
    </w:p>
    <w:p w:rsidR="00440E24" w:rsidRPr="00437F82" w:rsidRDefault="00440E24" w:rsidP="00440E24">
      <w:pPr>
        <w:rPr>
          <w:lang w:val="fr-CA"/>
        </w:rPr>
      </w:pPr>
    </w:p>
    <w:p w:rsidR="00600252" w:rsidRPr="00437F82" w:rsidRDefault="00C34A2B" w:rsidP="00F0068D">
      <w:pPr>
        <w:pBdr>
          <w:bottom w:val="single" w:sz="6" w:space="1" w:color="auto"/>
        </w:pBdr>
        <w:tabs>
          <w:tab w:val="center" w:pos="4680"/>
          <w:tab w:val="right" w:pos="9360"/>
        </w:tabs>
        <w:rPr>
          <w:lang w:val="fr-CA"/>
        </w:rPr>
      </w:pPr>
      <w:r w:rsidRPr="00437F82">
        <w:rPr>
          <w:lang w:val="fr-CA"/>
        </w:rPr>
        <w:t>March</w:t>
      </w:r>
      <w:r w:rsidR="00440E24" w:rsidRPr="00437F82">
        <w:rPr>
          <w:lang w:val="fr-CA"/>
        </w:rPr>
        <w:t xml:space="preserve"> </w:t>
      </w:r>
      <w:r w:rsidRPr="00437F82">
        <w:rPr>
          <w:lang w:val="fr-CA"/>
        </w:rPr>
        <w:t>2</w:t>
      </w:r>
      <w:r w:rsidR="00440E24" w:rsidRPr="00437F82">
        <w:rPr>
          <w:lang w:val="fr-CA"/>
        </w:rPr>
        <w:t>, 201</w:t>
      </w:r>
      <w:r w:rsidR="00DC0577" w:rsidRPr="00437F82">
        <w:rPr>
          <w:lang w:val="fr-CA"/>
        </w:rPr>
        <w:t>8</w:t>
      </w:r>
      <w:r w:rsidR="00F0068D" w:rsidRPr="00437F82">
        <w:rPr>
          <w:lang w:val="fr-CA"/>
        </w:rPr>
        <w:tab/>
      </w:r>
      <w:r w:rsidRPr="00437F82">
        <w:rPr>
          <w:lang w:val="fr-CA"/>
        </w:rPr>
        <w:t>224</w:t>
      </w:r>
      <w:r w:rsidR="00F0068D" w:rsidRPr="00437F82">
        <w:rPr>
          <w:lang w:val="fr-CA"/>
        </w:rPr>
        <w:t xml:space="preserve"> - </w:t>
      </w:r>
      <w:r w:rsidR="0074361E" w:rsidRPr="00437F82">
        <w:rPr>
          <w:lang w:val="fr-CA"/>
        </w:rPr>
        <w:t>240</w:t>
      </w:r>
      <w:r w:rsidR="00440E24" w:rsidRPr="00437F82">
        <w:rPr>
          <w:lang w:val="fr-CA"/>
        </w:rPr>
        <w:tab/>
        <w:t>Le</w:t>
      </w:r>
      <w:r w:rsidR="00C73D06" w:rsidRPr="00437F82">
        <w:rPr>
          <w:lang w:val="fr-CA"/>
        </w:rPr>
        <w:t xml:space="preserve"> </w:t>
      </w:r>
      <w:r w:rsidRPr="00437F82">
        <w:rPr>
          <w:lang w:val="fr-CA"/>
        </w:rPr>
        <w:t>2</w:t>
      </w:r>
      <w:r w:rsidR="00C73D06" w:rsidRPr="00437F82">
        <w:rPr>
          <w:lang w:val="fr-CA"/>
        </w:rPr>
        <w:t xml:space="preserve"> </w:t>
      </w:r>
      <w:r w:rsidRPr="00437F82">
        <w:rPr>
          <w:lang w:val="fr-CA"/>
        </w:rPr>
        <w:t>mars</w:t>
      </w:r>
      <w:r w:rsidR="00440E24" w:rsidRPr="00437F82">
        <w:rPr>
          <w:lang w:val="fr-CA"/>
        </w:rPr>
        <w:t xml:space="preserve"> 201</w:t>
      </w:r>
      <w:r w:rsidR="00DC0577" w:rsidRPr="00437F82">
        <w:rPr>
          <w:lang w:val="fr-CA"/>
        </w:rPr>
        <w:t>8</w:t>
      </w:r>
    </w:p>
    <w:p w:rsidR="00440E24" w:rsidRPr="00437F82" w:rsidRDefault="00440E24" w:rsidP="00440E24">
      <w:pPr>
        <w:pBdr>
          <w:bottom w:val="single" w:sz="6" w:space="1" w:color="auto"/>
        </w:pBdr>
        <w:tabs>
          <w:tab w:val="right" w:pos="9360"/>
        </w:tabs>
        <w:rPr>
          <w:lang w:val="fr-CA"/>
        </w:rPr>
      </w:pPr>
    </w:p>
    <w:p w:rsidR="00440E24" w:rsidRPr="00437F82" w:rsidRDefault="00440E24" w:rsidP="00440E24">
      <w:pPr>
        <w:pBdr>
          <w:bottom w:val="single" w:sz="6" w:space="1" w:color="auto"/>
        </w:pBdr>
        <w:tabs>
          <w:tab w:val="right" w:pos="9360"/>
        </w:tabs>
        <w:rPr>
          <w:sz w:val="18"/>
          <w:szCs w:val="18"/>
          <w:lang w:val="en-US"/>
        </w:rPr>
      </w:pPr>
      <w:r w:rsidRPr="00437F82">
        <w:rPr>
          <w:sz w:val="18"/>
          <w:szCs w:val="18"/>
          <w:lang w:val="en-US"/>
        </w:rPr>
        <w:t>© Supreme Court of Canada (</w:t>
      </w:r>
      <w:r w:rsidR="0030050B" w:rsidRPr="00437F82">
        <w:rPr>
          <w:sz w:val="18"/>
          <w:szCs w:val="18"/>
          <w:lang w:val="en-US"/>
        </w:rPr>
        <w:t>201</w:t>
      </w:r>
      <w:r w:rsidR="00C34A2B" w:rsidRPr="00437F82">
        <w:rPr>
          <w:sz w:val="18"/>
          <w:szCs w:val="18"/>
          <w:lang w:val="en-US"/>
        </w:rPr>
        <w:t>8</w:t>
      </w:r>
      <w:r w:rsidRPr="00437F82">
        <w:rPr>
          <w:sz w:val="18"/>
          <w:szCs w:val="18"/>
          <w:lang w:val="en-US"/>
        </w:rPr>
        <w:t>)</w:t>
      </w:r>
      <w:r w:rsidRPr="00437F82">
        <w:rPr>
          <w:sz w:val="18"/>
          <w:szCs w:val="18"/>
          <w:lang w:val="en-US"/>
        </w:rPr>
        <w:tab/>
        <w:t>© Cour suprême du Canada (</w:t>
      </w:r>
      <w:r w:rsidR="0030050B" w:rsidRPr="00437F82">
        <w:rPr>
          <w:sz w:val="18"/>
          <w:szCs w:val="18"/>
          <w:lang w:val="en-US"/>
        </w:rPr>
        <w:t>201</w:t>
      </w:r>
      <w:r w:rsidR="00C34A2B" w:rsidRPr="00437F82">
        <w:rPr>
          <w:sz w:val="18"/>
          <w:szCs w:val="18"/>
          <w:lang w:val="en-US"/>
        </w:rPr>
        <w:t>8</w:t>
      </w:r>
      <w:r w:rsidRPr="00437F82">
        <w:rPr>
          <w:sz w:val="18"/>
          <w:szCs w:val="18"/>
          <w:lang w:val="en-US"/>
        </w:rPr>
        <w:t>)</w:t>
      </w:r>
    </w:p>
    <w:p w:rsidR="00440E24" w:rsidRPr="00437F82" w:rsidRDefault="00440E24" w:rsidP="00440E24">
      <w:pPr>
        <w:pBdr>
          <w:bottom w:val="single" w:sz="6" w:space="1" w:color="auto"/>
        </w:pBdr>
        <w:tabs>
          <w:tab w:val="right" w:pos="9360"/>
        </w:tabs>
        <w:rPr>
          <w:sz w:val="18"/>
          <w:szCs w:val="18"/>
          <w:lang w:val="fr-CA"/>
        </w:rPr>
      </w:pPr>
      <w:r w:rsidRPr="00437F82">
        <w:rPr>
          <w:sz w:val="18"/>
          <w:szCs w:val="18"/>
          <w:lang w:val="fr-CA"/>
        </w:rPr>
        <w:t>ISSN 1918-8358 (Online)</w:t>
      </w:r>
      <w:r w:rsidRPr="00437F82">
        <w:rPr>
          <w:sz w:val="18"/>
          <w:szCs w:val="18"/>
          <w:lang w:val="fr-CA"/>
        </w:rPr>
        <w:tab/>
        <w:t>ISSN 1918-8358 (En ligne)</w:t>
      </w:r>
    </w:p>
    <w:p w:rsidR="00600252" w:rsidRPr="00437F82" w:rsidRDefault="00600252" w:rsidP="00BF25F3">
      <w:pPr>
        <w:pBdr>
          <w:bottom w:val="single" w:sz="6" w:space="1" w:color="auto"/>
        </w:pBdr>
        <w:tabs>
          <w:tab w:val="left" w:pos="6075"/>
        </w:tabs>
        <w:rPr>
          <w:lang w:val="fr-CA"/>
        </w:rPr>
      </w:pPr>
    </w:p>
    <w:p w:rsidR="0030050B" w:rsidRPr="00437F82"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437F82" w:rsidTr="00245129">
        <w:tc>
          <w:tcPr>
            <w:tcW w:w="4290" w:type="dxa"/>
            <w:shd w:val="clear" w:color="auto" w:fill="auto"/>
            <w:tcMar>
              <w:left w:w="0" w:type="dxa"/>
              <w:right w:w="0" w:type="dxa"/>
            </w:tcMar>
          </w:tcPr>
          <w:p w:rsidR="00245129" w:rsidRPr="00437F82" w:rsidRDefault="00245129" w:rsidP="00245129">
            <w:pPr>
              <w:jc w:val="both"/>
              <w:rPr>
                <w:rFonts w:eastAsia="Times New Roman" w:cs="Times New Roman"/>
                <w:b/>
                <w:sz w:val="20"/>
                <w:szCs w:val="20"/>
                <w:lang w:eastAsia="en-CA"/>
              </w:rPr>
            </w:pPr>
            <w:r w:rsidRPr="00437F82">
              <w:rPr>
                <w:b/>
              </w:rPr>
              <w:lastRenderedPageBreak/>
              <w:t>CONTENTS</w:t>
            </w:r>
          </w:p>
        </w:tc>
        <w:tc>
          <w:tcPr>
            <w:tcW w:w="1200" w:type="dxa"/>
            <w:shd w:val="clear" w:color="auto" w:fill="auto"/>
            <w:tcMar>
              <w:left w:w="0" w:type="dxa"/>
              <w:right w:w="0" w:type="dxa"/>
            </w:tcMar>
          </w:tcPr>
          <w:p w:rsidR="00245129" w:rsidRPr="00437F82" w:rsidRDefault="00245129" w:rsidP="00245129">
            <w:pPr>
              <w:jc w:val="center"/>
              <w:rPr>
                <w:rFonts w:eastAsia="Times New Roman" w:cs="Times New Roman"/>
                <w:b/>
                <w:sz w:val="20"/>
                <w:szCs w:val="20"/>
                <w:lang w:eastAsia="en-CA"/>
              </w:rPr>
            </w:pPr>
          </w:p>
          <w:p w:rsidR="00245129" w:rsidRPr="00437F82"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437F82" w:rsidRDefault="00245129" w:rsidP="00245129">
            <w:pPr>
              <w:rPr>
                <w:rFonts w:eastAsia="Times New Roman" w:cs="Times New Roman"/>
                <w:b/>
                <w:sz w:val="20"/>
                <w:szCs w:val="20"/>
                <w:lang w:val="fr-CA" w:eastAsia="en-CA"/>
              </w:rPr>
            </w:pPr>
            <w:r w:rsidRPr="00437F82">
              <w:rPr>
                <w:b/>
                <w:lang w:val="fr-CA"/>
              </w:rPr>
              <w:t>TABLE DES MATIÈRES</w:t>
            </w:r>
          </w:p>
        </w:tc>
      </w:tr>
    </w:tbl>
    <w:p w:rsidR="0095096B" w:rsidRPr="00437F82"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FB017F" w:rsidTr="00164E6D">
        <w:tc>
          <w:tcPr>
            <w:tcW w:w="3708" w:type="dxa"/>
          </w:tcPr>
          <w:p w:rsidR="0095096B" w:rsidRPr="00437F82" w:rsidRDefault="0095096B" w:rsidP="0095096B">
            <w:pPr>
              <w:tabs>
                <w:tab w:val="right" w:pos="9360"/>
              </w:tabs>
              <w:rPr>
                <w:rFonts w:cs="Times New Roman"/>
                <w:sz w:val="20"/>
                <w:szCs w:val="20"/>
              </w:rPr>
            </w:pPr>
            <w:r w:rsidRPr="00437F82">
              <w:rPr>
                <w:rFonts w:cs="Times New Roman"/>
                <w:sz w:val="20"/>
                <w:szCs w:val="20"/>
              </w:rPr>
              <w:t xml:space="preserve">Applications for leave to appeal </w:t>
            </w:r>
          </w:p>
          <w:p w:rsidR="0095096B" w:rsidRPr="00437F82" w:rsidRDefault="0095096B" w:rsidP="0095096B">
            <w:pPr>
              <w:tabs>
                <w:tab w:val="right" w:pos="9360"/>
              </w:tabs>
              <w:rPr>
                <w:rFonts w:cs="Times New Roman"/>
                <w:sz w:val="20"/>
                <w:szCs w:val="20"/>
              </w:rPr>
            </w:pPr>
            <w:r w:rsidRPr="00437F82">
              <w:rPr>
                <w:rFonts w:cs="Times New Roman"/>
                <w:sz w:val="20"/>
                <w:szCs w:val="20"/>
              </w:rPr>
              <w:t>filed</w:t>
            </w:r>
          </w:p>
          <w:p w:rsidR="0095096B" w:rsidRPr="00437F82" w:rsidRDefault="0095096B" w:rsidP="0095096B">
            <w:pPr>
              <w:tabs>
                <w:tab w:val="right" w:pos="9360"/>
              </w:tabs>
              <w:rPr>
                <w:rFonts w:cs="Times New Roman"/>
                <w:sz w:val="20"/>
                <w:szCs w:val="20"/>
              </w:rPr>
            </w:pPr>
          </w:p>
          <w:p w:rsidR="0095096B" w:rsidRPr="00437F82" w:rsidRDefault="0095096B" w:rsidP="0095096B">
            <w:pPr>
              <w:tabs>
                <w:tab w:val="right" w:pos="9360"/>
              </w:tabs>
              <w:rPr>
                <w:rFonts w:cs="Times New Roman"/>
                <w:sz w:val="20"/>
                <w:szCs w:val="20"/>
              </w:rPr>
            </w:pPr>
            <w:r w:rsidRPr="00437F82">
              <w:rPr>
                <w:rFonts w:cs="Times New Roman"/>
                <w:sz w:val="20"/>
                <w:szCs w:val="20"/>
              </w:rPr>
              <w:t xml:space="preserve">Applications for leave submitted </w:t>
            </w:r>
          </w:p>
          <w:p w:rsidR="0095096B" w:rsidRPr="00437F82" w:rsidRDefault="0095096B" w:rsidP="0095096B">
            <w:pPr>
              <w:tabs>
                <w:tab w:val="right" w:pos="9360"/>
              </w:tabs>
              <w:rPr>
                <w:rFonts w:cs="Times New Roman"/>
                <w:sz w:val="20"/>
                <w:szCs w:val="20"/>
              </w:rPr>
            </w:pPr>
            <w:r w:rsidRPr="00437F82">
              <w:rPr>
                <w:rFonts w:cs="Times New Roman"/>
                <w:sz w:val="20"/>
                <w:szCs w:val="20"/>
              </w:rPr>
              <w:t>to Court since last issue</w:t>
            </w:r>
          </w:p>
          <w:p w:rsidR="0095096B" w:rsidRPr="00437F82" w:rsidRDefault="0095096B" w:rsidP="0095096B">
            <w:pPr>
              <w:tabs>
                <w:tab w:val="right" w:pos="9360"/>
              </w:tabs>
              <w:rPr>
                <w:rFonts w:cs="Times New Roman"/>
                <w:sz w:val="20"/>
                <w:szCs w:val="20"/>
              </w:rPr>
            </w:pPr>
          </w:p>
          <w:p w:rsidR="0095096B" w:rsidRPr="00437F82" w:rsidRDefault="0095096B" w:rsidP="0095096B">
            <w:pPr>
              <w:tabs>
                <w:tab w:val="right" w:pos="9360"/>
              </w:tabs>
              <w:rPr>
                <w:rFonts w:cs="Times New Roman"/>
                <w:sz w:val="20"/>
                <w:szCs w:val="20"/>
              </w:rPr>
            </w:pPr>
            <w:r w:rsidRPr="00437F82">
              <w:rPr>
                <w:rFonts w:cs="Times New Roman"/>
                <w:sz w:val="20"/>
                <w:szCs w:val="20"/>
              </w:rPr>
              <w:t>Motions</w:t>
            </w:r>
          </w:p>
          <w:p w:rsidR="0095096B" w:rsidRPr="00437F82" w:rsidRDefault="0095096B" w:rsidP="0095096B">
            <w:pPr>
              <w:tabs>
                <w:tab w:val="right" w:pos="9360"/>
              </w:tabs>
              <w:rPr>
                <w:rFonts w:cs="Times New Roman"/>
                <w:sz w:val="20"/>
                <w:szCs w:val="20"/>
              </w:rPr>
            </w:pPr>
          </w:p>
          <w:p w:rsidR="0095096B" w:rsidRPr="00437F82" w:rsidRDefault="00C10A96" w:rsidP="0095096B">
            <w:pPr>
              <w:tabs>
                <w:tab w:val="right" w:pos="9360"/>
              </w:tabs>
              <w:rPr>
                <w:rFonts w:cs="Times New Roman"/>
                <w:sz w:val="20"/>
                <w:szCs w:val="20"/>
              </w:rPr>
            </w:pPr>
            <w:r w:rsidRPr="00437F82">
              <w:rPr>
                <w:rFonts w:cs="Times New Roman"/>
                <w:sz w:val="20"/>
                <w:szCs w:val="20"/>
              </w:rPr>
              <w:t>Agenda</w:t>
            </w:r>
          </w:p>
          <w:p w:rsidR="0095096B" w:rsidRPr="00437F82" w:rsidRDefault="0095096B" w:rsidP="0095096B">
            <w:pPr>
              <w:tabs>
                <w:tab w:val="right" w:pos="9360"/>
              </w:tabs>
              <w:rPr>
                <w:rFonts w:cs="Times New Roman"/>
                <w:sz w:val="20"/>
                <w:szCs w:val="20"/>
              </w:rPr>
            </w:pPr>
          </w:p>
          <w:p w:rsidR="0095096B" w:rsidRPr="00437F82" w:rsidRDefault="0095096B" w:rsidP="0095096B">
            <w:pPr>
              <w:tabs>
                <w:tab w:val="right" w:pos="9360"/>
              </w:tabs>
              <w:rPr>
                <w:rFonts w:cs="Times New Roman"/>
                <w:sz w:val="20"/>
                <w:szCs w:val="20"/>
              </w:rPr>
            </w:pPr>
            <w:r w:rsidRPr="00437F82">
              <w:rPr>
                <w:rFonts w:cs="Times New Roman"/>
                <w:sz w:val="20"/>
                <w:szCs w:val="20"/>
              </w:rPr>
              <w:t>Summaries of the cases</w:t>
            </w:r>
          </w:p>
          <w:p w:rsidR="00A87207" w:rsidRPr="00437F82" w:rsidRDefault="00A87207" w:rsidP="00C10A96">
            <w:pPr>
              <w:tabs>
                <w:tab w:val="right" w:pos="9360"/>
              </w:tabs>
              <w:rPr>
                <w:rFonts w:cs="Times New Roman"/>
                <w:sz w:val="20"/>
                <w:szCs w:val="20"/>
              </w:rPr>
            </w:pPr>
          </w:p>
        </w:tc>
        <w:tc>
          <w:tcPr>
            <w:tcW w:w="1980" w:type="dxa"/>
          </w:tcPr>
          <w:p w:rsidR="0095096B" w:rsidRPr="00437F82" w:rsidRDefault="00C34A2B" w:rsidP="0095096B">
            <w:pPr>
              <w:jc w:val="center"/>
              <w:rPr>
                <w:rFonts w:cs="Times New Roman"/>
                <w:sz w:val="20"/>
                <w:szCs w:val="20"/>
                <w:lang w:val="fr-CA"/>
              </w:rPr>
            </w:pPr>
            <w:r w:rsidRPr="00437F82">
              <w:rPr>
                <w:rFonts w:cs="Times New Roman"/>
                <w:sz w:val="20"/>
                <w:szCs w:val="20"/>
                <w:lang w:val="fr-CA"/>
              </w:rPr>
              <w:t>224</w:t>
            </w:r>
          </w:p>
          <w:p w:rsidR="0095096B" w:rsidRPr="00437F82" w:rsidRDefault="0095096B" w:rsidP="0095096B">
            <w:pPr>
              <w:jc w:val="center"/>
              <w:rPr>
                <w:rFonts w:cs="Times New Roman"/>
                <w:sz w:val="20"/>
                <w:szCs w:val="20"/>
                <w:lang w:val="fr-CA"/>
              </w:rPr>
            </w:pPr>
          </w:p>
          <w:p w:rsidR="00E3567C" w:rsidRPr="00437F82" w:rsidRDefault="00E3567C" w:rsidP="0095096B">
            <w:pPr>
              <w:jc w:val="center"/>
              <w:rPr>
                <w:rFonts w:cs="Times New Roman"/>
                <w:sz w:val="20"/>
                <w:szCs w:val="20"/>
                <w:lang w:val="fr-CA"/>
              </w:rPr>
            </w:pPr>
          </w:p>
          <w:p w:rsidR="0095096B" w:rsidRPr="00437F82" w:rsidRDefault="008C0C1B" w:rsidP="0095096B">
            <w:pPr>
              <w:jc w:val="center"/>
              <w:rPr>
                <w:rFonts w:cs="Times New Roman"/>
                <w:sz w:val="20"/>
                <w:szCs w:val="20"/>
                <w:lang w:val="fr-CA"/>
              </w:rPr>
            </w:pPr>
            <w:r w:rsidRPr="00437F82">
              <w:rPr>
                <w:rFonts w:cs="Times New Roman"/>
                <w:sz w:val="20"/>
                <w:szCs w:val="20"/>
                <w:lang w:val="fr-CA"/>
              </w:rPr>
              <w:t>225</w:t>
            </w:r>
          </w:p>
          <w:p w:rsidR="0095096B" w:rsidRPr="00437F82" w:rsidRDefault="0095096B" w:rsidP="0095096B">
            <w:pPr>
              <w:jc w:val="center"/>
              <w:rPr>
                <w:rFonts w:cs="Times New Roman"/>
                <w:sz w:val="20"/>
                <w:szCs w:val="20"/>
                <w:lang w:val="fr-CA"/>
              </w:rPr>
            </w:pPr>
          </w:p>
          <w:p w:rsidR="0095096B" w:rsidRPr="00437F82" w:rsidRDefault="0095096B" w:rsidP="0095096B">
            <w:pPr>
              <w:jc w:val="center"/>
              <w:rPr>
                <w:rFonts w:cs="Times New Roman"/>
                <w:sz w:val="20"/>
                <w:szCs w:val="20"/>
                <w:lang w:val="fr-CA"/>
              </w:rPr>
            </w:pPr>
          </w:p>
          <w:p w:rsidR="0095096B" w:rsidRPr="00437F82" w:rsidRDefault="008C0C1B" w:rsidP="0095096B">
            <w:pPr>
              <w:jc w:val="center"/>
              <w:rPr>
                <w:rFonts w:cs="Times New Roman"/>
                <w:sz w:val="20"/>
                <w:szCs w:val="20"/>
                <w:lang w:val="fr-CA"/>
              </w:rPr>
            </w:pPr>
            <w:r w:rsidRPr="00437F82">
              <w:rPr>
                <w:rFonts w:cs="Times New Roman"/>
                <w:sz w:val="20"/>
                <w:szCs w:val="20"/>
                <w:lang w:val="fr-CA"/>
              </w:rPr>
              <w:t>226</w:t>
            </w:r>
            <w:r w:rsidR="00C34A2B" w:rsidRPr="00437F82">
              <w:rPr>
                <w:rFonts w:cs="Times New Roman"/>
                <w:sz w:val="20"/>
                <w:szCs w:val="20"/>
                <w:lang w:val="fr-CA"/>
              </w:rPr>
              <w:t xml:space="preserve"> </w:t>
            </w:r>
            <w:r w:rsidR="0095096B" w:rsidRPr="00437F82">
              <w:rPr>
                <w:rFonts w:cs="Times New Roman"/>
                <w:sz w:val="20"/>
                <w:szCs w:val="20"/>
                <w:lang w:val="fr-CA"/>
              </w:rPr>
              <w:t>-</w:t>
            </w:r>
            <w:r w:rsidR="00C34A2B" w:rsidRPr="00437F82">
              <w:rPr>
                <w:rFonts w:cs="Times New Roman"/>
                <w:sz w:val="20"/>
                <w:szCs w:val="20"/>
                <w:lang w:val="fr-CA"/>
              </w:rPr>
              <w:t xml:space="preserve"> </w:t>
            </w:r>
            <w:r w:rsidR="00DE45A3" w:rsidRPr="00437F82">
              <w:rPr>
                <w:rFonts w:cs="Times New Roman"/>
                <w:sz w:val="20"/>
                <w:szCs w:val="20"/>
                <w:lang w:val="fr-CA"/>
              </w:rPr>
              <w:t>22</w:t>
            </w:r>
            <w:r w:rsidR="00782E1B" w:rsidRPr="00437F82">
              <w:rPr>
                <w:rFonts w:cs="Times New Roman"/>
                <w:sz w:val="20"/>
                <w:szCs w:val="20"/>
                <w:lang w:val="fr-CA"/>
              </w:rPr>
              <w:t>8</w:t>
            </w:r>
          </w:p>
          <w:p w:rsidR="0095096B" w:rsidRPr="00437F82" w:rsidRDefault="0095096B" w:rsidP="0095096B">
            <w:pPr>
              <w:jc w:val="center"/>
              <w:rPr>
                <w:rFonts w:cs="Times New Roman"/>
                <w:sz w:val="20"/>
                <w:szCs w:val="20"/>
                <w:lang w:val="fr-CA"/>
              </w:rPr>
            </w:pPr>
          </w:p>
          <w:p w:rsidR="0095096B" w:rsidRPr="00437F82" w:rsidRDefault="00DE45A3" w:rsidP="0095096B">
            <w:pPr>
              <w:jc w:val="center"/>
              <w:rPr>
                <w:rFonts w:cs="Times New Roman"/>
                <w:sz w:val="20"/>
                <w:szCs w:val="20"/>
                <w:lang w:val="fr-CA"/>
              </w:rPr>
            </w:pPr>
            <w:r w:rsidRPr="00437F82">
              <w:rPr>
                <w:rFonts w:cs="Times New Roman"/>
                <w:sz w:val="20"/>
                <w:szCs w:val="20"/>
                <w:lang w:val="fr-CA"/>
              </w:rPr>
              <w:t>22</w:t>
            </w:r>
            <w:r w:rsidR="00782E1B" w:rsidRPr="00437F82">
              <w:rPr>
                <w:rFonts w:cs="Times New Roman"/>
                <w:sz w:val="20"/>
                <w:szCs w:val="20"/>
                <w:lang w:val="fr-CA"/>
              </w:rPr>
              <w:t>9</w:t>
            </w:r>
          </w:p>
          <w:p w:rsidR="0095096B" w:rsidRPr="00437F82" w:rsidRDefault="0095096B" w:rsidP="0095096B">
            <w:pPr>
              <w:jc w:val="center"/>
              <w:rPr>
                <w:rFonts w:cs="Times New Roman"/>
                <w:sz w:val="20"/>
                <w:szCs w:val="20"/>
                <w:lang w:val="fr-CA"/>
              </w:rPr>
            </w:pPr>
          </w:p>
          <w:p w:rsidR="0095096B" w:rsidRPr="00437F82" w:rsidRDefault="00DE45A3" w:rsidP="0095096B">
            <w:pPr>
              <w:jc w:val="center"/>
              <w:rPr>
                <w:rFonts w:cs="Times New Roman"/>
                <w:sz w:val="20"/>
                <w:szCs w:val="20"/>
                <w:lang w:val="fr-CA"/>
              </w:rPr>
            </w:pPr>
            <w:r w:rsidRPr="00437F82">
              <w:rPr>
                <w:rFonts w:cs="Times New Roman"/>
                <w:sz w:val="20"/>
                <w:szCs w:val="20"/>
                <w:lang w:val="fr-CA"/>
              </w:rPr>
              <w:t>2</w:t>
            </w:r>
            <w:r w:rsidR="00782E1B" w:rsidRPr="00437F82">
              <w:rPr>
                <w:rFonts w:cs="Times New Roman"/>
                <w:sz w:val="20"/>
                <w:szCs w:val="20"/>
                <w:lang w:val="fr-CA"/>
              </w:rPr>
              <w:t>30</w:t>
            </w:r>
            <w:r w:rsidRPr="00437F82">
              <w:rPr>
                <w:rFonts w:cs="Times New Roman"/>
                <w:sz w:val="20"/>
                <w:szCs w:val="20"/>
                <w:lang w:val="fr-CA"/>
              </w:rPr>
              <w:t xml:space="preserve"> - </w:t>
            </w:r>
            <w:r w:rsidR="00782E1B" w:rsidRPr="00437F82">
              <w:rPr>
                <w:rFonts w:cs="Times New Roman"/>
                <w:sz w:val="20"/>
                <w:szCs w:val="20"/>
                <w:lang w:val="fr-CA"/>
              </w:rPr>
              <w:t>240</w:t>
            </w:r>
          </w:p>
          <w:p w:rsidR="00A87207" w:rsidRPr="00437F82" w:rsidRDefault="00A87207" w:rsidP="001348D5">
            <w:pPr>
              <w:jc w:val="center"/>
              <w:rPr>
                <w:rFonts w:cs="Times New Roman"/>
                <w:sz w:val="20"/>
                <w:szCs w:val="20"/>
                <w:lang w:val="fr-CA"/>
              </w:rPr>
            </w:pPr>
          </w:p>
        </w:tc>
        <w:tc>
          <w:tcPr>
            <w:tcW w:w="3888" w:type="dxa"/>
          </w:tcPr>
          <w:p w:rsidR="0095096B" w:rsidRPr="00437F82" w:rsidRDefault="000E27A5" w:rsidP="0095096B">
            <w:pPr>
              <w:rPr>
                <w:rFonts w:cs="Times New Roman"/>
                <w:sz w:val="20"/>
                <w:szCs w:val="20"/>
                <w:lang w:val="fr-CA"/>
              </w:rPr>
            </w:pPr>
            <w:r w:rsidRPr="00437F82">
              <w:rPr>
                <w:rFonts w:cs="Times New Roman"/>
                <w:sz w:val="20"/>
                <w:szCs w:val="20"/>
                <w:lang w:val="fr-CA"/>
              </w:rPr>
              <w:fldChar w:fldCharType="begin"/>
            </w:r>
            <w:r w:rsidR="0095096B" w:rsidRPr="00437F82">
              <w:rPr>
                <w:rFonts w:cs="Times New Roman"/>
                <w:sz w:val="20"/>
                <w:szCs w:val="20"/>
                <w:lang w:val="fr-CA"/>
              </w:rPr>
              <w:instrText xml:space="preserve"> SEQ CHAPTER \h \r 1</w:instrText>
            </w:r>
            <w:r w:rsidRPr="00437F82">
              <w:rPr>
                <w:rFonts w:cs="Times New Roman"/>
                <w:sz w:val="20"/>
                <w:szCs w:val="20"/>
                <w:lang w:val="fr-CA"/>
              </w:rPr>
              <w:fldChar w:fldCharType="end"/>
            </w:r>
            <w:r w:rsidR="0095096B" w:rsidRPr="00437F82">
              <w:rPr>
                <w:rFonts w:cs="Times New Roman"/>
                <w:sz w:val="20"/>
                <w:szCs w:val="20"/>
                <w:lang w:val="fr-CA"/>
              </w:rPr>
              <w:t>Demandes d</w:t>
            </w:r>
            <w:r w:rsidR="004137A0" w:rsidRPr="00437F82">
              <w:rPr>
                <w:rFonts w:cs="Times New Roman"/>
                <w:sz w:val="20"/>
                <w:szCs w:val="20"/>
                <w:lang w:val="fr-CA"/>
              </w:rPr>
              <w:t>’</w:t>
            </w:r>
            <w:r w:rsidR="0095096B" w:rsidRPr="00437F82">
              <w:rPr>
                <w:rFonts w:cs="Times New Roman"/>
                <w:sz w:val="20"/>
                <w:szCs w:val="20"/>
                <w:lang w:val="fr-CA"/>
              </w:rPr>
              <w:t>autorisation d</w:t>
            </w:r>
            <w:r w:rsidR="004137A0" w:rsidRPr="00437F82">
              <w:rPr>
                <w:rFonts w:cs="Times New Roman"/>
                <w:sz w:val="20"/>
                <w:szCs w:val="20"/>
                <w:lang w:val="fr-CA"/>
              </w:rPr>
              <w:t>’</w:t>
            </w:r>
            <w:r w:rsidR="0095096B" w:rsidRPr="00437F82">
              <w:rPr>
                <w:rFonts w:cs="Times New Roman"/>
                <w:sz w:val="20"/>
                <w:szCs w:val="20"/>
                <w:lang w:val="fr-CA"/>
              </w:rPr>
              <w:t xml:space="preserve">appel </w:t>
            </w:r>
          </w:p>
          <w:p w:rsidR="0095096B" w:rsidRPr="00437F82" w:rsidRDefault="0095096B" w:rsidP="0095096B">
            <w:pPr>
              <w:rPr>
                <w:rFonts w:cs="Times New Roman"/>
                <w:sz w:val="20"/>
                <w:szCs w:val="20"/>
                <w:lang w:val="fr-CA"/>
              </w:rPr>
            </w:pPr>
            <w:r w:rsidRPr="00437F82">
              <w:rPr>
                <w:rFonts w:cs="Times New Roman"/>
                <w:sz w:val="20"/>
                <w:szCs w:val="20"/>
                <w:lang w:val="fr-CA"/>
              </w:rPr>
              <w:t>déposées</w:t>
            </w:r>
          </w:p>
          <w:p w:rsidR="0095096B" w:rsidRPr="00437F82" w:rsidRDefault="0095096B" w:rsidP="0095096B">
            <w:pPr>
              <w:rPr>
                <w:rFonts w:cs="Times New Roman"/>
                <w:sz w:val="20"/>
                <w:szCs w:val="20"/>
                <w:lang w:val="fr-CA"/>
              </w:rPr>
            </w:pPr>
          </w:p>
          <w:p w:rsidR="0095096B" w:rsidRPr="00437F82" w:rsidRDefault="0095096B" w:rsidP="0095096B">
            <w:pPr>
              <w:rPr>
                <w:rFonts w:cs="Times New Roman"/>
                <w:sz w:val="20"/>
                <w:szCs w:val="20"/>
                <w:lang w:val="fr-CA"/>
              </w:rPr>
            </w:pPr>
            <w:r w:rsidRPr="00437F82">
              <w:rPr>
                <w:rFonts w:cs="Times New Roman"/>
                <w:sz w:val="20"/>
                <w:szCs w:val="20"/>
                <w:lang w:val="fr-CA"/>
              </w:rPr>
              <w:t xml:space="preserve">Demandes soumises à la Cour depuis la </w:t>
            </w:r>
          </w:p>
          <w:p w:rsidR="0095096B" w:rsidRPr="00437F82" w:rsidRDefault="0095096B" w:rsidP="0095096B">
            <w:pPr>
              <w:rPr>
                <w:rFonts w:cs="Times New Roman"/>
                <w:sz w:val="20"/>
                <w:szCs w:val="20"/>
                <w:lang w:val="fr-CA"/>
              </w:rPr>
            </w:pPr>
            <w:r w:rsidRPr="00437F82">
              <w:rPr>
                <w:rFonts w:cs="Times New Roman"/>
                <w:sz w:val="20"/>
                <w:szCs w:val="20"/>
                <w:lang w:val="fr-CA"/>
              </w:rPr>
              <w:t>dernière parution</w:t>
            </w:r>
          </w:p>
          <w:p w:rsidR="0095096B" w:rsidRPr="00437F82" w:rsidRDefault="0095096B" w:rsidP="0095096B">
            <w:pPr>
              <w:rPr>
                <w:rFonts w:cs="Times New Roman"/>
                <w:sz w:val="20"/>
                <w:szCs w:val="20"/>
                <w:lang w:val="fr-CA"/>
              </w:rPr>
            </w:pPr>
          </w:p>
          <w:p w:rsidR="0095096B" w:rsidRPr="00437F82" w:rsidRDefault="0095096B" w:rsidP="0095096B">
            <w:pPr>
              <w:rPr>
                <w:rFonts w:cs="Times New Roman"/>
                <w:sz w:val="20"/>
                <w:szCs w:val="20"/>
                <w:lang w:val="fr-CA"/>
              </w:rPr>
            </w:pPr>
            <w:r w:rsidRPr="00437F82">
              <w:rPr>
                <w:rFonts w:cs="Times New Roman"/>
                <w:sz w:val="20"/>
                <w:szCs w:val="20"/>
                <w:lang w:val="fr-CA"/>
              </w:rPr>
              <w:t>Requêtes</w:t>
            </w:r>
          </w:p>
          <w:p w:rsidR="0095096B" w:rsidRPr="00437F82" w:rsidRDefault="0095096B" w:rsidP="0095096B">
            <w:pPr>
              <w:rPr>
                <w:rFonts w:cs="Times New Roman"/>
                <w:sz w:val="20"/>
                <w:szCs w:val="20"/>
                <w:lang w:val="fr-CA"/>
              </w:rPr>
            </w:pPr>
          </w:p>
          <w:p w:rsidR="0095096B" w:rsidRPr="00437F82" w:rsidRDefault="0095096B" w:rsidP="0095096B">
            <w:pPr>
              <w:rPr>
                <w:rFonts w:cs="Times New Roman"/>
                <w:sz w:val="20"/>
                <w:szCs w:val="20"/>
                <w:lang w:val="fr-CA"/>
              </w:rPr>
            </w:pPr>
            <w:r w:rsidRPr="00437F82">
              <w:rPr>
                <w:rFonts w:cs="Times New Roman"/>
                <w:sz w:val="20"/>
                <w:szCs w:val="20"/>
                <w:lang w:val="fr-CA"/>
              </w:rPr>
              <w:t xml:space="preserve">Calendrier </w:t>
            </w:r>
          </w:p>
          <w:p w:rsidR="0095096B" w:rsidRPr="00437F82" w:rsidRDefault="0095096B" w:rsidP="0095096B">
            <w:pPr>
              <w:rPr>
                <w:rFonts w:cs="Times New Roman"/>
                <w:sz w:val="20"/>
                <w:szCs w:val="20"/>
                <w:lang w:val="fr-CA"/>
              </w:rPr>
            </w:pPr>
          </w:p>
          <w:p w:rsidR="0095096B" w:rsidRPr="00437F82" w:rsidRDefault="0095096B" w:rsidP="0095096B">
            <w:pPr>
              <w:rPr>
                <w:rFonts w:cs="Times New Roman"/>
                <w:sz w:val="20"/>
                <w:szCs w:val="20"/>
                <w:lang w:val="fr-CA"/>
              </w:rPr>
            </w:pPr>
            <w:r w:rsidRPr="00437F82">
              <w:rPr>
                <w:rFonts w:cs="Times New Roman"/>
                <w:sz w:val="20"/>
                <w:szCs w:val="20"/>
                <w:lang w:val="fr-CA"/>
              </w:rPr>
              <w:t>Résumés des affaires</w:t>
            </w:r>
          </w:p>
          <w:p w:rsidR="00A87207" w:rsidRPr="00437F82" w:rsidRDefault="00A87207" w:rsidP="00C10A96">
            <w:pPr>
              <w:tabs>
                <w:tab w:val="right" w:pos="9360"/>
              </w:tabs>
              <w:rPr>
                <w:rFonts w:cs="Times New Roman"/>
                <w:sz w:val="20"/>
                <w:szCs w:val="20"/>
                <w:lang w:val="fr-CA"/>
              </w:rPr>
            </w:pPr>
          </w:p>
        </w:tc>
      </w:tr>
    </w:tbl>
    <w:p w:rsidR="0095096B" w:rsidRPr="00437F82"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FB017F" w:rsidTr="0079724F">
        <w:tc>
          <w:tcPr>
            <w:tcW w:w="9576" w:type="dxa"/>
          </w:tcPr>
          <w:p w:rsidR="0079724F" w:rsidRPr="00437F82" w:rsidRDefault="0079724F" w:rsidP="00215F7C">
            <w:pPr>
              <w:keepNext/>
              <w:tabs>
                <w:tab w:val="right" w:pos="9360"/>
              </w:tabs>
              <w:jc w:val="center"/>
              <w:rPr>
                <w:szCs w:val="24"/>
              </w:rPr>
            </w:pPr>
            <w:r w:rsidRPr="00437F82">
              <w:rPr>
                <w:szCs w:val="24"/>
              </w:rPr>
              <w:t>NOTICE</w:t>
            </w:r>
          </w:p>
          <w:p w:rsidR="0079724F" w:rsidRPr="00437F82" w:rsidRDefault="0079724F" w:rsidP="00215F7C">
            <w:pPr>
              <w:keepNext/>
              <w:tabs>
                <w:tab w:val="right" w:pos="9360"/>
              </w:tabs>
              <w:rPr>
                <w:szCs w:val="24"/>
              </w:rPr>
            </w:pPr>
          </w:p>
          <w:p w:rsidR="0079724F" w:rsidRPr="00437F82" w:rsidRDefault="0079724F" w:rsidP="00215F7C">
            <w:pPr>
              <w:keepNext/>
              <w:tabs>
                <w:tab w:val="right" w:pos="9360"/>
              </w:tabs>
              <w:jc w:val="both"/>
              <w:rPr>
                <w:szCs w:val="24"/>
              </w:rPr>
            </w:pPr>
            <w:r w:rsidRPr="00437F82">
              <w:rPr>
                <w:szCs w:val="24"/>
              </w:rPr>
              <w:t>Case summaries included in the Bulletin are prepared by the Office of the Registrar of the Supreme Court of Canada (Law Branch) for information purposes only.</w:t>
            </w:r>
          </w:p>
          <w:p w:rsidR="0079724F" w:rsidRPr="00437F82" w:rsidRDefault="0079724F" w:rsidP="00215F7C">
            <w:pPr>
              <w:keepNext/>
              <w:tabs>
                <w:tab w:val="right" w:pos="9360"/>
              </w:tabs>
              <w:rPr>
                <w:szCs w:val="24"/>
              </w:rPr>
            </w:pPr>
          </w:p>
          <w:p w:rsidR="0079724F" w:rsidRPr="00437F82" w:rsidRDefault="0079724F" w:rsidP="00215F7C">
            <w:pPr>
              <w:keepNext/>
              <w:tabs>
                <w:tab w:val="right" w:pos="9360"/>
              </w:tabs>
              <w:rPr>
                <w:szCs w:val="24"/>
              </w:rPr>
            </w:pPr>
          </w:p>
          <w:p w:rsidR="0079724F" w:rsidRPr="00437F82" w:rsidRDefault="0079724F" w:rsidP="00215F7C">
            <w:pPr>
              <w:keepNext/>
              <w:tabs>
                <w:tab w:val="right" w:pos="9360"/>
              </w:tabs>
              <w:jc w:val="center"/>
              <w:rPr>
                <w:szCs w:val="24"/>
                <w:lang w:val="fr-CA"/>
              </w:rPr>
            </w:pPr>
            <w:r w:rsidRPr="00437F82">
              <w:rPr>
                <w:szCs w:val="24"/>
                <w:lang w:val="fr-CA"/>
              </w:rPr>
              <w:t>AVIS</w:t>
            </w:r>
          </w:p>
          <w:p w:rsidR="0079724F" w:rsidRPr="00437F82" w:rsidRDefault="0079724F" w:rsidP="00215F7C">
            <w:pPr>
              <w:keepNext/>
              <w:tabs>
                <w:tab w:val="right" w:pos="9360"/>
              </w:tabs>
              <w:rPr>
                <w:szCs w:val="24"/>
                <w:lang w:val="fr-CA"/>
              </w:rPr>
            </w:pPr>
          </w:p>
          <w:p w:rsidR="0079724F" w:rsidRPr="00437F82" w:rsidRDefault="0079724F" w:rsidP="00215F7C">
            <w:pPr>
              <w:keepNext/>
              <w:tabs>
                <w:tab w:val="right" w:pos="9360"/>
              </w:tabs>
              <w:jc w:val="both"/>
              <w:rPr>
                <w:sz w:val="20"/>
                <w:szCs w:val="20"/>
                <w:lang w:val="fr-CA"/>
              </w:rPr>
            </w:pPr>
            <w:r w:rsidRPr="00437F82">
              <w:rPr>
                <w:szCs w:val="24"/>
                <w:lang w:val="fr-CA"/>
              </w:rPr>
              <w:t>Les résumés de dossiers publiés dans le bulletin sont préparés par le Bureau du registraire (Direction générale du droit) uniquement à titre d’information.</w:t>
            </w:r>
          </w:p>
        </w:tc>
      </w:tr>
    </w:tbl>
    <w:p w:rsidR="0095096B" w:rsidRPr="00437F82" w:rsidRDefault="0095096B" w:rsidP="0095096B">
      <w:pPr>
        <w:tabs>
          <w:tab w:val="right" w:pos="9360"/>
        </w:tabs>
        <w:rPr>
          <w:lang w:val="fr-CA"/>
        </w:rPr>
      </w:pPr>
    </w:p>
    <w:p w:rsidR="00C01FCB" w:rsidRPr="00437F82" w:rsidRDefault="00C01FCB" w:rsidP="0095096B">
      <w:pPr>
        <w:tabs>
          <w:tab w:val="right" w:pos="9360"/>
        </w:tabs>
        <w:rPr>
          <w:lang w:val="fr-CA"/>
        </w:rPr>
      </w:pPr>
    </w:p>
    <w:p w:rsidR="00C01FCB" w:rsidRPr="00437F82" w:rsidRDefault="00C01FCB" w:rsidP="0095096B">
      <w:pPr>
        <w:tabs>
          <w:tab w:val="right" w:pos="9360"/>
        </w:tabs>
        <w:rPr>
          <w:lang w:val="fr-CA"/>
        </w:rPr>
      </w:pPr>
    </w:p>
    <w:p w:rsidR="00A87207" w:rsidRPr="00437F82" w:rsidRDefault="00A87207" w:rsidP="0095096B">
      <w:pPr>
        <w:tabs>
          <w:tab w:val="right" w:pos="9360"/>
        </w:tabs>
        <w:rPr>
          <w:lang w:val="fr-CA"/>
        </w:rPr>
        <w:sectPr w:rsidR="00A87207" w:rsidRPr="00437F82"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437F82" w:rsidTr="00245129">
        <w:tc>
          <w:tcPr>
            <w:tcW w:w="4200" w:type="dxa"/>
            <w:shd w:val="clear" w:color="auto" w:fill="auto"/>
            <w:tcMar>
              <w:left w:w="0" w:type="dxa"/>
              <w:right w:w="0" w:type="dxa"/>
            </w:tcMar>
          </w:tcPr>
          <w:p w:rsidR="00A87207" w:rsidRPr="00437F82" w:rsidRDefault="00A87207" w:rsidP="00BA6468">
            <w:pPr>
              <w:rPr>
                <w:rFonts w:eastAsia="Times New Roman" w:cs="Times New Roman"/>
                <w:b/>
                <w:sz w:val="20"/>
                <w:szCs w:val="20"/>
                <w:lang w:eastAsia="en-CA"/>
              </w:rPr>
            </w:pPr>
            <w:r w:rsidRPr="00437F82">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437F82" w:rsidRDefault="00A87207" w:rsidP="002E2327">
            <w:pPr>
              <w:jc w:val="center"/>
              <w:rPr>
                <w:rFonts w:eastAsia="Times New Roman" w:cs="Times New Roman"/>
                <w:b/>
                <w:sz w:val="20"/>
                <w:szCs w:val="20"/>
                <w:lang w:eastAsia="en-CA"/>
              </w:rPr>
            </w:pPr>
          </w:p>
          <w:p w:rsidR="00A87207" w:rsidRPr="00437F82" w:rsidRDefault="00A87207" w:rsidP="002E2327">
            <w:pPr>
              <w:jc w:val="center"/>
              <w:rPr>
                <w:rFonts w:eastAsia="Times New Roman" w:cs="Times New Roman"/>
                <w:b/>
                <w:sz w:val="20"/>
                <w:szCs w:val="20"/>
                <w:lang w:eastAsia="en-CA"/>
              </w:rPr>
            </w:pPr>
          </w:p>
          <w:p w:rsidR="00A87207" w:rsidRPr="00437F82"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437F82" w:rsidRDefault="00A87207" w:rsidP="00A87207">
            <w:pPr>
              <w:rPr>
                <w:rFonts w:eastAsia="Times New Roman" w:cs="Times New Roman"/>
                <w:b/>
                <w:sz w:val="20"/>
                <w:szCs w:val="20"/>
                <w:lang w:val="fr-CA" w:eastAsia="en-CA"/>
              </w:rPr>
            </w:pPr>
            <w:r w:rsidRPr="00437F82">
              <w:rPr>
                <w:rFonts w:eastAsia="Times New Roman" w:cs="Times New Roman"/>
                <w:b/>
                <w:szCs w:val="20"/>
                <w:lang w:val="fr-CA" w:eastAsia="en-CA"/>
              </w:rPr>
              <w:t>DEMANDES D’AUTORISATION D’APPEL DÉPOSÉES</w:t>
            </w:r>
          </w:p>
        </w:tc>
      </w:tr>
    </w:tbl>
    <w:p w:rsidR="00A87207" w:rsidRPr="00437F82"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437F82" w:rsidTr="003B3977">
        <w:tc>
          <w:tcPr>
            <w:tcW w:w="4320" w:type="dxa"/>
            <w:shd w:val="clear" w:color="auto" w:fill="auto"/>
          </w:tcPr>
          <w:p w:rsidR="00C21644" w:rsidRPr="00437F82" w:rsidRDefault="003D51E3" w:rsidP="005F1ED8">
            <w:pPr>
              <w:rPr>
                <w:b/>
                <w:sz w:val="20"/>
                <w:szCs w:val="20"/>
                <w:lang w:val="en-US"/>
              </w:rPr>
            </w:pPr>
            <w:proofErr w:type="spellStart"/>
            <w:r w:rsidRPr="00437F82">
              <w:rPr>
                <w:b/>
                <w:sz w:val="20"/>
                <w:szCs w:val="20"/>
                <w:lang w:val="en-US"/>
              </w:rPr>
              <w:t>Nevsun</w:t>
            </w:r>
            <w:proofErr w:type="spellEnd"/>
            <w:r w:rsidRPr="00437F82">
              <w:rPr>
                <w:b/>
                <w:sz w:val="20"/>
                <w:szCs w:val="20"/>
                <w:lang w:val="en-US"/>
              </w:rPr>
              <w:t xml:space="preserve"> Resources L</w:t>
            </w:r>
            <w:r w:rsidR="00AB7B01" w:rsidRPr="00437F82">
              <w:rPr>
                <w:b/>
                <w:sz w:val="20"/>
                <w:szCs w:val="20"/>
                <w:lang w:val="en-US"/>
              </w:rPr>
              <w:t>td</w:t>
            </w:r>
            <w:r w:rsidR="00C21644" w:rsidRPr="00437F82">
              <w:rPr>
                <w:b/>
                <w:sz w:val="20"/>
                <w:szCs w:val="20"/>
                <w:lang w:val="en-US"/>
              </w:rPr>
              <w:t>.</w:t>
            </w:r>
          </w:p>
          <w:p w:rsidR="00C21644" w:rsidRPr="00437F82" w:rsidRDefault="00C21644" w:rsidP="005F1ED8">
            <w:pPr>
              <w:tabs>
                <w:tab w:val="left" w:pos="-1440"/>
                <w:tab w:val="left" w:pos="-720"/>
              </w:tabs>
              <w:rPr>
                <w:sz w:val="20"/>
                <w:szCs w:val="20"/>
                <w:lang w:val="en-US"/>
              </w:rPr>
            </w:pPr>
            <w:r w:rsidRPr="00437F82">
              <w:rPr>
                <w:sz w:val="20"/>
                <w:szCs w:val="20"/>
                <w:lang w:val="en-US"/>
              </w:rPr>
              <w:tab/>
            </w:r>
            <w:r w:rsidR="003D51E3" w:rsidRPr="00437F82">
              <w:rPr>
                <w:sz w:val="20"/>
                <w:szCs w:val="20"/>
                <w:lang w:val="en-US"/>
              </w:rPr>
              <w:t>Mark D. Andrews, Q.C.</w:t>
            </w:r>
          </w:p>
          <w:p w:rsidR="00C21644" w:rsidRPr="00437F82" w:rsidRDefault="00C21644" w:rsidP="005F1ED8">
            <w:pPr>
              <w:tabs>
                <w:tab w:val="left" w:pos="-1440"/>
                <w:tab w:val="left" w:pos="-720"/>
              </w:tabs>
              <w:rPr>
                <w:sz w:val="20"/>
                <w:szCs w:val="20"/>
                <w:lang w:val="fr-CA"/>
              </w:rPr>
            </w:pPr>
            <w:r w:rsidRPr="00437F82">
              <w:rPr>
                <w:sz w:val="20"/>
                <w:szCs w:val="20"/>
                <w:lang w:val="en-US"/>
              </w:rPr>
              <w:tab/>
            </w:r>
            <w:proofErr w:type="spellStart"/>
            <w:r w:rsidR="000233C5" w:rsidRPr="00437F82">
              <w:rPr>
                <w:sz w:val="20"/>
                <w:szCs w:val="20"/>
                <w:lang w:val="fr-CA"/>
              </w:rPr>
              <w:t>Fasken</w:t>
            </w:r>
            <w:proofErr w:type="spellEnd"/>
            <w:r w:rsidR="000233C5" w:rsidRPr="00437F82">
              <w:rPr>
                <w:sz w:val="20"/>
                <w:szCs w:val="20"/>
                <w:lang w:val="fr-CA"/>
              </w:rPr>
              <w:t xml:space="preserve"> Martineau </w:t>
            </w:r>
            <w:proofErr w:type="spellStart"/>
            <w:r w:rsidR="000233C5" w:rsidRPr="00437F82">
              <w:rPr>
                <w:sz w:val="20"/>
                <w:szCs w:val="20"/>
                <w:lang w:val="fr-CA"/>
              </w:rPr>
              <w:t>DuMoulin</w:t>
            </w:r>
            <w:proofErr w:type="spellEnd"/>
            <w:r w:rsidR="000233C5" w:rsidRPr="00437F82">
              <w:rPr>
                <w:sz w:val="20"/>
                <w:szCs w:val="20"/>
                <w:lang w:val="fr-CA"/>
              </w:rPr>
              <w:t xml:space="preserve"> LLP</w:t>
            </w:r>
          </w:p>
          <w:p w:rsidR="00C21644" w:rsidRPr="00437F82" w:rsidRDefault="00C21644" w:rsidP="005F1ED8">
            <w:pPr>
              <w:tabs>
                <w:tab w:val="left" w:pos="-1440"/>
                <w:tab w:val="left" w:pos="-720"/>
              </w:tabs>
              <w:rPr>
                <w:sz w:val="20"/>
                <w:szCs w:val="20"/>
                <w:lang w:val="fr-CA"/>
              </w:rPr>
            </w:pPr>
          </w:p>
          <w:p w:rsidR="00C21644" w:rsidRPr="00437F82" w:rsidRDefault="00C21644" w:rsidP="005F1ED8">
            <w:pPr>
              <w:tabs>
                <w:tab w:val="left" w:pos="-1440"/>
                <w:tab w:val="left" w:pos="-720"/>
              </w:tabs>
              <w:rPr>
                <w:sz w:val="20"/>
                <w:szCs w:val="20"/>
                <w:lang w:val="fr-CA"/>
              </w:rPr>
            </w:pPr>
            <w:r w:rsidRPr="00437F82">
              <w:rPr>
                <w:sz w:val="20"/>
                <w:szCs w:val="20"/>
                <w:lang w:val="fr-CA"/>
              </w:rPr>
              <w:tab/>
              <w:t>v. (3</w:t>
            </w:r>
            <w:r w:rsidR="000233C5" w:rsidRPr="00437F82">
              <w:rPr>
                <w:sz w:val="20"/>
                <w:szCs w:val="20"/>
                <w:lang w:val="fr-CA"/>
              </w:rPr>
              <w:t>7919</w:t>
            </w:r>
            <w:r w:rsidRPr="00437F82">
              <w:rPr>
                <w:sz w:val="20"/>
                <w:szCs w:val="20"/>
                <w:lang w:val="fr-CA"/>
              </w:rPr>
              <w:t>)</w:t>
            </w:r>
          </w:p>
          <w:p w:rsidR="00C21644" w:rsidRPr="00437F82" w:rsidRDefault="00C21644" w:rsidP="005F1ED8">
            <w:pPr>
              <w:tabs>
                <w:tab w:val="left" w:pos="-1440"/>
                <w:tab w:val="left" w:pos="-720"/>
              </w:tabs>
              <w:rPr>
                <w:sz w:val="20"/>
                <w:szCs w:val="20"/>
                <w:lang w:val="fr-CA"/>
              </w:rPr>
            </w:pPr>
          </w:p>
          <w:p w:rsidR="00C21644" w:rsidRPr="00437F82" w:rsidRDefault="000233C5" w:rsidP="005F1ED8">
            <w:pPr>
              <w:tabs>
                <w:tab w:val="left" w:pos="-1440"/>
                <w:tab w:val="left" w:pos="-720"/>
              </w:tabs>
              <w:rPr>
                <w:b/>
                <w:sz w:val="20"/>
                <w:szCs w:val="20"/>
                <w:lang w:val="en-US"/>
              </w:rPr>
            </w:pPr>
            <w:proofErr w:type="spellStart"/>
            <w:r w:rsidRPr="00437F82">
              <w:rPr>
                <w:b/>
                <w:sz w:val="20"/>
                <w:szCs w:val="20"/>
                <w:lang w:val="fr-CA"/>
              </w:rPr>
              <w:t>Gize</w:t>
            </w:r>
            <w:proofErr w:type="spellEnd"/>
            <w:r w:rsidRPr="00437F82">
              <w:rPr>
                <w:b/>
                <w:sz w:val="20"/>
                <w:szCs w:val="20"/>
                <w:lang w:val="fr-CA"/>
              </w:rPr>
              <w:t xml:space="preserve"> </w:t>
            </w:r>
            <w:proofErr w:type="spellStart"/>
            <w:r w:rsidRPr="00437F82">
              <w:rPr>
                <w:b/>
                <w:sz w:val="20"/>
                <w:szCs w:val="20"/>
                <w:lang w:val="fr-CA"/>
              </w:rPr>
              <w:t>Yebeyo</w:t>
            </w:r>
            <w:proofErr w:type="spellEnd"/>
            <w:r w:rsidRPr="00437F82">
              <w:rPr>
                <w:b/>
                <w:sz w:val="20"/>
                <w:szCs w:val="20"/>
                <w:lang w:val="fr-CA"/>
              </w:rPr>
              <w:t xml:space="preserve"> Araya et al</w:t>
            </w:r>
            <w:r w:rsidR="00C21644" w:rsidRPr="00437F82">
              <w:rPr>
                <w:b/>
                <w:sz w:val="20"/>
                <w:szCs w:val="20"/>
                <w:lang w:val="fr-CA"/>
              </w:rPr>
              <w:t>.</w:t>
            </w:r>
            <w:r w:rsidR="00C21644" w:rsidRPr="00437F82">
              <w:rPr>
                <w:sz w:val="20"/>
                <w:szCs w:val="20"/>
                <w:lang w:val="fr-CA"/>
              </w:rPr>
              <w:t xml:space="preserve"> </w:t>
            </w:r>
            <w:r w:rsidR="00C21644" w:rsidRPr="00437F82">
              <w:rPr>
                <w:b/>
                <w:sz w:val="20"/>
                <w:szCs w:val="20"/>
                <w:lang w:val="en-US"/>
              </w:rPr>
              <w:t>(</w:t>
            </w:r>
            <w:r w:rsidR="003D51E3" w:rsidRPr="00437F82">
              <w:rPr>
                <w:b/>
                <w:sz w:val="20"/>
                <w:szCs w:val="20"/>
                <w:lang w:val="en-US"/>
              </w:rPr>
              <w:t>B.C</w:t>
            </w:r>
            <w:r w:rsidR="00C21644" w:rsidRPr="00437F82">
              <w:rPr>
                <w:b/>
                <w:sz w:val="20"/>
                <w:szCs w:val="20"/>
                <w:lang w:val="en-US"/>
              </w:rPr>
              <w:t>.)</w:t>
            </w:r>
          </w:p>
          <w:p w:rsidR="00C21644" w:rsidRPr="00437F82" w:rsidRDefault="00C21644" w:rsidP="005F1ED8">
            <w:pPr>
              <w:tabs>
                <w:tab w:val="left" w:pos="-1440"/>
                <w:tab w:val="left" w:pos="-720"/>
              </w:tabs>
              <w:rPr>
                <w:sz w:val="20"/>
                <w:szCs w:val="20"/>
                <w:lang w:val="en-US"/>
              </w:rPr>
            </w:pPr>
            <w:r w:rsidRPr="00437F82">
              <w:rPr>
                <w:sz w:val="20"/>
                <w:szCs w:val="20"/>
                <w:lang w:val="en-US"/>
              </w:rPr>
              <w:tab/>
            </w:r>
            <w:r w:rsidR="000233C5" w:rsidRPr="00437F82">
              <w:rPr>
                <w:sz w:val="20"/>
                <w:szCs w:val="20"/>
                <w:lang w:val="en-US"/>
              </w:rPr>
              <w:t xml:space="preserve">Joe </w:t>
            </w:r>
            <w:proofErr w:type="spellStart"/>
            <w:r w:rsidR="000233C5" w:rsidRPr="00437F82">
              <w:rPr>
                <w:sz w:val="20"/>
                <w:szCs w:val="20"/>
                <w:lang w:val="en-US"/>
              </w:rPr>
              <w:t>Fiorante</w:t>
            </w:r>
            <w:proofErr w:type="spellEnd"/>
          </w:p>
          <w:p w:rsidR="00C21644" w:rsidRPr="00437F82" w:rsidRDefault="00C21644" w:rsidP="005F1ED8">
            <w:pPr>
              <w:tabs>
                <w:tab w:val="left" w:pos="-1440"/>
                <w:tab w:val="left" w:pos="-720"/>
              </w:tabs>
              <w:rPr>
                <w:sz w:val="20"/>
                <w:szCs w:val="20"/>
                <w:lang w:val="en-US"/>
              </w:rPr>
            </w:pPr>
            <w:r w:rsidRPr="00437F82">
              <w:rPr>
                <w:sz w:val="20"/>
                <w:szCs w:val="20"/>
                <w:lang w:val="en-US"/>
              </w:rPr>
              <w:tab/>
            </w:r>
            <w:r w:rsidR="000233C5" w:rsidRPr="00437F82">
              <w:rPr>
                <w:sz w:val="20"/>
                <w:szCs w:val="20"/>
                <w:lang w:val="en-US"/>
              </w:rPr>
              <w:t xml:space="preserve">Camp </w:t>
            </w:r>
            <w:proofErr w:type="spellStart"/>
            <w:r w:rsidR="000233C5" w:rsidRPr="00437F82">
              <w:rPr>
                <w:sz w:val="20"/>
                <w:szCs w:val="20"/>
                <w:lang w:val="en-US"/>
              </w:rPr>
              <w:t>Fiorante</w:t>
            </w:r>
            <w:proofErr w:type="spellEnd"/>
            <w:r w:rsidR="000233C5" w:rsidRPr="00437F82">
              <w:rPr>
                <w:sz w:val="20"/>
                <w:szCs w:val="20"/>
                <w:lang w:val="en-US"/>
              </w:rPr>
              <w:t xml:space="preserve"> Matthews </w:t>
            </w:r>
            <w:proofErr w:type="spellStart"/>
            <w:r w:rsidR="000233C5" w:rsidRPr="00437F82">
              <w:rPr>
                <w:sz w:val="20"/>
                <w:szCs w:val="20"/>
                <w:lang w:val="en-US"/>
              </w:rPr>
              <w:t>Mogerman</w:t>
            </w:r>
            <w:proofErr w:type="spellEnd"/>
          </w:p>
          <w:p w:rsidR="00C21644" w:rsidRPr="00437F82" w:rsidRDefault="00C21644" w:rsidP="005F1ED8">
            <w:pPr>
              <w:tabs>
                <w:tab w:val="left" w:pos="-1440"/>
                <w:tab w:val="left" w:pos="-720"/>
              </w:tabs>
              <w:rPr>
                <w:sz w:val="20"/>
                <w:szCs w:val="20"/>
                <w:lang w:val="en-US"/>
              </w:rPr>
            </w:pPr>
          </w:p>
          <w:p w:rsidR="00C21644" w:rsidRPr="00437F82" w:rsidRDefault="00C21644" w:rsidP="005F1ED8">
            <w:pPr>
              <w:rPr>
                <w:sz w:val="20"/>
                <w:szCs w:val="20"/>
                <w:lang w:val="en-US"/>
              </w:rPr>
            </w:pPr>
            <w:r w:rsidRPr="00437F82">
              <w:rPr>
                <w:sz w:val="20"/>
                <w:szCs w:val="20"/>
                <w:lang w:val="en-US"/>
              </w:rPr>
              <w:t xml:space="preserve">FILING DATE: </w:t>
            </w:r>
            <w:r w:rsidR="000233C5" w:rsidRPr="00437F82">
              <w:rPr>
                <w:sz w:val="20"/>
                <w:szCs w:val="20"/>
                <w:lang w:val="en-US"/>
              </w:rPr>
              <w:t>1</w:t>
            </w:r>
            <w:r w:rsidR="0048260F" w:rsidRPr="00437F82">
              <w:rPr>
                <w:sz w:val="20"/>
                <w:szCs w:val="20"/>
                <w:lang w:val="en-US"/>
              </w:rPr>
              <w:t>9</w:t>
            </w:r>
            <w:r w:rsidRPr="00437F82">
              <w:rPr>
                <w:sz w:val="20"/>
                <w:szCs w:val="20"/>
                <w:lang w:val="en-US"/>
              </w:rPr>
              <w:t>.</w:t>
            </w:r>
            <w:r w:rsidR="00E8544A" w:rsidRPr="00437F82">
              <w:rPr>
                <w:sz w:val="20"/>
                <w:szCs w:val="20"/>
                <w:lang w:val="en-US"/>
              </w:rPr>
              <w:t>01</w:t>
            </w:r>
            <w:r w:rsidRPr="00437F82">
              <w:rPr>
                <w:sz w:val="20"/>
                <w:szCs w:val="20"/>
                <w:lang w:val="en-US"/>
              </w:rPr>
              <w:t>.201</w:t>
            </w:r>
            <w:r w:rsidR="000233C5" w:rsidRPr="00437F82">
              <w:rPr>
                <w:sz w:val="20"/>
                <w:szCs w:val="20"/>
                <w:lang w:val="en-US"/>
              </w:rPr>
              <w:t>8</w:t>
            </w:r>
          </w:p>
          <w:p w:rsidR="00C21644" w:rsidRPr="00437F82" w:rsidRDefault="002526AE" w:rsidP="005F1ED8">
            <w:pPr>
              <w:rPr>
                <w:sz w:val="20"/>
                <w:szCs w:val="20"/>
                <w:lang w:val="fr-CA"/>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437F82" w:rsidRDefault="00C21644" w:rsidP="00242AEE">
            <w:pPr>
              <w:jc w:val="center"/>
              <w:rPr>
                <w:sz w:val="20"/>
                <w:szCs w:val="20"/>
                <w:lang w:val="fr-CA"/>
              </w:rPr>
            </w:pPr>
          </w:p>
          <w:p w:rsidR="00C21644" w:rsidRPr="00437F82" w:rsidRDefault="00C21644" w:rsidP="00242AEE">
            <w:pPr>
              <w:jc w:val="center"/>
              <w:rPr>
                <w:sz w:val="20"/>
                <w:szCs w:val="20"/>
                <w:lang w:val="fr-CA"/>
              </w:rPr>
            </w:pPr>
          </w:p>
          <w:p w:rsidR="00C21644" w:rsidRPr="00437F82" w:rsidRDefault="00C21644" w:rsidP="00242AEE">
            <w:pPr>
              <w:jc w:val="center"/>
              <w:rPr>
                <w:sz w:val="20"/>
                <w:szCs w:val="20"/>
                <w:lang w:val="fr-CA"/>
              </w:rPr>
            </w:pPr>
          </w:p>
          <w:p w:rsidR="00C21644" w:rsidRPr="00437F82" w:rsidRDefault="00C21644" w:rsidP="00242AEE">
            <w:pPr>
              <w:jc w:val="center"/>
              <w:rPr>
                <w:sz w:val="20"/>
                <w:szCs w:val="20"/>
                <w:lang w:val="fr-CA"/>
              </w:rPr>
            </w:pPr>
          </w:p>
          <w:p w:rsidR="00C21644" w:rsidRPr="00437F82" w:rsidRDefault="00C21644" w:rsidP="00242AEE">
            <w:pPr>
              <w:jc w:val="center"/>
              <w:rPr>
                <w:sz w:val="20"/>
                <w:szCs w:val="20"/>
                <w:lang w:val="fr-CA"/>
              </w:rPr>
            </w:pPr>
          </w:p>
          <w:p w:rsidR="00C21644" w:rsidRPr="00437F82" w:rsidRDefault="00C21644" w:rsidP="00242AEE">
            <w:pPr>
              <w:jc w:val="center"/>
              <w:rPr>
                <w:sz w:val="20"/>
                <w:szCs w:val="20"/>
                <w:lang w:val="fr-CA"/>
              </w:rPr>
            </w:pPr>
          </w:p>
          <w:p w:rsidR="00C21644" w:rsidRPr="00437F82" w:rsidRDefault="00C21644" w:rsidP="00242AEE">
            <w:pPr>
              <w:jc w:val="center"/>
              <w:rPr>
                <w:sz w:val="20"/>
                <w:szCs w:val="20"/>
                <w:lang w:val="fr-CA"/>
              </w:rPr>
            </w:pPr>
          </w:p>
          <w:p w:rsidR="00C21644" w:rsidRPr="00437F82" w:rsidRDefault="00C21644" w:rsidP="00242AEE">
            <w:pPr>
              <w:jc w:val="center"/>
              <w:rPr>
                <w:sz w:val="20"/>
                <w:szCs w:val="20"/>
                <w:lang w:val="fr-CA"/>
              </w:rPr>
            </w:pPr>
          </w:p>
          <w:p w:rsidR="00C21644" w:rsidRPr="00437F82" w:rsidRDefault="00C21644" w:rsidP="00242AEE">
            <w:pPr>
              <w:jc w:val="center"/>
              <w:rPr>
                <w:sz w:val="20"/>
                <w:szCs w:val="20"/>
                <w:lang w:val="fr-CA"/>
              </w:rPr>
            </w:pPr>
          </w:p>
          <w:p w:rsidR="00C21644" w:rsidRPr="00437F82" w:rsidRDefault="00C21644" w:rsidP="00242AEE">
            <w:pPr>
              <w:jc w:val="center"/>
              <w:rPr>
                <w:sz w:val="20"/>
                <w:szCs w:val="20"/>
                <w:lang w:val="fr-CA"/>
              </w:rPr>
            </w:pPr>
          </w:p>
          <w:p w:rsidR="00C21644" w:rsidRPr="00437F82" w:rsidRDefault="00C21644" w:rsidP="00242AEE">
            <w:pPr>
              <w:jc w:val="center"/>
              <w:rPr>
                <w:sz w:val="20"/>
                <w:szCs w:val="20"/>
                <w:lang w:val="fr-CA"/>
              </w:rPr>
            </w:pPr>
          </w:p>
          <w:p w:rsidR="00C21644" w:rsidRPr="00437F82" w:rsidRDefault="00C21644" w:rsidP="00242AEE">
            <w:pPr>
              <w:jc w:val="center"/>
              <w:rPr>
                <w:sz w:val="20"/>
                <w:szCs w:val="20"/>
                <w:lang w:val="fr-CA"/>
              </w:rPr>
            </w:pPr>
          </w:p>
          <w:p w:rsidR="00C21644" w:rsidRPr="00437F82" w:rsidRDefault="00C21644" w:rsidP="00242AEE">
            <w:pPr>
              <w:jc w:val="center"/>
              <w:rPr>
                <w:sz w:val="20"/>
                <w:szCs w:val="20"/>
                <w:lang w:val="fr-CA"/>
              </w:rPr>
            </w:pPr>
          </w:p>
        </w:tc>
        <w:tc>
          <w:tcPr>
            <w:tcW w:w="4320" w:type="dxa"/>
            <w:shd w:val="clear" w:color="auto" w:fill="auto"/>
          </w:tcPr>
          <w:p w:rsidR="00C21644" w:rsidRPr="00437F82" w:rsidRDefault="00ED70F7" w:rsidP="005F1ED8">
            <w:pPr>
              <w:keepNext/>
              <w:keepLines/>
              <w:tabs>
                <w:tab w:val="left" w:pos="-1440"/>
                <w:tab w:val="left" w:pos="-720"/>
              </w:tabs>
              <w:rPr>
                <w:b/>
                <w:sz w:val="20"/>
                <w:szCs w:val="20"/>
                <w:lang w:val="en-US"/>
              </w:rPr>
            </w:pPr>
            <w:r w:rsidRPr="00437F82">
              <w:rPr>
                <w:b/>
                <w:sz w:val="20"/>
                <w:szCs w:val="20"/>
                <w:lang w:val="en-US"/>
              </w:rPr>
              <w:t xml:space="preserve">Rashida </w:t>
            </w:r>
            <w:proofErr w:type="spellStart"/>
            <w:r w:rsidRPr="00437F82">
              <w:rPr>
                <w:b/>
                <w:sz w:val="20"/>
                <w:szCs w:val="20"/>
                <w:lang w:val="en-US"/>
              </w:rPr>
              <w:t>Abdulrasul</w:t>
            </w:r>
            <w:proofErr w:type="spellEnd"/>
            <w:r w:rsidRPr="00437F82">
              <w:rPr>
                <w:b/>
                <w:sz w:val="20"/>
                <w:szCs w:val="20"/>
                <w:lang w:val="en-US"/>
              </w:rPr>
              <w:t xml:space="preserve"> </w:t>
            </w:r>
            <w:proofErr w:type="spellStart"/>
            <w:r w:rsidRPr="00437F82">
              <w:rPr>
                <w:b/>
                <w:sz w:val="20"/>
                <w:szCs w:val="20"/>
                <w:lang w:val="en-US"/>
              </w:rPr>
              <w:t>Samji</w:t>
            </w:r>
            <w:proofErr w:type="spellEnd"/>
          </w:p>
          <w:p w:rsidR="00C21644" w:rsidRPr="00437F82" w:rsidRDefault="00C21644" w:rsidP="005F1ED8">
            <w:pPr>
              <w:keepNext/>
              <w:keepLines/>
              <w:tabs>
                <w:tab w:val="left" w:pos="-1440"/>
                <w:tab w:val="left" w:pos="-720"/>
              </w:tabs>
              <w:rPr>
                <w:sz w:val="20"/>
                <w:szCs w:val="20"/>
                <w:lang w:val="en-US"/>
              </w:rPr>
            </w:pPr>
            <w:r w:rsidRPr="00437F82">
              <w:rPr>
                <w:sz w:val="20"/>
                <w:szCs w:val="20"/>
                <w:lang w:val="en-US"/>
              </w:rPr>
              <w:tab/>
            </w:r>
            <w:r w:rsidR="00ED70F7" w:rsidRPr="00437F82">
              <w:rPr>
                <w:sz w:val="20"/>
                <w:szCs w:val="20"/>
                <w:lang w:val="en-US"/>
              </w:rPr>
              <w:t>Richard C.C. Peck, Q.C.</w:t>
            </w:r>
          </w:p>
          <w:p w:rsidR="00C21644" w:rsidRPr="00437F82" w:rsidRDefault="00C21644" w:rsidP="005F1ED8">
            <w:pPr>
              <w:keepNext/>
              <w:keepLines/>
              <w:tabs>
                <w:tab w:val="left" w:pos="-1440"/>
                <w:tab w:val="left" w:pos="-720"/>
              </w:tabs>
              <w:rPr>
                <w:sz w:val="20"/>
                <w:szCs w:val="20"/>
                <w:lang w:val="en-US"/>
              </w:rPr>
            </w:pPr>
            <w:r w:rsidRPr="00437F82">
              <w:rPr>
                <w:sz w:val="20"/>
                <w:szCs w:val="20"/>
                <w:lang w:val="en-US"/>
              </w:rPr>
              <w:tab/>
            </w:r>
            <w:r w:rsidR="00ED70F7" w:rsidRPr="00437F82">
              <w:rPr>
                <w:sz w:val="20"/>
                <w:szCs w:val="20"/>
                <w:lang w:val="en-US"/>
              </w:rPr>
              <w:t>Peck and Company</w:t>
            </w:r>
          </w:p>
          <w:p w:rsidR="00C21644" w:rsidRPr="00437F82" w:rsidRDefault="00C21644" w:rsidP="005F1ED8">
            <w:pPr>
              <w:keepNext/>
              <w:keepLines/>
              <w:tabs>
                <w:tab w:val="left" w:pos="-1440"/>
                <w:tab w:val="left" w:pos="-720"/>
              </w:tabs>
              <w:rPr>
                <w:sz w:val="20"/>
                <w:szCs w:val="20"/>
                <w:lang w:val="en-US"/>
              </w:rPr>
            </w:pPr>
          </w:p>
          <w:p w:rsidR="00C21644" w:rsidRPr="00437F82" w:rsidRDefault="00C21644" w:rsidP="005F1ED8">
            <w:pPr>
              <w:keepNext/>
              <w:keepLines/>
              <w:tabs>
                <w:tab w:val="left" w:pos="-1440"/>
                <w:tab w:val="left" w:pos="-720"/>
              </w:tabs>
              <w:rPr>
                <w:sz w:val="20"/>
                <w:szCs w:val="20"/>
                <w:lang w:val="en-US"/>
              </w:rPr>
            </w:pPr>
            <w:r w:rsidRPr="00437F82">
              <w:rPr>
                <w:sz w:val="20"/>
                <w:szCs w:val="20"/>
                <w:lang w:val="en-US"/>
              </w:rPr>
              <w:tab/>
            </w:r>
            <w:r w:rsidR="00ED70F7" w:rsidRPr="00437F82">
              <w:rPr>
                <w:sz w:val="20"/>
                <w:szCs w:val="20"/>
                <w:lang w:val="en-US"/>
              </w:rPr>
              <w:t>v</w:t>
            </w:r>
            <w:r w:rsidRPr="00437F82">
              <w:rPr>
                <w:sz w:val="20"/>
                <w:szCs w:val="20"/>
                <w:lang w:val="en-US"/>
              </w:rPr>
              <w:t>. (3</w:t>
            </w:r>
            <w:r w:rsidR="00ED70F7" w:rsidRPr="00437F82">
              <w:rPr>
                <w:sz w:val="20"/>
                <w:szCs w:val="20"/>
                <w:lang w:val="en-US"/>
              </w:rPr>
              <w:t>78</w:t>
            </w:r>
            <w:r w:rsidRPr="00437F82">
              <w:rPr>
                <w:sz w:val="20"/>
                <w:szCs w:val="20"/>
                <w:lang w:val="en-US"/>
              </w:rPr>
              <w:t>6</w:t>
            </w:r>
            <w:r w:rsidR="00ED70F7" w:rsidRPr="00437F82">
              <w:rPr>
                <w:sz w:val="20"/>
                <w:szCs w:val="20"/>
                <w:lang w:val="en-US"/>
              </w:rPr>
              <w:t>2</w:t>
            </w:r>
            <w:r w:rsidRPr="00437F82">
              <w:rPr>
                <w:sz w:val="20"/>
                <w:szCs w:val="20"/>
                <w:lang w:val="en-US"/>
              </w:rPr>
              <w:t>)</w:t>
            </w:r>
          </w:p>
          <w:p w:rsidR="00C21644" w:rsidRPr="00437F82" w:rsidRDefault="00C21644" w:rsidP="005F1ED8">
            <w:pPr>
              <w:keepNext/>
              <w:keepLines/>
              <w:tabs>
                <w:tab w:val="left" w:pos="-1440"/>
                <w:tab w:val="left" w:pos="-720"/>
              </w:tabs>
              <w:rPr>
                <w:sz w:val="20"/>
                <w:szCs w:val="20"/>
                <w:lang w:val="en-US"/>
              </w:rPr>
            </w:pPr>
          </w:p>
          <w:p w:rsidR="00C21644" w:rsidRPr="00437F82" w:rsidRDefault="00ED70F7" w:rsidP="005F1ED8">
            <w:pPr>
              <w:keepNext/>
              <w:keepLines/>
              <w:tabs>
                <w:tab w:val="left" w:pos="-1440"/>
                <w:tab w:val="left" w:pos="-720"/>
              </w:tabs>
              <w:rPr>
                <w:b/>
                <w:sz w:val="20"/>
                <w:szCs w:val="20"/>
                <w:lang w:val="en-US"/>
              </w:rPr>
            </w:pPr>
            <w:r w:rsidRPr="00437F82">
              <w:rPr>
                <w:b/>
                <w:sz w:val="20"/>
                <w:szCs w:val="20"/>
                <w:lang w:val="en-US"/>
              </w:rPr>
              <w:t>Her</w:t>
            </w:r>
            <w:r w:rsidR="00C21644" w:rsidRPr="00437F82">
              <w:rPr>
                <w:b/>
                <w:sz w:val="20"/>
                <w:szCs w:val="20"/>
                <w:lang w:val="en-US"/>
              </w:rPr>
              <w:t xml:space="preserve"> Majest</w:t>
            </w:r>
            <w:r w:rsidRPr="00437F82">
              <w:rPr>
                <w:b/>
                <w:sz w:val="20"/>
                <w:szCs w:val="20"/>
                <w:lang w:val="en-US"/>
              </w:rPr>
              <w:t>y</w:t>
            </w:r>
            <w:r w:rsidR="00C21644" w:rsidRPr="00437F82">
              <w:rPr>
                <w:b/>
                <w:sz w:val="20"/>
                <w:szCs w:val="20"/>
                <w:lang w:val="en-US"/>
              </w:rPr>
              <w:t xml:space="preserve"> </w:t>
            </w:r>
            <w:r w:rsidRPr="00437F82">
              <w:rPr>
                <w:b/>
                <w:sz w:val="20"/>
                <w:szCs w:val="20"/>
                <w:lang w:val="en-US"/>
              </w:rPr>
              <w:t>the</w:t>
            </w:r>
            <w:r w:rsidR="00C21644" w:rsidRPr="00437F82">
              <w:rPr>
                <w:b/>
                <w:sz w:val="20"/>
                <w:szCs w:val="20"/>
                <w:lang w:val="en-US"/>
              </w:rPr>
              <w:t xml:space="preserve"> </w:t>
            </w:r>
            <w:r w:rsidRPr="00437F82">
              <w:rPr>
                <w:b/>
                <w:sz w:val="20"/>
                <w:szCs w:val="20"/>
                <w:lang w:val="en-US"/>
              </w:rPr>
              <w:t>Queen</w:t>
            </w:r>
            <w:r w:rsidR="00C21644" w:rsidRPr="00437F82">
              <w:rPr>
                <w:b/>
                <w:sz w:val="20"/>
                <w:szCs w:val="20"/>
                <w:lang w:val="en-US"/>
              </w:rPr>
              <w:t xml:space="preserve"> (</w:t>
            </w:r>
            <w:r w:rsidRPr="00437F82">
              <w:rPr>
                <w:b/>
                <w:sz w:val="20"/>
                <w:szCs w:val="20"/>
                <w:lang w:val="en-US"/>
              </w:rPr>
              <w:t>B.C.</w:t>
            </w:r>
            <w:r w:rsidR="00C21644" w:rsidRPr="00437F82">
              <w:rPr>
                <w:b/>
                <w:sz w:val="20"/>
                <w:szCs w:val="20"/>
                <w:lang w:val="en-US"/>
              </w:rPr>
              <w:t>)</w:t>
            </w:r>
          </w:p>
          <w:p w:rsidR="00C21644" w:rsidRPr="00437F82" w:rsidRDefault="00C21644" w:rsidP="005F1ED8">
            <w:pPr>
              <w:keepNext/>
              <w:keepLines/>
              <w:tabs>
                <w:tab w:val="left" w:pos="-1440"/>
                <w:tab w:val="left" w:pos="-720"/>
              </w:tabs>
              <w:rPr>
                <w:sz w:val="20"/>
                <w:szCs w:val="20"/>
                <w:lang w:val="en-US"/>
              </w:rPr>
            </w:pPr>
            <w:r w:rsidRPr="00437F82">
              <w:rPr>
                <w:sz w:val="20"/>
                <w:szCs w:val="20"/>
                <w:lang w:val="en-US"/>
              </w:rPr>
              <w:tab/>
            </w:r>
            <w:r w:rsidR="00ED70F7" w:rsidRPr="00437F82">
              <w:rPr>
                <w:sz w:val="20"/>
                <w:szCs w:val="20"/>
                <w:lang w:val="en-US"/>
              </w:rPr>
              <w:t xml:space="preserve">Lara </w:t>
            </w:r>
            <w:proofErr w:type="spellStart"/>
            <w:r w:rsidR="00ED70F7" w:rsidRPr="00437F82">
              <w:rPr>
                <w:sz w:val="20"/>
                <w:szCs w:val="20"/>
                <w:lang w:val="en-US"/>
              </w:rPr>
              <w:t>Vizsolyi</w:t>
            </w:r>
            <w:proofErr w:type="spellEnd"/>
          </w:p>
          <w:p w:rsidR="00C21644" w:rsidRPr="00437F82" w:rsidRDefault="00C21644" w:rsidP="005F1ED8">
            <w:pPr>
              <w:keepNext/>
              <w:keepLines/>
              <w:tabs>
                <w:tab w:val="left" w:pos="-1440"/>
                <w:tab w:val="left" w:pos="-720"/>
              </w:tabs>
              <w:rPr>
                <w:sz w:val="20"/>
                <w:szCs w:val="20"/>
                <w:lang w:val="en-US"/>
              </w:rPr>
            </w:pPr>
            <w:r w:rsidRPr="00437F82">
              <w:rPr>
                <w:sz w:val="20"/>
                <w:szCs w:val="20"/>
                <w:lang w:val="en-US"/>
              </w:rPr>
              <w:tab/>
            </w:r>
            <w:r w:rsidR="00ED70F7" w:rsidRPr="00437F82">
              <w:rPr>
                <w:sz w:val="20"/>
                <w:szCs w:val="20"/>
                <w:lang w:val="en-US"/>
              </w:rPr>
              <w:t>Ministry of Justice</w:t>
            </w:r>
          </w:p>
          <w:p w:rsidR="00C21644" w:rsidRPr="00437F82" w:rsidRDefault="00C21644" w:rsidP="005F1ED8">
            <w:pPr>
              <w:keepNext/>
              <w:keepLines/>
              <w:tabs>
                <w:tab w:val="left" w:pos="-1440"/>
                <w:tab w:val="left" w:pos="-720"/>
              </w:tabs>
              <w:rPr>
                <w:sz w:val="20"/>
                <w:szCs w:val="20"/>
                <w:lang w:val="en-US"/>
              </w:rPr>
            </w:pPr>
          </w:p>
          <w:p w:rsidR="00C21644" w:rsidRPr="00437F82" w:rsidRDefault="00B7108A" w:rsidP="00B7108A">
            <w:pPr>
              <w:rPr>
                <w:sz w:val="20"/>
                <w:szCs w:val="20"/>
                <w:lang w:val="en-US"/>
              </w:rPr>
            </w:pPr>
            <w:r w:rsidRPr="00437F82">
              <w:rPr>
                <w:sz w:val="20"/>
                <w:szCs w:val="20"/>
                <w:lang w:val="en-US"/>
              </w:rPr>
              <w:t xml:space="preserve">FILING </w:t>
            </w:r>
            <w:r w:rsidR="00C21644" w:rsidRPr="00437F82">
              <w:rPr>
                <w:sz w:val="20"/>
                <w:szCs w:val="20"/>
                <w:lang w:val="en-US"/>
              </w:rPr>
              <w:t xml:space="preserve">DATE: </w:t>
            </w:r>
            <w:r w:rsidR="00ED70F7" w:rsidRPr="00437F82">
              <w:rPr>
                <w:sz w:val="20"/>
                <w:szCs w:val="20"/>
                <w:lang w:val="en-US"/>
              </w:rPr>
              <w:t>30</w:t>
            </w:r>
            <w:r w:rsidR="00C21644" w:rsidRPr="00437F82">
              <w:rPr>
                <w:sz w:val="20"/>
                <w:szCs w:val="20"/>
                <w:lang w:val="en-US"/>
              </w:rPr>
              <w:t>.01.201</w:t>
            </w:r>
            <w:r w:rsidR="00ED70F7" w:rsidRPr="00437F82">
              <w:rPr>
                <w:sz w:val="20"/>
                <w:szCs w:val="20"/>
                <w:lang w:val="en-US"/>
              </w:rPr>
              <w:t>8</w:t>
            </w:r>
            <w:r w:rsidR="002526AE">
              <w:rPr>
                <w:sz w:val="20"/>
                <w:szCs w:val="20"/>
                <w:lang w:val="fr-CA"/>
              </w:rPr>
              <w:pict>
                <v:rect id="_x0000_i1026" style="width:108pt;height:1pt" o:hrpct="0" o:hralign="center" o:hrstd="t" o:hrnoshade="t" o:hr="t" fillcolor="black [3213]" stroked="f"/>
              </w:pict>
            </w:r>
          </w:p>
        </w:tc>
      </w:tr>
      <w:tr w:rsidR="00C21644" w:rsidRPr="00437F82" w:rsidTr="003B3977">
        <w:tc>
          <w:tcPr>
            <w:tcW w:w="4320" w:type="dxa"/>
            <w:shd w:val="clear" w:color="auto" w:fill="auto"/>
          </w:tcPr>
          <w:p w:rsidR="00C21644" w:rsidRPr="00437F82" w:rsidRDefault="00941A0C" w:rsidP="003B3977">
            <w:pPr>
              <w:rPr>
                <w:b/>
                <w:sz w:val="20"/>
                <w:szCs w:val="20"/>
                <w:lang w:val="en-US"/>
              </w:rPr>
            </w:pPr>
            <w:r w:rsidRPr="00437F82">
              <w:rPr>
                <w:b/>
                <w:sz w:val="20"/>
                <w:szCs w:val="20"/>
                <w:lang w:val="en-US"/>
              </w:rPr>
              <w:t>National Football League et al.</w:t>
            </w:r>
          </w:p>
          <w:p w:rsidR="00C21644" w:rsidRPr="00437F82" w:rsidRDefault="00C21644" w:rsidP="003B3977">
            <w:pPr>
              <w:tabs>
                <w:tab w:val="left" w:pos="-1440"/>
                <w:tab w:val="left" w:pos="-720"/>
              </w:tabs>
              <w:rPr>
                <w:sz w:val="20"/>
                <w:szCs w:val="20"/>
                <w:lang w:val="en-US"/>
              </w:rPr>
            </w:pPr>
            <w:r w:rsidRPr="00437F82">
              <w:rPr>
                <w:sz w:val="20"/>
                <w:szCs w:val="20"/>
                <w:lang w:val="en-US"/>
              </w:rPr>
              <w:tab/>
            </w:r>
            <w:r w:rsidR="00941A0C" w:rsidRPr="00437F82">
              <w:rPr>
                <w:sz w:val="20"/>
                <w:szCs w:val="20"/>
                <w:lang w:val="en-US"/>
              </w:rPr>
              <w:t>Steven G. Mason</w:t>
            </w:r>
          </w:p>
          <w:p w:rsidR="00C21644" w:rsidRPr="00437F82" w:rsidRDefault="00C21644" w:rsidP="003B3977">
            <w:pPr>
              <w:tabs>
                <w:tab w:val="left" w:pos="-1440"/>
                <w:tab w:val="left" w:pos="-720"/>
              </w:tabs>
              <w:rPr>
                <w:sz w:val="20"/>
                <w:szCs w:val="20"/>
                <w:lang w:val="en-US"/>
              </w:rPr>
            </w:pPr>
            <w:r w:rsidRPr="00437F82">
              <w:rPr>
                <w:sz w:val="20"/>
                <w:szCs w:val="20"/>
                <w:lang w:val="en-US"/>
              </w:rPr>
              <w:tab/>
            </w:r>
            <w:r w:rsidR="00941A0C" w:rsidRPr="00437F82">
              <w:rPr>
                <w:sz w:val="20"/>
                <w:szCs w:val="20"/>
                <w:lang w:val="en-US"/>
              </w:rPr>
              <w:t xml:space="preserve">McCarthy </w:t>
            </w:r>
            <w:proofErr w:type="spellStart"/>
            <w:r w:rsidR="00941A0C" w:rsidRPr="00437F82">
              <w:rPr>
                <w:sz w:val="20"/>
                <w:szCs w:val="20"/>
                <w:lang w:val="en-US"/>
              </w:rPr>
              <w:t>Tétrault</w:t>
            </w:r>
            <w:proofErr w:type="spellEnd"/>
            <w:r w:rsidR="00941A0C" w:rsidRPr="00437F82">
              <w:rPr>
                <w:sz w:val="20"/>
                <w:szCs w:val="20"/>
                <w:lang w:val="en-US"/>
              </w:rPr>
              <w:t xml:space="preserve"> LLP</w:t>
            </w:r>
          </w:p>
          <w:p w:rsidR="00C21644" w:rsidRPr="00437F82" w:rsidRDefault="00C21644" w:rsidP="003B3977">
            <w:pPr>
              <w:tabs>
                <w:tab w:val="left" w:pos="-1440"/>
                <w:tab w:val="left" w:pos="-720"/>
              </w:tabs>
              <w:rPr>
                <w:sz w:val="20"/>
                <w:szCs w:val="20"/>
                <w:lang w:val="en-US"/>
              </w:rPr>
            </w:pPr>
          </w:p>
          <w:p w:rsidR="00C21644" w:rsidRPr="00437F82" w:rsidRDefault="00C21644" w:rsidP="003B3977">
            <w:pPr>
              <w:tabs>
                <w:tab w:val="left" w:pos="-1440"/>
                <w:tab w:val="left" w:pos="-720"/>
              </w:tabs>
              <w:rPr>
                <w:sz w:val="20"/>
                <w:szCs w:val="20"/>
              </w:rPr>
            </w:pPr>
            <w:r w:rsidRPr="00437F82">
              <w:rPr>
                <w:sz w:val="20"/>
                <w:szCs w:val="20"/>
                <w:lang w:val="en-US"/>
              </w:rPr>
              <w:tab/>
            </w:r>
            <w:r w:rsidRPr="00437F82">
              <w:rPr>
                <w:sz w:val="20"/>
                <w:szCs w:val="20"/>
              </w:rPr>
              <w:t>v. (3</w:t>
            </w:r>
            <w:r w:rsidR="00941A0C" w:rsidRPr="00437F82">
              <w:rPr>
                <w:sz w:val="20"/>
                <w:szCs w:val="20"/>
              </w:rPr>
              <w:t>7897</w:t>
            </w:r>
            <w:r w:rsidRPr="00437F82">
              <w:rPr>
                <w:sz w:val="20"/>
                <w:szCs w:val="20"/>
              </w:rPr>
              <w:t>)</w:t>
            </w:r>
          </w:p>
          <w:p w:rsidR="00C21644" w:rsidRPr="00437F82" w:rsidRDefault="00C21644" w:rsidP="003B3977">
            <w:pPr>
              <w:tabs>
                <w:tab w:val="left" w:pos="-1440"/>
                <w:tab w:val="left" w:pos="-720"/>
              </w:tabs>
              <w:rPr>
                <w:sz w:val="20"/>
                <w:szCs w:val="20"/>
              </w:rPr>
            </w:pPr>
          </w:p>
          <w:p w:rsidR="00C21644" w:rsidRPr="00437F82" w:rsidRDefault="00941A0C" w:rsidP="003B3977">
            <w:pPr>
              <w:tabs>
                <w:tab w:val="left" w:pos="-1440"/>
                <w:tab w:val="left" w:pos="-720"/>
              </w:tabs>
              <w:rPr>
                <w:b/>
                <w:sz w:val="20"/>
                <w:szCs w:val="20"/>
              </w:rPr>
            </w:pPr>
            <w:r w:rsidRPr="00437F82">
              <w:rPr>
                <w:b/>
                <w:sz w:val="20"/>
                <w:szCs w:val="20"/>
              </w:rPr>
              <w:t>Attorney General of Canada</w:t>
            </w:r>
            <w:r w:rsidR="00C01FCB" w:rsidRPr="00437F82">
              <w:rPr>
                <w:b/>
                <w:sz w:val="20"/>
                <w:szCs w:val="20"/>
              </w:rPr>
              <w:t xml:space="preserve"> </w:t>
            </w:r>
            <w:r w:rsidR="00C21644" w:rsidRPr="00437F82">
              <w:rPr>
                <w:b/>
                <w:sz w:val="20"/>
                <w:szCs w:val="20"/>
              </w:rPr>
              <w:t>(</w:t>
            </w:r>
            <w:r w:rsidRPr="00437F82">
              <w:rPr>
                <w:b/>
                <w:sz w:val="20"/>
                <w:szCs w:val="20"/>
              </w:rPr>
              <w:t>F.C</w:t>
            </w:r>
            <w:r w:rsidR="00C21644" w:rsidRPr="00437F82">
              <w:rPr>
                <w:b/>
                <w:sz w:val="20"/>
                <w:szCs w:val="20"/>
              </w:rPr>
              <w:t>.)</w:t>
            </w:r>
          </w:p>
          <w:p w:rsidR="00C21644" w:rsidRPr="00437F82" w:rsidRDefault="00C21644" w:rsidP="003B3977">
            <w:pPr>
              <w:tabs>
                <w:tab w:val="left" w:pos="-1440"/>
                <w:tab w:val="left" w:pos="-720"/>
              </w:tabs>
              <w:rPr>
                <w:sz w:val="20"/>
                <w:szCs w:val="20"/>
              </w:rPr>
            </w:pPr>
            <w:r w:rsidRPr="00437F82">
              <w:rPr>
                <w:sz w:val="20"/>
                <w:szCs w:val="20"/>
              </w:rPr>
              <w:tab/>
            </w:r>
            <w:r w:rsidR="00941A0C" w:rsidRPr="00437F82">
              <w:rPr>
                <w:sz w:val="20"/>
                <w:szCs w:val="20"/>
              </w:rPr>
              <w:t>Michael H. Morris</w:t>
            </w:r>
          </w:p>
          <w:p w:rsidR="00C21644" w:rsidRPr="00437F82" w:rsidRDefault="00C21644" w:rsidP="003B3977">
            <w:pPr>
              <w:tabs>
                <w:tab w:val="left" w:pos="-1440"/>
                <w:tab w:val="left" w:pos="-720"/>
              </w:tabs>
              <w:rPr>
                <w:sz w:val="20"/>
                <w:szCs w:val="20"/>
              </w:rPr>
            </w:pPr>
            <w:r w:rsidRPr="00437F82">
              <w:rPr>
                <w:sz w:val="20"/>
                <w:szCs w:val="20"/>
              </w:rPr>
              <w:tab/>
            </w:r>
            <w:r w:rsidR="00941A0C" w:rsidRPr="00437F82">
              <w:rPr>
                <w:sz w:val="20"/>
                <w:szCs w:val="20"/>
              </w:rPr>
              <w:t>A.G. of Canada</w:t>
            </w:r>
          </w:p>
          <w:p w:rsidR="00C21644" w:rsidRPr="00437F82" w:rsidRDefault="00C21644" w:rsidP="003B3977">
            <w:pPr>
              <w:tabs>
                <w:tab w:val="left" w:pos="-1440"/>
                <w:tab w:val="left" w:pos="-720"/>
              </w:tabs>
              <w:rPr>
                <w:sz w:val="20"/>
                <w:szCs w:val="20"/>
              </w:rPr>
            </w:pPr>
          </w:p>
          <w:p w:rsidR="00C21644" w:rsidRPr="00437F82" w:rsidRDefault="00C21644" w:rsidP="003B3977">
            <w:pPr>
              <w:rPr>
                <w:sz w:val="20"/>
                <w:szCs w:val="20"/>
              </w:rPr>
            </w:pPr>
            <w:r w:rsidRPr="00437F82">
              <w:rPr>
                <w:sz w:val="20"/>
                <w:szCs w:val="20"/>
              </w:rPr>
              <w:t xml:space="preserve">FILING DATE: </w:t>
            </w:r>
            <w:r w:rsidR="00941A0C" w:rsidRPr="00437F82">
              <w:rPr>
                <w:sz w:val="20"/>
                <w:szCs w:val="20"/>
              </w:rPr>
              <w:t>16</w:t>
            </w:r>
            <w:r w:rsidRPr="00437F82">
              <w:rPr>
                <w:sz w:val="20"/>
                <w:szCs w:val="20"/>
              </w:rPr>
              <w:t>.0</w:t>
            </w:r>
            <w:r w:rsidR="00941A0C" w:rsidRPr="00437F82">
              <w:rPr>
                <w:sz w:val="20"/>
                <w:szCs w:val="20"/>
              </w:rPr>
              <w:t>2</w:t>
            </w:r>
            <w:r w:rsidRPr="00437F82">
              <w:rPr>
                <w:sz w:val="20"/>
                <w:szCs w:val="20"/>
              </w:rPr>
              <w:t>.201</w:t>
            </w:r>
            <w:r w:rsidR="00941A0C" w:rsidRPr="00437F82">
              <w:rPr>
                <w:sz w:val="20"/>
                <w:szCs w:val="20"/>
              </w:rPr>
              <w:t>8</w:t>
            </w:r>
          </w:p>
          <w:p w:rsidR="00C21644" w:rsidRPr="00437F82" w:rsidRDefault="002526AE"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437F82" w:rsidRDefault="00C21644" w:rsidP="00242AEE">
            <w:pPr>
              <w:jc w:val="center"/>
              <w:rPr>
                <w:sz w:val="20"/>
                <w:szCs w:val="20"/>
              </w:rPr>
            </w:pPr>
          </w:p>
          <w:p w:rsidR="00C21644" w:rsidRPr="00437F82" w:rsidRDefault="00C21644" w:rsidP="00242AEE">
            <w:pPr>
              <w:jc w:val="center"/>
              <w:rPr>
                <w:sz w:val="20"/>
                <w:szCs w:val="20"/>
              </w:rPr>
            </w:pPr>
          </w:p>
          <w:p w:rsidR="00C21644" w:rsidRPr="00437F82" w:rsidRDefault="00C21644" w:rsidP="00242AEE">
            <w:pPr>
              <w:jc w:val="center"/>
              <w:rPr>
                <w:sz w:val="20"/>
                <w:szCs w:val="20"/>
              </w:rPr>
            </w:pPr>
          </w:p>
          <w:p w:rsidR="00C21644" w:rsidRPr="00437F82" w:rsidRDefault="00C21644" w:rsidP="00242AEE">
            <w:pPr>
              <w:jc w:val="center"/>
              <w:rPr>
                <w:sz w:val="20"/>
                <w:szCs w:val="20"/>
              </w:rPr>
            </w:pPr>
          </w:p>
          <w:p w:rsidR="00C21644" w:rsidRPr="00437F82" w:rsidRDefault="00C21644" w:rsidP="00242AEE">
            <w:pPr>
              <w:jc w:val="center"/>
              <w:rPr>
                <w:sz w:val="20"/>
                <w:szCs w:val="20"/>
              </w:rPr>
            </w:pPr>
          </w:p>
          <w:p w:rsidR="00C21644" w:rsidRPr="00437F82" w:rsidRDefault="00C21644" w:rsidP="00242AEE">
            <w:pPr>
              <w:jc w:val="center"/>
              <w:rPr>
                <w:sz w:val="20"/>
                <w:szCs w:val="20"/>
              </w:rPr>
            </w:pPr>
          </w:p>
          <w:p w:rsidR="00C21644" w:rsidRPr="00437F82" w:rsidRDefault="00C21644" w:rsidP="00242AEE">
            <w:pPr>
              <w:jc w:val="center"/>
              <w:rPr>
                <w:sz w:val="20"/>
                <w:szCs w:val="20"/>
              </w:rPr>
            </w:pPr>
          </w:p>
          <w:p w:rsidR="00C21644" w:rsidRPr="00437F82" w:rsidRDefault="00C21644" w:rsidP="00242AEE">
            <w:pPr>
              <w:jc w:val="center"/>
              <w:rPr>
                <w:sz w:val="20"/>
                <w:szCs w:val="20"/>
              </w:rPr>
            </w:pPr>
          </w:p>
          <w:p w:rsidR="00C21644" w:rsidRPr="00437F82" w:rsidRDefault="00C21644" w:rsidP="00242AEE">
            <w:pPr>
              <w:jc w:val="center"/>
              <w:rPr>
                <w:sz w:val="20"/>
                <w:szCs w:val="20"/>
              </w:rPr>
            </w:pPr>
          </w:p>
          <w:p w:rsidR="00C21644" w:rsidRPr="00437F82" w:rsidRDefault="00C21644" w:rsidP="00242AEE">
            <w:pPr>
              <w:jc w:val="center"/>
              <w:rPr>
                <w:sz w:val="20"/>
                <w:szCs w:val="20"/>
              </w:rPr>
            </w:pPr>
          </w:p>
          <w:p w:rsidR="00C21644" w:rsidRPr="00437F82" w:rsidRDefault="00C21644" w:rsidP="00242AEE">
            <w:pPr>
              <w:jc w:val="center"/>
              <w:rPr>
                <w:sz w:val="20"/>
                <w:szCs w:val="20"/>
              </w:rPr>
            </w:pPr>
          </w:p>
          <w:p w:rsidR="00C21644" w:rsidRPr="00437F82" w:rsidRDefault="00C21644" w:rsidP="00242AEE">
            <w:pPr>
              <w:jc w:val="center"/>
              <w:rPr>
                <w:sz w:val="20"/>
                <w:szCs w:val="20"/>
              </w:rPr>
            </w:pPr>
          </w:p>
          <w:p w:rsidR="00C21644" w:rsidRPr="00437F82" w:rsidRDefault="00C21644" w:rsidP="00242AEE">
            <w:pPr>
              <w:jc w:val="center"/>
              <w:rPr>
                <w:sz w:val="20"/>
                <w:szCs w:val="20"/>
              </w:rPr>
            </w:pPr>
          </w:p>
        </w:tc>
        <w:tc>
          <w:tcPr>
            <w:tcW w:w="4320" w:type="dxa"/>
            <w:shd w:val="clear" w:color="auto" w:fill="auto"/>
          </w:tcPr>
          <w:p w:rsidR="00C21644" w:rsidRPr="00437F82" w:rsidRDefault="00104C0C" w:rsidP="003B3977">
            <w:pPr>
              <w:keepNext/>
              <w:keepLines/>
              <w:tabs>
                <w:tab w:val="left" w:pos="-1440"/>
                <w:tab w:val="left" w:pos="-720"/>
              </w:tabs>
              <w:rPr>
                <w:b/>
                <w:sz w:val="20"/>
                <w:szCs w:val="20"/>
                <w:lang w:val="en-US"/>
              </w:rPr>
            </w:pPr>
            <w:r w:rsidRPr="00437F82">
              <w:rPr>
                <w:b/>
                <w:sz w:val="20"/>
                <w:szCs w:val="20"/>
                <w:lang w:val="en-US"/>
              </w:rPr>
              <w:t>Bell Canada et al.</w:t>
            </w:r>
          </w:p>
          <w:p w:rsidR="00C21644" w:rsidRPr="00437F82" w:rsidRDefault="00C21644" w:rsidP="003B3977">
            <w:pPr>
              <w:keepNext/>
              <w:keepLines/>
              <w:tabs>
                <w:tab w:val="left" w:pos="-1440"/>
                <w:tab w:val="left" w:pos="-720"/>
              </w:tabs>
              <w:rPr>
                <w:sz w:val="20"/>
                <w:szCs w:val="20"/>
                <w:lang w:val="en-US"/>
              </w:rPr>
            </w:pPr>
            <w:r w:rsidRPr="00437F82">
              <w:rPr>
                <w:sz w:val="20"/>
                <w:szCs w:val="20"/>
                <w:lang w:val="en-US"/>
              </w:rPr>
              <w:tab/>
            </w:r>
            <w:r w:rsidR="00104C0C" w:rsidRPr="00437F82">
              <w:rPr>
                <w:sz w:val="20"/>
                <w:szCs w:val="20"/>
                <w:lang w:val="en-US"/>
              </w:rPr>
              <w:t>Steven G. Mason</w:t>
            </w:r>
          </w:p>
          <w:p w:rsidR="00C21644" w:rsidRPr="00437F82" w:rsidRDefault="00C21644" w:rsidP="003B3977">
            <w:pPr>
              <w:keepNext/>
              <w:keepLines/>
              <w:tabs>
                <w:tab w:val="left" w:pos="-1440"/>
                <w:tab w:val="left" w:pos="-720"/>
              </w:tabs>
              <w:rPr>
                <w:sz w:val="20"/>
                <w:szCs w:val="20"/>
              </w:rPr>
            </w:pPr>
            <w:r w:rsidRPr="00437F82">
              <w:rPr>
                <w:sz w:val="20"/>
                <w:szCs w:val="20"/>
                <w:lang w:val="en-US"/>
              </w:rPr>
              <w:tab/>
            </w:r>
            <w:r w:rsidR="00104C0C" w:rsidRPr="00437F82">
              <w:rPr>
                <w:sz w:val="20"/>
                <w:szCs w:val="20"/>
                <w:lang w:val="en-US"/>
              </w:rPr>
              <w:t xml:space="preserve">McCarthy </w:t>
            </w:r>
            <w:proofErr w:type="spellStart"/>
            <w:r w:rsidR="00104C0C" w:rsidRPr="00437F82">
              <w:rPr>
                <w:sz w:val="20"/>
                <w:szCs w:val="20"/>
                <w:lang w:val="en-US"/>
              </w:rPr>
              <w:t>Tétrault</w:t>
            </w:r>
            <w:proofErr w:type="spellEnd"/>
            <w:r w:rsidR="00104C0C" w:rsidRPr="00437F82">
              <w:rPr>
                <w:sz w:val="20"/>
                <w:szCs w:val="20"/>
                <w:lang w:val="en-US"/>
              </w:rPr>
              <w:t xml:space="preserve"> LLP</w:t>
            </w:r>
          </w:p>
          <w:p w:rsidR="00C21644" w:rsidRPr="00437F82" w:rsidRDefault="00C21644" w:rsidP="003B3977">
            <w:pPr>
              <w:keepNext/>
              <w:keepLines/>
              <w:tabs>
                <w:tab w:val="left" w:pos="-1440"/>
                <w:tab w:val="left" w:pos="-720"/>
              </w:tabs>
              <w:rPr>
                <w:sz w:val="20"/>
                <w:szCs w:val="20"/>
              </w:rPr>
            </w:pPr>
          </w:p>
          <w:p w:rsidR="00C21644" w:rsidRPr="00437F82" w:rsidRDefault="00C21644" w:rsidP="003B3977">
            <w:pPr>
              <w:keepNext/>
              <w:keepLines/>
              <w:tabs>
                <w:tab w:val="left" w:pos="-1440"/>
                <w:tab w:val="left" w:pos="-720"/>
              </w:tabs>
              <w:rPr>
                <w:sz w:val="20"/>
                <w:szCs w:val="20"/>
              </w:rPr>
            </w:pPr>
            <w:r w:rsidRPr="00437F82">
              <w:rPr>
                <w:sz w:val="20"/>
                <w:szCs w:val="20"/>
              </w:rPr>
              <w:tab/>
              <w:t>v. (3</w:t>
            </w:r>
            <w:r w:rsidR="00104C0C" w:rsidRPr="00437F82">
              <w:rPr>
                <w:sz w:val="20"/>
                <w:szCs w:val="20"/>
              </w:rPr>
              <w:t>7896</w:t>
            </w:r>
            <w:r w:rsidRPr="00437F82">
              <w:rPr>
                <w:sz w:val="20"/>
                <w:szCs w:val="20"/>
              </w:rPr>
              <w:t>)</w:t>
            </w:r>
          </w:p>
          <w:p w:rsidR="00C21644" w:rsidRPr="00437F82" w:rsidRDefault="00C21644" w:rsidP="003B3977">
            <w:pPr>
              <w:keepNext/>
              <w:keepLines/>
              <w:tabs>
                <w:tab w:val="left" w:pos="-1440"/>
                <w:tab w:val="left" w:pos="-720"/>
              </w:tabs>
              <w:rPr>
                <w:sz w:val="20"/>
                <w:szCs w:val="20"/>
              </w:rPr>
            </w:pPr>
          </w:p>
          <w:p w:rsidR="00C21644" w:rsidRPr="00437F82" w:rsidRDefault="00104C0C" w:rsidP="003B3977">
            <w:pPr>
              <w:keepNext/>
              <w:keepLines/>
              <w:tabs>
                <w:tab w:val="left" w:pos="-1440"/>
                <w:tab w:val="left" w:pos="-720"/>
              </w:tabs>
              <w:rPr>
                <w:b/>
                <w:sz w:val="20"/>
                <w:szCs w:val="20"/>
              </w:rPr>
            </w:pPr>
            <w:r w:rsidRPr="00437F82">
              <w:rPr>
                <w:b/>
                <w:sz w:val="20"/>
                <w:szCs w:val="20"/>
              </w:rPr>
              <w:t>Attorney General of Canada</w:t>
            </w:r>
            <w:r w:rsidR="00C01FCB" w:rsidRPr="00437F82">
              <w:rPr>
                <w:b/>
                <w:sz w:val="20"/>
                <w:szCs w:val="20"/>
              </w:rPr>
              <w:t xml:space="preserve"> </w:t>
            </w:r>
            <w:r w:rsidR="00C21644" w:rsidRPr="00437F82">
              <w:rPr>
                <w:b/>
                <w:sz w:val="20"/>
                <w:szCs w:val="20"/>
              </w:rPr>
              <w:t>(</w:t>
            </w:r>
            <w:r w:rsidRPr="00437F82">
              <w:rPr>
                <w:b/>
                <w:sz w:val="20"/>
                <w:szCs w:val="20"/>
              </w:rPr>
              <w:t>F</w:t>
            </w:r>
            <w:r w:rsidR="00C21644" w:rsidRPr="00437F82">
              <w:rPr>
                <w:b/>
                <w:sz w:val="20"/>
                <w:szCs w:val="20"/>
              </w:rPr>
              <w:t>.C.)</w:t>
            </w:r>
          </w:p>
          <w:p w:rsidR="00C21644" w:rsidRPr="00437F82" w:rsidRDefault="00C21644" w:rsidP="003B3977">
            <w:pPr>
              <w:keepNext/>
              <w:keepLines/>
              <w:tabs>
                <w:tab w:val="left" w:pos="-1440"/>
                <w:tab w:val="left" w:pos="-720"/>
              </w:tabs>
              <w:rPr>
                <w:sz w:val="20"/>
                <w:szCs w:val="20"/>
              </w:rPr>
            </w:pPr>
            <w:r w:rsidRPr="00437F82">
              <w:rPr>
                <w:sz w:val="20"/>
                <w:szCs w:val="20"/>
              </w:rPr>
              <w:tab/>
            </w:r>
            <w:r w:rsidR="00104C0C" w:rsidRPr="00437F82">
              <w:rPr>
                <w:sz w:val="20"/>
                <w:szCs w:val="20"/>
              </w:rPr>
              <w:t>Michael H. Morris</w:t>
            </w:r>
          </w:p>
          <w:p w:rsidR="00C21644" w:rsidRPr="00437F82" w:rsidRDefault="00C21644" w:rsidP="003B3977">
            <w:pPr>
              <w:keepNext/>
              <w:keepLines/>
              <w:tabs>
                <w:tab w:val="left" w:pos="-1440"/>
                <w:tab w:val="left" w:pos="-720"/>
              </w:tabs>
              <w:rPr>
                <w:sz w:val="20"/>
                <w:szCs w:val="20"/>
              </w:rPr>
            </w:pPr>
            <w:r w:rsidRPr="00437F82">
              <w:rPr>
                <w:sz w:val="20"/>
                <w:szCs w:val="20"/>
              </w:rPr>
              <w:tab/>
            </w:r>
            <w:r w:rsidR="00104C0C" w:rsidRPr="00437F82">
              <w:rPr>
                <w:sz w:val="20"/>
                <w:szCs w:val="20"/>
              </w:rPr>
              <w:t>A.G. of Canada</w:t>
            </w:r>
          </w:p>
          <w:p w:rsidR="00C21644" w:rsidRPr="00437F82" w:rsidRDefault="00C21644" w:rsidP="003B3977">
            <w:pPr>
              <w:keepNext/>
              <w:keepLines/>
              <w:tabs>
                <w:tab w:val="left" w:pos="-1440"/>
                <w:tab w:val="left" w:pos="-720"/>
              </w:tabs>
              <w:rPr>
                <w:sz w:val="20"/>
                <w:szCs w:val="20"/>
              </w:rPr>
            </w:pPr>
          </w:p>
          <w:p w:rsidR="00C21644" w:rsidRPr="00437F82" w:rsidRDefault="00C21644" w:rsidP="00104C0C">
            <w:pPr>
              <w:rPr>
                <w:sz w:val="20"/>
                <w:szCs w:val="20"/>
              </w:rPr>
            </w:pPr>
            <w:r w:rsidRPr="00437F82">
              <w:rPr>
                <w:sz w:val="20"/>
                <w:szCs w:val="20"/>
              </w:rPr>
              <w:t xml:space="preserve">FILING DATE: </w:t>
            </w:r>
            <w:r w:rsidR="00104C0C" w:rsidRPr="00437F82">
              <w:rPr>
                <w:sz w:val="20"/>
                <w:szCs w:val="20"/>
              </w:rPr>
              <w:t>06</w:t>
            </w:r>
            <w:r w:rsidRPr="00437F82">
              <w:rPr>
                <w:sz w:val="20"/>
                <w:szCs w:val="20"/>
              </w:rPr>
              <w:t>.0</w:t>
            </w:r>
            <w:r w:rsidR="00104C0C" w:rsidRPr="00437F82">
              <w:rPr>
                <w:sz w:val="20"/>
                <w:szCs w:val="20"/>
              </w:rPr>
              <w:t>2</w:t>
            </w:r>
            <w:r w:rsidRPr="00437F82">
              <w:rPr>
                <w:sz w:val="20"/>
                <w:szCs w:val="20"/>
              </w:rPr>
              <w:t>.201</w:t>
            </w:r>
            <w:r w:rsidR="00104C0C" w:rsidRPr="00437F82">
              <w:rPr>
                <w:sz w:val="20"/>
                <w:szCs w:val="20"/>
              </w:rPr>
              <w:t>8</w:t>
            </w:r>
            <w:r w:rsidR="002526AE">
              <w:rPr>
                <w:sz w:val="20"/>
                <w:szCs w:val="20"/>
                <w:lang w:val="fr-CA"/>
              </w:rPr>
              <w:pict>
                <v:rect id="_x0000_i1028" style="width:108pt;height:1pt" o:hrpct="0" o:hralign="center" o:hrstd="t" o:hrnoshade="t" o:hr="t" fillcolor="black [3213]" stroked="f"/>
              </w:pict>
            </w:r>
          </w:p>
        </w:tc>
      </w:tr>
    </w:tbl>
    <w:p w:rsidR="00242AEE" w:rsidRPr="00437F82" w:rsidRDefault="00242AEE" w:rsidP="0095096B">
      <w:pPr>
        <w:tabs>
          <w:tab w:val="right" w:pos="9360"/>
        </w:tabs>
        <w:rPr>
          <w:sz w:val="20"/>
          <w:szCs w:val="20"/>
        </w:rPr>
      </w:pPr>
    </w:p>
    <w:p w:rsidR="00C01FCB" w:rsidRPr="00437F82" w:rsidRDefault="00C01FCB" w:rsidP="0095096B">
      <w:pPr>
        <w:tabs>
          <w:tab w:val="right" w:pos="9360"/>
        </w:tabs>
        <w:rPr>
          <w:sz w:val="20"/>
          <w:szCs w:val="20"/>
        </w:rPr>
      </w:pPr>
    </w:p>
    <w:p w:rsidR="00C01FCB" w:rsidRPr="00437F82" w:rsidRDefault="00C01FCB" w:rsidP="0095096B">
      <w:pPr>
        <w:tabs>
          <w:tab w:val="right" w:pos="9360"/>
        </w:tabs>
        <w:rPr>
          <w:sz w:val="20"/>
          <w:szCs w:val="20"/>
        </w:rPr>
      </w:pPr>
    </w:p>
    <w:p w:rsidR="00242AEE" w:rsidRPr="00437F82" w:rsidRDefault="00242AEE" w:rsidP="0095096B">
      <w:pPr>
        <w:tabs>
          <w:tab w:val="right" w:pos="9360"/>
        </w:tabs>
        <w:rPr>
          <w:sz w:val="20"/>
          <w:szCs w:val="20"/>
        </w:rPr>
        <w:sectPr w:rsidR="00242AEE" w:rsidRPr="00437F82" w:rsidSect="003945FE">
          <w:headerReference w:type="default" r:id="rId10"/>
          <w:footerReference w:type="default" r:id="rId11"/>
          <w:headerReference w:type="first" r:id="rId12"/>
          <w:footerReference w:type="first" r:id="rId13"/>
          <w:pgSz w:w="12240" w:h="15840"/>
          <w:pgMar w:top="720" w:right="965" w:bottom="1080" w:left="1656" w:header="706" w:footer="706" w:gutter="0"/>
          <w:pgNumType w:start="22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FB017F" w:rsidTr="00BA6468">
        <w:trPr>
          <w:trHeight w:val="900"/>
        </w:trPr>
        <w:tc>
          <w:tcPr>
            <w:tcW w:w="4200" w:type="dxa"/>
            <w:tcMar>
              <w:left w:w="0" w:type="dxa"/>
              <w:right w:w="0" w:type="dxa"/>
            </w:tcMar>
          </w:tcPr>
          <w:p w:rsidR="002E2327" w:rsidRPr="00437F82" w:rsidRDefault="002E2327" w:rsidP="002E2327">
            <w:pPr>
              <w:keepNext/>
              <w:keepLines/>
              <w:widowControl w:val="0"/>
              <w:rPr>
                <w:b/>
                <w:szCs w:val="24"/>
              </w:rPr>
            </w:pPr>
            <w:r w:rsidRPr="00437F82">
              <w:rPr>
                <w:b/>
                <w:szCs w:val="24"/>
              </w:rPr>
              <w:t>APPLICATIONS FOR LEAVE SUBMITTED TO COURT SINCE LAST ISSUE</w:t>
            </w:r>
          </w:p>
        </w:tc>
        <w:tc>
          <w:tcPr>
            <w:tcW w:w="1200" w:type="dxa"/>
            <w:tcMar>
              <w:left w:w="0" w:type="dxa"/>
              <w:right w:w="0" w:type="dxa"/>
            </w:tcMar>
          </w:tcPr>
          <w:p w:rsidR="002E2327" w:rsidRPr="00437F82" w:rsidRDefault="002E2327" w:rsidP="002E2327">
            <w:pPr>
              <w:keepNext/>
              <w:keepLines/>
              <w:widowControl w:val="0"/>
              <w:jc w:val="center"/>
              <w:rPr>
                <w:b/>
                <w:szCs w:val="24"/>
              </w:rPr>
            </w:pPr>
          </w:p>
          <w:p w:rsidR="001D0D5F" w:rsidRPr="00437F82" w:rsidRDefault="001D0D5F" w:rsidP="002E2327">
            <w:pPr>
              <w:keepNext/>
              <w:keepLines/>
              <w:widowControl w:val="0"/>
              <w:jc w:val="center"/>
              <w:rPr>
                <w:b/>
                <w:szCs w:val="24"/>
              </w:rPr>
            </w:pPr>
          </w:p>
          <w:p w:rsidR="001D0D5F" w:rsidRPr="00437F82" w:rsidRDefault="001D0D5F" w:rsidP="002E2327">
            <w:pPr>
              <w:keepNext/>
              <w:keepLines/>
              <w:widowControl w:val="0"/>
              <w:jc w:val="center"/>
              <w:rPr>
                <w:b/>
                <w:szCs w:val="24"/>
              </w:rPr>
            </w:pPr>
          </w:p>
          <w:p w:rsidR="001D0D5F" w:rsidRPr="00437F82" w:rsidRDefault="001D0D5F" w:rsidP="002E2327">
            <w:pPr>
              <w:keepNext/>
              <w:keepLines/>
              <w:widowControl w:val="0"/>
              <w:jc w:val="center"/>
              <w:rPr>
                <w:b/>
                <w:szCs w:val="24"/>
              </w:rPr>
            </w:pPr>
          </w:p>
        </w:tc>
        <w:tc>
          <w:tcPr>
            <w:tcW w:w="4080" w:type="dxa"/>
            <w:tcMar>
              <w:left w:w="0" w:type="dxa"/>
              <w:right w:w="0" w:type="dxa"/>
            </w:tcMar>
          </w:tcPr>
          <w:p w:rsidR="002E2327" w:rsidRPr="00437F82" w:rsidRDefault="002E2327" w:rsidP="002E2327">
            <w:pPr>
              <w:keepLines/>
              <w:widowControl w:val="0"/>
              <w:rPr>
                <w:szCs w:val="24"/>
                <w:lang w:val="fr-CA"/>
              </w:rPr>
            </w:pPr>
            <w:r w:rsidRPr="00437F82">
              <w:rPr>
                <w:b/>
                <w:szCs w:val="24"/>
                <w:lang w:val="fr-CA"/>
              </w:rPr>
              <w:t>DEMANDES SOUMISES À LA COUR DEPUIS LA DERNIÈRE PARUTION</w:t>
            </w:r>
          </w:p>
          <w:p w:rsidR="002E2327" w:rsidRPr="00437F82"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437F82" w:rsidRDefault="002E2327" w:rsidP="002E2327">
      <w:pPr>
        <w:widowControl w:val="0"/>
        <w:rPr>
          <w:b/>
          <w:sz w:val="20"/>
          <w:szCs w:val="20"/>
          <w:lang w:val="fr-CA"/>
        </w:rPr>
      </w:pPr>
    </w:p>
    <w:p w:rsidR="00CB3520" w:rsidRPr="00437F82" w:rsidRDefault="003D0C9A" w:rsidP="00CB3520">
      <w:pPr>
        <w:widowControl w:val="0"/>
        <w:rPr>
          <w:b/>
          <w:sz w:val="20"/>
          <w:szCs w:val="20"/>
        </w:rPr>
      </w:pPr>
      <w:r w:rsidRPr="00437F82">
        <w:rPr>
          <w:b/>
          <w:sz w:val="20"/>
          <w:szCs w:val="20"/>
        </w:rPr>
        <w:t>FEBRUARY</w:t>
      </w:r>
      <w:r w:rsidR="00CB3520" w:rsidRPr="00437F82">
        <w:rPr>
          <w:b/>
          <w:sz w:val="20"/>
          <w:szCs w:val="20"/>
        </w:rPr>
        <w:t xml:space="preserve"> </w:t>
      </w:r>
      <w:r w:rsidRPr="00437F82">
        <w:rPr>
          <w:b/>
          <w:sz w:val="20"/>
          <w:szCs w:val="20"/>
        </w:rPr>
        <w:t>2</w:t>
      </w:r>
      <w:r w:rsidR="00CA7661" w:rsidRPr="00437F82">
        <w:rPr>
          <w:b/>
          <w:sz w:val="20"/>
          <w:szCs w:val="20"/>
        </w:rPr>
        <w:t>6</w:t>
      </w:r>
      <w:r w:rsidR="00CB3520" w:rsidRPr="00437F82">
        <w:rPr>
          <w:b/>
          <w:sz w:val="20"/>
          <w:szCs w:val="20"/>
        </w:rPr>
        <w:t>, 201</w:t>
      </w:r>
      <w:r w:rsidRPr="00437F82">
        <w:rPr>
          <w:b/>
          <w:sz w:val="20"/>
          <w:szCs w:val="20"/>
        </w:rPr>
        <w:t>8</w:t>
      </w:r>
      <w:r w:rsidR="00CB3520" w:rsidRPr="00437F82">
        <w:rPr>
          <w:b/>
          <w:sz w:val="20"/>
          <w:szCs w:val="20"/>
        </w:rPr>
        <w:t xml:space="preserve"> / LE </w:t>
      </w:r>
      <w:r w:rsidRPr="00437F82">
        <w:rPr>
          <w:b/>
          <w:sz w:val="20"/>
          <w:szCs w:val="20"/>
        </w:rPr>
        <w:t>2</w:t>
      </w:r>
      <w:r w:rsidR="00CA7661" w:rsidRPr="00437F82">
        <w:rPr>
          <w:b/>
          <w:sz w:val="20"/>
          <w:szCs w:val="20"/>
        </w:rPr>
        <w:t>6</w:t>
      </w:r>
      <w:r w:rsidR="00CB3520" w:rsidRPr="00437F82">
        <w:rPr>
          <w:b/>
          <w:sz w:val="20"/>
          <w:szCs w:val="20"/>
        </w:rPr>
        <w:t xml:space="preserve"> </w:t>
      </w:r>
      <w:r w:rsidRPr="00437F82">
        <w:rPr>
          <w:b/>
          <w:sz w:val="20"/>
          <w:szCs w:val="20"/>
        </w:rPr>
        <w:t>FÉ</w:t>
      </w:r>
      <w:r w:rsidR="00CB3520" w:rsidRPr="00437F82">
        <w:rPr>
          <w:b/>
          <w:sz w:val="20"/>
          <w:szCs w:val="20"/>
        </w:rPr>
        <w:t>V</w:t>
      </w:r>
      <w:r w:rsidRPr="00437F82">
        <w:rPr>
          <w:b/>
          <w:sz w:val="20"/>
          <w:szCs w:val="20"/>
        </w:rPr>
        <w:t>R</w:t>
      </w:r>
      <w:r w:rsidR="00CB3520" w:rsidRPr="00437F82">
        <w:rPr>
          <w:b/>
          <w:sz w:val="20"/>
          <w:szCs w:val="20"/>
        </w:rPr>
        <w:t>IER 201</w:t>
      </w:r>
      <w:r w:rsidRPr="00437F82">
        <w:rPr>
          <w:b/>
          <w:sz w:val="20"/>
          <w:szCs w:val="20"/>
        </w:rPr>
        <w:t>8</w:t>
      </w:r>
    </w:p>
    <w:p w:rsidR="00CB3520" w:rsidRPr="00437F82" w:rsidRDefault="00CB3520" w:rsidP="00CB3520">
      <w:pPr>
        <w:widowControl w:val="0"/>
        <w:rPr>
          <w:b/>
          <w:sz w:val="20"/>
          <w:szCs w:val="20"/>
        </w:rPr>
      </w:pPr>
    </w:p>
    <w:p w:rsidR="00CB3520" w:rsidRPr="00437F82" w:rsidRDefault="00CB3520" w:rsidP="00CB3520">
      <w:pPr>
        <w:widowControl w:val="0"/>
        <w:jc w:val="center"/>
        <w:rPr>
          <w:b/>
          <w:sz w:val="20"/>
          <w:szCs w:val="20"/>
        </w:rPr>
      </w:pPr>
      <w:r w:rsidRPr="00437F82">
        <w:rPr>
          <w:b/>
          <w:sz w:val="20"/>
          <w:szCs w:val="20"/>
        </w:rPr>
        <w:t xml:space="preserve">CORAM:  Chief Justice </w:t>
      </w:r>
      <w:r w:rsidR="0030299B" w:rsidRPr="00437F82">
        <w:rPr>
          <w:b/>
          <w:sz w:val="20"/>
          <w:szCs w:val="20"/>
        </w:rPr>
        <w:t>Wagner and Rowe and Martin JJ.</w:t>
      </w:r>
    </w:p>
    <w:p w:rsidR="0030299B" w:rsidRPr="00437F82" w:rsidRDefault="0030299B" w:rsidP="0030299B">
      <w:pPr>
        <w:widowControl w:val="0"/>
        <w:jc w:val="center"/>
        <w:rPr>
          <w:sz w:val="20"/>
          <w:szCs w:val="20"/>
          <w:lang w:val="fr-CA"/>
        </w:rPr>
      </w:pPr>
      <w:r w:rsidRPr="00437F82">
        <w:rPr>
          <w:b/>
          <w:sz w:val="20"/>
          <w:szCs w:val="20"/>
          <w:lang w:val="fr-CA"/>
        </w:rPr>
        <w:t>Le juge en chef Wagner et les juges Rowe et Martin</w:t>
      </w:r>
    </w:p>
    <w:p w:rsidR="00CB3520" w:rsidRPr="00437F82" w:rsidRDefault="00CB3520" w:rsidP="00CB3520">
      <w:pPr>
        <w:widowControl w:val="0"/>
        <w:rPr>
          <w:sz w:val="20"/>
          <w:szCs w:val="20"/>
          <w:lang w:val="fr-CA"/>
        </w:rPr>
      </w:pPr>
    </w:p>
    <w:p w:rsidR="00B91C02" w:rsidRPr="00437F82" w:rsidRDefault="00B91C02" w:rsidP="00B91C02">
      <w:pPr>
        <w:pStyle w:val="ListParagraph"/>
        <w:widowControl w:val="0"/>
        <w:numPr>
          <w:ilvl w:val="0"/>
          <w:numId w:val="1"/>
        </w:numPr>
        <w:ind w:hanging="720"/>
        <w:jc w:val="both"/>
        <w:rPr>
          <w:sz w:val="20"/>
          <w:szCs w:val="20"/>
        </w:rPr>
      </w:pPr>
      <w:r w:rsidRPr="00437F82">
        <w:rPr>
          <w:i/>
          <w:sz w:val="20"/>
          <w:szCs w:val="20"/>
        </w:rPr>
        <w:t>Her Majesty the Queen v. Eric Talbot</w:t>
      </w:r>
      <w:r w:rsidRPr="00437F82">
        <w:rPr>
          <w:sz w:val="20"/>
          <w:szCs w:val="20"/>
        </w:rPr>
        <w:t xml:space="preserve"> (Ont.) (Criminal) (By Leave) (37902)</w:t>
      </w:r>
    </w:p>
    <w:p w:rsidR="00B91C02" w:rsidRPr="00437F82" w:rsidRDefault="00B91C02" w:rsidP="00CB3520">
      <w:pPr>
        <w:widowControl w:val="0"/>
        <w:rPr>
          <w:sz w:val="20"/>
          <w:szCs w:val="20"/>
          <w:lang w:val="fr-CA"/>
        </w:rPr>
      </w:pPr>
    </w:p>
    <w:p w:rsidR="00CB3520" w:rsidRPr="00437F82" w:rsidRDefault="00CA7661" w:rsidP="00CB3520">
      <w:pPr>
        <w:pStyle w:val="ListParagraph"/>
        <w:widowControl w:val="0"/>
        <w:numPr>
          <w:ilvl w:val="0"/>
          <w:numId w:val="1"/>
        </w:numPr>
        <w:ind w:hanging="720"/>
        <w:jc w:val="both"/>
        <w:rPr>
          <w:sz w:val="20"/>
          <w:szCs w:val="20"/>
        </w:rPr>
      </w:pPr>
      <w:r w:rsidRPr="00437F82">
        <w:rPr>
          <w:i/>
          <w:sz w:val="20"/>
          <w:szCs w:val="20"/>
        </w:rPr>
        <w:t xml:space="preserve">Dean Del </w:t>
      </w:r>
      <w:proofErr w:type="spellStart"/>
      <w:r w:rsidRPr="00437F82">
        <w:rPr>
          <w:i/>
          <w:sz w:val="20"/>
          <w:szCs w:val="20"/>
        </w:rPr>
        <w:t>Mastro</w:t>
      </w:r>
      <w:proofErr w:type="spellEnd"/>
      <w:r w:rsidRPr="00437F82">
        <w:rPr>
          <w:i/>
          <w:sz w:val="20"/>
          <w:szCs w:val="20"/>
        </w:rPr>
        <w:t xml:space="preserve"> v. </w:t>
      </w:r>
      <w:r w:rsidR="00CB3520" w:rsidRPr="00437F82">
        <w:rPr>
          <w:i/>
          <w:sz w:val="20"/>
          <w:szCs w:val="20"/>
        </w:rPr>
        <w:t>Her Majesty the Queen</w:t>
      </w:r>
      <w:r w:rsidR="00CB3520" w:rsidRPr="00437F82">
        <w:rPr>
          <w:sz w:val="20"/>
          <w:szCs w:val="20"/>
        </w:rPr>
        <w:t xml:space="preserve"> (</w:t>
      </w:r>
      <w:r w:rsidRPr="00437F82">
        <w:rPr>
          <w:sz w:val="20"/>
          <w:szCs w:val="20"/>
        </w:rPr>
        <w:t>Ont</w:t>
      </w:r>
      <w:r w:rsidR="00CB3520" w:rsidRPr="00437F82">
        <w:rPr>
          <w:sz w:val="20"/>
          <w:szCs w:val="20"/>
        </w:rPr>
        <w:t>.) (Crim</w:t>
      </w:r>
      <w:r w:rsidR="00B91C02" w:rsidRPr="00437F82">
        <w:rPr>
          <w:sz w:val="20"/>
          <w:szCs w:val="20"/>
        </w:rPr>
        <w:t>inal</w:t>
      </w:r>
      <w:r w:rsidR="00CB3520" w:rsidRPr="00437F82">
        <w:rPr>
          <w:sz w:val="20"/>
          <w:szCs w:val="20"/>
        </w:rPr>
        <w:t>) (By Leave) (3</w:t>
      </w:r>
      <w:r w:rsidRPr="00437F82">
        <w:rPr>
          <w:sz w:val="20"/>
          <w:szCs w:val="20"/>
        </w:rPr>
        <w:t>7741</w:t>
      </w:r>
      <w:r w:rsidR="00CB3520" w:rsidRPr="00437F82">
        <w:rPr>
          <w:sz w:val="20"/>
          <w:szCs w:val="20"/>
        </w:rPr>
        <w:t>)</w:t>
      </w:r>
    </w:p>
    <w:p w:rsidR="00CB3520" w:rsidRPr="00437F82" w:rsidRDefault="00CB3520" w:rsidP="00CB3520">
      <w:pPr>
        <w:widowControl w:val="0"/>
        <w:jc w:val="both"/>
        <w:rPr>
          <w:sz w:val="20"/>
          <w:szCs w:val="20"/>
        </w:rPr>
      </w:pPr>
    </w:p>
    <w:p w:rsidR="00CB3520" w:rsidRPr="00437F82" w:rsidRDefault="00910988" w:rsidP="00CB3520">
      <w:pPr>
        <w:pStyle w:val="ListParagraph"/>
        <w:widowControl w:val="0"/>
        <w:numPr>
          <w:ilvl w:val="0"/>
          <w:numId w:val="1"/>
        </w:numPr>
        <w:ind w:hanging="720"/>
        <w:jc w:val="both"/>
        <w:rPr>
          <w:sz w:val="20"/>
          <w:szCs w:val="20"/>
        </w:rPr>
      </w:pPr>
      <w:proofErr w:type="spellStart"/>
      <w:r w:rsidRPr="00437F82">
        <w:rPr>
          <w:i/>
          <w:sz w:val="20"/>
          <w:szCs w:val="20"/>
        </w:rPr>
        <w:t>Jaskarn</w:t>
      </w:r>
      <w:proofErr w:type="spellEnd"/>
      <w:r w:rsidRPr="00437F82">
        <w:rPr>
          <w:i/>
          <w:sz w:val="20"/>
          <w:szCs w:val="20"/>
        </w:rPr>
        <w:t xml:space="preserve"> Singh Gill v. WorkSafeBC</w:t>
      </w:r>
      <w:r w:rsidR="00CB3520" w:rsidRPr="00437F82">
        <w:rPr>
          <w:sz w:val="20"/>
          <w:szCs w:val="20"/>
        </w:rPr>
        <w:t xml:space="preserve"> (</w:t>
      </w:r>
      <w:r w:rsidRPr="00437F82">
        <w:rPr>
          <w:sz w:val="20"/>
          <w:szCs w:val="20"/>
        </w:rPr>
        <w:t>B.C</w:t>
      </w:r>
      <w:r w:rsidR="00CB3520" w:rsidRPr="00437F82">
        <w:rPr>
          <w:sz w:val="20"/>
          <w:szCs w:val="20"/>
        </w:rPr>
        <w:t>.) (Civil) (By Leave) (3</w:t>
      </w:r>
      <w:r w:rsidRPr="00437F82">
        <w:rPr>
          <w:sz w:val="20"/>
          <w:szCs w:val="20"/>
        </w:rPr>
        <w:t>7803</w:t>
      </w:r>
      <w:r w:rsidR="00CB3520" w:rsidRPr="00437F82">
        <w:rPr>
          <w:sz w:val="20"/>
          <w:szCs w:val="20"/>
        </w:rPr>
        <w:t>)</w:t>
      </w:r>
    </w:p>
    <w:p w:rsidR="00CB3520" w:rsidRPr="00437F82" w:rsidRDefault="00CB3520" w:rsidP="00CB3520">
      <w:pPr>
        <w:widowControl w:val="0"/>
        <w:rPr>
          <w:sz w:val="20"/>
          <w:szCs w:val="20"/>
        </w:rPr>
      </w:pPr>
    </w:p>
    <w:p w:rsidR="00CB3520" w:rsidRPr="00437F82" w:rsidRDefault="00CB3520" w:rsidP="00CB3520">
      <w:pPr>
        <w:widowControl w:val="0"/>
        <w:rPr>
          <w:sz w:val="20"/>
          <w:szCs w:val="20"/>
        </w:rPr>
      </w:pPr>
    </w:p>
    <w:p w:rsidR="00CB3520" w:rsidRPr="00437F82" w:rsidRDefault="00CB3520" w:rsidP="00CB3520">
      <w:pPr>
        <w:widowControl w:val="0"/>
        <w:jc w:val="center"/>
        <w:rPr>
          <w:b/>
          <w:sz w:val="20"/>
          <w:szCs w:val="20"/>
          <w:lang w:val="en-US"/>
        </w:rPr>
      </w:pPr>
      <w:r w:rsidRPr="00437F82">
        <w:rPr>
          <w:b/>
          <w:sz w:val="20"/>
          <w:szCs w:val="20"/>
          <w:lang w:val="en-US"/>
        </w:rPr>
        <w:t xml:space="preserve">CORAM: </w:t>
      </w:r>
      <w:r w:rsidR="00FA3373" w:rsidRPr="00437F82">
        <w:rPr>
          <w:b/>
          <w:sz w:val="20"/>
          <w:szCs w:val="20"/>
          <w:lang w:val="en-US"/>
        </w:rPr>
        <w:t>Abella</w:t>
      </w:r>
      <w:r w:rsidRPr="00437F82">
        <w:rPr>
          <w:b/>
          <w:sz w:val="20"/>
          <w:szCs w:val="20"/>
          <w:lang w:val="en-US"/>
        </w:rPr>
        <w:t xml:space="preserve">, </w:t>
      </w:r>
      <w:r w:rsidR="001A2977" w:rsidRPr="00437F82">
        <w:rPr>
          <w:b/>
          <w:sz w:val="20"/>
          <w:szCs w:val="20"/>
          <w:lang w:val="en-US"/>
        </w:rPr>
        <w:t>Gascon</w:t>
      </w:r>
      <w:r w:rsidRPr="00437F82">
        <w:rPr>
          <w:b/>
          <w:sz w:val="20"/>
          <w:szCs w:val="20"/>
          <w:lang w:val="en-US"/>
        </w:rPr>
        <w:t xml:space="preserve"> and </w:t>
      </w:r>
      <w:r w:rsidR="00E942C2" w:rsidRPr="00437F82">
        <w:rPr>
          <w:b/>
          <w:sz w:val="20"/>
          <w:szCs w:val="20"/>
          <w:lang w:val="en-US"/>
        </w:rPr>
        <w:t>Brown</w:t>
      </w:r>
      <w:r w:rsidRPr="00437F82">
        <w:rPr>
          <w:b/>
          <w:sz w:val="20"/>
          <w:szCs w:val="20"/>
          <w:lang w:val="en-US"/>
        </w:rPr>
        <w:t xml:space="preserve"> JJ.</w:t>
      </w:r>
    </w:p>
    <w:p w:rsidR="00CB3520" w:rsidRPr="00437F82" w:rsidRDefault="00CB3520" w:rsidP="00CB3520">
      <w:pPr>
        <w:widowControl w:val="0"/>
        <w:jc w:val="center"/>
        <w:rPr>
          <w:b/>
          <w:sz w:val="20"/>
          <w:szCs w:val="20"/>
          <w:lang w:val="fr-CA"/>
        </w:rPr>
      </w:pPr>
      <w:r w:rsidRPr="00437F82">
        <w:rPr>
          <w:b/>
          <w:sz w:val="20"/>
          <w:szCs w:val="20"/>
          <w:lang w:val="fr-CA"/>
        </w:rPr>
        <w:t xml:space="preserve">Les juges </w:t>
      </w:r>
      <w:r w:rsidR="00FA3373" w:rsidRPr="00437F82">
        <w:rPr>
          <w:b/>
          <w:sz w:val="20"/>
          <w:szCs w:val="20"/>
          <w:lang w:val="fr-CA"/>
        </w:rPr>
        <w:t>Abella</w:t>
      </w:r>
      <w:r w:rsidRPr="00437F82">
        <w:rPr>
          <w:b/>
          <w:sz w:val="20"/>
          <w:szCs w:val="20"/>
          <w:lang w:val="fr-CA"/>
        </w:rPr>
        <w:t xml:space="preserve">, </w:t>
      </w:r>
      <w:r w:rsidR="001A2977" w:rsidRPr="00437F82">
        <w:rPr>
          <w:b/>
          <w:sz w:val="20"/>
          <w:szCs w:val="20"/>
          <w:lang w:val="fr-CA"/>
        </w:rPr>
        <w:t>Gascon</w:t>
      </w:r>
      <w:r w:rsidRPr="00437F82">
        <w:rPr>
          <w:b/>
          <w:sz w:val="20"/>
          <w:szCs w:val="20"/>
          <w:lang w:val="fr-CA"/>
        </w:rPr>
        <w:t xml:space="preserve"> et </w:t>
      </w:r>
      <w:r w:rsidR="00E942C2" w:rsidRPr="00437F82">
        <w:rPr>
          <w:b/>
          <w:sz w:val="20"/>
          <w:szCs w:val="20"/>
          <w:lang w:val="fr-CA"/>
        </w:rPr>
        <w:t>Brown</w:t>
      </w:r>
    </w:p>
    <w:p w:rsidR="00707AAF" w:rsidRPr="00437F82" w:rsidRDefault="00707AAF" w:rsidP="00707AAF">
      <w:pPr>
        <w:widowControl w:val="0"/>
        <w:jc w:val="both"/>
        <w:rPr>
          <w:sz w:val="20"/>
          <w:szCs w:val="20"/>
          <w:lang w:val="fr-CA"/>
        </w:rPr>
      </w:pPr>
    </w:p>
    <w:p w:rsidR="00707AAF" w:rsidRPr="00437F82" w:rsidRDefault="00707AAF" w:rsidP="00707AAF">
      <w:pPr>
        <w:pStyle w:val="ListParagraph"/>
        <w:widowControl w:val="0"/>
        <w:numPr>
          <w:ilvl w:val="0"/>
          <w:numId w:val="1"/>
        </w:numPr>
        <w:ind w:hanging="720"/>
        <w:jc w:val="both"/>
        <w:rPr>
          <w:sz w:val="20"/>
          <w:szCs w:val="20"/>
        </w:rPr>
      </w:pPr>
      <w:proofErr w:type="spellStart"/>
      <w:r w:rsidRPr="00437F82">
        <w:rPr>
          <w:i/>
          <w:sz w:val="20"/>
          <w:szCs w:val="20"/>
          <w:lang w:val="en-US"/>
        </w:rPr>
        <w:t>Delizia</w:t>
      </w:r>
      <w:proofErr w:type="spellEnd"/>
      <w:r w:rsidRPr="00437F82">
        <w:rPr>
          <w:i/>
          <w:sz w:val="20"/>
          <w:szCs w:val="20"/>
          <w:lang w:val="en-US"/>
        </w:rPr>
        <w:t xml:space="preserve"> Limited</w:t>
      </w:r>
      <w:r w:rsidRPr="00437F82">
        <w:rPr>
          <w:i/>
          <w:sz w:val="20"/>
          <w:szCs w:val="20"/>
        </w:rPr>
        <w:t xml:space="preserve">. v. </w:t>
      </w:r>
      <w:proofErr w:type="spellStart"/>
      <w:r w:rsidRPr="00437F82">
        <w:rPr>
          <w:i/>
          <w:sz w:val="20"/>
          <w:szCs w:val="20"/>
        </w:rPr>
        <w:t>Nevsun</w:t>
      </w:r>
      <w:proofErr w:type="spellEnd"/>
      <w:r w:rsidRPr="00437F82">
        <w:rPr>
          <w:i/>
          <w:sz w:val="20"/>
          <w:szCs w:val="20"/>
        </w:rPr>
        <w:t xml:space="preserve"> Resources Ltd.</w:t>
      </w:r>
      <w:r w:rsidRPr="00437F82">
        <w:rPr>
          <w:sz w:val="20"/>
          <w:szCs w:val="20"/>
        </w:rPr>
        <w:t xml:space="preserve"> (F.C.) (Civil) (By Leave) (37848)</w:t>
      </w:r>
    </w:p>
    <w:p w:rsidR="00707AAF" w:rsidRPr="00437F82" w:rsidRDefault="00707AAF" w:rsidP="00CB3520">
      <w:pPr>
        <w:widowControl w:val="0"/>
        <w:jc w:val="both"/>
        <w:rPr>
          <w:sz w:val="20"/>
          <w:szCs w:val="20"/>
        </w:rPr>
      </w:pPr>
    </w:p>
    <w:p w:rsidR="00707AAF" w:rsidRPr="00437F82" w:rsidRDefault="00707AAF" w:rsidP="00707AAF">
      <w:pPr>
        <w:pStyle w:val="ListParagraph"/>
        <w:widowControl w:val="0"/>
        <w:numPr>
          <w:ilvl w:val="0"/>
          <w:numId w:val="1"/>
        </w:numPr>
        <w:ind w:hanging="720"/>
        <w:jc w:val="both"/>
        <w:rPr>
          <w:sz w:val="20"/>
          <w:szCs w:val="20"/>
          <w:lang w:val="en-US"/>
        </w:rPr>
      </w:pPr>
      <w:proofErr w:type="spellStart"/>
      <w:r w:rsidRPr="00437F82">
        <w:rPr>
          <w:i/>
          <w:sz w:val="20"/>
          <w:szCs w:val="20"/>
          <w:lang w:val="en-US"/>
        </w:rPr>
        <w:t>Delizia</w:t>
      </w:r>
      <w:proofErr w:type="spellEnd"/>
      <w:r w:rsidRPr="00437F82">
        <w:rPr>
          <w:i/>
          <w:sz w:val="20"/>
          <w:szCs w:val="20"/>
          <w:lang w:val="en-US"/>
        </w:rPr>
        <w:t xml:space="preserve"> Limited v. </w:t>
      </w:r>
      <w:proofErr w:type="spellStart"/>
      <w:r w:rsidRPr="00437F82">
        <w:rPr>
          <w:i/>
          <w:sz w:val="20"/>
          <w:szCs w:val="20"/>
          <w:lang w:val="en-US"/>
        </w:rPr>
        <w:t>Sunridge</w:t>
      </w:r>
      <w:proofErr w:type="spellEnd"/>
      <w:r w:rsidRPr="00437F82">
        <w:rPr>
          <w:i/>
          <w:sz w:val="20"/>
          <w:szCs w:val="20"/>
          <w:lang w:val="en-US"/>
        </w:rPr>
        <w:t xml:space="preserve"> Gold Corp.</w:t>
      </w:r>
      <w:r w:rsidRPr="00437F82">
        <w:rPr>
          <w:sz w:val="20"/>
          <w:szCs w:val="20"/>
          <w:lang w:val="en-US"/>
        </w:rPr>
        <w:t xml:space="preserve"> (F.C.) (Civil) (By Leave) (37849)</w:t>
      </w:r>
    </w:p>
    <w:p w:rsidR="00707AAF" w:rsidRPr="00437F82" w:rsidRDefault="00707AAF" w:rsidP="00CB3520">
      <w:pPr>
        <w:widowControl w:val="0"/>
        <w:jc w:val="both"/>
        <w:rPr>
          <w:sz w:val="20"/>
          <w:szCs w:val="20"/>
          <w:lang w:val="en-US"/>
        </w:rPr>
      </w:pPr>
    </w:p>
    <w:p w:rsidR="00CB3520" w:rsidRPr="00437F82" w:rsidRDefault="00C76A18" w:rsidP="00CB3520">
      <w:pPr>
        <w:pStyle w:val="ListParagraph"/>
        <w:widowControl w:val="0"/>
        <w:numPr>
          <w:ilvl w:val="0"/>
          <w:numId w:val="1"/>
        </w:numPr>
        <w:ind w:hanging="720"/>
        <w:jc w:val="both"/>
        <w:rPr>
          <w:sz w:val="20"/>
          <w:szCs w:val="20"/>
          <w:lang w:val="en-US"/>
        </w:rPr>
      </w:pPr>
      <w:r w:rsidRPr="00437F82">
        <w:rPr>
          <w:i/>
          <w:sz w:val="20"/>
          <w:szCs w:val="20"/>
          <w:lang w:val="en-US"/>
        </w:rPr>
        <w:t xml:space="preserve">Todd Henry </w:t>
      </w:r>
      <w:proofErr w:type="spellStart"/>
      <w:r w:rsidRPr="00437F82">
        <w:rPr>
          <w:i/>
          <w:sz w:val="20"/>
          <w:szCs w:val="20"/>
          <w:lang w:val="en-US"/>
        </w:rPr>
        <w:t>McAuley</w:t>
      </w:r>
      <w:proofErr w:type="spellEnd"/>
      <w:r w:rsidRPr="00437F82">
        <w:rPr>
          <w:i/>
          <w:sz w:val="20"/>
          <w:szCs w:val="20"/>
          <w:lang w:val="en-US"/>
        </w:rPr>
        <w:t xml:space="preserve"> </w:t>
      </w:r>
      <w:r w:rsidR="00CB3520" w:rsidRPr="00437F82">
        <w:rPr>
          <w:i/>
          <w:sz w:val="20"/>
          <w:szCs w:val="20"/>
        </w:rPr>
        <w:t>v. C</w:t>
      </w:r>
      <w:r w:rsidRPr="00437F82">
        <w:rPr>
          <w:i/>
          <w:sz w:val="20"/>
          <w:szCs w:val="20"/>
        </w:rPr>
        <w:t>r</w:t>
      </w:r>
      <w:r w:rsidR="00CB3520" w:rsidRPr="00437F82">
        <w:rPr>
          <w:i/>
          <w:sz w:val="20"/>
          <w:szCs w:val="20"/>
        </w:rPr>
        <w:t>a</w:t>
      </w:r>
      <w:r w:rsidRPr="00437F82">
        <w:rPr>
          <w:i/>
          <w:sz w:val="20"/>
          <w:szCs w:val="20"/>
        </w:rPr>
        <w:t xml:space="preserve">ig </w:t>
      </w:r>
      <w:proofErr w:type="spellStart"/>
      <w:r w:rsidRPr="00437F82">
        <w:rPr>
          <w:i/>
          <w:sz w:val="20"/>
          <w:szCs w:val="20"/>
        </w:rPr>
        <w:t>Genaille</w:t>
      </w:r>
      <w:proofErr w:type="spellEnd"/>
      <w:r w:rsidRPr="00437F82">
        <w:rPr>
          <w:i/>
          <w:sz w:val="20"/>
          <w:szCs w:val="20"/>
        </w:rPr>
        <w:t>, as the executor of the Estate of Lori Ellen Sinclair et al.</w:t>
      </w:r>
      <w:r w:rsidR="00CB3520" w:rsidRPr="00437F82">
        <w:rPr>
          <w:sz w:val="20"/>
          <w:szCs w:val="20"/>
        </w:rPr>
        <w:t xml:space="preserve"> (</w:t>
      </w:r>
      <w:r w:rsidRPr="00437F82">
        <w:rPr>
          <w:sz w:val="20"/>
          <w:szCs w:val="20"/>
        </w:rPr>
        <w:t>Man.</w:t>
      </w:r>
      <w:r w:rsidR="00CB3520" w:rsidRPr="00437F82">
        <w:rPr>
          <w:sz w:val="20"/>
          <w:szCs w:val="20"/>
        </w:rPr>
        <w:t>) (Civil) (By Leave)</w:t>
      </w:r>
      <w:r w:rsidR="00CB3520" w:rsidRPr="00437F82">
        <w:rPr>
          <w:sz w:val="20"/>
          <w:szCs w:val="20"/>
          <w:lang w:val="en-US"/>
        </w:rPr>
        <w:t xml:space="preserve"> (3</w:t>
      </w:r>
      <w:r w:rsidRPr="00437F82">
        <w:rPr>
          <w:sz w:val="20"/>
          <w:szCs w:val="20"/>
          <w:lang w:val="en-US"/>
        </w:rPr>
        <w:t>7764</w:t>
      </w:r>
      <w:r w:rsidR="00CB3520" w:rsidRPr="00437F82">
        <w:rPr>
          <w:sz w:val="20"/>
          <w:szCs w:val="20"/>
          <w:lang w:val="en-US"/>
        </w:rPr>
        <w:t>)</w:t>
      </w:r>
    </w:p>
    <w:p w:rsidR="00CB3520" w:rsidRPr="00437F82" w:rsidRDefault="00CB3520" w:rsidP="00CB3520">
      <w:pPr>
        <w:widowControl w:val="0"/>
        <w:jc w:val="both"/>
        <w:rPr>
          <w:sz w:val="20"/>
          <w:szCs w:val="20"/>
          <w:lang w:val="en-US"/>
        </w:rPr>
      </w:pPr>
    </w:p>
    <w:p w:rsidR="00CB3520" w:rsidRPr="00437F82" w:rsidRDefault="00CB3520" w:rsidP="00CB3520">
      <w:pPr>
        <w:widowControl w:val="0"/>
        <w:jc w:val="both"/>
        <w:rPr>
          <w:sz w:val="20"/>
          <w:szCs w:val="20"/>
          <w:lang w:val="en-US"/>
        </w:rPr>
      </w:pPr>
    </w:p>
    <w:p w:rsidR="00CB3520" w:rsidRPr="00437F82" w:rsidRDefault="00CB3520" w:rsidP="00CB3520">
      <w:pPr>
        <w:widowControl w:val="0"/>
        <w:jc w:val="center"/>
        <w:rPr>
          <w:b/>
          <w:sz w:val="20"/>
          <w:szCs w:val="20"/>
        </w:rPr>
      </w:pPr>
      <w:r w:rsidRPr="00437F82">
        <w:rPr>
          <w:b/>
          <w:sz w:val="20"/>
          <w:szCs w:val="20"/>
          <w:lang w:val="en-US"/>
        </w:rPr>
        <w:t xml:space="preserve">CORAM: </w:t>
      </w:r>
      <w:r w:rsidR="00253236" w:rsidRPr="00437F82">
        <w:rPr>
          <w:b/>
          <w:sz w:val="20"/>
          <w:szCs w:val="20"/>
          <w:lang w:val="en-US"/>
        </w:rPr>
        <w:t>Moldaver</w:t>
      </w:r>
      <w:r w:rsidR="00E942C2" w:rsidRPr="00437F82">
        <w:rPr>
          <w:b/>
          <w:sz w:val="20"/>
          <w:szCs w:val="20"/>
          <w:lang w:val="en-US"/>
        </w:rPr>
        <w:t xml:space="preserve">, </w:t>
      </w:r>
      <w:r w:rsidR="001B1529" w:rsidRPr="00437F82">
        <w:rPr>
          <w:b/>
          <w:sz w:val="20"/>
          <w:szCs w:val="20"/>
          <w:lang w:val="en-US"/>
        </w:rPr>
        <w:t xml:space="preserve">Karakatsanis and </w:t>
      </w:r>
      <w:r w:rsidR="001B1529" w:rsidRPr="00437F82">
        <w:rPr>
          <w:b/>
          <w:sz w:val="20"/>
          <w:szCs w:val="20"/>
        </w:rPr>
        <w:t>C</w:t>
      </w:r>
      <w:proofErr w:type="spellStart"/>
      <w:r w:rsidR="001B1529" w:rsidRPr="00437F82">
        <w:rPr>
          <w:b/>
          <w:sz w:val="20"/>
          <w:szCs w:val="20"/>
          <w:lang w:val="en-US"/>
        </w:rPr>
        <w:t>ôté</w:t>
      </w:r>
      <w:proofErr w:type="spellEnd"/>
      <w:r w:rsidR="001B1529" w:rsidRPr="00437F82">
        <w:rPr>
          <w:b/>
          <w:sz w:val="20"/>
          <w:szCs w:val="20"/>
        </w:rPr>
        <w:t xml:space="preserve"> </w:t>
      </w:r>
      <w:r w:rsidRPr="00437F82">
        <w:rPr>
          <w:b/>
          <w:sz w:val="20"/>
          <w:szCs w:val="20"/>
        </w:rPr>
        <w:t>JJ.</w:t>
      </w:r>
    </w:p>
    <w:p w:rsidR="00CB3520" w:rsidRPr="00437F82" w:rsidRDefault="00CB3520" w:rsidP="00CB3520">
      <w:pPr>
        <w:widowControl w:val="0"/>
        <w:jc w:val="center"/>
        <w:rPr>
          <w:b/>
          <w:sz w:val="20"/>
          <w:szCs w:val="20"/>
          <w:lang w:val="fr-CA"/>
        </w:rPr>
      </w:pPr>
      <w:r w:rsidRPr="00437F82">
        <w:rPr>
          <w:b/>
          <w:sz w:val="20"/>
          <w:szCs w:val="20"/>
          <w:lang w:val="fr-CA"/>
        </w:rPr>
        <w:t xml:space="preserve">Les juges </w:t>
      </w:r>
      <w:r w:rsidR="00253236" w:rsidRPr="00437F82">
        <w:rPr>
          <w:b/>
          <w:sz w:val="20"/>
          <w:szCs w:val="20"/>
          <w:lang w:val="fr-CA"/>
        </w:rPr>
        <w:t>Moldaver</w:t>
      </w:r>
      <w:r w:rsidR="00E942C2" w:rsidRPr="00437F82">
        <w:rPr>
          <w:b/>
          <w:sz w:val="20"/>
          <w:szCs w:val="20"/>
          <w:lang w:val="fr-CA"/>
        </w:rPr>
        <w:t xml:space="preserve">, </w:t>
      </w:r>
      <w:r w:rsidR="001B1529" w:rsidRPr="00437F82">
        <w:rPr>
          <w:b/>
          <w:sz w:val="20"/>
          <w:szCs w:val="20"/>
          <w:lang w:val="fr-CA"/>
        </w:rPr>
        <w:t>Karakatsanis et Côté</w:t>
      </w:r>
    </w:p>
    <w:p w:rsidR="00CB3520" w:rsidRPr="00437F82" w:rsidRDefault="00CB3520" w:rsidP="00CB3520">
      <w:pPr>
        <w:widowControl w:val="0"/>
        <w:jc w:val="both"/>
        <w:rPr>
          <w:sz w:val="20"/>
          <w:szCs w:val="20"/>
          <w:lang w:val="fr-CA"/>
        </w:rPr>
      </w:pPr>
    </w:p>
    <w:p w:rsidR="00CB3520" w:rsidRPr="00437F82" w:rsidRDefault="00AD76E0" w:rsidP="00CB3520">
      <w:pPr>
        <w:pStyle w:val="ListParagraph"/>
        <w:widowControl w:val="0"/>
        <w:numPr>
          <w:ilvl w:val="0"/>
          <w:numId w:val="1"/>
        </w:numPr>
        <w:ind w:hanging="720"/>
        <w:jc w:val="both"/>
        <w:rPr>
          <w:sz w:val="20"/>
          <w:szCs w:val="20"/>
        </w:rPr>
      </w:pPr>
      <w:r w:rsidRPr="00437F82">
        <w:rPr>
          <w:i/>
          <w:sz w:val="20"/>
          <w:szCs w:val="20"/>
        </w:rPr>
        <w:t>Robert New</w:t>
      </w:r>
      <w:r w:rsidR="00CB3520" w:rsidRPr="00437F82">
        <w:rPr>
          <w:i/>
          <w:sz w:val="20"/>
          <w:szCs w:val="20"/>
        </w:rPr>
        <w:t xml:space="preserve"> v. </w:t>
      </w:r>
      <w:r w:rsidRPr="00437F82">
        <w:rPr>
          <w:i/>
          <w:sz w:val="20"/>
          <w:szCs w:val="20"/>
        </w:rPr>
        <w:t>Canada (Minister of Justice) et al.</w:t>
      </w:r>
      <w:r w:rsidR="00CB3520" w:rsidRPr="00437F82">
        <w:rPr>
          <w:sz w:val="20"/>
          <w:szCs w:val="20"/>
        </w:rPr>
        <w:t xml:space="preserve"> (</w:t>
      </w:r>
      <w:r w:rsidRPr="00437F82">
        <w:rPr>
          <w:sz w:val="20"/>
          <w:szCs w:val="20"/>
        </w:rPr>
        <w:t>B</w:t>
      </w:r>
      <w:r w:rsidR="00CB3520" w:rsidRPr="00437F82">
        <w:rPr>
          <w:sz w:val="20"/>
          <w:szCs w:val="20"/>
        </w:rPr>
        <w:t>.C.) (C</w:t>
      </w:r>
      <w:r w:rsidRPr="00437F82">
        <w:rPr>
          <w:sz w:val="20"/>
          <w:szCs w:val="20"/>
        </w:rPr>
        <w:t>r</w:t>
      </w:r>
      <w:r w:rsidR="00CB3520" w:rsidRPr="00437F82">
        <w:rPr>
          <w:sz w:val="20"/>
          <w:szCs w:val="20"/>
        </w:rPr>
        <w:t>i</w:t>
      </w:r>
      <w:r w:rsidRPr="00437F82">
        <w:rPr>
          <w:sz w:val="20"/>
          <w:szCs w:val="20"/>
        </w:rPr>
        <w:t>m</w:t>
      </w:r>
      <w:r w:rsidR="00CB3520" w:rsidRPr="00437F82">
        <w:rPr>
          <w:sz w:val="20"/>
          <w:szCs w:val="20"/>
        </w:rPr>
        <w:t>i</w:t>
      </w:r>
      <w:r w:rsidRPr="00437F82">
        <w:rPr>
          <w:sz w:val="20"/>
          <w:szCs w:val="20"/>
        </w:rPr>
        <w:t>na</w:t>
      </w:r>
      <w:r w:rsidR="00CB3520" w:rsidRPr="00437F82">
        <w:rPr>
          <w:sz w:val="20"/>
          <w:szCs w:val="20"/>
        </w:rPr>
        <w:t>l) (By Leave) (3</w:t>
      </w:r>
      <w:r w:rsidRPr="00437F82">
        <w:rPr>
          <w:sz w:val="20"/>
          <w:szCs w:val="20"/>
        </w:rPr>
        <w:t>7643</w:t>
      </w:r>
      <w:r w:rsidR="00CB3520" w:rsidRPr="00437F82">
        <w:rPr>
          <w:sz w:val="20"/>
          <w:szCs w:val="20"/>
        </w:rPr>
        <w:t>)</w:t>
      </w:r>
    </w:p>
    <w:p w:rsidR="00CB3520" w:rsidRPr="00437F82" w:rsidRDefault="00CB3520" w:rsidP="00CB3520">
      <w:pPr>
        <w:widowControl w:val="0"/>
        <w:jc w:val="both"/>
        <w:rPr>
          <w:sz w:val="20"/>
          <w:szCs w:val="20"/>
        </w:rPr>
      </w:pPr>
    </w:p>
    <w:p w:rsidR="00CB3520" w:rsidRPr="00437F82" w:rsidRDefault="00AD76E0" w:rsidP="00CB3520">
      <w:pPr>
        <w:pStyle w:val="ListParagraph"/>
        <w:widowControl w:val="0"/>
        <w:numPr>
          <w:ilvl w:val="0"/>
          <w:numId w:val="1"/>
        </w:numPr>
        <w:ind w:hanging="720"/>
        <w:jc w:val="both"/>
        <w:rPr>
          <w:sz w:val="20"/>
          <w:szCs w:val="20"/>
        </w:rPr>
      </w:pPr>
      <w:r w:rsidRPr="00437F82">
        <w:rPr>
          <w:i/>
          <w:sz w:val="20"/>
          <w:szCs w:val="20"/>
        </w:rPr>
        <w:t>Polish Alliance of Canada</w:t>
      </w:r>
      <w:r w:rsidR="00CB3520" w:rsidRPr="00437F82">
        <w:rPr>
          <w:i/>
          <w:sz w:val="20"/>
          <w:szCs w:val="20"/>
        </w:rPr>
        <w:t xml:space="preserve"> v. </w:t>
      </w:r>
      <w:r w:rsidRPr="00437F82">
        <w:rPr>
          <w:i/>
          <w:sz w:val="20"/>
          <w:szCs w:val="20"/>
        </w:rPr>
        <w:t>Polish Association of Toronto Limited et al.</w:t>
      </w:r>
      <w:r w:rsidR="00CB3520" w:rsidRPr="00437F82">
        <w:rPr>
          <w:sz w:val="20"/>
          <w:szCs w:val="20"/>
        </w:rPr>
        <w:t xml:space="preserve"> (Ont.) (Civil) (By Leave) (3</w:t>
      </w:r>
      <w:r w:rsidRPr="00437F82">
        <w:rPr>
          <w:sz w:val="20"/>
          <w:szCs w:val="20"/>
        </w:rPr>
        <w:t>7755</w:t>
      </w:r>
      <w:r w:rsidR="00CB3520" w:rsidRPr="00437F82">
        <w:rPr>
          <w:sz w:val="20"/>
          <w:szCs w:val="20"/>
        </w:rPr>
        <w:t>)</w:t>
      </w:r>
    </w:p>
    <w:p w:rsidR="00CB3520" w:rsidRPr="00437F82" w:rsidRDefault="00CB3520" w:rsidP="00CB3520">
      <w:pPr>
        <w:widowControl w:val="0"/>
        <w:rPr>
          <w:i/>
          <w:sz w:val="20"/>
          <w:szCs w:val="20"/>
        </w:rPr>
      </w:pPr>
    </w:p>
    <w:p w:rsidR="00CB3520" w:rsidRPr="00437F82" w:rsidRDefault="00AD76E0" w:rsidP="00CB3520">
      <w:pPr>
        <w:pStyle w:val="ListParagraph"/>
        <w:widowControl w:val="0"/>
        <w:numPr>
          <w:ilvl w:val="0"/>
          <w:numId w:val="1"/>
        </w:numPr>
        <w:ind w:hanging="720"/>
        <w:jc w:val="both"/>
        <w:rPr>
          <w:sz w:val="20"/>
          <w:szCs w:val="20"/>
        </w:rPr>
      </w:pPr>
      <w:r w:rsidRPr="00437F82">
        <w:rPr>
          <w:i/>
          <w:sz w:val="20"/>
          <w:szCs w:val="20"/>
        </w:rPr>
        <w:t xml:space="preserve">Minister of Public Safety &amp; Emergency Preparedness and Attorney General of Canada v. </w:t>
      </w:r>
      <w:proofErr w:type="spellStart"/>
      <w:r w:rsidRPr="00437F82">
        <w:rPr>
          <w:i/>
          <w:sz w:val="20"/>
          <w:szCs w:val="20"/>
        </w:rPr>
        <w:t>Tusif</w:t>
      </w:r>
      <w:proofErr w:type="spellEnd"/>
      <w:r w:rsidRPr="00437F82">
        <w:rPr>
          <w:i/>
          <w:sz w:val="20"/>
          <w:szCs w:val="20"/>
        </w:rPr>
        <w:t xml:space="preserve"> Ur </w:t>
      </w:r>
      <w:proofErr w:type="spellStart"/>
      <w:r w:rsidRPr="00437F82">
        <w:rPr>
          <w:i/>
          <w:sz w:val="20"/>
          <w:szCs w:val="20"/>
        </w:rPr>
        <w:t>Rehman</w:t>
      </w:r>
      <w:proofErr w:type="spellEnd"/>
      <w:r w:rsidRPr="00437F82">
        <w:rPr>
          <w:i/>
          <w:sz w:val="20"/>
          <w:szCs w:val="20"/>
        </w:rPr>
        <w:t xml:space="preserve"> </w:t>
      </w:r>
      <w:proofErr w:type="spellStart"/>
      <w:r w:rsidRPr="00437F82">
        <w:rPr>
          <w:i/>
          <w:sz w:val="20"/>
          <w:szCs w:val="20"/>
        </w:rPr>
        <w:t>Chhina</w:t>
      </w:r>
      <w:proofErr w:type="spellEnd"/>
      <w:r w:rsidR="00CB3520" w:rsidRPr="00437F82">
        <w:rPr>
          <w:sz w:val="20"/>
          <w:szCs w:val="20"/>
        </w:rPr>
        <w:t xml:space="preserve"> (</w:t>
      </w:r>
      <w:r w:rsidRPr="00437F82">
        <w:rPr>
          <w:sz w:val="20"/>
          <w:szCs w:val="20"/>
        </w:rPr>
        <w:t>Alta</w:t>
      </w:r>
      <w:r w:rsidR="00CB3520" w:rsidRPr="00437F82">
        <w:rPr>
          <w:sz w:val="20"/>
          <w:szCs w:val="20"/>
        </w:rPr>
        <w:t>.) (Civil) (By Leave) (3</w:t>
      </w:r>
      <w:r w:rsidRPr="00437F82">
        <w:rPr>
          <w:sz w:val="20"/>
          <w:szCs w:val="20"/>
        </w:rPr>
        <w:t>7770</w:t>
      </w:r>
      <w:r w:rsidR="00CB3520" w:rsidRPr="00437F82">
        <w:rPr>
          <w:sz w:val="20"/>
          <w:szCs w:val="20"/>
        </w:rPr>
        <w:t>)</w:t>
      </w:r>
    </w:p>
    <w:p w:rsidR="002E2327" w:rsidRPr="00437F82" w:rsidRDefault="002E2327" w:rsidP="002E2327">
      <w:pPr>
        <w:widowControl w:val="0"/>
        <w:rPr>
          <w:sz w:val="20"/>
          <w:szCs w:val="20"/>
        </w:rPr>
      </w:pPr>
    </w:p>
    <w:p w:rsidR="002E2327" w:rsidRPr="00437F82" w:rsidRDefault="002526AE" w:rsidP="002E2327">
      <w:pPr>
        <w:widowControl w:val="0"/>
        <w:rPr>
          <w:sz w:val="20"/>
          <w:szCs w:val="20"/>
        </w:rPr>
      </w:pPr>
      <w:r>
        <w:rPr>
          <w:sz w:val="20"/>
          <w:szCs w:val="20"/>
        </w:rPr>
        <w:pict>
          <v:rect id="_x0000_i1031" style="width:2in;height:1pt" o:hrpct="0" o:hralign="center" o:hrstd="t" o:hrnoshade="t" o:hr="t" fillcolor="black [3213]" stroked="f"/>
        </w:pict>
      </w:r>
    </w:p>
    <w:p w:rsidR="00D94028" w:rsidRPr="00437F82" w:rsidRDefault="00D94028" w:rsidP="002E2327">
      <w:pPr>
        <w:widowControl w:val="0"/>
        <w:rPr>
          <w:sz w:val="20"/>
          <w:szCs w:val="20"/>
        </w:rPr>
      </w:pPr>
    </w:p>
    <w:p w:rsidR="00D94028" w:rsidRPr="00437F82" w:rsidRDefault="00D94028" w:rsidP="002E2327">
      <w:pPr>
        <w:widowControl w:val="0"/>
        <w:rPr>
          <w:sz w:val="20"/>
          <w:szCs w:val="20"/>
        </w:rPr>
      </w:pPr>
    </w:p>
    <w:p w:rsidR="00D94028" w:rsidRPr="00437F82" w:rsidRDefault="00D94028" w:rsidP="002E2327">
      <w:pPr>
        <w:widowControl w:val="0"/>
        <w:rPr>
          <w:sz w:val="20"/>
          <w:szCs w:val="20"/>
        </w:rPr>
      </w:pPr>
    </w:p>
    <w:p w:rsidR="0044776A" w:rsidRPr="00437F82" w:rsidRDefault="0044776A" w:rsidP="002E2327">
      <w:pPr>
        <w:widowControl w:val="0"/>
        <w:spacing w:line="0" w:lineRule="atLeast"/>
        <w:rPr>
          <w:sz w:val="20"/>
          <w:szCs w:val="20"/>
        </w:rPr>
        <w:sectPr w:rsidR="0044776A" w:rsidRPr="00437F82"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437F82" w:rsidTr="00BA6468">
        <w:tc>
          <w:tcPr>
            <w:tcW w:w="4230" w:type="dxa"/>
            <w:shd w:val="clear" w:color="auto" w:fill="auto"/>
            <w:tcMar>
              <w:left w:w="0" w:type="dxa"/>
              <w:right w:w="0" w:type="dxa"/>
            </w:tcMar>
          </w:tcPr>
          <w:p w:rsidR="00890FEB" w:rsidRPr="00437F82" w:rsidRDefault="00890FEB" w:rsidP="00EB2B90">
            <w:pPr>
              <w:keepNext/>
              <w:keepLines/>
              <w:tabs>
                <w:tab w:val="left" w:pos="-1440"/>
                <w:tab w:val="left" w:pos="-720"/>
              </w:tabs>
              <w:jc w:val="both"/>
              <w:rPr>
                <w:szCs w:val="24"/>
              </w:rPr>
            </w:pPr>
            <w:bookmarkStart w:id="0" w:name="QuickMark_1"/>
            <w:bookmarkEnd w:id="0"/>
            <w:r w:rsidRPr="00437F82">
              <w:rPr>
                <w:b/>
                <w:szCs w:val="24"/>
              </w:rPr>
              <w:t>MOTIONS</w:t>
            </w:r>
          </w:p>
        </w:tc>
        <w:tc>
          <w:tcPr>
            <w:tcW w:w="1170" w:type="dxa"/>
            <w:shd w:val="clear" w:color="auto" w:fill="auto"/>
            <w:tcMar>
              <w:left w:w="0" w:type="dxa"/>
              <w:right w:w="0" w:type="dxa"/>
            </w:tcMar>
          </w:tcPr>
          <w:p w:rsidR="00890FEB" w:rsidRPr="00437F82" w:rsidRDefault="00890FEB" w:rsidP="00890FEB">
            <w:pPr>
              <w:keepNext/>
              <w:keepLines/>
              <w:tabs>
                <w:tab w:val="left" w:pos="-1440"/>
                <w:tab w:val="left" w:pos="-720"/>
              </w:tabs>
              <w:jc w:val="center"/>
              <w:rPr>
                <w:szCs w:val="24"/>
              </w:rPr>
            </w:pPr>
          </w:p>
          <w:p w:rsidR="00890FEB" w:rsidRPr="00437F82"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437F82" w:rsidRDefault="00890FEB" w:rsidP="00831CA9">
            <w:pPr>
              <w:keepNext/>
              <w:keepLines/>
              <w:tabs>
                <w:tab w:val="left" w:pos="-1440"/>
                <w:tab w:val="left" w:pos="-720"/>
              </w:tabs>
              <w:rPr>
                <w:szCs w:val="24"/>
                <w:lang w:val="en-US"/>
              </w:rPr>
            </w:pPr>
            <w:r w:rsidRPr="00437F82">
              <w:rPr>
                <w:b/>
                <w:szCs w:val="24"/>
                <w:lang w:val="en-US"/>
              </w:rPr>
              <w:t>REQUÊTES</w:t>
            </w:r>
          </w:p>
        </w:tc>
      </w:tr>
    </w:tbl>
    <w:p w:rsidR="00890FEB" w:rsidRPr="00437F82" w:rsidRDefault="00890FEB" w:rsidP="00890FEB">
      <w:pPr>
        <w:rPr>
          <w:sz w:val="20"/>
          <w:szCs w:val="20"/>
        </w:rPr>
      </w:pPr>
    </w:p>
    <w:p w:rsidR="00183454" w:rsidRPr="00437F82" w:rsidRDefault="00183454" w:rsidP="00183454">
      <w:pPr>
        <w:tabs>
          <w:tab w:val="left" w:pos="-1440"/>
          <w:tab w:val="left" w:pos="-720"/>
        </w:tabs>
        <w:jc w:val="both"/>
        <w:rPr>
          <w:rFonts w:eastAsia="Times New Roman" w:cs="Times New Roman"/>
          <w:sz w:val="20"/>
          <w:szCs w:val="20"/>
          <w:lang w:val="en-US" w:eastAsia="en-CA"/>
        </w:rPr>
      </w:pPr>
      <w:r w:rsidRPr="00437F82">
        <w:rPr>
          <w:rFonts w:eastAsia="Times New Roman" w:cs="Times New Roman"/>
          <w:sz w:val="20"/>
          <w:szCs w:val="20"/>
          <w:lang w:val="en-US" w:eastAsia="en-CA"/>
        </w:rPr>
        <w:t>19.0</w:t>
      </w:r>
      <w:r w:rsidR="008378CC" w:rsidRPr="00437F82">
        <w:rPr>
          <w:rFonts w:eastAsia="Times New Roman" w:cs="Times New Roman"/>
          <w:sz w:val="20"/>
          <w:szCs w:val="20"/>
          <w:lang w:val="en-US" w:eastAsia="en-CA"/>
        </w:rPr>
        <w:t>2</w:t>
      </w:r>
      <w:r w:rsidRPr="00437F82">
        <w:rPr>
          <w:rFonts w:eastAsia="Times New Roman" w:cs="Times New Roman"/>
          <w:sz w:val="20"/>
          <w:szCs w:val="20"/>
          <w:lang w:val="en-US" w:eastAsia="en-CA"/>
        </w:rPr>
        <w:t>.201</w:t>
      </w:r>
      <w:r w:rsidR="009A1D06" w:rsidRPr="00437F82">
        <w:rPr>
          <w:rFonts w:eastAsia="Times New Roman" w:cs="Times New Roman"/>
          <w:sz w:val="20"/>
          <w:szCs w:val="20"/>
          <w:lang w:val="en-US" w:eastAsia="en-CA"/>
        </w:rPr>
        <w:t>8</w:t>
      </w:r>
    </w:p>
    <w:p w:rsidR="00183454" w:rsidRPr="00437F82" w:rsidRDefault="00183454" w:rsidP="00183454">
      <w:pPr>
        <w:tabs>
          <w:tab w:val="left" w:pos="-1440"/>
          <w:tab w:val="left" w:pos="-720"/>
        </w:tabs>
        <w:jc w:val="both"/>
        <w:rPr>
          <w:rFonts w:eastAsia="Times New Roman" w:cs="Times New Roman"/>
          <w:sz w:val="20"/>
          <w:szCs w:val="20"/>
          <w:lang w:val="en-US" w:eastAsia="en-CA"/>
        </w:rPr>
      </w:pPr>
    </w:p>
    <w:p w:rsidR="00183454" w:rsidRPr="00437F82" w:rsidRDefault="00183454" w:rsidP="00183454">
      <w:pPr>
        <w:tabs>
          <w:tab w:val="left" w:pos="-1440"/>
          <w:tab w:val="left" w:pos="-720"/>
        </w:tabs>
        <w:jc w:val="both"/>
        <w:rPr>
          <w:rFonts w:eastAsia="Times New Roman" w:cs="Times New Roman"/>
          <w:sz w:val="20"/>
          <w:szCs w:val="20"/>
          <w:lang w:val="fr-CA" w:eastAsia="en-CA"/>
        </w:rPr>
      </w:pPr>
      <w:r w:rsidRPr="00437F82">
        <w:rPr>
          <w:rFonts w:eastAsia="Times New Roman" w:cs="Times New Roman"/>
          <w:sz w:val="20"/>
          <w:szCs w:val="20"/>
          <w:lang w:val="fr-CA" w:eastAsia="en-CA"/>
        </w:rPr>
        <w:t xml:space="preserve">Before / Devant : </w:t>
      </w:r>
      <w:r w:rsidR="008378CC" w:rsidRPr="00437F82">
        <w:rPr>
          <w:rFonts w:eastAsia="Times New Roman" w:cs="Times New Roman"/>
          <w:sz w:val="20"/>
          <w:szCs w:val="20"/>
          <w:lang w:val="fr-CA" w:eastAsia="en-CA"/>
        </w:rPr>
        <w:t>ROWE</w:t>
      </w:r>
      <w:r w:rsidR="00E942C2" w:rsidRPr="00437F82">
        <w:rPr>
          <w:rFonts w:eastAsia="Times New Roman" w:cs="Times New Roman"/>
          <w:sz w:val="20"/>
          <w:szCs w:val="20"/>
          <w:lang w:val="fr-CA" w:eastAsia="en-CA"/>
        </w:rPr>
        <w:t xml:space="preserve"> </w:t>
      </w:r>
      <w:r w:rsidRPr="00437F82">
        <w:rPr>
          <w:rFonts w:eastAsia="Times New Roman" w:cs="Times New Roman"/>
          <w:sz w:val="20"/>
          <w:szCs w:val="20"/>
          <w:lang w:val="fr-CA" w:eastAsia="en-CA"/>
        </w:rPr>
        <w:t>J. / L</w:t>
      </w:r>
      <w:r w:rsidR="008378CC" w:rsidRPr="00437F82">
        <w:rPr>
          <w:rFonts w:eastAsia="Times New Roman" w:cs="Times New Roman"/>
          <w:sz w:val="20"/>
          <w:szCs w:val="20"/>
          <w:lang w:val="fr-CA" w:eastAsia="en-CA"/>
        </w:rPr>
        <w:t>E</w:t>
      </w:r>
      <w:r w:rsidR="00E942C2" w:rsidRPr="00437F82">
        <w:rPr>
          <w:rFonts w:eastAsia="Times New Roman" w:cs="Times New Roman"/>
          <w:sz w:val="20"/>
          <w:szCs w:val="20"/>
          <w:lang w:val="fr-CA" w:eastAsia="en-CA"/>
        </w:rPr>
        <w:t xml:space="preserve"> JUGE </w:t>
      </w:r>
      <w:r w:rsidR="008378CC" w:rsidRPr="00437F82">
        <w:rPr>
          <w:rFonts w:eastAsia="Times New Roman" w:cs="Times New Roman"/>
          <w:sz w:val="20"/>
          <w:szCs w:val="20"/>
          <w:lang w:val="fr-CA" w:eastAsia="en-CA"/>
        </w:rPr>
        <w:t>ROWE</w:t>
      </w:r>
    </w:p>
    <w:p w:rsidR="00183454" w:rsidRPr="00437F82"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0D779D" w:rsidRPr="00437F82" w:rsidTr="00C1679E">
        <w:tc>
          <w:tcPr>
            <w:tcW w:w="4242" w:type="dxa"/>
          </w:tcPr>
          <w:p w:rsidR="000D779D" w:rsidRPr="00437F82" w:rsidRDefault="000D779D" w:rsidP="000D779D">
            <w:pPr>
              <w:tabs>
                <w:tab w:val="left" w:pos="-1440"/>
                <w:tab w:val="left" w:pos="-720"/>
              </w:tabs>
              <w:jc w:val="both"/>
              <w:rPr>
                <w:b/>
              </w:rPr>
            </w:pPr>
            <w:r w:rsidRPr="00437F82">
              <w:rPr>
                <w:b/>
                <w:bCs/>
                <w:lang w:val="en-GB"/>
              </w:rPr>
              <w:t>Miscellaneous motion</w:t>
            </w:r>
          </w:p>
        </w:tc>
        <w:tc>
          <w:tcPr>
            <w:tcW w:w="1142" w:type="dxa"/>
          </w:tcPr>
          <w:p w:rsidR="000D779D" w:rsidRPr="00437F82" w:rsidRDefault="000D779D" w:rsidP="000D779D">
            <w:pPr>
              <w:tabs>
                <w:tab w:val="left" w:pos="-1440"/>
                <w:tab w:val="left" w:pos="-720"/>
              </w:tabs>
              <w:jc w:val="both"/>
            </w:pPr>
          </w:p>
          <w:p w:rsidR="000D779D" w:rsidRPr="00437F82" w:rsidRDefault="000D779D" w:rsidP="000D779D">
            <w:pPr>
              <w:tabs>
                <w:tab w:val="left" w:pos="-1440"/>
                <w:tab w:val="left" w:pos="-720"/>
              </w:tabs>
              <w:jc w:val="both"/>
            </w:pPr>
          </w:p>
        </w:tc>
        <w:tc>
          <w:tcPr>
            <w:tcW w:w="4235" w:type="dxa"/>
          </w:tcPr>
          <w:p w:rsidR="000D779D" w:rsidRPr="00437F82" w:rsidRDefault="000D779D" w:rsidP="000D779D">
            <w:pPr>
              <w:jc w:val="both"/>
              <w:rPr>
                <w:b/>
                <w:bCs/>
                <w:lang w:val="en-US"/>
              </w:rPr>
            </w:pPr>
            <w:proofErr w:type="spellStart"/>
            <w:r w:rsidRPr="00437F82">
              <w:rPr>
                <w:b/>
                <w:bCs/>
                <w:lang w:val="en-US"/>
              </w:rPr>
              <w:t>Requête</w:t>
            </w:r>
            <w:proofErr w:type="spellEnd"/>
            <w:r w:rsidRPr="00437F82">
              <w:rPr>
                <w:b/>
                <w:bCs/>
                <w:lang w:val="en-US"/>
              </w:rPr>
              <w:t xml:space="preserve"> diverse</w:t>
            </w:r>
          </w:p>
        </w:tc>
      </w:tr>
      <w:tr w:rsidR="000D779D" w:rsidRPr="00437F82" w:rsidTr="00C1679E">
        <w:tc>
          <w:tcPr>
            <w:tcW w:w="4242" w:type="dxa"/>
          </w:tcPr>
          <w:p w:rsidR="000D779D" w:rsidRPr="00437F82" w:rsidRDefault="000D779D" w:rsidP="000D779D">
            <w:pPr>
              <w:tabs>
                <w:tab w:val="left" w:pos="-1440"/>
                <w:tab w:val="left" w:pos="-720"/>
              </w:tabs>
              <w:jc w:val="both"/>
              <w:rPr>
                <w:lang w:val="fr-CA"/>
              </w:rPr>
            </w:pPr>
            <w:proofErr w:type="spellStart"/>
            <w:r w:rsidRPr="00437F82">
              <w:rPr>
                <w:lang w:val="fr-CA"/>
              </w:rPr>
              <w:t>Assessment</w:t>
            </w:r>
            <w:proofErr w:type="spellEnd"/>
            <w:r w:rsidRPr="00437F82">
              <w:rPr>
                <w:lang w:val="fr-CA"/>
              </w:rPr>
              <w:t xml:space="preserve"> Direct Inc. et al.</w:t>
            </w:r>
          </w:p>
          <w:p w:rsidR="000D779D" w:rsidRPr="00437F82" w:rsidRDefault="000D779D" w:rsidP="000D779D">
            <w:pPr>
              <w:tabs>
                <w:tab w:val="left" w:pos="-1440"/>
                <w:tab w:val="left" w:pos="-720"/>
              </w:tabs>
              <w:jc w:val="both"/>
              <w:rPr>
                <w:lang w:val="fr-CA"/>
              </w:rPr>
            </w:pPr>
          </w:p>
          <w:p w:rsidR="000D779D" w:rsidRPr="00437F82" w:rsidRDefault="000D779D" w:rsidP="000D779D">
            <w:pPr>
              <w:tabs>
                <w:tab w:val="left" w:pos="-1440"/>
                <w:tab w:val="left" w:pos="-720"/>
              </w:tabs>
              <w:jc w:val="both"/>
              <w:rPr>
                <w:lang w:val="fr-CA"/>
              </w:rPr>
            </w:pPr>
            <w:r w:rsidRPr="00437F82">
              <w:rPr>
                <w:lang w:val="fr-CA"/>
              </w:rPr>
              <w:tab/>
              <w:t>v. (37918)</w:t>
            </w:r>
          </w:p>
          <w:p w:rsidR="000D779D" w:rsidRPr="00437F82" w:rsidRDefault="000D779D" w:rsidP="000D779D">
            <w:pPr>
              <w:tabs>
                <w:tab w:val="left" w:pos="-1440"/>
                <w:tab w:val="left" w:pos="-720"/>
              </w:tabs>
              <w:jc w:val="both"/>
              <w:rPr>
                <w:lang w:val="fr-CA"/>
              </w:rPr>
            </w:pPr>
          </w:p>
          <w:p w:rsidR="000D779D" w:rsidRPr="00437F82" w:rsidRDefault="000D779D" w:rsidP="000D779D">
            <w:pPr>
              <w:tabs>
                <w:tab w:val="left" w:pos="-1440"/>
                <w:tab w:val="left" w:pos="-720"/>
              </w:tabs>
              <w:jc w:val="both"/>
              <w:rPr>
                <w:lang w:val="en-US"/>
              </w:rPr>
            </w:pPr>
            <w:r w:rsidRPr="00437F82">
              <w:rPr>
                <w:lang w:val="fr-CA"/>
              </w:rPr>
              <w:t xml:space="preserve">Ontario Provincial Police et al. </w:t>
            </w:r>
            <w:r w:rsidRPr="00437F82">
              <w:rPr>
                <w:lang w:val="en-US"/>
              </w:rPr>
              <w:t>(Ont.)</w:t>
            </w:r>
          </w:p>
        </w:tc>
        <w:tc>
          <w:tcPr>
            <w:tcW w:w="1142" w:type="dxa"/>
          </w:tcPr>
          <w:p w:rsidR="000D779D" w:rsidRPr="00437F82" w:rsidRDefault="000D779D" w:rsidP="00C1679E">
            <w:pPr>
              <w:tabs>
                <w:tab w:val="left" w:pos="-1440"/>
                <w:tab w:val="left" w:pos="-720"/>
              </w:tabs>
              <w:jc w:val="both"/>
              <w:rPr>
                <w:lang w:val="en-US"/>
              </w:rPr>
            </w:pPr>
          </w:p>
        </w:tc>
        <w:tc>
          <w:tcPr>
            <w:tcW w:w="4235" w:type="dxa"/>
          </w:tcPr>
          <w:p w:rsidR="000D779D" w:rsidRPr="00437F82" w:rsidRDefault="000D779D" w:rsidP="00C1679E">
            <w:pPr>
              <w:tabs>
                <w:tab w:val="left" w:pos="-1440"/>
                <w:tab w:val="left" w:pos="-720"/>
              </w:tabs>
              <w:jc w:val="both"/>
              <w:rPr>
                <w:lang w:val="en-US"/>
              </w:rPr>
            </w:pPr>
          </w:p>
        </w:tc>
      </w:tr>
    </w:tbl>
    <w:p w:rsidR="000D779D" w:rsidRPr="00437F82" w:rsidRDefault="000D779D" w:rsidP="00183454">
      <w:pPr>
        <w:tabs>
          <w:tab w:val="left" w:pos="-1440"/>
          <w:tab w:val="left" w:pos="-720"/>
        </w:tabs>
        <w:jc w:val="both"/>
        <w:rPr>
          <w:rFonts w:eastAsia="Times New Roman" w:cs="Times New Roman"/>
          <w:sz w:val="20"/>
          <w:szCs w:val="20"/>
          <w:lang w:val="en-US" w:eastAsia="en-CA"/>
        </w:rPr>
      </w:pPr>
    </w:p>
    <w:p w:rsidR="00183454" w:rsidRPr="00437F82" w:rsidRDefault="002911C4" w:rsidP="00183454">
      <w:pPr>
        <w:tabs>
          <w:tab w:val="left" w:pos="-1440"/>
          <w:tab w:val="left" w:pos="-720"/>
        </w:tabs>
        <w:jc w:val="both"/>
        <w:rPr>
          <w:rFonts w:eastAsia="Times New Roman" w:cs="Times New Roman"/>
          <w:b/>
          <w:sz w:val="20"/>
          <w:szCs w:val="20"/>
          <w:lang w:val="fr-CA" w:eastAsia="en-CA"/>
        </w:rPr>
      </w:pPr>
      <w:r w:rsidRPr="00437F82">
        <w:rPr>
          <w:rFonts w:eastAsia="Times New Roman" w:cs="Times New Roman"/>
          <w:b/>
          <w:sz w:val="20"/>
          <w:szCs w:val="20"/>
          <w:lang w:val="fr-CA" w:eastAsia="en-CA"/>
        </w:rPr>
        <w:t>GRANTED IN PART</w:t>
      </w:r>
      <w:r w:rsidR="00183454" w:rsidRPr="00437F82">
        <w:rPr>
          <w:rFonts w:eastAsia="Times New Roman" w:cs="Times New Roman"/>
          <w:b/>
          <w:sz w:val="20"/>
          <w:szCs w:val="20"/>
          <w:lang w:val="fr-CA" w:eastAsia="en-CA"/>
        </w:rPr>
        <w:t xml:space="preserve"> / </w:t>
      </w:r>
      <w:r w:rsidRPr="00437F82">
        <w:rPr>
          <w:rFonts w:eastAsia="Times New Roman" w:cs="Times New Roman"/>
          <w:b/>
          <w:sz w:val="20"/>
          <w:szCs w:val="20"/>
          <w:lang w:val="fr-CA" w:eastAsia="en-CA"/>
        </w:rPr>
        <w:t>ACCORD</w:t>
      </w:r>
      <w:r w:rsidR="00183454" w:rsidRPr="00437F82">
        <w:rPr>
          <w:rFonts w:eastAsia="Times New Roman" w:cs="Times New Roman"/>
          <w:b/>
          <w:sz w:val="20"/>
          <w:szCs w:val="20"/>
          <w:lang w:val="fr-CA" w:eastAsia="en-CA"/>
        </w:rPr>
        <w:t>ÉE</w:t>
      </w:r>
      <w:r w:rsidRPr="00437F82">
        <w:rPr>
          <w:rFonts w:eastAsia="Times New Roman" w:cs="Times New Roman"/>
          <w:b/>
          <w:sz w:val="20"/>
          <w:szCs w:val="20"/>
          <w:lang w:val="fr-CA" w:eastAsia="en-CA"/>
        </w:rPr>
        <w:t xml:space="preserve"> EN PARTIE</w:t>
      </w:r>
    </w:p>
    <w:p w:rsidR="00183454" w:rsidRPr="00437F82" w:rsidRDefault="00183454" w:rsidP="00183454">
      <w:pPr>
        <w:tabs>
          <w:tab w:val="left" w:pos="-1440"/>
          <w:tab w:val="left" w:pos="-720"/>
        </w:tabs>
        <w:jc w:val="both"/>
        <w:rPr>
          <w:rFonts w:eastAsia="Times New Roman" w:cs="Times New Roman"/>
          <w:sz w:val="20"/>
          <w:szCs w:val="20"/>
          <w:lang w:val="fr-CA" w:eastAsia="en-CA"/>
        </w:rPr>
      </w:pPr>
    </w:p>
    <w:p w:rsidR="00237FAD" w:rsidRPr="00437F82" w:rsidRDefault="00237FAD" w:rsidP="00237FAD">
      <w:pPr>
        <w:autoSpaceDE w:val="0"/>
        <w:autoSpaceDN w:val="0"/>
        <w:adjustRightInd w:val="0"/>
        <w:spacing w:line="232" w:lineRule="auto"/>
        <w:jc w:val="both"/>
        <w:rPr>
          <w:rFonts w:eastAsia="Calibri" w:cs="Times New Roman"/>
          <w:sz w:val="20"/>
          <w:szCs w:val="20"/>
          <w:lang w:val="en-US"/>
        </w:rPr>
      </w:pPr>
      <w:r w:rsidRPr="00437F82">
        <w:rPr>
          <w:rFonts w:eastAsia="Times New Roman" w:cs="Times New Roman"/>
          <w:b/>
          <w:sz w:val="20"/>
          <w:szCs w:val="20"/>
          <w:lang w:val="en-US"/>
        </w:rPr>
        <w:t>UPON APPLICATION</w:t>
      </w:r>
      <w:r w:rsidRPr="00437F82">
        <w:rPr>
          <w:rFonts w:eastAsia="Calibri" w:cs="Times New Roman"/>
          <w:sz w:val="20"/>
          <w:szCs w:val="20"/>
        </w:rPr>
        <w:t xml:space="preserve"> </w:t>
      </w:r>
      <w:r w:rsidRPr="00437F82">
        <w:rPr>
          <w:rFonts w:eastAsia="Times New Roman" w:cs="Times New Roman"/>
          <w:sz w:val="20"/>
          <w:szCs w:val="20"/>
          <w:lang w:val="en-US"/>
        </w:rPr>
        <w:t>by the applicants for 1) an order extending the time to serve and file their application for leave to appeal, 2) an order appointing a Special Referee in the application for leave to appeal, and in the appeal, should leave be granted, 3) an order for directions regarding sealed privileged material, and 4) an order permitting the applicants to present certain oral submissions to the Court on an</w:t>
      </w:r>
      <w:r w:rsidRPr="00437F82">
        <w:rPr>
          <w:rFonts w:eastAsia="Times New Roman" w:cs="Times New Roman"/>
          <w:i/>
          <w:sz w:val="20"/>
          <w:szCs w:val="20"/>
          <w:lang w:val="en-US"/>
        </w:rPr>
        <w:t xml:space="preserve"> ex parte </w:t>
      </w:r>
      <w:r w:rsidRPr="00437F82">
        <w:rPr>
          <w:rFonts w:eastAsia="Times New Roman" w:cs="Times New Roman"/>
          <w:sz w:val="20"/>
          <w:szCs w:val="20"/>
          <w:lang w:val="en-US"/>
        </w:rPr>
        <w:t>basis;</w:t>
      </w:r>
    </w:p>
    <w:p w:rsidR="00237FAD" w:rsidRPr="00437F82" w:rsidRDefault="00237FAD" w:rsidP="00237FAD">
      <w:pPr>
        <w:autoSpaceDE w:val="0"/>
        <w:autoSpaceDN w:val="0"/>
        <w:adjustRightInd w:val="0"/>
        <w:jc w:val="both"/>
        <w:rPr>
          <w:rFonts w:eastAsia="Calibri" w:cs="Times New Roman"/>
          <w:sz w:val="20"/>
          <w:szCs w:val="20"/>
          <w:lang w:val="en-US"/>
        </w:rPr>
      </w:pPr>
    </w:p>
    <w:p w:rsidR="00237FAD" w:rsidRPr="00437F82" w:rsidRDefault="00237FAD" w:rsidP="00237FAD">
      <w:pPr>
        <w:autoSpaceDE w:val="0"/>
        <w:autoSpaceDN w:val="0"/>
        <w:adjustRightInd w:val="0"/>
        <w:rPr>
          <w:rFonts w:eastAsia="Times New Roman" w:cs="Times New Roman"/>
          <w:sz w:val="20"/>
          <w:szCs w:val="20"/>
          <w:lang w:val="en-US"/>
        </w:rPr>
      </w:pPr>
      <w:r w:rsidRPr="00437F82">
        <w:rPr>
          <w:rFonts w:eastAsia="Times New Roman" w:cs="Times New Roman"/>
          <w:b/>
          <w:sz w:val="20"/>
          <w:szCs w:val="20"/>
          <w:lang w:val="en-US"/>
        </w:rPr>
        <w:t xml:space="preserve">AND HAVING READ </w:t>
      </w:r>
      <w:r w:rsidRPr="00437F82">
        <w:rPr>
          <w:rFonts w:eastAsia="Times New Roman" w:cs="Times New Roman"/>
          <w:sz w:val="20"/>
          <w:szCs w:val="20"/>
          <w:lang w:val="en-US"/>
        </w:rPr>
        <w:t>the material filed and the consent of all parties;</w:t>
      </w:r>
    </w:p>
    <w:p w:rsidR="00237FAD" w:rsidRPr="00437F82" w:rsidRDefault="00237FAD" w:rsidP="00237FAD">
      <w:pPr>
        <w:autoSpaceDE w:val="0"/>
        <w:autoSpaceDN w:val="0"/>
        <w:adjustRightInd w:val="0"/>
        <w:rPr>
          <w:rFonts w:eastAsia="Calibri" w:cs="Times New Roman"/>
          <w:sz w:val="20"/>
          <w:szCs w:val="20"/>
        </w:rPr>
      </w:pPr>
    </w:p>
    <w:p w:rsidR="00237FAD" w:rsidRPr="00437F82" w:rsidRDefault="00237FAD" w:rsidP="00237FAD">
      <w:pPr>
        <w:autoSpaceDE w:val="0"/>
        <w:autoSpaceDN w:val="0"/>
        <w:adjustRightInd w:val="0"/>
        <w:rPr>
          <w:rFonts w:eastAsia="Times New Roman" w:cs="Times New Roman"/>
          <w:b/>
          <w:sz w:val="20"/>
          <w:szCs w:val="20"/>
          <w:lang w:val="en-US"/>
        </w:rPr>
      </w:pPr>
      <w:r w:rsidRPr="00437F82">
        <w:rPr>
          <w:rFonts w:eastAsia="Times New Roman" w:cs="Times New Roman"/>
          <w:b/>
          <w:sz w:val="20"/>
          <w:szCs w:val="20"/>
          <w:lang w:val="en-US"/>
        </w:rPr>
        <w:t xml:space="preserve">IT IS HEREBY ORDERED THAT: </w:t>
      </w:r>
    </w:p>
    <w:p w:rsidR="00237FAD" w:rsidRPr="00437F82" w:rsidRDefault="00237FAD" w:rsidP="00237FAD">
      <w:pPr>
        <w:autoSpaceDE w:val="0"/>
        <w:autoSpaceDN w:val="0"/>
        <w:adjustRightInd w:val="0"/>
        <w:jc w:val="both"/>
        <w:rPr>
          <w:rFonts w:eastAsia="Calibri" w:cs="Times New Roman"/>
          <w:b/>
          <w:bCs/>
          <w:sz w:val="20"/>
          <w:szCs w:val="20"/>
        </w:rPr>
      </w:pPr>
    </w:p>
    <w:p w:rsidR="00237FAD" w:rsidRPr="00437F82" w:rsidRDefault="00237FAD" w:rsidP="00237FAD">
      <w:pPr>
        <w:autoSpaceDE w:val="0"/>
        <w:autoSpaceDN w:val="0"/>
        <w:adjustRightInd w:val="0"/>
        <w:rPr>
          <w:rFonts w:eastAsia="Times New Roman" w:cs="Times New Roman"/>
          <w:sz w:val="20"/>
          <w:szCs w:val="20"/>
          <w:lang w:val="en-US"/>
        </w:rPr>
      </w:pPr>
      <w:r w:rsidRPr="00437F82">
        <w:rPr>
          <w:rFonts w:eastAsia="Times New Roman" w:cs="Times New Roman"/>
          <w:sz w:val="20"/>
          <w:szCs w:val="20"/>
          <w:lang w:val="en-US"/>
        </w:rPr>
        <w:t xml:space="preserve">The motion is granted in part. </w:t>
      </w:r>
    </w:p>
    <w:p w:rsidR="00237FAD" w:rsidRPr="00437F82" w:rsidRDefault="00237FAD" w:rsidP="00237FAD">
      <w:pPr>
        <w:autoSpaceDE w:val="0"/>
        <w:autoSpaceDN w:val="0"/>
        <w:adjustRightInd w:val="0"/>
        <w:rPr>
          <w:rFonts w:eastAsia="Times New Roman" w:cs="Times New Roman"/>
          <w:sz w:val="20"/>
          <w:szCs w:val="20"/>
          <w:lang w:val="en-US"/>
        </w:rPr>
      </w:pPr>
    </w:p>
    <w:p w:rsidR="00237FAD" w:rsidRPr="00437F82" w:rsidRDefault="00237FAD" w:rsidP="00237FAD">
      <w:pPr>
        <w:numPr>
          <w:ilvl w:val="0"/>
          <w:numId w:val="7"/>
        </w:numPr>
        <w:autoSpaceDE w:val="0"/>
        <w:autoSpaceDN w:val="0"/>
        <w:adjustRightInd w:val="0"/>
        <w:contextualSpacing/>
        <w:rPr>
          <w:rFonts w:eastAsia="Times New Roman" w:cs="Times New Roman"/>
          <w:color w:val="000000"/>
          <w:sz w:val="20"/>
          <w:szCs w:val="20"/>
          <w:lang w:val="en-US" w:eastAsia="en-CA"/>
        </w:rPr>
      </w:pPr>
      <w:r w:rsidRPr="00437F82">
        <w:rPr>
          <w:rFonts w:eastAsia="Times New Roman" w:cs="Times New Roman"/>
          <w:color w:val="000000"/>
          <w:sz w:val="20"/>
          <w:szCs w:val="20"/>
          <w:lang w:val="en-US" w:eastAsia="en-CA"/>
        </w:rPr>
        <w:t>Ms. Erin Dann shall be appointed as a Special Referee in this matter for the purposes of the application for leave to appeal, unless otherwise ordered.</w:t>
      </w:r>
      <w:r w:rsidRPr="00437F82">
        <w:rPr>
          <w:rFonts w:eastAsia="Times New Roman" w:cs="Times New Roman"/>
          <w:color w:val="000000"/>
          <w:sz w:val="20"/>
          <w:szCs w:val="20"/>
          <w:lang w:eastAsia="en-CA"/>
        </w:rPr>
        <w:t xml:space="preserve"> </w:t>
      </w:r>
      <w:r w:rsidRPr="00437F82">
        <w:rPr>
          <w:rFonts w:eastAsia="Times New Roman" w:cs="Times New Roman"/>
          <w:color w:val="000000"/>
          <w:sz w:val="20"/>
          <w:szCs w:val="20"/>
          <w:lang w:val="en-US" w:eastAsia="en-CA"/>
        </w:rPr>
        <w:t>The Special Referee will be listed as an active party under the heading “Other” in the Court’s case management system;</w:t>
      </w:r>
    </w:p>
    <w:p w:rsidR="00237FAD" w:rsidRPr="00437F82" w:rsidRDefault="00237FAD" w:rsidP="00237FAD">
      <w:pPr>
        <w:autoSpaceDE w:val="0"/>
        <w:autoSpaceDN w:val="0"/>
        <w:adjustRightInd w:val="0"/>
        <w:ind w:left="720"/>
        <w:contextualSpacing/>
        <w:rPr>
          <w:rFonts w:eastAsia="Times New Roman" w:cs="Times New Roman"/>
          <w:color w:val="000000"/>
          <w:sz w:val="20"/>
          <w:szCs w:val="20"/>
          <w:lang w:val="en-US" w:eastAsia="en-CA"/>
        </w:rPr>
      </w:pPr>
    </w:p>
    <w:p w:rsidR="00237FAD" w:rsidRPr="00437F82" w:rsidRDefault="00237FAD" w:rsidP="00237FAD">
      <w:pPr>
        <w:numPr>
          <w:ilvl w:val="0"/>
          <w:numId w:val="7"/>
        </w:numPr>
        <w:autoSpaceDE w:val="0"/>
        <w:autoSpaceDN w:val="0"/>
        <w:adjustRightInd w:val="0"/>
        <w:contextualSpacing/>
        <w:rPr>
          <w:rFonts w:eastAsia="Times New Roman" w:cs="Times New Roman"/>
          <w:sz w:val="20"/>
          <w:szCs w:val="20"/>
          <w:lang w:val="en-US"/>
        </w:rPr>
      </w:pPr>
      <w:r w:rsidRPr="00437F82">
        <w:rPr>
          <w:rFonts w:eastAsia="Times New Roman" w:cs="Times New Roman"/>
          <w:sz w:val="20"/>
          <w:szCs w:val="20"/>
          <w:lang w:val="en-US"/>
        </w:rPr>
        <w:t xml:space="preserve">The applicants shall file one (1) original printed copy, five (5) printed copies and one (1) electronic version of the full sealed </w:t>
      </w:r>
      <w:proofErr w:type="spellStart"/>
      <w:r w:rsidRPr="00437F82">
        <w:rPr>
          <w:rFonts w:eastAsia="Times New Roman" w:cs="Times New Roman"/>
          <w:sz w:val="20"/>
          <w:szCs w:val="20"/>
          <w:lang w:val="en-US"/>
        </w:rPr>
        <w:t>unredacted</w:t>
      </w:r>
      <w:proofErr w:type="spellEnd"/>
      <w:r w:rsidRPr="00437F82">
        <w:rPr>
          <w:rFonts w:eastAsia="Times New Roman" w:cs="Times New Roman"/>
          <w:sz w:val="20"/>
          <w:szCs w:val="20"/>
          <w:lang w:val="en-US"/>
        </w:rPr>
        <w:t xml:space="preserve"> application for leave to appeal within thirty (30) days from the date of this order;</w:t>
      </w:r>
    </w:p>
    <w:p w:rsidR="00237FAD" w:rsidRPr="00437F82" w:rsidRDefault="00237FAD" w:rsidP="00237FAD">
      <w:pPr>
        <w:autoSpaceDE w:val="0"/>
        <w:autoSpaceDN w:val="0"/>
        <w:adjustRightInd w:val="0"/>
        <w:ind w:left="720"/>
        <w:contextualSpacing/>
        <w:rPr>
          <w:rFonts w:eastAsia="Calibri" w:cs="Times New Roman"/>
          <w:sz w:val="20"/>
          <w:szCs w:val="20"/>
          <w:lang w:val="en-US"/>
        </w:rPr>
      </w:pPr>
    </w:p>
    <w:p w:rsidR="00237FAD" w:rsidRPr="00437F82" w:rsidRDefault="00237FAD" w:rsidP="00237FAD">
      <w:pPr>
        <w:numPr>
          <w:ilvl w:val="0"/>
          <w:numId w:val="7"/>
        </w:numPr>
        <w:autoSpaceDE w:val="0"/>
        <w:autoSpaceDN w:val="0"/>
        <w:adjustRightInd w:val="0"/>
        <w:contextualSpacing/>
        <w:rPr>
          <w:rFonts w:eastAsia="Times New Roman" w:cs="Times New Roman"/>
          <w:sz w:val="20"/>
          <w:szCs w:val="20"/>
          <w:lang w:val="en-US"/>
        </w:rPr>
      </w:pPr>
      <w:r w:rsidRPr="00437F82">
        <w:rPr>
          <w:rFonts w:eastAsia="Times New Roman" w:cs="Times New Roman"/>
          <w:sz w:val="20"/>
          <w:szCs w:val="20"/>
          <w:lang w:val="en-US"/>
        </w:rPr>
        <w:t xml:space="preserve">The parties shall file two (2) redacted printed versions and one (1) redacted electronic version of the application for leave to appeal, response or reply, as the case may be, within two weeks of the filing of the </w:t>
      </w:r>
      <w:proofErr w:type="spellStart"/>
      <w:r w:rsidRPr="00437F82">
        <w:rPr>
          <w:rFonts w:eastAsia="Times New Roman" w:cs="Times New Roman"/>
          <w:sz w:val="20"/>
          <w:szCs w:val="20"/>
          <w:lang w:val="en-US"/>
        </w:rPr>
        <w:t>unredacted</w:t>
      </w:r>
      <w:proofErr w:type="spellEnd"/>
      <w:r w:rsidRPr="00437F82">
        <w:rPr>
          <w:rFonts w:eastAsia="Times New Roman" w:cs="Times New Roman"/>
          <w:sz w:val="20"/>
          <w:szCs w:val="20"/>
          <w:lang w:val="en-US"/>
        </w:rPr>
        <w:t xml:space="preserve"> version, if any. </w:t>
      </w:r>
    </w:p>
    <w:p w:rsidR="00237FAD" w:rsidRPr="00437F82" w:rsidRDefault="00237FAD" w:rsidP="00237FAD">
      <w:pPr>
        <w:autoSpaceDE w:val="0"/>
        <w:autoSpaceDN w:val="0"/>
        <w:adjustRightInd w:val="0"/>
        <w:ind w:left="720"/>
        <w:contextualSpacing/>
        <w:rPr>
          <w:rFonts w:eastAsia="Calibri" w:cs="Times New Roman"/>
          <w:sz w:val="20"/>
          <w:szCs w:val="20"/>
          <w:lang w:val="en-US"/>
        </w:rPr>
      </w:pPr>
    </w:p>
    <w:p w:rsidR="00237FAD" w:rsidRPr="00437F82" w:rsidRDefault="00237FAD" w:rsidP="00237FAD">
      <w:pPr>
        <w:numPr>
          <w:ilvl w:val="0"/>
          <w:numId w:val="7"/>
        </w:numPr>
        <w:autoSpaceDE w:val="0"/>
        <w:autoSpaceDN w:val="0"/>
        <w:adjustRightInd w:val="0"/>
        <w:contextualSpacing/>
        <w:rPr>
          <w:rFonts w:eastAsia="Times New Roman" w:cs="Times New Roman"/>
          <w:color w:val="000000"/>
          <w:sz w:val="20"/>
          <w:szCs w:val="20"/>
          <w:lang w:val="en-US" w:eastAsia="en-CA"/>
        </w:rPr>
      </w:pPr>
      <w:r w:rsidRPr="00437F82">
        <w:rPr>
          <w:rFonts w:eastAsia="Times New Roman" w:cs="Times New Roman"/>
          <w:color w:val="000000"/>
          <w:sz w:val="20"/>
          <w:szCs w:val="20"/>
          <w:lang w:val="en-US" w:eastAsia="en-CA"/>
        </w:rPr>
        <w:t>The applicants shall serve a redacted version of the application for leave to appeal on the respondents within thirty (30) days from the date of this order;</w:t>
      </w:r>
    </w:p>
    <w:p w:rsidR="00237FAD" w:rsidRPr="00437F82" w:rsidRDefault="00237FAD" w:rsidP="00237FAD">
      <w:pPr>
        <w:autoSpaceDE w:val="0"/>
        <w:autoSpaceDN w:val="0"/>
        <w:adjustRightInd w:val="0"/>
        <w:ind w:left="720"/>
        <w:contextualSpacing/>
        <w:rPr>
          <w:rFonts w:eastAsia="Calibri" w:cs="Times New Roman"/>
          <w:sz w:val="20"/>
          <w:szCs w:val="20"/>
          <w:lang w:val="en-US"/>
        </w:rPr>
      </w:pPr>
    </w:p>
    <w:p w:rsidR="00237FAD" w:rsidRPr="00437F82" w:rsidRDefault="00237FAD" w:rsidP="00237FAD">
      <w:pPr>
        <w:numPr>
          <w:ilvl w:val="0"/>
          <w:numId w:val="7"/>
        </w:numPr>
        <w:autoSpaceDE w:val="0"/>
        <w:autoSpaceDN w:val="0"/>
        <w:adjustRightInd w:val="0"/>
        <w:contextualSpacing/>
        <w:rPr>
          <w:rFonts w:eastAsia="Times New Roman" w:cs="Times New Roman"/>
          <w:color w:val="000000"/>
          <w:sz w:val="20"/>
          <w:szCs w:val="20"/>
          <w:lang w:val="en-US" w:eastAsia="en-CA"/>
        </w:rPr>
      </w:pPr>
      <w:r w:rsidRPr="00437F82">
        <w:rPr>
          <w:rFonts w:eastAsia="Times New Roman" w:cs="Times New Roman"/>
          <w:color w:val="000000"/>
          <w:sz w:val="20"/>
          <w:szCs w:val="20"/>
          <w:lang w:val="en-US" w:eastAsia="en-CA"/>
        </w:rPr>
        <w:t xml:space="preserve">The applicants shall serve an </w:t>
      </w:r>
      <w:proofErr w:type="spellStart"/>
      <w:r w:rsidRPr="00437F82">
        <w:rPr>
          <w:rFonts w:eastAsia="Times New Roman" w:cs="Times New Roman"/>
          <w:color w:val="000000"/>
          <w:sz w:val="20"/>
          <w:szCs w:val="20"/>
          <w:lang w:val="en-US" w:eastAsia="en-CA"/>
        </w:rPr>
        <w:t>unredacted</w:t>
      </w:r>
      <w:proofErr w:type="spellEnd"/>
      <w:r w:rsidRPr="00437F82">
        <w:rPr>
          <w:rFonts w:eastAsia="Times New Roman" w:cs="Times New Roman"/>
          <w:color w:val="000000"/>
          <w:sz w:val="20"/>
          <w:szCs w:val="20"/>
          <w:lang w:val="en-US" w:eastAsia="en-CA"/>
        </w:rPr>
        <w:t xml:space="preserve"> version of the application for leave to appeal on the Special Referee within thirty (30) days from the date of this order;  </w:t>
      </w:r>
    </w:p>
    <w:p w:rsidR="00237FAD" w:rsidRPr="00437F82" w:rsidRDefault="00237FAD" w:rsidP="00237FAD">
      <w:pPr>
        <w:autoSpaceDE w:val="0"/>
        <w:autoSpaceDN w:val="0"/>
        <w:adjustRightInd w:val="0"/>
        <w:ind w:left="720"/>
        <w:contextualSpacing/>
        <w:rPr>
          <w:rFonts w:eastAsia="Calibri" w:cs="Times New Roman"/>
          <w:sz w:val="20"/>
          <w:szCs w:val="20"/>
          <w:lang w:val="en-US"/>
        </w:rPr>
      </w:pPr>
    </w:p>
    <w:p w:rsidR="00237FAD" w:rsidRPr="00437F82" w:rsidRDefault="00237FAD" w:rsidP="00237FAD">
      <w:pPr>
        <w:numPr>
          <w:ilvl w:val="0"/>
          <w:numId w:val="7"/>
        </w:numPr>
        <w:autoSpaceDE w:val="0"/>
        <w:autoSpaceDN w:val="0"/>
        <w:adjustRightInd w:val="0"/>
        <w:contextualSpacing/>
        <w:rPr>
          <w:rFonts w:eastAsia="Times New Roman" w:cs="Times New Roman"/>
          <w:color w:val="000000"/>
          <w:sz w:val="20"/>
          <w:szCs w:val="20"/>
          <w:lang w:val="en-US" w:eastAsia="en-CA"/>
        </w:rPr>
      </w:pPr>
      <w:r w:rsidRPr="00437F82">
        <w:rPr>
          <w:rFonts w:eastAsia="Times New Roman" w:cs="Times New Roman"/>
          <w:color w:val="000000"/>
          <w:sz w:val="20"/>
          <w:szCs w:val="20"/>
          <w:lang w:val="en-US" w:eastAsia="en-CA"/>
        </w:rPr>
        <w:t>The respondents shall serve and file their response to the redacted application for leave to appeal within thirty (30) days from the date of service of the said application;</w:t>
      </w:r>
    </w:p>
    <w:p w:rsidR="00237FAD" w:rsidRPr="00437F82" w:rsidRDefault="00237FAD" w:rsidP="00237FAD">
      <w:pPr>
        <w:autoSpaceDE w:val="0"/>
        <w:autoSpaceDN w:val="0"/>
        <w:adjustRightInd w:val="0"/>
        <w:ind w:left="720"/>
        <w:contextualSpacing/>
        <w:rPr>
          <w:rFonts w:eastAsia="Calibri" w:cs="Times New Roman"/>
          <w:sz w:val="20"/>
          <w:szCs w:val="20"/>
        </w:rPr>
      </w:pPr>
    </w:p>
    <w:p w:rsidR="00237FAD" w:rsidRPr="00437F82" w:rsidRDefault="00237FAD" w:rsidP="00237FAD">
      <w:pPr>
        <w:numPr>
          <w:ilvl w:val="0"/>
          <w:numId w:val="7"/>
        </w:numPr>
        <w:autoSpaceDE w:val="0"/>
        <w:autoSpaceDN w:val="0"/>
        <w:adjustRightInd w:val="0"/>
        <w:contextualSpacing/>
        <w:rPr>
          <w:rFonts w:eastAsia="Times New Roman" w:cs="Times New Roman"/>
          <w:color w:val="000000"/>
          <w:sz w:val="20"/>
          <w:szCs w:val="20"/>
          <w:lang w:val="en-US" w:eastAsia="en-CA"/>
        </w:rPr>
      </w:pPr>
      <w:r w:rsidRPr="00437F82">
        <w:rPr>
          <w:rFonts w:eastAsia="Times New Roman" w:cs="Times New Roman"/>
          <w:color w:val="000000"/>
          <w:sz w:val="20"/>
          <w:szCs w:val="20"/>
          <w:lang w:eastAsia="en-CA"/>
        </w:rPr>
        <w:t xml:space="preserve">The Special Referee is permitted to serve and file one (1) printed original, five (5) printed copies and one (1) electronic version of a sealed </w:t>
      </w:r>
      <w:proofErr w:type="spellStart"/>
      <w:r w:rsidRPr="00437F82">
        <w:rPr>
          <w:rFonts w:eastAsia="Times New Roman" w:cs="Times New Roman"/>
          <w:color w:val="000000"/>
          <w:sz w:val="20"/>
          <w:szCs w:val="20"/>
          <w:lang w:eastAsia="en-CA"/>
        </w:rPr>
        <w:t>unredacted</w:t>
      </w:r>
      <w:proofErr w:type="spellEnd"/>
      <w:r w:rsidRPr="00437F82">
        <w:rPr>
          <w:rFonts w:eastAsia="Times New Roman" w:cs="Times New Roman"/>
          <w:color w:val="000000"/>
          <w:sz w:val="20"/>
          <w:szCs w:val="20"/>
          <w:lang w:eastAsia="en-CA"/>
        </w:rPr>
        <w:t xml:space="preserve"> memorandum of argument not exceeding twenty (20) pages and a book of authorities, if any, within thirty (30) days from the date of service of the </w:t>
      </w:r>
      <w:proofErr w:type="spellStart"/>
      <w:r w:rsidRPr="00437F82">
        <w:rPr>
          <w:rFonts w:eastAsia="Times New Roman" w:cs="Times New Roman"/>
          <w:color w:val="000000"/>
          <w:sz w:val="20"/>
          <w:szCs w:val="20"/>
          <w:lang w:eastAsia="en-CA"/>
        </w:rPr>
        <w:t>unredacted</w:t>
      </w:r>
      <w:proofErr w:type="spellEnd"/>
      <w:r w:rsidRPr="00437F82">
        <w:rPr>
          <w:rFonts w:eastAsia="Times New Roman" w:cs="Times New Roman"/>
          <w:color w:val="000000"/>
          <w:sz w:val="20"/>
          <w:szCs w:val="20"/>
          <w:lang w:eastAsia="en-CA"/>
        </w:rPr>
        <w:t xml:space="preserve"> application for leave to appeal;</w:t>
      </w:r>
    </w:p>
    <w:p w:rsidR="00237FAD" w:rsidRPr="00437F82" w:rsidRDefault="00237FAD" w:rsidP="00237FAD">
      <w:pPr>
        <w:autoSpaceDE w:val="0"/>
        <w:autoSpaceDN w:val="0"/>
        <w:adjustRightInd w:val="0"/>
        <w:ind w:left="720"/>
        <w:contextualSpacing/>
        <w:rPr>
          <w:rFonts w:eastAsia="Calibri" w:cs="Times New Roman"/>
          <w:sz w:val="20"/>
          <w:szCs w:val="20"/>
          <w:lang w:val="en-US"/>
        </w:rPr>
      </w:pPr>
    </w:p>
    <w:p w:rsidR="00237FAD" w:rsidRPr="00437F82" w:rsidRDefault="00237FAD" w:rsidP="00237FAD">
      <w:pPr>
        <w:numPr>
          <w:ilvl w:val="0"/>
          <w:numId w:val="7"/>
        </w:numPr>
        <w:autoSpaceDE w:val="0"/>
        <w:autoSpaceDN w:val="0"/>
        <w:adjustRightInd w:val="0"/>
        <w:contextualSpacing/>
        <w:rPr>
          <w:rFonts w:eastAsia="Times New Roman" w:cs="Times New Roman"/>
          <w:color w:val="000000"/>
          <w:sz w:val="20"/>
          <w:szCs w:val="20"/>
          <w:lang w:val="en-US" w:eastAsia="en-CA"/>
        </w:rPr>
      </w:pPr>
      <w:r w:rsidRPr="00437F82">
        <w:rPr>
          <w:rFonts w:eastAsia="Times New Roman" w:cs="Times New Roman"/>
          <w:color w:val="000000"/>
          <w:sz w:val="20"/>
          <w:szCs w:val="20"/>
          <w:lang w:val="en-US" w:eastAsia="en-CA"/>
        </w:rPr>
        <w:t>The applicants shall file a reply, if any, to the respondents’ response, within ten (10) days from the date of service of the said response;</w:t>
      </w:r>
    </w:p>
    <w:p w:rsidR="00237FAD" w:rsidRPr="00437F82" w:rsidRDefault="00237FAD" w:rsidP="00237FAD">
      <w:pPr>
        <w:autoSpaceDE w:val="0"/>
        <w:autoSpaceDN w:val="0"/>
        <w:adjustRightInd w:val="0"/>
        <w:ind w:left="720"/>
        <w:contextualSpacing/>
        <w:rPr>
          <w:rFonts w:eastAsia="Calibri" w:cs="Times New Roman"/>
          <w:sz w:val="20"/>
          <w:szCs w:val="20"/>
          <w:lang w:val="en-US"/>
        </w:rPr>
      </w:pPr>
    </w:p>
    <w:p w:rsidR="00237FAD" w:rsidRPr="00437F82" w:rsidRDefault="00237FAD" w:rsidP="00237FAD">
      <w:pPr>
        <w:numPr>
          <w:ilvl w:val="0"/>
          <w:numId w:val="7"/>
        </w:numPr>
        <w:autoSpaceDE w:val="0"/>
        <w:autoSpaceDN w:val="0"/>
        <w:adjustRightInd w:val="0"/>
        <w:contextualSpacing/>
        <w:rPr>
          <w:rFonts w:eastAsia="Times New Roman" w:cs="Times New Roman"/>
          <w:color w:val="000000"/>
          <w:sz w:val="20"/>
          <w:szCs w:val="20"/>
          <w:lang w:val="en-US" w:eastAsia="en-CA"/>
        </w:rPr>
      </w:pPr>
      <w:r w:rsidRPr="00437F82">
        <w:rPr>
          <w:rFonts w:eastAsia="Times New Roman" w:cs="Times New Roman"/>
          <w:color w:val="000000"/>
          <w:sz w:val="20"/>
          <w:szCs w:val="20"/>
          <w:lang w:val="en-US" w:eastAsia="en-CA"/>
        </w:rPr>
        <w:t xml:space="preserve">The applicants shall file a sealed </w:t>
      </w:r>
      <w:proofErr w:type="spellStart"/>
      <w:r w:rsidRPr="00437F82">
        <w:rPr>
          <w:rFonts w:eastAsia="Times New Roman" w:cs="Times New Roman"/>
          <w:color w:val="000000"/>
          <w:sz w:val="20"/>
          <w:szCs w:val="20"/>
          <w:lang w:val="en-US" w:eastAsia="en-CA"/>
        </w:rPr>
        <w:t>unredacted</w:t>
      </w:r>
      <w:proofErr w:type="spellEnd"/>
      <w:r w:rsidRPr="00437F82">
        <w:rPr>
          <w:rFonts w:eastAsia="Times New Roman" w:cs="Times New Roman"/>
          <w:color w:val="000000"/>
          <w:sz w:val="20"/>
          <w:szCs w:val="20"/>
          <w:lang w:val="en-US" w:eastAsia="en-CA"/>
        </w:rPr>
        <w:t xml:space="preserve"> reply, if any, within ten (10) days from the date of service of the sealed un-redacted memorandum of argument filed by the Special Referee;</w:t>
      </w:r>
    </w:p>
    <w:p w:rsidR="00237FAD" w:rsidRPr="00437F82" w:rsidRDefault="00237FAD" w:rsidP="00237FAD">
      <w:pPr>
        <w:autoSpaceDE w:val="0"/>
        <w:autoSpaceDN w:val="0"/>
        <w:adjustRightInd w:val="0"/>
        <w:ind w:left="720"/>
        <w:contextualSpacing/>
        <w:rPr>
          <w:rFonts w:eastAsia="Times New Roman" w:cs="Times New Roman"/>
          <w:sz w:val="20"/>
          <w:szCs w:val="20"/>
          <w:lang w:val="en-US"/>
        </w:rPr>
      </w:pPr>
    </w:p>
    <w:p w:rsidR="00237FAD" w:rsidRPr="00437F82" w:rsidRDefault="00237FAD" w:rsidP="00237FAD">
      <w:pPr>
        <w:numPr>
          <w:ilvl w:val="0"/>
          <w:numId w:val="7"/>
        </w:numPr>
        <w:autoSpaceDE w:val="0"/>
        <w:autoSpaceDN w:val="0"/>
        <w:adjustRightInd w:val="0"/>
        <w:contextualSpacing/>
        <w:rPr>
          <w:rFonts w:eastAsia="Times New Roman" w:cs="Times New Roman"/>
          <w:sz w:val="20"/>
          <w:szCs w:val="20"/>
          <w:lang w:val="en-US"/>
        </w:rPr>
      </w:pPr>
      <w:r w:rsidRPr="00437F82">
        <w:rPr>
          <w:rFonts w:eastAsia="Calibri" w:cs="Times New Roman"/>
          <w:sz w:val="20"/>
          <w:szCs w:val="20"/>
          <w:lang w:val="en-US"/>
        </w:rPr>
        <w:t xml:space="preserve">The sealed </w:t>
      </w:r>
      <w:proofErr w:type="spellStart"/>
      <w:r w:rsidRPr="00437F82">
        <w:rPr>
          <w:rFonts w:eastAsia="Calibri" w:cs="Times New Roman"/>
          <w:sz w:val="20"/>
          <w:szCs w:val="20"/>
          <w:lang w:val="en-US"/>
        </w:rPr>
        <w:t>unredacted</w:t>
      </w:r>
      <w:proofErr w:type="spellEnd"/>
      <w:r w:rsidRPr="00437F82">
        <w:rPr>
          <w:rFonts w:eastAsia="Calibri" w:cs="Times New Roman"/>
          <w:sz w:val="20"/>
          <w:szCs w:val="20"/>
          <w:lang w:val="en-US"/>
        </w:rPr>
        <w:t xml:space="preserve"> documents shall only be made available to counsel for the applicants and their agent, the Special Referee and her agent, if any, members of this Court, Court staff </w:t>
      </w:r>
      <w:r w:rsidRPr="00437F82">
        <w:rPr>
          <w:rFonts w:eastAsia="Times New Roman" w:cs="Times New Roman"/>
          <w:sz w:val="20"/>
          <w:szCs w:val="20"/>
          <w:lang w:val="en-US"/>
        </w:rPr>
        <w:t>and other persons as the parties may, in writing, agree or as this Court may further order;</w:t>
      </w:r>
    </w:p>
    <w:p w:rsidR="00237FAD" w:rsidRPr="00437F82" w:rsidRDefault="00237FAD" w:rsidP="00237FAD">
      <w:pPr>
        <w:autoSpaceDE w:val="0"/>
        <w:autoSpaceDN w:val="0"/>
        <w:adjustRightInd w:val="0"/>
        <w:ind w:left="720"/>
        <w:contextualSpacing/>
        <w:rPr>
          <w:rFonts w:eastAsia="Calibri" w:cs="Times New Roman"/>
          <w:sz w:val="20"/>
          <w:szCs w:val="20"/>
          <w:lang w:val="en-US"/>
        </w:rPr>
      </w:pPr>
    </w:p>
    <w:p w:rsidR="00237FAD" w:rsidRPr="00437F82" w:rsidRDefault="00237FAD" w:rsidP="00237FAD">
      <w:pPr>
        <w:numPr>
          <w:ilvl w:val="0"/>
          <w:numId w:val="7"/>
        </w:numPr>
        <w:autoSpaceDE w:val="0"/>
        <w:autoSpaceDN w:val="0"/>
        <w:adjustRightInd w:val="0"/>
        <w:contextualSpacing/>
        <w:rPr>
          <w:rFonts w:eastAsia="Times New Roman" w:cs="Times New Roman"/>
          <w:color w:val="000000"/>
          <w:sz w:val="20"/>
          <w:szCs w:val="20"/>
          <w:lang w:val="en-US" w:eastAsia="en-CA"/>
        </w:rPr>
      </w:pPr>
      <w:r w:rsidRPr="00437F82">
        <w:rPr>
          <w:rFonts w:eastAsia="Times New Roman" w:cs="Times New Roman"/>
          <w:color w:val="000000"/>
          <w:sz w:val="20"/>
          <w:szCs w:val="20"/>
          <w:lang w:val="en-US" w:eastAsia="en-CA"/>
        </w:rPr>
        <w:t xml:space="preserve">The request for direction with regards to the filing of </w:t>
      </w:r>
      <w:proofErr w:type="spellStart"/>
      <w:r w:rsidRPr="00437F82">
        <w:rPr>
          <w:rFonts w:eastAsia="Times New Roman" w:cs="Times New Roman"/>
          <w:color w:val="000000"/>
          <w:sz w:val="20"/>
          <w:szCs w:val="20"/>
          <w:lang w:val="en-US" w:eastAsia="en-CA"/>
        </w:rPr>
        <w:t>unredacted</w:t>
      </w:r>
      <w:proofErr w:type="spellEnd"/>
      <w:r w:rsidRPr="00437F82">
        <w:rPr>
          <w:rFonts w:eastAsia="Times New Roman" w:cs="Times New Roman"/>
          <w:color w:val="000000"/>
          <w:sz w:val="20"/>
          <w:szCs w:val="20"/>
          <w:lang w:val="en-US" w:eastAsia="en-CA"/>
        </w:rPr>
        <w:t xml:space="preserve"> appeal materials is referred to the panel to whom the application for leave to appeal is submitted;</w:t>
      </w:r>
    </w:p>
    <w:p w:rsidR="00237FAD" w:rsidRPr="00437F82" w:rsidRDefault="00237FAD" w:rsidP="00237FAD">
      <w:pPr>
        <w:autoSpaceDE w:val="0"/>
        <w:autoSpaceDN w:val="0"/>
        <w:adjustRightInd w:val="0"/>
        <w:ind w:left="720"/>
        <w:contextualSpacing/>
        <w:rPr>
          <w:rFonts w:eastAsia="Calibri" w:cs="Times New Roman"/>
          <w:sz w:val="20"/>
          <w:szCs w:val="20"/>
          <w:lang w:val="en-US"/>
        </w:rPr>
      </w:pPr>
    </w:p>
    <w:p w:rsidR="00237FAD" w:rsidRPr="00437F82" w:rsidRDefault="00237FAD" w:rsidP="00237FAD">
      <w:pPr>
        <w:numPr>
          <w:ilvl w:val="0"/>
          <w:numId w:val="7"/>
        </w:numPr>
        <w:autoSpaceDE w:val="0"/>
        <w:autoSpaceDN w:val="0"/>
        <w:adjustRightInd w:val="0"/>
        <w:contextualSpacing/>
        <w:rPr>
          <w:rFonts w:eastAsia="Times New Roman" w:cs="Times New Roman"/>
          <w:color w:val="000000"/>
          <w:sz w:val="20"/>
          <w:szCs w:val="20"/>
          <w:lang w:val="en-US" w:eastAsia="en-CA"/>
        </w:rPr>
      </w:pPr>
      <w:r w:rsidRPr="00437F82">
        <w:rPr>
          <w:rFonts w:eastAsia="Times New Roman" w:cs="Times New Roman"/>
          <w:color w:val="000000"/>
          <w:sz w:val="20"/>
          <w:szCs w:val="20"/>
          <w:lang w:val="en-US" w:eastAsia="en-CA"/>
        </w:rPr>
        <w:t>The request to present certain oral submissions to the Court on appeal, on an</w:t>
      </w:r>
      <w:r w:rsidRPr="00437F82">
        <w:rPr>
          <w:rFonts w:eastAsia="Times New Roman" w:cs="Times New Roman"/>
          <w:i/>
          <w:color w:val="000000"/>
          <w:sz w:val="20"/>
          <w:szCs w:val="20"/>
          <w:lang w:val="en-US" w:eastAsia="en-CA"/>
        </w:rPr>
        <w:t xml:space="preserve"> ex parte</w:t>
      </w:r>
      <w:r w:rsidRPr="00437F82">
        <w:rPr>
          <w:rFonts w:eastAsia="Times New Roman" w:cs="Times New Roman"/>
          <w:color w:val="000000"/>
          <w:sz w:val="20"/>
          <w:szCs w:val="20"/>
          <w:lang w:val="en-US" w:eastAsia="en-CA"/>
        </w:rPr>
        <w:t xml:space="preserve">   basis, in the absence of the Crown, is referred to the panel to whom the application for leave to appeal is submitted; and</w:t>
      </w:r>
    </w:p>
    <w:p w:rsidR="00237FAD" w:rsidRPr="00437F82" w:rsidRDefault="00237FAD" w:rsidP="00237FAD">
      <w:pPr>
        <w:autoSpaceDE w:val="0"/>
        <w:autoSpaceDN w:val="0"/>
        <w:adjustRightInd w:val="0"/>
        <w:ind w:left="720"/>
        <w:contextualSpacing/>
        <w:rPr>
          <w:rFonts w:eastAsia="Calibri" w:cs="Times New Roman"/>
          <w:sz w:val="20"/>
          <w:szCs w:val="20"/>
          <w:lang w:val="en-US"/>
        </w:rPr>
      </w:pPr>
    </w:p>
    <w:p w:rsidR="00237FAD" w:rsidRPr="00437F82" w:rsidRDefault="00237FAD" w:rsidP="00237FAD">
      <w:pPr>
        <w:numPr>
          <w:ilvl w:val="0"/>
          <w:numId w:val="7"/>
        </w:numPr>
        <w:autoSpaceDE w:val="0"/>
        <w:autoSpaceDN w:val="0"/>
        <w:adjustRightInd w:val="0"/>
        <w:contextualSpacing/>
        <w:rPr>
          <w:rFonts w:eastAsia="Times New Roman" w:cs="Times New Roman"/>
          <w:color w:val="000000"/>
          <w:sz w:val="20"/>
          <w:szCs w:val="20"/>
          <w:lang w:val="en-US" w:eastAsia="en-CA"/>
        </w:rPr>
      </w:pPr>
      <w:r w:rsidRPr="00437F82">
        <w:rPr>
          <w:rFonts w:eastAsia="Times New Roman" w:cs="Times New Roman"/>
          <w:color w:val="000000"/>
          <w:sz w:val="20"/>
          <w:szCs w:val="20"/>
          <w:lang w:val="en-US" w:eastAsia="en-CA"/>
        </w:rPr>
        <w:t>This order remains in effect until such time as it is amended or vacated.</w:t>
      </w:r>
    </w:p>
    <w:p w:rsidR="00183454" w:rsidRPr="00437F82" w:rsidRDefault="00183454" w:rsidP="00183454">
      <w:pPr>
        <w:tabs>
          <w:tab w:val="left" w:pos="-1440"/>
          <w:tab w:val="left" w:pos="-720"/>
        </w:tabs>
        <w:jc w:val="both"/>
        <w:rPr>
          <w:rFonts w:eastAsia="Times New Roman" w:cs="Times New Roman"/>
          <w:sz w:val="20"/>
          <w:szCs w:val="20"/>
          <w:lang w:val="en-US" w:eastAsia="en-CA"/>
        </w:rPr>
      </w:pPr>
    </w:p>
    <w:p w:rsidR="00183454" w:rsidRPr="00437F82" w:rsidRDefault="00183454" w:rsidP="00183454">
      <w:pPr>
        <w:tabs>
          <w:tab w:val="left" w:pos="-1440"/>
          <w:tab w:val="left" w:pos="-720"/>
        </w:tabs>
        <w:jc w:val="both"/>
        <w:rPr>
          <w:rFonts w:eastAsia="Times New Roman" w:cs="Times New Roman"/>
          <w:sz w:val="20"/>
          <w:szCs w:val="20"/>
          <w:lang w:val="en-US" w:eastAsia="en-CA"/>
        </w:rPr>
      </w:pPr>
    </w:p>
    <w:p w:rsidR="00183454" w:rsidRPr="00437F82" w:rsidRDefault="00183454" w:rsidP="00183454">
      <w:pPr>
        <w:tabs>
          <w:tab w:val="left" w:pos="-1440"/>
          <w:tab w:val="left" w:pos="-720"/>
        </w:tabs>
        <w:jc w:val="both"/>
        <w:rPr>
          <w:rFonts w:eastAsia="Times New Roman" w:cs="Times New Roman"/>
          <w:sz w:val="20"/>
          <w:szCs w:val="20"/>
          <w:lang w:val="en-US" w:eastAsia="en-CA"/>
        </w:rPr>
      </w:pPr>
    </w:p>
    <w:p w:rsidR="00761C05" w:rsidRPr="00437F82" w:rsidRDefault="00761C05" w:rsidP="00761C05">
      <w:pPr>
        <w:spacing w:line="233" w:lineRule="auto"/>
        <w:jc w:val="both"/>
        <w:rPr>
          <w:rFonts w:eastAsiaTheme="minorEastAsia"/>
          <w:sz w:val="20"/>
          <w:szCs w:val="20"/>
          <w:lang w:val="fr-CA"/>
        </w:rPr>
      </w:pPr>
      <w:r w:rsidRPr="00437F82">
        <w:rPr>
          <w:rFonts w:eastAsiaTheme="minorEastAsia"/>
          <w:b/>
          <w:sz w:val="20"/>
          <w:szCs w:val="20"/>
          <w:lang w:val="fr-CA"/>
        </w:rPr>
        <w:t xml:space="preserve">À LA SUITE DE LA DEMANDE </w:t>
      </w:r>
      <w:r w:rsidRPr="00437F82">
        <w:rPr>
          <w:rFonts w:eastAsiaTheme="minorEastAsia"/>
          <w:sz w:val="20"/>
          <w:szCs w:val="20"/>
          <w:lang w:val="fr-CA"/>
        </w:rPr>
        <w:t>des demandeurs sollicitant 1) la prorogation du délai pour signifier et déposer leur demande d’autorisation d’appel, 2) la nomination d’une [</w:t>
      </w:r>
      <w:r w:rsidRPr="00437F82">
        <w:rPr>
          <w:rFonts w:eastAsiaTheme="minorEastAsia"/>
          <w:smallCaps/>
          <w:sz w:val="20"/>
          <w:szCs w:val="20"/>
          <w:lang w:val="fr-CA"/>
        </w:rPr>
        <w:t>traduction</w:t>
      </w:r>
      <w:r w:rsidRPr="00437F82">
        <w:rPr>
          <w:rFonts w:eastAsiaTheme="minorEastAsia"/>
          <w:sz w:val="20"/>
          <w:szCs w:val="20"/>
          <w:lang w:val="fr-CA"/>
        </w:rPr>
        <w:t xml:space="preserve">] « arbitre spéciale » pour la demande d’autorisation d’appel et, si cette dernière est accueillie, pour l’appel, 3) des directives quant aux documents protégés mis sous scellés et 4) l’autorisation de présenter à la Cour certains éléments de leurs prétentions verbalement et </w:t>
      </w:r>
      <w:r w:rsidRPr="00437F82">
        <w:rPr>
          <w:rFonts w:eastAsiaTheme="minorEastAsia"/>
          <w:i/>
          <w:sz w:val="20"/>
          <w:szCs w:val="20"/>
          <w:lang w:val="fr-CA"/>
        </w:rPr>
        <w:t>ex parte</w:t>
      </w:r>
      <w:r w:rsidRPr="00437F82">
        <w:rPr>
          <w:rFonts w:eastAsiaTheme="minorEastAsia"/>
          <w:sz w:val="20"/>
          <w:szCs w:val="20"/>
          <w:lang w:val="fr-CA"/>
        </w:rPr>
        <w:t>;</w:t>
      </w:r>
    </w:p>
    <w:p w:rsidR="00761C05" w:rsidRPr="00437F82" w:rsidRDefault="00761C05" w:rsidP="00761C05">
      <w:pPr>
        <w:spacing w:line="233" w:lineRule="auto"/>
        <w:jc w:val="both"/>
        <w:rPr>
          <w:rFonts w:eastAsiaTheme="minorEastAsia"/>
          <w:sz w:val="20"/>
          <w:szCs w:val="20"/>
          <w:lang w:val="fr-CA"/>
        </w:rPr>
      </w:pPr>
    </w:p>
    <w:p w:rsidR="00761C05" w:rsidRPr="00437F82" w:rsidRDefault="00761C05" w:rsidP="00761C05">
      <w:pPr>
        <w:rPr>
          <w:rFonts w:eastAsiaTheme="minorEastAsia"/>
          <w:sz w:val="20"/>
          <w:szCs w:val="20"/>
          <w:lang w:val="fr-CA"/>
        </w:rPr>
      </w:pPr>
      <w:r w:rsidRPr="00437F82">
        <w:rPr>
          <w:rFonts w:eastAsiaTheme="minorEastAsia"/>
          <w:b/>
          <w:sz w:val="20"/>
          <w:szCs w:val="20"/>
          <w:lang w:val="fr-CA"/>
        </w:rPr>
        <w:t xml:space="preserve">ET APRÈS EXAMEN </w:t>
      </w:r>
      <w:r w:rsidRPr="00437F82">
        <w:rPr>
          <w:rFonts w:eastAsiaTheme="minorEastAsia"/>
          <w:sz w:val="20"/>
          <w:szCs w:val="20"/>
          <w:lang w:val="fr-CA"/>
        </w:rPr>
        <w:t>des documents déposés et compte tenu du consentement de toutes les parties;</w:t>
      </w:r>
    </w:p>
    <w:p w:rsidR="00761C05" w:rsidRPr="00437F82" w:rsidRDefault="00761C05" w:rsidP="00761C05">
      <w:pPr>
        <w:rPr>
          <w:rFonts w:eastAsiaTheme="minorEastAsia"/>
          <w:sz w:val="20"/>
          <w:szCs w:val="20"/>
          <w:lang w:val="fr-CA"/>
        </w:rPr>
      </w:pPr>
    </w:p>
    <w:p w:rsidR="00761C05" w:rsidRPr="00437F82" w:rsidRDefault="00761C05" w:rsidP="00761C05">
      <w:pPr>
        <w:rPr>
          <w:rFonts w:eastAsiaTheme="minorEastAsia"/>
          <w:b/>
          <w:sz w:val="20"/>
          <w:szCs w:val="20"/>
          <w:lang w:val="fr-CA"/>
        </w:rPr>
      </w:pPr>
      <w:r w:rsidRPr="00437F82">
        <w:rPr>
          <w:rFonts w:eastAsiaTheme="minorEastAsia"/>
          <w:b/>
          <w:sz w:val="20"/>
          <w:szCs w:val="20"/>
          <w:lang w:val="fr-CA"/>
        </w:rPr>
        <w:t xml:space="preserve">IL EST ORDONNÉ CE QUI SUIT : </w:t>
      </w:r>
    </w:p>
    <w:p w:rsidR="00761C05" w:rsidRPr="00437F82" w:rsidRDefault="00761C05" w:rsidP="00761C05">
      <w:pPr>
        <w:rPr>
          <w:rFonts w:eastAsiaTheme="minorEastAsia"/>
          <w:b/>
          <w:sz w:val="20"/>
          <w:szCs w:val="20"/>
          <w:lang w:val="fr-CA"/>
        </w:rPr>
      </w:pPr>
    </w:p>
    <w:p w:rsidR="00761C05" w:rsidRPr="00437F82" w:rsidRDefault="00761C05" w:rsidP="00761C05">
      <w:pPr>
        <w:rPr>
          <w:rFonts w:eastAsiaTheme="minorEastAsia"/>
          <w:b/>
          <w:sz w:val="20"/>
          <w:szCs w:val="20"/>
          <w:lang w:val="fr-CA"/>
        </w:rPr>
      </w:pPr>
      <w:r w:rsidRPr="00437F82">
        <w:rPr>
          <w:rFonts w:eastAsiaTheme="minorEastAsia"/>
          <w:sz w:val="20"/>
          <w:szCs w:val="20"/>
          <w:lang w:val="fr-CA"/>
        </w:rPr>
        <w:t>La requête est accueillie en partie.</w:t>
      </w:r>
      <w:r w:rsidRPr="00437F82">
        <w:rPr>
          <w:rFonts w:eastAsiaTheme="minorEastAsia"/>
          <w:b/>
          <w:sz w:val="20"/>
          <w:szCs w:val="20"/>
          <w:lang w:val="fr-CA"/>
        </w:rPr>
        <w:t xml:space="preserve"> </w:t>
      </w:r>
    </w:p>
    <w:p w:rsidR="00761C05" w:rsidRPr="00437F82" w:rsidRDefault="00761C05" w:rsidP="00761C05">
      <w:pPr>
        <w:jc w:val="both"/>
        <w:rPr>
          <w:b/>
          <w:bCs/>
          <w:sz w:val="20"/>
          <w:szCs w:val="20"/>
          <w:lang w:val="fr-CA"/>
        </w:rPr>
      </w:pPr>
    </w:p>
    <w:p w:rsidR="00761C05" w:rsidRPr="00437F82" w:rsidRDefault="00761C05" w:rsidP="00761C05">
      <w:pPr>
        <w:pStyle w:val="Default"/>
        <w:numPr>
          <w:ilvl w:val="0"/>
          <w:numId w:val="12"/>
        </w:numPr>
        <w:contextualSpacing/>
        <w:rPr>
          <w:sz w:val="20"/>
          <w:szCs w:val="20"/>
          <w:lang w:val="fr-CA"/>
        </w:rPr>
      </w:pPr>
      <w:r w:rsidRPr="00437F82">
        <w:rPr>
          <w:sz w:val="20"/>
          <w:szCs w:val="20"/>
          <w:lang w:val="fr-CA"/>
        </w:rPr>
        <w:t>M</w:t>
      </w:r>
      <w:r w:rsidRPr="00437F82">
        <w:rPr>
          <w:sz w:val="20"/>
          <w:szCs w:val="20"/>
          <w:vertAlign w:val="superscript"/>
          <w:lang w:val="fr-CA"/>
        </w:rPr>
        <w:t>me</w:t>
      </w:r>
      <w:r w:rsidRPr="00437F82">
        <w:rPr>
          <w:sz w:val="20"/>
          <w:szCs w:val="20"/>
          <w:lang w:val="fr-CA"/>
        </w:rPr>
        <w:t xml:space="preserve"> Erin </w:t>
      </w:r>
      <w:proofErr w:type="spellStart"/>
      <w:r w:rsidRPr="00437F82">
        <w:rPr>
          <w:sz w:val="20"/>
          <w:szCs w:val="20"/>
          <w:lang w:val="fr-CA"/>
        </w:rPr>
        <w:t>Dann</w:t>
      </w:r>
      <w:proofErr w:type="spellEnd"/>
      <w:r w:rsidRPr="00437F82">
        <w:rPr>
          <w:sz w:val="20"/>
          <w:szCs w:val="20"/>
          <w:lang w:val="fr-CA"/>
        </w:rPr>
        <w:t xml:space="preserve"> est nommée à titre d’arbitre spéciale dans la présente affaire aux fins de la demande d’autorisation d’appel, à moins qu’il n’en soit ordonné autrement. L’arbitre spéciale  figurera dans le dossier à titre de partie active sous la rubrique « Autre » du système de gestion des dossiers de la Cour;</w:t>
      </w:r>
    </w:p>
    <w:p w:rsidR="00761C05" w:rsidRPr="00437F82" w:rsidRDefault="00761C05" w:rsidP="00761C05">
      <w:pPr>
        <w:pStyle w:val="Default"/>
        <w:ind w:left="720"/>
        <w:contextualSpacing/>
        <w:rPr>
          <w:sz w:val="20"/>
          <w:szCs w:val="20"/>
          <w:lang w:val="fr-CA"/>
        </w:rPr>
      </w:pPr>
    </w:p>
    <w:p w:rsidR="00761C05" w:rsidRPr="00437F82" w:rsidRDefault="00761C05" w:rsidP="00761C05">
      <w:pPr>
        <w:pStyle w:val="ListParagraph"/>
        <w:numPr>
          <w:ilvl w:val="0"/>
          <w:numId w:val="12"/>
        </w:numPr>
        <w:autoSpaceDE w:val="0"/>
        <w:autoSpaceDN w:val="0"/>
        <w:adjustRightInd w:val="0"/>
        <w:rPr>
          <w:rFonts w:eastAsiaTheme="minorEastAsia"/>
          <w:sz w:val="20"/>
          <w:szCs w:val="20"/>
          <w:lang w:val="fr-CA"/>
        </w:rPr>
      </w:pPr>
      <w:r w:rsidRPr="00437F82">
        <w:rPr>
          <w:rFonts w:eastAsiaTheme="minorEastAsia"/>
          <w:sz w:val="20"/>
          <w:szCs w:val="20"/>
          <w:lang w:val="fr-CA"/>
        </w:rPr>
        <w:t>Les demandeurs déposeront un (1) original imprimé, cinq (5) copies imprimées et une (1) version électronique de la demande d’autorisation complète, non caviardés et scellés dans les trente (30) jours de la date de la présente ordonnance;</w:t>
      </w:r>
    </w:p>
    <w:p w:rsidR="00761C05" w:rsidRPr="00437F82" w:rsidRDefault="00761C05" w:rsidP="00761C05">
      <w:pPr>
        <w:pStyle w:val="ListParagraph"/>
        <w:rPr>
          <w:sz w:val="20"/>
          <w:szCs w:val="20"/>
          <w:lang w:val="fr-CA"/>
        </w:rPr>
      </w:pPr>
    </w:p>
    <w:p w:rsidR="00761C05" w:rsidRPr="00437F82" w:rsidRDefault="00761C05" w:rsidP="00761C05">
      <w:pPr>
        <w:pStyle w:val="ListParagraph"/>
        <w:numPr>
          <w:ilvl w:val="0"/>
          <w:numId w:val="12"/>
        </w:numPr>
        <w:autoSpaceDE w:val="0"/>
        <w:autoSpaceDN w:val="0"/>
        <w:adjustRightInd w:val="0"/>
        <w:rPr>
          <w:rFonts w:eastAsiaTheme="minorEastAsia"/>
          <w:sz w:val="20"/>
          <w:szCs w:val="20"/>
          <w:lang w:val="fr-CA"/>
        </w:rPr>
      </w:pPr>
      <w:r w:rsidRPr="00437F82">
        <w:rPr>
          <w:rFonts w:eastAsiaTheme="minorEastAsia"/>
          <w:sz w:val="20"/>
          <w:szCs w:val="20"/>
          <w:lang w:val="fr-CA"/>
        </w:rPr>
        <w:t>Les parties déposeront deux (2) copies imprimées caviardées et une (1) copie électronique caviardée de la demande d’autorisation d’appel, de la réponse ou de la réplique, selon le cas, dans les deux semaines du dépôt de la version non caviardée, le cas échéant;</w:t>
      </w:r>
    </w:p>
    <w:p w:rsidR="00761C05" w:rsidRPr="00437F82" w:rsidRDefault="00761C05" w:rsidP="00761C05">
      <w:pPr>
        <w:pStyle w:val="ListParagraph"/>
        <w:rPr>
          <w:rFonts w:eastAsiaTheme="minorEastAsia"/>
          <w:sz w:val="20"/>
          <w:szCs w:val="20"/>
          <w:lang w:val="fr-CA"/>
        </w:rPr>
      </w:pPr>
    </w:p>
    <w:p w:rsidR="00761C05" w:rsidRPr="00437F82" w:rsidRDefault="00761C05" w:rsidP="00761C05">
      <w:pPr>
        <w:pStyle w:val="Default"/>
        <w:numPr>
          <w:ilvl w:val="0"/>
          <w:numId w:val="12"/>
        </w:numPr>
        <w:contextualSpacing/>
        <w:rPr>
          <w:sz w:val="20"/>
          <w:szCs w:val="20"/>
          <w:lang w:val="fr-CA"/>
        </w:rPr>
      </w:pPr>
      <w:r w:rsidRPr="00437F82">
        <w:rPr>
          <w:sz w:val="20"/>
          <w:szCs w:val="20"/>
          <w:lang w:val="fr-CA"/>
        </w:rPr>
        <w:t>Les demandeurs signifieront une copie caviardée de la demande d’autorisation d’appel aux intimées dans les trente (30) jours de la date de la présente ordonnance;</w:t>
      </w:r>
    </w:p>
    <w:p w:rsidR="00761C05" w:rsidRPr="00437F82" w:rsidRDefault="00761C05" w:rsidP="00761C05">
      <w:pPr>
        <w:pStyle w:val="ListParagraph"/>
        <w:rPr>
          <w:sz w:val="20"/>
          <w:szCs w:val="20"/>
          <w:lang w:val="fr-CA"/>
        </w:rPr>
      </w:pPr>
    </w:p>
    <w:p w:rsidR="00761C05" w:rsidRPr="00437F82" w:rsidRDefault="00761C05" w:rsidP="00761C05">
      <w:pPr>
        <w:pStyle w:val="Default"/>
        <w:numPr>
          <w:ilvl w:val="0"/>
          <w:numId w:val="12"/>
        </w:numPr>
        <w:contextualSpacing/>
        <w:rPr>
          <w:sz w:val="20"/>
          <w:szCs w:val="20"/>
          <w:lang w:val="fr-CA"/>
        </w:rPr>
      </w:pPr>
      <w:r w:rsidRPr="00437F82">
        <w:rPr>
          <w:sz w:val="20"/>
          <w:szCs w:val="20"/>
          <w:lang w:val="fr-CA"/>
        </w:rPr>
        <w:t xml:space="preserve">Les demandeurs signifieront une copie non caviardée de la demande d’autorisation d’appel à l’arbitre spécial  dans les trente (30) jours de la date de la présente ordonnance; </w:t>
      </w:r>
    </w:p>
    <w:p w:rsidR="00761C05" w:rsidRPr="00437F82" w:rsidRDefault="00761C05" w:rsidP="00761C05">
      <w:pPr>
        <w:pStyle w:val="ListParagraph"/>
        <w:rPr>
          <w:sz w:val="20"/>
          <w:szCs w:val="20"/>
          <w:lang w:val="fr-CA"/>
        </w:rPr>
      </w:pPr>
    </w:p>
    <w:p w:rsidR="00761C05" w:rsidRPr="00437F82" w:rsidRDefault="00761C05" w:rsidP="00761C05">
      <w:pPr>
        <w:pStyle w:val="Default"/>
        <w:numPr>
          <w:ilvl w:val="0"/>
          <w:numId w:val="12"/>
        </w:numPr>
        <w:contextualSpacing/>
        <w:rPr>
          <w:sz w:val="20"/>
          <w:szCs w:val="20"/>
          <w:lang w:val="fr-CA"/>
        </w:rPr>
      </w:pPr>
      <w:r w:rsidRPr="00437F82">
        <w:rPr>
          <w:sz w:val="20"/>
          <w:szCs w:val="20"/>
          <w:lang w:val="fr-CA"/>
        </w:rPr>
        <w:t>Les intimées signifieront et déposeront leur réponse à la demande d’autorisation d’appel caviardée dans les trente (30) jours de la date de signification de la demande en question;</w:t>
      </w:r>
    </w:p>
    <w:p w:rsidR="00761C05" w:rsidRPr="00437F82" w:rsidRDefault="00761C05" w:rsidP="00761C05">
      <w:pPr>
        <w:pStyle w:val="ListParagraph"/>
        <w:rPr>
          <w:sz w:val="20"/>
          <w:szCs w:val="20"/>
          <w:lang w:val="fr-CA"/>
        </w:rPr>
      </w:pPr>
    </w:p>
    <w:p w:rsidR="00761C05" w:rsidRPr="00437F82" w:rsidRDefault="00761C05" w:rsidP="00761C05">
      <w:pPr>
        <w:pStyle w:val="Default"/>
        <w:numPr>
          <w:ilvl w:val="0"/>
          <w:numId w:val="12"/>
        </w:numPr>
        <w:contextualSpacing/>
        <w:rPr>
          <w:sz w:val="20"/>
          <w:szCs w:val="20"/>
          <w:lang w:val="fr-CA"/>
        </w:rPr>
      </w:pPr>
      <w:r w:rsidRPr="00437F82">
        <w:rPr>
          <w:sz w:val="20"/>
          <w:szCs w:val="20"/>
          <w:lang w:val="fr-CA"/>
        </w:rPr>
        <w:t xml:space="preserve">L’arbitre spéciale  est autorisée à signifier et à déposer un (1) original imprimé, cinq (5) copies imprimées et une (1) copie électronique du mémoire non caviardé scellé d’au plus vingt (20) pages et d’un recueil de sources, le cas échéant, dans les trente (30) jours de la date de signification de la demande d’autorisation d’appel non caviardée. </w:t>
      </w:r>
    </w:p>
    <w:p w:rsidR="00761C05" w:rsidRPr="00437F82" w:rsidRDefault="00761C05" w:rsidP="00761C05">
      <w:pPr>
        <w:pStyle w:val="ListParagraph"/>
        <w:rPr>
          <w:sz w:val="20"/>
          <w:szCs w:val="20"/>
          <w:lang w:val="fr-CA"/>
        </w:rPr>
      </w:pPr>
    </w:p>
    <w:p w:rsidR="00761C05" w:rsidRPr="00437F82" w:rsidRDefault="00761C05" w:rsidP="00761C05">
      <w:pPr>
        <w:pStyle w:val="Default"/>
        <w:numPr>
          <w:ilvl w:val="0"/>
          <w:numId w:val="12"/>
        </w:numPr>
        <w:contextualSpacing/>
        <w:rPr>
          <w:sz w:val="20"/>
          <w:szCs w:val="20"/>
          <w:lang w:val="fr-CA"/>
        </w:rPr>
      </w:pPr>
      <w:r w:rsidRPr="00437F82">
        <w:rPr>
          <w:sz w:val="20"/>
          <w:szCs w:val="20"/>
          <w:lang w:val="fr-CA"/>
        </w:rPr>
        <w:t xml:space="preserve">Les demandeurs déposeront une réplique, le cas échéant,  à la réponse des intimées dans les dix (10) jours de la date de signification de la réponse en question; </w:t>
      </w:r>
    </w:p>
    <w:p w:rsidR="00761C05" w:rsidRPr="00437F82" w:rsidRDefault="00761C05" w:rsidP="00761C05">
      <w:pPr>
        <w:pStyle w:val="ListParagraph"/>
        <w:rPr>
          <w:sz w:val="20"/>
          <w:szCs w:val="20"/>
          <w:lang w:val="fr-CA"/>
        </w:rPr>
      </w:pPr>
    </w:p>
    <w:p w:rsidR="00761C05" w:rsidRPr="00437F82" w:rsidRDefault="00761C05" w:rsidP="00761C05">
      <w:pPr>
        <w:pStyle w:val="Default"/>
        <w:numPr>
          <w:ilvl w:val="0"/>
          <w:numId w:val="12"/>
        </w:numPr>
        <w:contextualSpacing/>
        <w:rPr>
          <w:sz w:val="20"/>
          <w:szCs w:val="20"/>
          <w:lang w:val="fr-CA"/>
        </w:rPr>
      </w:pPr>
      <w:r w:rsidRPr="00437F82">
        <w:rPr>
          <w:sz w:val="20"/>
          <w:szCs w:val="20"/>
          <w:lang w:val="fr-CA"/>
        </w:rPr>
        <w:t>Les demandeurs déposeront une réplique non caviardée scellée, le cas échéant, dans les dix (10) jours de la date de signification du mémoire non caviardé déposé par l’arbitre spécial;</w:t>
      </w:r>
    </w:p>
    <w:p w:rsidR="00761C05" w:rsidRPr="00437F82" w:rsidRDefault="00761C05" w:rsidP="00761C05">
      <w:pPr>
        <w:pStyle w:val="ListParagraph"/>
        <w:rPr>
          <w:sz w:val="20"/>
          <w:szCs w:val="20"/>
          <w:lang w:val="fr-CA"/>
        </w:rPr>
      </w:pPr>
    </w:p>
    <w:p w:rsidR="00761C05" w:rsidRPr="00437F82" w:rsidRDefault="00761C05" w:rsidP="00761C05">
      <w:pPr>
        <w:pStyle w:val="ListParagraph"/>
        <w:numPr>
          <w:ilvl w:val="0"/>
          <w:numId w:val="12"/>
        </w:numPr>
        <w:autoSpaceDE w:val="0"/>
        <w:autoSpaceDN w:val="0"/>
        <w:adjustRightInd w:val="0"/>
        <w:rPr>
          <w:rFonts w:eastAsia="Times New Roman"/>
          <w:sz w:val="20"/>
          <w:szCs w:val="20"/>
          <w:lang w:val="fr-CA"/>
        </w:rPr>
      </w:pPr>
      <w:r w:rsidRPr="00437F82">
        <w:rPr>
          <w:rFonts w:eastAsia="Times New Roman"/>
          <w:sz w:val="20"/>
          <w:szCs w:val="20"/>
          <w:lang w:val="fr-CA"/>
        </w:rPr>
        <w:t>Les documents non caviardés scellés ne pourront être consultés que par les avocats des demandeurs et leur agent, l</w:t>
      </w:r>
      <w:r w:rsidRPr="00437F82">
        <w:rPr>
          <w:rFonts w:eastAsiaTheme="minorEastAsia"/>
          <w:sz w:val="20"/>
          <w:szCs w:val="20"/>
          <w:lang w:val="fr-CA"/>
        </w:rPr>
        <w:t>’arbitre spécial</w:t>
      </w:r>
      <w:r w:rsidRPr="00437F82">
        <w:rPr>
          <w:rFonts w:eastAsia="Times New Roman"/>
          <w:sz w:val="20"/>
          <w:szCs w:val="20"/>
          <w:lang w:val="fr-CA"/>
        </w:rPr>
        <w:t xml:space="preserve"> et son agent, le cas échéant, les membres de la Cour, son personnel et toute autre personne dont les parties auraient convenu par écrit ou conformément à une ordonnance ultérieure de la Cour; </w:t>
      </w:r>
    </w:p>
    <w:p w:rsidR="00761C05" w:rsidRPr="00437F82" w:rsidRDefault="00761C05" w:rsidP="00761C05">
      <w:pPr>
        <w:pStyle w:val="ListParagraph"/>
        <w:rPr>
          <w:sz w:val="20"/>
          <w:szCs w:val="20"/>
          <w:lang w:val="fr-CA"/>
        </w:rPr>
      </w:pPr>
    </w:p>
    <w:p w:rsidR="00761C05" w:rsidRPr="00437F82" w:rsidRDefault="00761C05" w:rsidP="00761C05">
      <w:pPr>
        <w:pStyle w:val="Default"/>
        <w:numPr>
          <w:ilvl w:val="0"/>
          <w:numId w:val="12"/>
        </w:numPr>
        <w:contextualSpacing/>
        <w:rPr>
          <w:sz w:val="20"/>
          <w:szCs w:val="20"/>
          <w:lang w:val="fr-CA"/>
        </w:rPr>
      </w:pPr>
      <w:r w:rsidRPr="00437F82">
        <w:rPr>
          <w:sz w:val="20"/>
          <w:szCs w:val="20"/>
          <w:lang w:val="fr-CA"/>
        </w:rPr>
        <w:t>La demande de directives quant au dépôt de documents d’appel non caviardés est renvoyée à la formation de juges qui seront saisis de la demande d’autorisation d’appel;</w:t>
      </w:r>
    </w:p>
    <w:p w:rsidR="00761C05" w:rsidRPr="00437F82" w:rsidRDefault="00761C05" w:rsidP="00761C05">
      <w:pPr>
        <w:pStyle w:val="ListParagraph"/>
        <w:rPr>
          <w:sz w:val="20"/>
          <w:szCs w:val="20"/>
          <w:lang w:val="fr-CA"/>
        </w:rPr>
      </w:pPr>
    </w:p>
    <w:p w:rsidR="00761C05" w:rsidRPr="00437F82" w:rsidRDefault="00761C05" w:rsidP="00761C05">
      <w:pPr>
        <w:pStyle w:val="Default"/>
        <w:numPr>
          <w:ilvl w:val="0"/>
          <w:numId w:val="12"/>
        </w:numPr>
        <w:contextualSpacing/>
        <w:rPr>
          <w:sz w:val="20"/>
          <w:szCs w:val="20"/>
          <w:lang w:val="fr-CA"/>
        </w:rPr>
      </w:pPr>
      <w:r w:rsidRPr="00437F82">
        <w:rPr>
          <w:sz w:val="20"/>
          <w:szCs w:val="20"/>
          <w:lang w:val="fr-CA"/>
        </w:rPr>
        <w:t xml:space="preserve">La demande visant la présentation verbalement et </w:t>
      </w:r>
      <w:r w:rsidRPr="00437F82">
        <w:rPr>
          <w:i/>
          <w:sz w:val="20"/>
          <w:szCs w:val="20"/>
          <w:lang w:val="fr-CA"/>
        </w:rPr>
        <w:t>ex parte</w:t>
      </w:r>
      <w:r w:rsidRPr="00437F82">
        <w:rPr>
          <w:sz w:val="20"/>
          <w:szCs w:val="20"/>
          <w:lang w:val="fr-CA"/>
        </w:rPr>
        <w:t xml:space="preserve"> de certains éléments de leurs prétentions à la Cour dans le cadre de l’appel, en l’absence du représentant du ministère public, est renvoyée à la formation de juges qui seront saisis de la demande d’autorisation d’appel;</w:t>
      </w:r>
    </w:p>
    <w:p w:rsidR="00761C05" w:rsidRPr="00437F82" w:rsidRDefault="00761C05" w:rsidP="00761C05">
      <w:pPr>
        <w:pStyle w:val="Default"/>
        <w:ind w:left="720"/>
        <w:contextualSpacing/>
        <w:rPr>
          <w:sz w:val="20"/>
          <w:szCs w:val="20"/>
          <w:lang w:val="fr-CA"/>
        </w:rPr>
      </w:pPr>
    </w:p>
    <w:p w:rsidR="00761C05" w:rsidRPr="00437F82" w:rsidRDefault="00761C05" w:rsidP="00761C05">
      <w:pPr>
        <w:pStyle w:val="Default"/>
        <w:numPr>
          <w:ilvl w:val="0"/>
          <w:numId w:val="12"/>
        </w:numPr>
        <w:contextualSpacing/>
        <w:rPr>
          <w:sz w:val="20"/>
          <w:szCs w:val="20"/>
          <w:lang w:val="fr-CA"/>
        </w:rPr>
      </w:pPr>
      <w:r w:rsidRPr="00437F82">
        <w:rPr>
          <w:sz w:val="20"/>
          <w:szCs w:val="20"/>
          <w:lang w:val="fr-CA"/>
        </w:rPr>
        <w:t>La présente ordonnance restera en vigueur jusqu’à ce qu’elle soit modifiée ou annulée.</w:t>
      </w:r>
    </w:p>
    <w:p w:rsidR="00237FAD" w:rsidRPr="00437F82" w:rsidRDefault="00237FAD" w:rsidP="00183454">
      <w:pPr>
        <w:tabs>
          <w:tab w:val="left" w:pos="-1440"/>
          <w:tab w:val="left" w:pos="-720"/>
        </w:tabs>
        <w:jc w:val="both"/>
        <w:rPr>
          <w:rFonts w:eastAsia="Times New Roman" w:cs="Times New Roman"/>
          <w:sz w:val="20"/>
          <w:szCs w:val="20"/>
          <w:lang w:val="fr-CA" w:eastAsia="en-CA"/>
        </w:rPr>
      </w:pPr>
    </w:p>
    <w:p w:rsidR="00183454" w:rsidRPr="00437F82" w:rsidRDefault="002526AE"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34" style="width:2in;height:1pt" o:hrpct="0" o:hralign="center" o:hrstd="t" o:hrnoshade="t" o:hr="t" fillcolor="black [3213]" stroked="f"/>
        </w:pict>
      </w:r>
    </w:p>
    <w:p w:rsidR="00183454" w:rsidRPr="00437F82" w:rsidRDefault="00183454" w:rsidP="00183454">
      <w:pPr>
        <w:tabs>
          <w:tab w:val="left" w:pos="-1440"/>
          <w:tab w:val="left" w:pos="-720"/>
        </w:tabs>
        <w:jc w:val="both"/>
        <w:rPr>
          <w:rFonts w:eastAsia="Times New Roman" w:cs="Times New Roman"/>
          <w:sz w:val="20"/>
          <w:szCs w:val="20"/>
          <w:lang w:val="en-US" w:eastAsia="en-CA"/>
        </w:rPr>
      </w:pPr>
    </w:p>
    <w:p w:rsidR="00CA2DEA" w:rsidRPr="00437F82" w:rsidRDefault="00CA2DEA" w:rsidP="00CA2DEA">
      <w:pPr>
        <w:widowControl w:val="0"/>
        <w:rPr>
          <w:rFonts w:eastAsia="Times New Roman" w:cs="Times New Roman"/>
          <w:sz w:val="20"/>
          <w:szCs w:val="20"/>
          <w:lang w:val="fr-CA" w:eastAsia="en-CA"/>
        </w:rPr>
      </w:pPr>
    </w:p>
    <w:p w:rsidR="00CA2DEA" w:rsidRPr="00437F82" w:rsidRDefault="00CA2DEA" w:rsidP="0010587F">
      <w:pPr>
        <w:tabs>
          <w:tab w:val="left" w:pos="-1440"/>
          <w:tab w:val="left" w:pos="-720"/>
        </w:tabs>
        <w:jc w:val="both"/>
        <w:rPr>
          <w:sz w:val="20"/>
          <w:szCs w:val="20"/>
          <w:lang w:val="fr-CA"/>
        </w:rPr>
      </w:pPr>
    </w:p>
    <w:p w:rsidR="00890FEB" w:rsidRPr="00437F82" w:rsidRDefault="00890FEB" w:rsidP="00831CA9">
      <w:pPr>
        <w:jc w:val="both"/>
        <w:rPr>
          <w:sz w:val="20"/>
          <w:szCs w:val="20"/>
          <w:lang w:val="fr-CA"/>
        </w:rPr>
      </w:pPr>
    </w:p>
    <w:p w:rsidR="00831CA9" w:rsidRPr="00437F82" w:rsidRDefault="00831CA9" w:rsidP="00831CA9">
      <w:pPr>
        <w:jc w:val="both"/>
        <w:rPr>
          <w:sz w:val="20"/>
          <w:szCs w:val="20"/>
          <w:lang w:val="fr-CA"/>
        </w:rPr>
        <w:sectPr w:rsidR="00831CA9" w:rsidRPr="00437F82" w:rsidSect="00831CA9">
          <w:headerReference w:type="even" r:id="rId18"/>
          <w:headerReference w:type="default" r:id="rId19"/>
          <w:footerReference w:type="even" r:id="rId20"/>
          <w:footerReference w:type="default" r:id="rId21"/>
          <w:headerReference w:type="first" r:id="rId22"/>
          <w:footerReference w:type="first" r:id="rId2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437F82" w:rsidTr="0085476B">
        <w:tc>
          <w:tcPr>
            <w:tcW w:w="4320" w:type="dxa"/>
            <w:shd w:val="clear" w:color="auto" w:fill="auto"/>
            <w:tcMar>
              <w:left w:w="0" w:type="dxa"/>
              <w:right w:w="0" w:type="dxa"/>
            </w:tcMar>
          </w:tcPr>
          <w:p w:rsidR="0022323B" w:rsidRPr="00437F82" w:rsidRDefault="0022323B" w:rsidP="00D36DAF">
            <w:pPr>
              <w:keepNext/>
              <w:keepLines/>
              <w:rPr>
                <w:b/>
                <w:szCs w:val="24"/>
              </w:rPr>
            </w:pPr>
            <w:r w:rsidRPr="00437F82">
              <w:rPr>
                <w:b/>
                <w:szCs w:val="24"/>
              </w:rPr>
              <w:t xml:space="preserve">AGENDA FOR </w:t>
            </w:r>
            <w:r w:rsidR="00D36DAF" w:rsidRPr="00437F82">
              <w:rPr>
                <w:b/>
                <w:szCs w:val="24"/>
              </w:rPr>
              <w:t>MARCH</w:t>
            </w:r>
            <w:r w:rsidR="005F1ED8" w:rsidRPr="00437F82">
              <w:rPr>
                <w:b/>
                <w:szCs w:val="24"/>
              </w:rPr>
              <w:t xml:space="preserve"> 201</w:t>
            </w:r>
            <w:r w:rsidR="00D36DAF" w:rsidRPr="00437F82">
              <w:rPr>
                <w:b/>
                <w:szCs w:val="24"/>
              </w:rPr>
              <w:t>8</w:t>
            </w:r>
          </w:p>
        </w:tc>
        <w:tc>
          <w:tcPr>
            <w:tcW w:w="840" w:type="dxa"/>
            <w:shd w:val="clear" w:color="auto" w:fill="auto"/>
            <w:tcMar>
              <w:left w:w="0" w:type="dxa"/>
              <w:right w:w="0" w:type="dxa"/>
            </w:tcMar>
          </w:tcPr>
          <w:p w:rsidR="0022323B" w:rsidRPr="00437F82" w:rsidRDefault="0022323B" w:rsidP="0022323B">
            <w:pPr>
              <w:keepNext/>
              <w:keepLines/>
              <w:jc w:val="center"/>
              <w:rPr>
                <w:b/>
                <w:szCs w:val="24"/>
              </w:rPr>
            </w:pPr>
          </w:p>
          <w:p w:rsidR="0022323B" w:rsidRPr="00437F82" w:rsidRDefault="0022323B" w:rsidP="0022323B">
            <w:pPr>
              <w:keepNext/>
              <w:keepLines/>
              <w:jc w:val="center"/>
              <w:rPr>
                <w:b/>
                <w:szCs w:val="24"/>
              </w:rPr>
            </w:pPr>
          </w:p>
        </w:tc>
        <w:tc>
          <w:tcPr>
            <w:tcW w:w="4320" w:type="dxa"/>
            <w:shd w:val="clear" w:color="auto" w:fill="auto"/>
            <w:tcMar>
              <w:left w:w="0" w:type="dxa"/>
              <w:right w:w="0" w:type="dxa"/>
            </w:tcMar>
          </w:tcPr>
          <w:p w:rsidR="0022323B" w:rsidRPr="00437F82" w:rsidRDefault="0022323B" w:rsidP="00D36DAF">
            <w:pPr>
              <w:keepNext/>
              <w:keepLines/>
              <w:rPr>
                <w:b/>
                <w:szCs w:val="24"/>
                <w:lang w:val="fr-CA"/>
              </w:rPr>
            </w:pPr>
            <w:r w:rsidRPr="00437F82">
              <w:rPr>
                <w:b/>
                <w:szCs w:val="24"/>
                <w:lang w:val="fr-CA"/>
              </w:rPr>
              <w:t>CALENDRIER D</w:t>
            </w:r>
            <w:r w:rsidR="0056248C" w:rsidRPr="00437F82">
              <w:rPr>
                <w:b/>
                <w:szCs w:val="24"/>
                <w:lang w:val="fr-CA"/>
              </w:rPr>
              <w:t xml:space="preserve">E </w:t>
            </w:r>
            <w:r w:rsidR="00D36DAF" w:rsidRPr="00437F82">
              <w:rPr>
                <w:b/>
                <w:szCs w:val="24"/>
                <w:lang w:val="fr-CA"/>
              </w:rPr>
              <w:t>MARS</w:t>
            </w:r>
            <w:r w:rsidRPr="00437F82">
              <w:rPr>
                <w:b/>
                <w:szCs w:val="24"/>
                <w:lang w:val="fr-CA"/>
              </w:rPr>
              <w:t xml:space="preserve"> </w:t>
            </w:r>
            <w:r w:rsidR="005F1ED8" w:rsidRPr="00437F82">
              <w:rPr>
                <w:b/>
                <w:szCs w:val="24"/>
                <w:lang w:val="fr-CA"/>
              </w:rPr>
              <w:t>201</w:t>
            </w:r>
            <w:r w:rsidR="00D36DAF" w:rsidRPr="00437F82">
              <w:rPr>
                <w:b/>
                <w:szCs w:val="24"/>
                <w:lang w:val="fr-CA"/>
              </w:rPr>
              <w:t>8</w:t>
            </w:r>
          </w:p>
        </w:tc>
      </w:tr>
    </w:tbl>
    <w:p w:rsidR="004B66B4" w:rsidRPr="00437F82" w:rsidRDefault="004B66B4" w:rsidP="004B66B4">
      <w:pPr>
        <w:rPr>
          <w:b/>
          <w:sz w:val="20"/>
          <w:szCs w:val="20"/>
        </w:rPr>
      </w:pPr>
    </w:p>
    <w:p w:rsidR="005F1ED8" w:rsidRPr="00437F82" w:rsidRDefault="005F1ED8" w:rsidP="005F1ED8">
      <w:pPr>
        <w:rPr>
          <w:b/>
          <w:sz w:val="20"/>
          <w:szCs w:val="20"/>
        </w:rPr>
      </w:pPr>
      <w:r w:rsidRPr="00437F82">
        <w:rPr>
          <w:b/>
          <w:sz w:val="20"/>
          <w:szCs w:val="20"/>
        </w:rPr>
        <w:t xml:space="preserve">AGENDA for the weeks of </w:t>
      </w:r>
      <w:r w:rsidR="009C1CD2" w:rsidRPr="00437F82">
        <w:rPr>
          <w:b/>
          <w:sz w:val="20"/>
          <w:szCs w:val="20"/>
        </w:rPr>
        <w:t>March</w:t>
      </w:r>
      <w:r w:rsidRPr="00437F82">
        <w:rPr>
          <w:b/>
          <w:sz w:val="20"/>
          <w:szCs w:val="20"/>
        </w:rPr>
        <w:t xml:space="preserve"> </w:t>
      </w:r>
      <w:r w:rsidR="009C1CD2" w:rsidRPr="00437F82">
        <w:rPr>
          <w:b/>
          <w:sz w:val="20"/>
          <w:szCs w:val="20"/>
        </w:rPr>
        <w:t>12</w:t>
      </w:r>
      <w:r w:rsidRPr="00437F82">
        <w:rPr>
          <w:b/>
          <w:sz w:val="20"/>
          <w:szCs w:val="20"/>
        </w:rPr>
        <w:t xml:space="preserve"> and </w:t>
      </w:r>
      <w:r w:rsidR="009C1CD2" w:rsidRPr="00437F82">
        <w:rPr>
          <w:b/>
          <w:sz w:val="20"/>
          <w:szCs w:val="20"/>
        </w:rPr>
        <w:t>23</w:t>
      </w:r>
      <w:r w:rsidRPr="00437F82">
        <w:rPr>
          <w:b/>
          <w:sz w:val="20"/>
          <w:szCs w:val="20"/>
        </w:rPr>
        <w:t>, 201</w:t>
      </w:r>
      <w:r w:rsidR="009C1CD2" w:rsidRPr="00437F82">
        <w:rPr>
          <w:b/>
          <w:sz w:val="20"/>
          <w:szCs w:val="20"/>
        </w:rPr>
        <w:t>8</w:t>
      </w:r>
      <w:r w:rsidRPr="00437F82">
        <w:rPr>
          <w:b/>
          <w:sz w:val="20"/>
          <w:szCs w:val="20"/>
        </w:rPr>
        <w:t>.</w:t>
      </w:r>
    </w:p>
    <w:p w:rsidR="005F1ED8" w:rsidRPr="00437F82" w:rsidRDefault="005F1ED8" w:rsidP="005F1ED8">
      <w:pPr>
        <w:rPr>
          <w:sz w:val="20"/>
          <w:szCs w:val="20"/>
          <w:lang w:val="fr-CA"/>
        </w:rPr>
      </w:pPr>
      <w:r w:rsidRPr="00437F82">
        <w:rPr>
          <w:b/>
          <w:sz w:val="20"/>
          <w:szCs w:val="20"/>
          <w:lang w:val="fr-CA"/>
        </w:rPr>
        <w:t xml:space="preserve">CALENDRIER de la semaine du </w:t>
      </w:r>
      <w:r w:rsidR="009C1CD2" w:rsidRPr="00437F82">
        <w:rPr>
          <w:b/>
          <w:sz w:val="20"/>
          <w:szCs w:val="20"/>
          <w:lang w:val="fr-CA"/>
        </w:rPr>
        <w:t>12</w:t>
      </w:r>
      <w:r w:rsidRPr="00437F82">
        <w:rPr>
          <w:b/>
          <w:sz w:val="20"/>
          <w:szCs w:val="20"/>
          <w:lang w:val="fr-CA"/>
        </w:rPr>
        <w:t xml:space="preserve"> </w:t>
      </w:r>
      <w:r w:rsidR="009C1CD2" w:rsidRPr="00437F82">
        <w:rPr>
          <w:b/>
          <w:sz w:val="20"/>
          <w:szCs w:val="20"/>
          <w:lang w:val="fr-CA"/>
        </w:rPr>
        <w:t>mars</w:t>
      </w:r>
      <w:r w:rsidRPr="00437F82">
        <w:rPr>
          <w:b/>
          <w:sz w:val="20"/>
          <w:szCs w:val="20"/>
          <w:lang w:val="fr-CA"/>
        </w:rPr>
        <w:t xml:space="preserve"> et celle du </w:t>
      </w:r>
      <w:r w:rsidR="009C1CD2" w:rsidRPr="00437F82">
        <w:rPr>
          <w:b/>
          <w:sz w:val="20"/>
          <w:szCs w:val="20"/>
          <w:lang w:val="fr-CA"/>
        </w:rPr>
        <w:t>23</w:t>
      </w:r>
      <w:r w:rsidRPr="00437F82">
        <w:rPr>
          <w:b/>
          <w:sz w:val="20"/>
          <w:szCs w:val="20"/>
          <w:lang w:val="fr-CA"/>
        </w:rPr>
        <w:t xml:space="preserve"> </w:t>
      </w:r>
      <w:r w:rsidR="009C1CD2" w:rsidRPr="00437F82">
        <w:rPr>
          <w:b/>
          <w:sz w:val="20"/>
          <w:szCs w:val="20"/>
          <w:lang w:val="fr-CA"/>
        </w:rPr>
        <w:t>mars</w:t>
      </w:r>
      <w:r w:rsidRPr="00437F82">
        <w:rPr>
          <w:b/>
          <w:sz w:val="20"/>
          <w:szCs w:val="20"/>
          <w:lang w:val="fr-CA"/>
        </w:rPr>
        <w:t xml:space="preserve"> 201</w:t>
      </w:r>
      <w:r w:rsidR="009C1CD2" w:rsidRPr="00437F82">
        <w:rPr>
          <w:b/>
          <w:sz w:val="20"/>
          <w:szCs w:val="20"/>
          <w:lang w:val="fr-CA"/>
        </w:rPr>
        <w:t>8</w:t>
      </w:r>
      <w:r w:rsidRPr="00437F82">
        <w:rPr>
          <w:b/>
          <w:sz w:val="20"/>
          <w:szCs w:val="20"/>
          <w:lang w:val="fr-CA"/>
        </w:rPr>
        <w:t>.</w:t>
      </w:r>
    </w:p>
    <w:p w:rsidR="005F1ED8" w:rsidRPr="00437F82" w:rsidRDefault="005F1ED8" w:rsidP="005F1ED8">
      <w:pPr>
        <w:rPr>
          <w:sz w:val="20"/>
          <w:szCs w:val="20"/>
          <w:lang w:val="fr-CA"/>
        </w:rPr>
      </w:pPr>
    </w:p>
    <w:p w:rsidR="005F1ED8" w:rsidRPr="00437F82" w:rsidRDefault="005F1ED8" w:rsidP="005F1ED8">
      <w:pPr>
        <w:rPr>
          <w:sz w:val="20"/>
          <w:szCs w:val="20"/>
        </w:rPr>
      </w:pPr>
      <w:r w:rsidRPr="00437F82">
        <w:rPr>
          <w:sz w:val="20"/>
          <w:szCs w:val="20"/>
        </w:rPr>
        <w:t xml:space="preserve">The Court will not be sitting during the weeks of </w:t>
      </w:r>
      <w:r w:rsidR="009C1CD2" w:rsidRPr="00437F82">
        <w:rPr>
          <w:sz w:val="20"/>
          <w:szCs w:val="20"/>
        </w:rPr>
        <w:t>March</w:t>
      </w:r>
      <w:r w:rsidRPr="00437F82">
        <w:rPr>
          <w:sz w:val="20"/>
          <w:szCs w:val="20"/>
        </w:rPr>
        <w:t xml:space="preserve"> </w:t>
      </w:r>
      <w:r w:rsidR="009C1CD2" w:rsidRPr="00437F82">
        <w:rPr>
          <w:sz w:val="20"/>
          <w:szCs w:val="20"/>
        </w:rPr>
        <w:t>5</w:t>
      </w:r>
      <w:r w:rsidRPr="00437F82">
        <w:rPr>
          <w:sz w:val="20"/>
          <w:szCs w:val="20"/>
        </w:rPr>
        <w:t xml:space="preserve"> and </w:t>
      </w:r>
      <w:r w:rsidR="009C1CD2" w:rsidRPr="00437F82">
        <w:rPr>
          <w:sz w:val="20"/>
          <w:szCs w:val="20"/>
        </w:rPr>
        <w:t>26</w:t>
      </w:r>
      <w:r w:rsidRPr="00437F82">
        <w:rPr>
          <w:sz w:val="20"/>
          <w:szCs w:val="20"/>
        </w:rPr>
        <w:t>, 201</w:t>
      </w:r>
      <w:r w:rsidR="009C1CD2" w:rsidRPr="00437F82">
        <w:rPr>
          <w:sz w:val="20"/>
          <w:szCs w:val="20"/>
        </w:rPr>
        <w:t>8</w:t>
      </w:r>
      <w:r w:rsidRPr="00437F82">
        <w:rPr>
          <w:sz w:val="20"/>
          <w:szCs w:val="20"/>
        </w:rPr>
        <w:t>.</w:t>
      </w:r>
    </w:p>
    <w:p w:rsidR="005F1ED8" w:rsidRPr="00437F82" w:rsidRDefault="005F1ED8" w:rsidP="005F1ED8">
      <w:pPr>
        <w:rPr>
          <w:sz w:val="20"/>
          <w:szCs w:val="20"/>
          <w:lang w:val="fr-CA"/>
        </w:rPr>
      </w:pPr>
      <w:r w:rsidRPr="00437F82">
        <w:rPr>
          <w:sz w:val="20"/>
          <w:szCs w:val="20"/>
          <w:lang w:val="fr-CA"/>
        </w:rPr>
        <w:t xml:space="preserve">La Cour ne siègera pas pendant les semaines du </w:t>
      </w:r>
      <w:r w:rsidR="009C1CD2" w:rsidRPr="00437F82">
        <w:rPr>
          <w:sz w:val="20"/>
          <w:szCs w:val="20"/>
          <w:lang w:val="fr-CA"/>
        </w:rPr>
        <w:t xml:space="preserve">5 </w:t>
      </w:r>
      <w:r w:rsidRPr="00437F82">
        <w:rPr>
          <w:sz w:val="20"/>
          <w:szCs w:val="20"/>
          <w:lang w:val="fr-CA"/>
        </w:rPr>
        <w:t xml:space="preserve">et du </w:t>
      </w:r>
      <w:r w:rsidR="009C1CD2" w:rsidRPr="00437F82">
        <w:rPr>
          <w:sz w:val="20"/>
          <w:szCs w:val="20"/>
          <w:lang w:val="fr-CA"/>
        </w:rPr>
        <w:t>26</w:t>
      </w:r>
      <w:r w:rsidRPr="00437F82">
        <w:rPr>
          <w:sz w:val="20"/>
          <w:szCs w:val="20"/>
          <w:lang w:val="fr-CA"/>
        </w:rPr>
        <w:t xml:space="preserve"> </w:t>
      </w:r>
      <w:r w:rsidR="009C1CD2" w:rsidRPr="00437F82">
        <w:rPr>
          <w:sz w:val="20"/>
          <w:szCs w:val="20"/>
          <w:lang w:val="fr-CA"/>
        </w:rPr>
        <w:t>mars</w:t>
      </w:r>
      <w:r w:rsidRPr="00437F82">
        <w:rPr>
          <w:sz w:val="20"/>
          <w:szCs w:val="20"/>
          <w:lang w:val="fr-CA"/>
        </w:rPr>
        <w:t xml:space="preserve"> 201</w:t>
      </w:r>
      <w:r w:rsidR="009C1CD2" w:rsidRPr="00437F82">
        <w:rPr>
          <w:sz w:val="20"/>
          <w:szCs w:val="20"/>
          <w:lang w:val="fr-CA"/>
        </w:rPr>
        <w:t>8</w:t>
      </w:r>
      <w:r w:rsidRPr="00437F82">
        <w:rPr>
          <w:sz w:val="20"/>
          <w:szCs w:val="20"/>
          <w:lang w:val="fr-CA"/>
        </w:rPr>
        <w:t>.</w:t>
      </w:r>
    </w:p>
    <w:p w:rsidR="004B66B4" w:rsidRPr="00437F82" w:rsidRDefault="002526AE" w:rsidP="004B66B4">
      <w:pPr>
        <w:rPr>
          <w:sz w:val="20"/>
          <w:szCs w:val="20"/>
        </w:rPr>
      </w:pPr>
      <w:r>
        <w:rPr>
          <w:sz w:val="20"/>
          <w:szCs w:val="20"/>
        </w:rPr>
        <w:pict>
          <v:rect id="_x0000_i1037" style="width:480.95pt;height:1pt" o:hralign="center" o:hrstd="t" o:hrnoshade="t" o:hr="t" fillcolor="black [3213]" stroked="f"/>
        </w:pict>
      </w:r>
    </w:p>
    <w:p w:rsidR="004B66B4" w:rsidRPr="00437F82" w:rsidRDefault="004B66B4" w:rsidP="004B66B4">
      <w:pPr>
        <w:rPr>
          <w:sz w:val="20"/>
          <w:szCs w:val="20"/>
          <w:lang w:val="fr-CA"/>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494B27" w:rsidRPr="00FB017F" w:rsidTr="003D51E3">
        <w:trPr>
          <w:cantSplit/>
        </w:trPr>
        <w:tc>
          <w:tcPr>
            <w:tcW w:w="2398" w:type="dxa"/>
          </w:tcPr>
          <w:p w:rsidR="00494B27" w:rsidRPr="00437F82" w:rsidRDefault="00494B27" w:rsidP="003D51E3">
            <w:pPr>
              <w:rPr>
                <w:sz w:val="20"/>
              </w:rPr>
            </w:pPr>
            <w:r w:rsidRPr="00437F82">
              <w:rPr>
                <w:sz w:val="20"/>
              </w:rPr>
              <w:t>DATE OF HEARING /</w:t>
            </w:r>
          </w:p>
          <w:p w:rsidR="00494B27" w:rsidRPr="00437F82" w:rsidRDefault="00494B27" w:rsidP="003D51E3">
            <w:pPr>
              <w:rPr>
                <w:sz w:val="20"/>
              </w:rPr>
            </w:pPr>
            <w:r w:rsidRPr="00437F82">
              <w:rPr>
                <w:sz w:val="20"/>
              </w:rPr>
              <w:t>DATE D’AUDITION</w:t>
            </w:r>
          </w:p>
        </w:tc>
        <w:tc>
          <w:tcPr>
            <w:tcW w:w="7178" w:type="dxa"/>
          </w:tcPr>
          <w:p w:rsidR="00494B27" w:rsidRPr="00437F82" w:rsidRDefault="00494B27" w:rsidP="003D51E3">
            <w:pPr>
              <w:rPr>
                <w:sz w:val="20"/>
                <w:lang w:val="fr-CA"/>
              </w:rPr>
            </w:pPr>
            <w:r w:rsidRPr="00437F82">
              <w:rPr>
                <w:sz w:val="20"/>
                <w:lang w:val="fr-CA"/>
              </w:rPr>
              <w:t>NAME AND CASE NUMBER /</w:t>
            </w:r>
          </w:p>
          <w:p w:rsidR="00494B27" w:rsidRPr="00437F82" w:rsidRDefault="00494B27" w:rsidP="003D51E3">
            <w:pPr>
              <w:rPr>
                <w:sz w:val="20"/>
                <w:lang w:val="fr-CA"/>
              </w:rPr>
            </w:pPr>
            <w:r w:rsidRPr="00437F82">
              <w:rPr>
                <w:sz w:val="20"/>
                <w:lang w:val="fr-CA"/>
              </w:rPr>
              <w:t>NOM DE LA CAUSE ET NUMÉRO</w:t>
            </w:r>
          </w:p>
        </w:tc>
      </w:tr>
      <w:tr w:rsidR="00494B27" w:rsidRPr="00437F82" w:rsidTr="003D51E3">
        <w:trPr>
          <w:cantSplit/>
        </w:trPr>
        <w:tc>
          <w:tcPr>
            <w:tcW w:w="2398" w:type="dxa"/>
          </w:tcPr>
          <w:p w:rsidR="00494B27" w:rsidRPr="00437F82" w:rsidRDefault="00494B27" w:rsidP="003D51E3">
            <w:pPr>
              <w:rPr>
                <w:sz w:val="20"/>
              </w:rPr>
            </w:pPr>
            <w:r w:rsidRPr="00437F82">
              <w:rPr>
                <w:sz w:val="20"/>
              </w:rPr>
              <w:t>2018-03-13</w:t>
            </w:r>
          </w:p>
        </w:tc>
        <w:tc>
          <w:tcPr>
            <w:tcW w:w="7178" w:type="dxa"/>
          </w:tcPr>
          <w:p w:rsidR="00494B27" w:rsidRPr="00437F82" w:rsidRDefault="00494B27" w:rsidP="003D51E3">
            <w:pPr>
              <w:rPr>
                <w:sz w:val="20"/>
              </w:rPr>
            </w:pPr>
            <w:r w:rsidRPr="00437F82">
              <w:rPr>
                <w:i/>
                <w:sz w:val="20"/>
              </w:rPr>
              <w:t>Omar Black v. Her Majesty the Queen</w:t>
            </w:r>
            <w:r w:rsidRPr="00437F82">
              <w:rPr>
                <w:sz w:val="20"/>
              </w:rPr>
              <w:t xml:space="preserve"> (Ont.) (Criminal) (As of Right) (37665)</w:t>
            </w:r>
          </w:p>
        </w:tc>
      </w:tr>
      <w:tr w:rsidR="00494B27" w:rsidRPr="00437F82" w:rsidTr="003D51E3">
        <w:trPr>
          <w:cantSplit/>
        </w:trPr>
        <w:tc>
          <w:tcPr>
            <w:tcW w:w="2398" w:type="dxa"/>
          </w:tcPr>
          <w:p w:rsidR="00494B27" w:rsidRPr="00437F82" w:rsidRDefault="00494B27" w:rsidP="003D51E3">
            <w:pPr>
              <w:rPr>
                <w:sz w:val="20"/>
              </w:rPr>
            </w:pPr>
            <w:r w:rsidRPr="00437F82">
              <w:rPr>
                <w:sz w:val="20"/>
              </w:rPr>
              <w:t>2018-03-14</w:t>
            </w:r>
          </w:p>
        </w:tc>
        <w:tc>
          <w:tcPr>
            <w:tcW w:w="7178" w:type="dxa"/>
          </w:tcPr>
          <w:p w:rsidR="00494B27" w:rsidRPr="00437F82" w:rsidRDefault="00494B27" w:rsidP="003D51E3">
            <w:pPr>
              <w:rPr>
                <w:sz w:val="20"/>
              </w:rPr>
            </w:pPr>
            <w:r w:rsidRPr="00437F82">
              <w:rPr>
                <w:i/>
                <w:sz w:val="20"/>
              </w:rPr>
              <w:t>Her Majesty the Queen et al. v. Derek Brassington et al.</w:t>
            </w:r>
            <w:r w:rsidRPr="00437F82">
              <w:rPr>
                <w:sz w:val="20"/>
              </w:rPr>
              <w:t xml:space="preserve"> (B.C.) (Criminal) (By Leave) (37476)</w:t>
            </w:r>
          </w:p>
          <w:p w:rsidR="002F6547" w:rsidRPr="00437F82" w:rsidRDefault="002F6547" w:rsidP="003D51E3">
            <w:pPr>
              <w:rPr>
                <w:sz w:val="20"/>
              </w:rPr>
            </w:pPr>
            <w:r w:rsidRPr="00437F82">
              <w:rPr>
                <w:sz w:val="20"/>
              </w:rPr>
              <w:t>(Early start time: 9:00 a.m. / Horaire modifié: audience débutant à 9 h)</w:t>
            </w:r>
          </w:p>
        </w:tc>
      </w:tr>
      <w:tr w:rsidR="00494B27" w:rsidRPr="00FB017F" w:rsidTr="003D51E3">
        <w:trPr>
          <w:cantSplit/>
        </w:trPr>
        <w:tc>
          <w:tcPr>
            <w:tcW w:w="2398" w:type="dxa"/>
          </w:tcPr>
          <w:p w:rsidR="00494B27" w:rsidRPr="00437F82" w:rsidRDefault="00494B27" w:rsidP="003D51E3">
            <w:pPr>
              <w:rPr>
                <w:sz w:val="20"/>
              </w:rPr>
            </w:pPr>
            <w:r w:rsidRPr="00437F82">
              <w:rPr>
                <w:sz w:val="20"/>
              </w:rPr>
              <w:t>2018-03-15</w:t>
            </w:r>
          </w:p>
        </w:tc>
        <w:tc>
          <w:tcPr>
            <w:tcW w:w="7178" w:type="dxa"/>
          </w:tcPr>
          <w:p w:rsidR="00494B27" w:rsidRPr="00437F82" w:rsidRDefault="00494B27" w:rsidP="003D51E3">
            <w:pPr>
              <w:rPr>
                <w:sz w:val="20"/>
                <w:lang w:val="fr-CA"/>
              </w:rPr>
            </w:pPr>
            <w:r w:rsidRPr="00437F82">
              <w:rPr>
                <w:i/>
                <w:sz w:val="20"/>
                <w:lang w:val="fr-CA"/>
              </w:rPr>
              <w:t>Jacques Chagnon, ès qualités de Président de l'Assemblée nationale du Québec c. Syndicat de la fonction publique et parapublique du Québec (SFPQ)</w:t>
            </w:r>
            <w:r w:rsidRPr="00437F82">
              <w:rPr>
                <w:sz w:val="20"/>
                <w:lang w:val="fr-CA"/>
              </w:rPr>
              <w:t xml:space="preserve"> (Qc) (Civile) (Autorisation) (37543)</w:t>
            </w:r>
          </w:p>
        </w:tc>
      </w:tr>
      <w:tr w:rsidR="00494B27" w:rsidRPr="00437F82" w:rsidTr="003D51E3">
        <w:trPr>
          <w:cantSplit/>
        </w:trPr>
        <w:tc>
          <w:tcPr>
            <w:tcW w:w="2398" w:type="dxa"/>
          </w:tcPr>
          <w:p w:rsidR="00494B27" w:rsidRPr="00437F82" w:rsidRDefault="00494B27" w:rsidP="003D51E3">
            <w:pPr>
              <w:rPr>
                <w:sz w:val="20"/>
              </w:rPr>
            </w:pPr>
            <w:r w:rsidRPr="00437F82">
              <w:rPr>
                <w:sz w:val="20"/>
              </w:rPr>
              <w:t>2018-03-16</w:t>
            </w:r>
          </w:p>
        </w:tc>
        <w:tc>
          <w:tcPr>
            <w:tcW w:w="7178" w:type="dxa"/>
          </w:tcPr>
          <w:p w:rsidR="00494B27" w:rsidRPr="00437F82" w:rsidRDefault="00494B27" w:rsidP="003D51E3">
            <w:pPr>
              <w:rPr>
                <w:sz w:val="20"/>
              </w:rPr>
            </w:pPr>
            <w:r w:rsidRPr="00437F82">
              <w:rPr>
                <w:i/>
                <w:sz w:val="20"/>
              </w:rPr>
              <w:t>Spencer Dean Bird v. Her Majesty the Queen</w:t>
            </w:r>
            <w:r w:rsidRPr="00437F82">
              <w:rPr>
                <w:sz w:val="20"/>
              </w:rPr>
              <w:t xml:space="preserve"> (Sask.) (Criminal) (As of Right) (37596) (37596)</w:t>
            </w:r>
          </w:p>
        </w:tc>
      </w:tr>
      <w:tr w:rsidR="00494B27" w:rsidRPr="00437F82" w:rsidTr="003D51E3">
        <w:trPr>
          <w:cantSplit/>
        </w:trPr>
        <w:tc>
          <w:tcPr>
            <w:tcW w:w="2398" w:type="dxa"/>
          </w:tcPr>
          <w:p w:rsidR="00494B27" w:rsidRPr="00437F82" w:rsidRDefault="00494B27" w:rsidP="003D51E3">
            <w:pPr>
              <w:rPr>
                <w:sz w:val="20"/>
              </w:rPr>
            </w:pPr>
            <w:r w:rsidRPr="00437F82">
              <w:rPr>
                <w:sz w:val="20"/>
              </w:rPr>
              <w:t>2018-03-19</w:t>
            </w:r>
          </w:p>
        </w:tc>
        <w:tc>
          <w:tcPr>
            <w:tcW w:w="7178" w:type="dxa"/>
          </w:tcPr>
          <w:p w:rsidR="00494B27" w:rsidRPr="00437F82" w:rsidRDefault="00494B27" w:rsidP="003D51E3">
            <w:pPr>
              <w:rPr>
                <w:sz w:val="20"/>
              </w:rPr>
            </w:pPr>
            <w:r w:rsidRPr="00437F82">
              <w:rPr>
                <w:i/>
                <w:sz w:val="20"/>
                <w:lang w:val="fr-CA"/>
              </w:rPr>
              <w:t>Kenneth F. Salomon et al. v. Judith Matte-Thompson et al.</w:t>
            </w:r>
            <w:r w:rsidRPr="00437F82">
              <w:rPr>
                <w:sz w:val="20"/>
                <w:lang w:val="fr-CA"/>
              </w:rPr>
              <w:t xml:space="preserve"> </w:t>
            </w:r>
            <w:r w:rsidRPr="00437F82">
              <w:rPr>
                <w:sz w:val="20"/>
              </w:rPr>
              <w:t>(Que.) (Civil) (By Leave) (37537)</w:t>
            </w:r>
          </w:p>
        </w:tc>
      </w:tr>
      <w:tr w:rsidR="00494B27" w:rsidRPr="00437F82" w:rsidTr="003D51E3">
        <w:trPr>
          <w:cantSplit/>
        </w:trPr>
        <w:tc>
          <w:tcPr>
            <w:tcW w:w="2398" w:type="dxa"/>
          </w:tcPr>
          <w:p w:rsidR="00494B27" w:rsidRPr="00437F82" w:rsidRDefault="00494B27" w:rsidP="003D51E3">
            <w:pPr>
              <w:rPr>
                <w:sz w:val="20"/>
              </w:rPr>
            </w:pPr>
            <w:r w:rsidRPr="00437F82">
              <w:rPr>
                <w:sz w:val="20"/>
              </w:rPr>
              <w:t>2018-03-20</w:t>
            </w:r>
          </w:p>
        </w:tc>
        <w:tc>
          <w:tcPr>
            <w:tcW w:w="7178" w:type="dxa"/>
          </w:tcPr>
          <w:p w:rsidR="00494B27" w:rsidRPr="00437F82" w:rsidRDefault="00494B27" w:rsidP="003D51E3">
            <w:pPr>
              <w:rPr>
                <w:sz w:val="20"/>
              </w:rPr>
            </w:pPr>
            <w:r w:rsidRPr="00437F82">
              <w:rPr>
                <w:i/>
                <w:sz w:val="20"/>
              </w:rPr>
              <w:t>International Brotherhood of Electrical Workers (IBEW) Local 773 et al. v. Pamela Lawrence</w:t>
            </w:r>
            <w:r w:rsidRPr="00437F82">
              <w:rPr>
                <w:sz w:val="20"/>
              </w:rPr>
              <w:t xml:space="preserve"> (Ont.) (Civil) (By Leave) (37617)</w:t>
            </w:r>
          </w:p>
        </w:tc>
      </w:tr>
      <w:tr w:rsidR="00494B27" w:rsidRPr="00437F82" w:rsidTr="003D51E3">
        <w:trPr>
          <w:cantSplit/>
        </w:trPr>
        <w:tc>
          <w:tcPr>
            <w:tcW w:w="2398" w:type="dxa"/>
          </w:tcPr>
          <w:p w:rsidR="00494B27" w:rsidRPr="00437F82" w:rsidRDefault="00494B27" w:rsidP="003D51E3">
            <w:pPr>
              <w:rPr>
                <w:sz w:val="20"/>
              </w:rPr>
            </w:pPr>
            <w:r w:rsidRPr="00437F82">
              <w:rPr>
                <w:sz w:val="20"/>
              </w:rPr>
              <w:t>2018-03-21</w:t>
            </w:r>
          </w:p>
        </w:tc>
        <w:tc>
          <w:tcPr>
            <w:tcW w:w="7178" w:type="dxa"/>
          </w:tcPr>
          <w:p w:rsidR="00494B27" w:rsidRPr="00437F82" w:rsidRDefault="00494B27" w:rsidP="003D51E3">
            <w:pPr>
              <w:rPr>
                <w:sz w:val="20"/>
              </w:rPr>
            </w:pPr>
            <w:r w:rsidRPr="00437F82">
              <w:rPr>
                <w:i/>
                <w:sz w:val="20"/>
              </w:rPr>
              <w:t>Gillian Frank et al. v. Attorney General of Canada</w:t>
            </w:r>
            <w:r w:rsidRPr="00437F82">
              <w:rPr>
                <w:sz w:val="20"/>
              </w:rPr>
              <w:t xml:space="preserve"> (Ont.) (Civil) (By Leave) (36645)</w:t>
            </w:r>
          </w:p>
        </w:tc>
      </w:tr>
      <w:tr w:rsidR="00494B27" w:rsidRPr="00FB017F" w:rsidTr="003D51E3">
        <w:trPr>
          <w:cantSplit/>
        </w:trPr>
        <w:tc>
          <w:tcPr>
            <w:tcW w:w="2398" w:type="dxa"/>
          </w:tcPr>
          <w:p w:rsidR="00494B27" w:rsidRPr="00437F82" w:rsidRDefault="00494B27" w:rsidP="003D51E3">
            <w:pPr>
              <w:rPr>
                <w:sz w:val="20"/>
              </w:rPr>
            </w:pPr>
            <w:r w:rsidRPr="00437F82">
              <w:rPr>
                <w:sz w:val="20"/>
              </w:rPr>
              <w:t>2018-03-22</w:t>
            </w:r>
          </w:p>
        </w:tc>
        <w:tc>
          <w:tcPr>
            <w:tcW w:w="7178" w:type="dxa"/>
          </w:tcPr>
          <w:p w:rsidR="00494B27" w:rsidRPr="00437F82" w:rsidRDefault="00494B27" w:rsidP="003D51E3">
            <w:pPr>
              <w:rPr>
                <w:sz w:val="20"/>
                <w:lang w:val="fr-CA"/>
              </w:rPr>
            </w:pPr>
            <w:r w:rsidRPr="00437F82">
              <w:rPr>
                <w:i/>
                <w:sz w:val="20"/>
                <w:lang w:val="fr-CA"/>
              </w:rPr>
              <w:t>Procureur général du Canada et autre c. Procureure générale du Québec</w:t>
            </w:r>
            <w:r w:rsidRPr="00437F82">
              <w:rPr>
                <w:sz w:val="20"/>
                <w:lang w:val="fr-CA"/>
              </w:rPr>
              <w:t xml:space="preserve"> (Qc) (Civile) (De plein droit) (37613)</w:t>
            </w:r>
          </w:p>
        </w:tc>
      </w:tr>
      <w:tr w:rsidR="00494B27" w:rsidRPr="00437F82" w:rsidTr="00494B27">
        <w:trPr>
          <w:cantSplit/>
          <w:trHeight w:val="221"/>
        </w:trPr>
        <w:tc>
          <w:tcPr>
            <w:tcW w:w="2398" w:type="dxa"/>
          </w:tcPr>
          <w:p w:rsidR="00494B27" w:rsidRPr="00437F82" w:rsidRDefault="00494B27" w:rsidP="003D51E3">
            <w:pPr>
              <w:rPr>
                <w:sz w:val="20"/>
              </w:rPr>
            </w:pPr>
            <w:r w:rsidRPr="00437F82">
              <w:rPr>
                <w:sz w:val="20"/>
              </w:rPr>
              <w:t>2018-03-23</w:t>
            </w:r>
          </w:p>
        </w:tc>
        <w:tc>
          <w:tcPr>
            <w:tcW w:w="7178" w:type="dxa"/>
          </w:tcPr>
          <w:p w:rsidR="00494B27" w:rsidRPr="00437F82" w:rsidRDefault="00494B27" w:rsidP="003D51E3">
            <w:pPr>
              <w:rPr>
                <w:sz w:val="20"/>
              </w:rPr>
            </w:pPr>
            <w:r w:rsidRPr="00437F82">
              <w:rPr>
                <w:i/>
                <w:sz w:val="20"/>
              </w:rPr>
              <w:t>R.A. v. Her Majesty the Queen</w:t>
            </w:r>
            <w:r w:rsidRPr="00437F82">
              <w:rPr>
                <w:sz w:val="20"/>
              </w:rPr>
              <w:t xml:space="preserve"> (Ont.) (Criminal) (As of Right) (37757)</w:t>
            </w:r>
          </w:p>
        </w:tc>
      </w:tr>
    </w:tbl>
    <w:p w:rsidR="005F1ED8" w:rsidRPr="00437F82" w:rsidRDefault="005F1ED8" w:rsidP="004B66B4">
      <w:pPr>
        <w:rPr>
          <w:sz w:val="20"/>
          <w:szCs w:val="20"/>
          <w:lang w:val="fr-CA"/>
        </w:rPr>
      </w:pPr>
    </w:p>
    <w:p w:rsidR="004B66B4" w:rsidRPr="00437F82" w:rsidRDefault="002526AE" w:rsidP="002868D0">
      <w:pPr>
        <w:jc w:val="both"/>
        <w:rPr>
          <w:sz w:val="20"/>
          <w:szCs w:val="20"/>
        </w:rPr>
      </w:pPr>
      <w:r>
        <w:rPr>
          <w:sz w:val="20"/>
          <w:szCs w:val="20"/>
          <w:lang w:val="fr-CA"/>
        </w:rPr>
        <w:pict>
          <v:rect id="_x0000_i1038" style="width:2in;height:1pt" o:hrpct="0" o:hralign="center" o:hrstd="t" o:hrnoshade="t" o:hr="t" fillcolor="black [3213]" stroked="f"/>
        </w:pict>
      </w:r>
    </w:p>
    <w:p w:rsidR="004B66B4" w:rsidRPr="00437F82" w:rsidRDefault="004B66B4" w:rsidP="004B66B4">
      <w:pPr>
        <w:tabs>
          <w:tab w:val="left" w:pos="1980"/>
        </w:tabs>
        <w:jc w:val="both"/>
        <w:rPr>
          <w:sz w:val="20"/>
          <w:szCs w:val="20"/>
        </w:rPr>
      </w:pPr>
    </w:p>
    <w:p w:rsidR="004B66B4" w:rsidRPr="00437F82" w:rsidRDefault="004B66B4" w:rsidP="004B66B4">
      <w:pPr>
        <w:jc w:val="both"/>
        <w:rPr>
          <w:sz w:val="20"/>
          <w:szCs w:val="20"/>
        </w:rPr>
      </w:pPr>
      <w:r w:rsidRPr="00437F82">
        <w:rPr>
          <w:b/>
          <w:sz w:val="20"/>
          <w:szCs w:val="20"/>
        </w:rPr>
        <w:t>NOTE:</w:t>
      </w:r>
      <w:r w:rsidRPr="00437F82">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sidRPr="00437F82">
        <w:rPr>
          <w:sz w:val="20"/>
          <w:szCs w:val="20"/>
        </w:rPr>
        <w:t>-</w:t>
      </w:r>
      <w:r w:rsidRPr="00437F82">
        <w:rPr>
          <w:sz w:val="20"/>
          <w:szCs w:val="20"/>
        </w:rPr>
        <w:t xml:space="preserve"> 996-8666.</w:t>
      </w:r>
    </w:p>
    <w:p w:rsidR="004B66B4" w:rsidRPr="00437F82" w:rsidRDefault="004B66B4" w:rsidP="004B66B4">
      <w:pPr>
        <w:jc w:val="both"/>
        <w:rPr>
          <w:sz w:val="20"/>
          <w:szCs w:val="20"/>
        </w:rPr>
      </w:pPr>
    </w:p>
    <w:p w:rsidR="004B66B4" w:rsidRPr="00437F82" w:rsidRDefault="004B66B4" w:rsidP="004B66B4">
      <w:pPr>
        <w:jc w:val="both"/>
        <w:rPr>
          <w:sz w:val="20"/>
          <w:szCs w:val="20"/>
          <w:lang w:val="fr-CA"/>
        </w:rPr>
      </w:pPr>
      <w:r w:rsidRPr="00437F82">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Pr="00437F82" w:rsidRDefault="00C50A5C" w:rsidP="0022323B">
      <w:pPr>
        <w:rPr>
          <w:sz w:val="20"/>
          <w:szCs w:val="20"/>
          <w:lang w:val="fr-CA"/>
        </w:rPr>
      </w:pPr>
    </w:p>
    <w:p w:rsidR="00102926" w:rsidRPr="00437F82" w:rsidRDefault="00102926" w:rsidP="00782AE4">
      <w:pPr>
        <w:jc w:val="both"/>
        <w:rPr>
          <w:sz w:val="20"/>
          <w:szCs w:val="20"/>
          <w:lang w:val="fr-CA"/>
        </w:rPr>
      </w:pPr>
    </w:p>
    <w:p w:rsidR="0022323B" w:rsidRPr="00437F82" w:rsidRDefault="0022323B" w:rsidP="00782AE4">
      <w:pPr>
        <w:jc w:val="both"/>
        <w:rPr>
          <w:sz w:val="20"/>
          <w:szCs w:val="20"/>
          <w:lang w:val="fr-CA"/>
        </w:rPr>
        <w:sectPr w:rsidR="0022323B" w:rsidRPr="00437F82" w:rsidSect="0022323B">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5"/>
        <w:gridCol w:w="1200"/>
        <w:gridCol w:w="4860"/>
      </w:tblGrid>
      <w:tr w:rsidR="002E5800" w:rsidRPr="00437F82" w:rsidTr="006B02C7">
        <w:tc>
          <w:tcPr>
            <w:tcW w:w="4205" w:type="dxa"/>
            <w:shd w:val="clear" w:color="auto" w:fill="auto"/>
            <w:tcMar>
              <w:left w:w="0" w:type="dxa"/>
              <w:right w:w="0" w:type="dxa"/>
            </w:tcMar>
          </w:tcPr>
          <w:p w:rsidR="002E5800" w:rsidRPr="00437F82" w:rsidRDefault="002E5800" w:rsidP="006B02C7">
            <w:pPr>
              <w:keepNext/>
              <w:keepLines/>
              <w:rPr>
                <w:b/>
                <w:szCs w:val="24"/>
              </w:rPr>
            </w:pPr>
            <w:r w:rsidRPr="00437F82">
              <w:rPr>
                <w:b/>
                <w:szCs w:val="24"/>
              </w:rPr>
              <w:t>SUMMARIES OF THE CASES</w:t>
            </w:r>
          </w:p>
        </w:tc>
        <w:tc>
          <w:tcPr>
            <w:tcW w:w="1200" w:type="dxa"/>
            <w:shd w:val="clear" w:color="auto" w:fill="auto"/>
            <w:tcMar>
              <w:left w:w="0" w:type="dxa"/>
              <w:right w:w="0" w:type="dxa"/>
            </w:tcMar>
          </w:tcPr>
          <w:p w:rsidR="002E5800" w:rsidRPr="00437F82" w:rsidRDefault="002E5800" w:rsidP="005523D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2E5800" w:rsidRPr="00437F82" w:rsidRDefault="002E5800" w:rsidP="005523DC">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860" w:type="dxa"/>
            <w:shd w:val="clear" w:color="auto" w:fill="auto"/>
            <w:tcMar>
              <w:left w:w="0" w:type="dxa"/>
              <w:right w:w="0" w:type="dxa"/>
            </w:tcMar>
          </w:tcPr>
          <w:p w:rsidR="002E5800" w:rsidRPr="00437F82" w:rsidRDefault="002E5800" w:rsidP="005523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437F82">
              <w:rPr>
                <w:b/>
                <w:szCs w:val="24"/>
                <w:lang w:val="fr-CA"/>
              </w:rPr>
              <w:t>RÉSUMÉS DES AFFAIRES</w:t>
            </w:r>
          </w:p>
        </w:tc>
      </w:tr>
    </w:tbl>
    <w:p w:rsidR="002E5800" w:rsidRDefault="002E5800" w:rsidP="006B02C7">
      <w:pPr>
        <w:widowControl w:val="0"/>
        <w:rPr>
          <w:sz w:val="20"/>
          <w:lang w:val="fr-CA"/>
        </w:rPr>
      </w:pPr>
    </w:p>
    <w:bookmarkStart w:id="1" w:name="1"/>
    <w:bookmarkEnd w:id="1"/>
    <w:p w:rsidR="009D7F27" w:rsidRPr="008C107F" w:rsidRDefault="009D7F27" w:rsidP="006B02C7">
      <w:pPr>
        <w:widowControl w:val="0"/>
        <w:jc w:val="both"/>
        <w:rPr>
          <w:b/>
          <w:i/>
          <w:sz w:val="20"/>
        </w:rPr>
      </w:pPr>
      <w:r w:rsidRPr="008C107F">
        <w:rPr>
          <w:b/>
          <w:sz w:val="20"/>
        </w:rPr>
        <w:fldChar w:fldCharType="begin"/>
      </w:r>
      <w:r w:rsidRPr="008C107F">
        <w:rPr>
          <w:b/>
          <w:sz w:val="20"/>
        </w:rPr>
        <w:instrText xml:space="preserve"> SEQ CHAPTER \h \r 1</w:instrText>
      </w:r>
      <w:r w:rsidRPr="008C107F">
        <w:rPr>
          <w:b/>
          <w:sz w:val="20"/>
        </w:rPr>
        <w:fldChar w:fldCharType="end"/>
      </w:r>
      <w:r w:rsidRPr="008C107F">
        <w:rPr>
          <w:b/>
          <w:sz w:val="20"/>
        </w:rPr>
        <w:t>37665</w:t>
      </w:r>
      <w:r w:rsidRPr="008C107F">
        <w:rPr>
          <w:sz w:val="20"/>
        </w:rPr>
        <w:tab/>
      </w:r>
      <w:bookmarkStart w:id="2" w:name="3"/>
      <w:bookmarkEnd w:id="2"/>
      <w:r w:rsidRPr="008C107F">
        <w:rPr>
          <w:b/>
          <w:i/>
          <w:sz w:val="20"/>
        </w:rPr>
        <w:t>Omar Black v. Her Majesty the Queen</w:t>
      </w:r>
    </w:p>
    <w:p w:rsidR="009D7F27" w:rsidRPr="00437F82" w:rsidRDefault="009D7F27" w:rsidP="006B02C7">
      <w:pPr>
        <w:widowControl w:val="0"/>
        <w:ind w:left="720"/>
        <w:jc w:val="both"/>
        <w:rPr>
          <w:sz w:val="20"/>
        </w:rPr>
      </w:pPr>
      <w:r w:rsidRPr="008C107F">
        <w:rPr>
          <w:sz w:val="20"/>
        </w:rPr>
        <w:t>(Ont.) (Criminal) (As of Right)</w:t>
      </w:r>
    </w:p>
    <w:p w:rsidR="009D7F27" w:rsidRPr="00437F82" w:rsidRDefault="009D7F27" w:rsidP="006B02C7">
      <w:pPr>
        <w:widowControl w:val="0"/>
        <w:jc w:val="both"/>
        <w:rPr>
          <w:sz w:val="20"/>
        </w:rPr>
      </w:pPr>
    </w:p>
    <w:p w:rsidR="009D7F27" w:rsidRPr="00437F82" w:rsidRDefault="009D7F27" w:rsidP="006B02C7">
      <w:pPr>
        <w:widowControl w:val="0"/>
        <w:jc w:val="both"/>
        <w:rPr>
          <w:sz w:val="20"/>
        </w:rPr>
      </w:pPr>
      <w:r w:rsidRPr="00437F82">
        <w:rPr>
          <w:sz w:val="20"/>
        </w:rPr>
        <w:t xml:space="preserve">Criminal law - Onus of proof - Sufficiency of reasons - Accused convicted of importing cocaine - Court of Appeal upholding conviction - Whether the trial judge erred by misstating and misapplying the onus of proof under the third step of </w:t>
      </w:r>
      <w:r w:rsidRPr="00437F82">
        <w:rPr>
          <w:i/>
          <w:sz w:val="20"/>
        </w:rPr>
        <w:t>W</w:t>
      </w:r>
      <w:proofErr w:type="gramStart"/>
      <w:r w:rsidRPr="00437F82">
        <w:rPr>
          <w:i/>
          <w:sz w:val="20"/>
        </w:rPr>
        <w:t>.(</w:t>
      </w:r>
      <w:proofErr w:type="gramEnd"/>
      <w:r w:rsidRPr="00437F82">
        <w:rPr>
          <w:i/>
          <w:sz w:val="20"/>
        </w:rPr>
        <w:t>D.)</w:t>
      </w:r>
      <w:r w:rsidRPr="00437F82">
        <w:rPr>
          <w:sz w:val="20"/>
        </w:rPr>
        <w:t xml:space="preserve"> - Whether the trial judge erred by failing to provide sufficient reasons on the issue of </w:t>
      </w:r>
      <w:proofErr w:type="spellStart"/>
      <w:r w:rsidRPr="00437F82">
        <w:rPr>
          <w:i/>
          <w:sz w:val="20"/>
        </w:rPr>
        <w:t>mens</w:t>
      </w:r>
      <w:proofErr w:type="spellEnd"/>
      <w:r w:rsidRPr="00437F82">
        <w:rPr>
          <w:i/>
          <w:sz w:val="20"/>
        </w:rPr>
        <w:t xml:space="preserve"> rea</w:t>
      </w:r>
      <w:r w:rsidRPr="00437F82">
        <w:rPr>
          <w:sz w:val="20"/>
        </w:rPr>
        <w:t>, specifically with respect to the accused’s knowledge.</w:t>
      </w:r>
    </w:p>
    <w:p w:rsidR="009D7F27" w:rsidRPr="00437F82" w:rsidRDefault="009D7F27" w:rsidP="006B02C7">
      <w:pPr>
        <w:widowControl w:val="0"/>
        <w:jc w:val="both"/>
        <w:rPr>
          <w:sz w:val="20"/>
        </w:rPr>
      </w:pPr>
    </w:p>
    <w:p w:rsidR="009D7F27" w:rsidRPr="00437F82" w:rsidRDefault="009D7F27" w:rsidP="006B02C7">
      <w:pPr>
        <w:widowControl w:val="0"/>
        <w:jc w:val="both"/>
        <w:rPr>
          <w:sz w:val="20"/>
        </w:rPr>
      </w:pPr>
      <w:r w:rsidRPr="00437F82">
        <w:rPr>
          <w:sz w:val="20"/>
        </w:rPr>
        <w:t xml:space="preserve">The appellant arrived at the Toronto airport on a flight from Antigua. After he exited the airport, an unclaimed suitcase with luggage tags in his name was taken off the luggage carousel, searched and found to contain 15 kg of cocaine. The appellant denied checking the suitcase on the flight and denied any knowledge of the drugs. The trial judge found the appellant’s testimony to be unworthy of belief and incapable of raising a reasonable doubt in the Crown’s case. He convicted the appellant of importing cocaine. The majority of the Court of Appeal dismissed the appeal. </w:t>
      </w:r>
      <w:proofErr w:type="spellStart"/>
      <w:r w:rsidRPr="00437F82">
        <w:rPr>
          <w:sz w:val="20"/>
        </w:rPr>
        <w:t>Pardu</w:t>
      </w:r>
      <w:proofErr w:type="spellEnd"/>
      <w:r w:rsidRPr="00437F82">
        <w:rPr>
          <w:sz w:val="20"/>
        </w:rPr>
        <w:t xml:space="preserve"> J.A., dissenting, would have allowed the appeal. He was of the view that a misstatement by the trial judge of the onus of proof under the third step of </w:t>
      </w:r>
      <w:r w:rsidRPr="00437F82">
        <w:rPr>
          <w:i/>
          <w:sz w:val="20"/>
        </w:rPr>
        <w:t>R. v. W.(D.)</w:t>
      </w:r>
      <w:r w:rsidRPr="00437F82">
        <w:rPr>
          <w:sz w:val="20"/>
        </w:rPr>
        <w:t>, [1991] 1 S.C.R. 742, combined with the failure of the trial judge to make a finding of fact about whether the appellant knew about the cocaine in his suitcase, warranted a new trial.</w:t>
      </w:r>
    </w:p>
    <w:p w:rsidR="009D7F27" w:rsidRPr="00437F82" w:rsidRDefault="009D7F27" w:rsidP="006B02C7">
      <w:pPr>
        <w:widowControl w:val="0"/>
        <w:jc w:val="both"/>
        <w:rPr>
          <w:sz w:val="20"/>
        </w:rPr>
      </w:pPr>
    </w:p>
    <w:p w:rsidR="009D7F27" w:rsidRPr="00437F82" w:rsidRDefault="002526AE" w:rsidP="006B02C7">
      <w:pPr>
        <w:widowControl w:val="0"/>
        <w:jc w:val="both"/>
        <w:rPr>
          <w:sz w:val="20"/>
        </w:rPr>
      </w:pPr>
      <w:r>
        <w:rPr>
          <w:sz w:val="20"/>
          <w:szCs w:val="20"/>
          <w:lang w:val="fr-CA"/>
        </w:rPr>
        <w:pict>
          <v:rect id="_x0000_i1041" style="width:2in;height:1pt" o:hrpct="0" o:hralign="center" o:hrstd="t" o:hrnoshade="t" o:hr="t" fillcolor="black [3213]" stroked="f"/>
        </w:pict>
      </w:r>
    </w:p>
    <w:p w:rsidR="009D7F27" w:rsidRPr="00437F82" w:rsidRDefault="009D7F27" w:rsidP="006B02C7">
      <w:pPr>
        <w:widowControl w:val="0"/>
        <w:jc w:val="both"/>
        <w:rPr>
          <w:sz w:val="20"/>
        </w:rPr>
      </w:pPr>
    </w:p>
    <w:p w:rsidR="009D7F27" w:rsidRPr="00437F82" w:rsidRDefault="009D7F27" w:rsidP="001D0FF3">
      <w:pPr>
        <w:widowControl w:val="0"/>
        <w:jc w:val="both"/>
        <w:rPr>
          <w:b/>
          <w:i/>
          <w:sz w:val="20"/>
          <w:lang w:val="fr-CA"/>
        </w:rPr>
      </w:pPr>
      <w:r w:rsidRPr="00437F82">
        <w:rPr>
          <w:b/>
          <w:sz w:val="20"/>
          <w:lang w:val="fr-CA"/>
        </w:rPr>
        <w:fldChar w:fldCharType="begin"/>
      </w:r>
      <w:r w:rsidRPr="00437F82">
        <w:rPr>
          <w:b/>
          <w:sz w:val="20"/>
          <w:lang w:val="fr-CA"/>
        </w:rPr>
        <w:instrText xml:space="preserve"> SEQ CHAPTER \h \r 1</w:instrText>
      </w:r>
      <w:r w:rsidRPr="00437F82">
        <w:rPr>
          <w:b/>
          <w:sz w:val="20"/>
          <w:lang w:val="fr-CA"/>
        </w:rPr>
        <w:fldChar w:fldCharType="end"/>
      </w:r>
      <w:r w:rsidRPr="00437F82">
        <w:rPr>
          <w:b/>
          <w:sz w:val="20"/>
          <w:lang w:val="fr-CA"/>
        </w:rPr>
        <w:t>37665</w:t>
      </w:r>
      <w:r w:rsidRPr="00437F82">
        <w:rPr>
          <w:sz w:val="20"/>
          <w:lang w:val="fr-CA"/>
        </w:rPr>
        <w:tab/>
      </w:r>
      <w:r w:rsidRPr="00437F82">
        <w:rPr>
          <w:b/>
          <w:i/>
          <w:sz w:val="20"/>
          <w:lang w:val="fr-CA"/>
        </w:rPr>
        <w:t>Omar Black c. Sa Majesté la Reine</w:t>
      </w:r>
    </w:p>
    <w:p w:rsidR="009D7F27" w:rsidRPr="00437F82" w:rsidRDefault="009D7F27" w:rsidP="001D0FF3">
      <w:pPr>
        <w:widowControl w:val="0"/>
        <w:ind w:firstLine="720"/>
        <w:jc w:val="both"/>
        <w:rPr>
          <w:sz w:val="20"/>
          <w:lang w:val="fr-CA"/>
        </w:rPr>
      </w:pPr>
      <w:r w:rsidRPr="00437F82">
        <w:rPr>
          <w:sz w:val="20"/>
          <w:lang w:val="fr-CA"/>
        </w:rPr>
        <w:t>(Ont.) (Criminelle) (De plein droit)</w:t>
      </w:r>
    </w:p>
    <w:p w:rsidR="009D7F27" w:rsidRPr="00437F82" w:rsidRDefault="009D7F27" w:rsidP="006B02C7">
      <w:pPr>
        <w:widowControl w:val="0"/>
        <w:jc w:val="both"/>
        <w:rPr>
          <w:sz w:val="20"/>
          <w:lang w:val="fr-CA"/>
        </w:rPr>
      </w:pPr>
    </w:p>
    <w:p w:rsidR="009D7F27" w:rsidRPr="00437F82" w:rsidRDefault="009D7F27" w:rsidP="006B02C7">
      <w:pPr>
        <w:widowControl w:val="0"/>
        <w:jc w:val="both"/>
        <w:rPr>
          <w:sz w:val="20"/>
          <w:lang w:val="fr-CA"/>
        </w:rPr>
      </w:pPr>
      <w:r w:rsidRPr="00437F82">
        <w:rPr>
          <w:sz w:val="20"/>
          <w:lang w:val="fr-CA"/>
        </w:rPr>
        <w:t>Droit de la preuve - Fardeau de la preuve - Suffisance des motifs - L’accusé a été déclaré coupable de trafic de cocaïne - La Cour d’appel a confirmé la déclaration de culpabilité - Le juge du procès a-t-il commis une erreur en énonçant mal et en appliquant mal le fardeau de la preuve à la troisième étape de la démarche établie par l’arrêt</w:t>
      </w:r>
      <w:r w:rsidRPr="00437F82">
        <w:rPr>
          <w:i/>
          <w:sz w:val="20"/>
          <w:lang w:val="fr-CA"/>
        </w:rPr>
        <w:t xml:space="preserve"> W</w:t>
      </w:r>
      <w:proofErr w:type="gramStart"/>
      <w:r w:rsidRPr="00437F82">
        <w:rPr>
          <w:i/>
          <w:sz w:val="20"/>
          <w:lang w:val="fr-CA"/>
        </w:rPr>
        <w:t>.(</w:t>
      </w:r>
      <w:proofErr w:type="gramEnd"/>
      <w:r w:rsidRPr="00437F82">
        <w:rPr>
          <w:i/>
          <w:sz w:val="20"/>
          <w:lang w:val="fr-CA"/>
        </w:rPr>
        <w:t>D.)</w:t>
      </w:r>
      <w:r w:rsidRPr="00437F82">
        <w:rPr>
          <w:sz w:val="20"/>
          <w:lang w:val="fr-CA"/>
        </w:rPr>
        <w:t xml:space="preserve">? - Le juge du procès a-t-il eu tort de ne pas avoir fourni des motifs suffisants sur la question de la </w:t>
      </w:r>
      <w:r w:rsidRPr="00437F82">
        <w:rPr>
          <w:i/>
          <w:sz w:val="20"/>
          <w:lang w:val="fr-CA"/>
        </w:rPr>
        <w:t xml:space="preserve">mens </w:t>
      </w:r>
      <w:proofErr w:type="spellStart"/>
      <w:r w:rsidRPr="00437F82">
        <w:rPr>
          <w:i/>
          <w:sz w:val="20"/>
          <w:lang w:val="fr-CA"/>
        </w:rPr>
        <w:t>rea</w:t>
      </w:r>
      <w:proofErr w:type="spellEnd"/>
      <w:r w:rsidRPr="00437F82">
        <w:rPr>
          <w:sz w:val="20"/>
          <w:lang w:val="fr-CA"/>
        </w:rPr>
        <w:t>, en particulier en ce qui concerne la connaissance de l’accusé?</w:t>
      </w:r>
    </w:p>
    <w:p w:rsidR="009D7F27" w:rsidRPr="00437F82" w:rsidRDefault="009D7F27" w:rsidP="006B02C7">
      <w:pPr>
        <w:widowControl w:val="0"/>
        <w:jc w:val="both"/>
        <w:rPr>
          <w:sz w:val="20"/>
          <w:lang w:val="fr-CA"/>
        </w:rPr>
      </w:pPr>
    </w:p>
    <w:p w:rsidR="009D7F27" w:rsidRPr="00437F82" w:rsidRDefault="009D7F27" w:rsidP="006B02C7">
      <w:pPr>
        <w:widowControl w:val="0"/>
        <w:jc w:val="both"/>
        <w:rPr>
          <w:sz w:val="20"/>
          <w:lang w:val="fr-CA"/>
        </w:rPr>
      </w:pPr>
      <w:r w:rsidRPr="00437F82">
        <w:rPr>
          <w:sz w:val="20"/>
          <w:lang w:val="fr-CA"/>
        </w:rPr>
        <w:t xml:space="preserve">L’appelant est arrivé à l’aéroport de Toronto à bord d’un vol en provenance d’Antigua. Après sa sortie de l’aéroport, une valise non réclamée munie d’un porte-adresse sur lequel était inscrit son nom a été retirée du carrousel de bagages et fouillée, ce qui a permis de découvrir 15 kilos de cocaïne. Le demandeur a nié avoir enregistré la valise sur le vol et il a nié toute connaissance de la drogue. Le juge du procès a conclu que le témoignage de l’appelant n’était pas digne de foi et qu’il n’était pas susceptible de soulever un doute raisonnable quant à la preuve du ministère public. Il a déclaré l’appelant coupable d’importation de cocaïne. Les juges majoritaires de la Cour d’appel ont rejeté l’appel. Le juge </w:t>
      </w:r>
      <w:proofErr w:type="spellStart"/>
      <w:r w:rsidRPr="00437F82">
        <w:rPr>
          <w:sz w:val="20"/>
          <w:lang w:val="fr-CA"/>
        </w:rPr>
        <w:t>Pardu</w:t>
      </w:r>
      <w:proofErr w:type="spellEnd"/>
      <w:r w:rsidRPr="00437F82">
        <w:rPr>
          <w:sz w:val="20"/>
          <w:lang w:val="fr-CA"/>
        </w:rPr>
        <w:t xml:space="preserve">, dissident, était d’avis d’accueillir l’appel. À son avis, parce que le juge du procès avait mal énoncé le fardeau de la preuve à la troisième étape de la démarche établie par l’arrêt </w:t>
      </w:r>
      <w:r w:rsidRPr="00437F82">
        <w:rPr>
          <w:i/>
          <w:sz w:val="20"/>
          <w:lang w:val="fr-CA"/>
        </w:rPr>
        <w:t>R. c. W</w:t>
      </w:r>
      <w:proofErr w:type="gramStart"/>
      <w:r w:rsidRPr="00437F82">
        <w:rPr>
          <w:i/>
          <w:sz w:val="20"/>
          <w:lang w:val="fr-CA"/>
        </w:rPr>
        <w:t>.(</w:t>
      </w:r>
      <w:proofErr w:type="gramEnd"/>
      <w:r w:rsidRPr="00437F82">
        <w:rPr>
          <w:i/>
          <w:sz w:val="20"/>
          <w:lang w:val="fr-CA"/>
        </w:rPr>
        <w:t>D.)</w:t>
      </w:r>
      <w:r w:rsidRPr="00437F82">
        <w:rPr>
          <w:sz w:val="20"/>
          <w:lang w:val="fr-CA"/>
        </w:rPr>
        <w:t>, [1991] 1 R.C.S. 742, et parce que le juge du procès n’avait pas tiré de conclusion de fait sur la question de savoir si l’appelant avait connaissance de la cocaïne dans sa valise, un nouveau procès était justifié.</w:t>
      </w:r>
    </w:p>
    <w:p w:rsidR="00FC100D" w:rsidRPr="00437F82" w:rsidRDefault="00FC100D" w:rsidP="006B02C7">
      <w:pPr>
        <w:widowControl w:val="0"/>
        <w:jc w:val="both"/>
        <w:rPr>
          <w:sz w:val="20"/>
          <w:lang w:val="fr-CA"/>
        </w:rPr>
      </w:pPr>
    </w:p>
    <w:p w:rsidR="00FC100D" w:rsidRPr="00437F82" w:rsidRDefault="002526AE" w:rsidP="006B02C7">
      <w:pPr>
        <w:widowControl w:val="0"/>
        <w:jc w:val="both"/>
        <w:rPr>
          <w:sz w:val="20"/>
          <w:lang w:val="fr-CA"/>
        </w:rPr>
      </w:pPr>
      <w:r>
        <w:rPr>
          <w:sz w:val="20"/>
          <w:szCs w:val="20"/>
          <w:lang w:val="fr-CA"/>
        </w:rPr>
        <w:pict>
          <v:rect id="_x0000_i1042" style="width:2in;height:1pt" o:hrpct="0" o:hralign="center" o:hrstd="t" o:hrnoshade="t" o:hr="t" fillcolor="black [3213]" stroked="f"/>
        </w:pict>
      </w:r>
    </w:p>
    <w:p w:rsidR="009D7F27" w:rsidRPr="00437F82" w:rsidRDefault="009D7F27" w:rsidP="006B02C7">
      <w:pPr>
        <w:widowControl w:val="0"/>
        <w:jc w:val="both"/>
        <w:rPr>
          <w:sz w:val="20"/>
          <w:lang w:val="fr-CA"/>
        </w:rPr>
      </w:pPr>
    </w:p>
    <w:p w:rsidR="009D7F27" w:rsidRPr="00437F82" w:rsidRDefault="009D7F27">
      <w:pPr>
        <w:rPr>
          <w:sz w:val="20"/>
          <w:lang w:val="fr-CA"/>
        </w:rPr>
      </w:pPr>
      <w:r w:rsidRPr="00437F82">
        <w:rPr>
          <w:sz w:val="20"/>
          <w:lang w:val="fr-CA"/>
        </w:rPr>
        <w:br w:type="page"/>
      </w:r>
    </w:p>
    <w:p w:rsidR="009D7F27" w:rsidRPr="00437F82" w:rsidRDefault="009D7F27" w:rsidP="009D7F27">
      <w:pPr>
        <w:widowControl w:val="0"/>
        <w:ind w:left="720" w:hanging="720"/>
        <w:jc w:val="both"/>
        <w:rPr>
          <w:b/>
          <w:i/>
          <w:sz w:val="20"/>
        </w:rPr>
      </w:pPr>
      <w:r w:rsidRPr="00437F82">
        <w:rPr>
          <w:b/>
          <w:sz w:val="20"/>
        </w:rPr>
        <w:fldChar w:fldCharType="begin"/>
      </w:r>
      <w:r w:rsidRPr="00437F82">
        <w:rPr>
          <w:b/>
          <w:sz w:val="20"/>
        </w:rPr>
        <w:instrText xml:space="preserve"> SEQ CHAPTER \h \r 1</w:instrText>
      </w:r>
      <w:r w:rsidRPr="00437F82">
        <w:rPr>
          <w:b/>
          <w:sz w:val="20"/>
        </w:rPr>
        <w:fldChar w:fldCharType="end"/>
      </w:r>
      <w:r w:rsidRPr="00437F82">
        <w:rPr>
          <w:b/>
          <w:sz w:val="20"/>
        </w:rPr>
        <w:t>37476</w:t>
      </w:r>
      <w:r w:rsidRPr="00437F82">
        <w:rPr>
          <w:sz w:val="20"/>
        </w:rPr>
        <w:tab/>
      </w:r>
      <w:r w:rsidRPr="00437F82">
        <w:rPr>
          <w:b/>
          <w:i/>
          <w:sz w:val="20"/>
        </w:rPr>
        <w:t xml:space="preserve">Her Majesty the Queen v. Derek Brassington, David </w:t>
      </w:r>
      <w:proofErr w:type="spellStart"/>
      <w:r w:rsidRPr="00437F82">
        <w:rPr>
          <w:b/>
          <w:i/>
          <w:sz w:val="20"/>
        </w:rPr>
        <w:t>Attew</w:t>
      </w:r>
      <w:proofErr w:type="spellEnd"/>
      <w:r w:rsidRPr="00437F82">
        <w:rPr>
          <w:b/>
          <w:i/>
          <w:sz w:val="20"/>
        </w:rPr>
        <w:t>, Paul Johnston and Danny Michaud</w:t>
      </w:r>
    </w:p>
    <w:p w:rsidR="009D7F27" w:rsidRPr="00437F82" w:rsidRDefault="009D7F27" w:rsidP="009D7F27">
      <w:pPr>
        <w:widowControl w:val="0"/>
        <w:ind w:left="720"/>
        <w:jc w:val="both"/>
        <w:rPr>
          <w:b/>
          <w:i/>
          <w:sz w:val="20"/>
        </w:rPr>
      </w:pPr>
      <w:r w:rsidRPr="00437F82">
        <w:rPr>
          <w:b/>
          <w:i/>
          <w:sz w:val="20"/>
        </w:rPr>
        <w:t xml:space="preserve">- </w:t>
      </w:r>
      <w:proofErr w:type="gramStart"/>
      <w:r w:rsidRPr="00437F82">
        <w:rPr>
          <w:b/>
          <w:i/>
          <w:sz w:val="20"/>
        </w:rPr>
        <w:t>and</w:t>
      </w:r>
      <w:proofErr w:type="gramEnd"/>
      <w:r w:rsidRPr="00437F82">
        <w:rPr>
          <w:b/>
          <w:i/>
          <w:sz w:val="20"/>
        </w:rPr>
        <w:t xml:space="preserve"> -</w:t>
      </w:r>
    </w:p>
    <w:p w:rsidR="009D7F27" w:rsidRPr="00437F82" w:rsidRDefault="009D7F27" w:rsidP="009D7F27">
      <w:pPr>
        <w:widowControl w:val="0"/>
        <w:ind w:left="720"/>
        <w:jc w:val="both"/>
        <w:rPr>
          <w:b/>
          <w:i/>
          <w:sz w:val="20"/>
        </w:rPr>
      </w:pPr>
      <w:r w:rsidRPr="00437F82">
        <w:rPr>
          <w:b/>
          <w:i/>
          <w:sz w:val="20"/>
        </w:rPr>
        <w:t xml:space="preserve">Person A v. Derek Brassington, David </w:t>
      </w:r>
      <w:proofErr w:type="spellStart"/>
      <w:r w:rsidRPr="00437F82">
        <w:rPr>
          <w:b/>
          <w:i/>
          <w:sz w:val="20"/>
        </w:rPr>
        <w:t>Attew</w:t>
      </w:r>
      <w:proofErr w:type="spellEnd"/>
      <w:r w:rsidRPr="00437F82">
        <w:rPr>
          <w:b/>
          <w:i/>
          <w:sz w:val="20"/>
        </w:rPr>
        <w:t>, Paul Johnston and Danny Michaud</w:t>
      </w:r>
    </w:p>
    <w:p w:rsidR="009D7F27" w:rsidRPr="00437F82" w:rsidRDefault="009D7F27" w:rsidP="009D7F27">
      <w:pPr>
        <w:widowControl w:val="0"/>
        <w:ind w:left="720"/>
        <w:jc w:val="both"/>
        <w:rPr>
          <w:b/>
          <w:i/>
          <w:sz w:val="20"/>
        </w:rPr>
      </w:pPr>
      <w:r w:rsidRPr="00437F82">
        <w:rPr>
          <w:b/>
          <w:i/>
          <w:sz w:val="20"/>
        </w:rPr>
        <w:t xml:space="preserve">- </w:t>
      </w:r>
      <w:proofErr w:type="gramStart"/>
      <w:r w:rsidRPr="00437F82">
        <w:rPr>
          <w:b/>
          <w:i/>
          <w:sz w:val="20"/>
        </w:rPr>
        <w:t>and</w:t>
      </w:r>
      <w:proofErr w:type="gramEnd"/>
      <w:r w:rsidRPr="00437F82">
        <w:rPr>
          <w:b/>
          <w:i/>
          <w:sz w:val="20"/>
        </w:rPr>
        <w:t xml:space="preserve"> -</w:t>
      </w:r>
    </w:p>
    <w:p w:rsidR="009D7F27" w:rsidRPr="00437F82" w:rsidRDefault="009D7F27" w:rsidP="009D7F27">
      <w:pPr>
        <w:widowControl w:val="0"/>
        <w:ind w:left="720"/>
        <w:jc w:val="both"/>
        <w:rPr>
          <w:b/>
          <w:i/>
          <w:sz w:val="20"/>
        </w:rPr>
      </w:pPr>
      <w:r w:rsidRPr="00437F82">
        <w:rPr>
          <w:b/>
          <w:i/>
          <w:sz w:val="20"/>
        </w:rPr>
        <w:t xml:space="preserve">Attorney General of Canada v. Derek Brassington, David </w:t>
      </w:r>
      <w:proofErr w:type="spellStart"/>
      <w:r w:rsidRPr="00437F82">
        <w:rPr>
          <w:b/>
          <w:i/>
          <w:sz w:val="20"/>
        </w:rPr>
        <w:t>Attew</w:t>
      </w:r>
      <w:proofErr w:type="spellEnd"/>
      <w:r w:rsidRPr="00437F82">
        <w:rPr>
          <w:b/>
          <w:i/>
          <w:sz w:val="20"/>
        </w:rPr>
        <w:t>, Paul Johnston and Danny Michaud</w:t>
      </w:r>
    </w:p>
    <w:p w:rsidR="009D7F27" w:rsidRPr="00437F82" w:rsidRDefault="009D7F27" w:rsidP="009D7F27">
      <w:pPr>
        <w:widowControl w:val="0"/>
        <w:ind w:left="720"/>
        <w:jc w:val="both"/>
        <w:rPr>
          <w:b/>
          <w:i/>
          <w:sz w:val="20"/>
        </w:rPr>
      </w:pPr>
      <w:r w:rsidRPr="00437F82">
        <w:rPr>
          <w:b/>
          <w:i/>
          <w:sz w:val="20"/>
        </w:rPr>
        <w:t xml:space="preserve">- </w:t>
      </w:r>
      <w:proofErr w:type="gramStart"/>
      <w:r w:rsidRPr="00437F82">
        <w:rPr>
          <w:b/>
          <w:i/>
          <w:sz w:val="20"/>
        </w:rPr>
        <w:t>and</w:t>
      </w:r>
      <w:proofErr w:type="gramEnd"/>
      <w:r w:rsidRPr="00437F82">
        <w:rPr>
          <w:b/>
          <w:i/>
          <w:sz w:val="20"/>
        </w:rPr>
        <w:t xml:space="preserve"> -</w:t>
      </w:r>
    </w:p>
    <w:p w:rsidR="009D7F27" w:rsidRPr="00437F82" w:rsidRDefault="009D7F27" w:rsidP="009D7F27">
      <w:pPr>
        <w:widowControl w:val="0"/>
        <w:ind w:left="720"/>
        <w:jc w:val="both"/>
        <w:rPr>
          <w:b/>
          <w:i/>
          <w:sz w:val="20"/>
        </w:rPr>
      </w:pPr>
      <w:r w:rsidRPr="00437F82">
        <w:rPr>
          <w:b/>
          <w:i/>
          <w:sz w:val="20"/>
        </w:rPr>
        <w:t xml:space="preserve">Her Majesty the Queen v. Derek Brassington, David </w:t>
      </w:r>
      <w:proofErr w:type="spellStart"/>
      <w:r w:rsidRPr="00437F82">
        <w:rPr>
          <w:b/>
          <w:i/>
          <w:sz w:val="20"/>
        </w:rPr>
        <w:t>Attew</w:t>
      </w:r>
      <w:proofErr w:type="spellEnd"/>
      <w:r w:rsidRPr="00437F82">
        <w:rPr>
          <w:b/>
          <w:i/>
          <w:sz w:val="20"/>
        </w:rPr>
        <w:t>, Paul Johnston and Danny Michaud</w:t>
      </w:r>
    </w:p>
    <w:p w:rsidR="009D7F27" w:rsidRPr="00437F82" w:rsidRDefault="009D7F27" w:rsidP="009D7F27">
      <w:pPr>
        <w:widowControl w:val="0"/>
        <w:ind w:left="720"/>
        <w:jc w:val="both"/>
        <w:rPr>
          <w:b/>
          <w:i/>
          <w:sz w:val="20"/>
        </w:rPr>
      </w:pPr>
      <w:r w:rsidRPr="00437F82">
        <w:rPr>
          <w:b/>
          <w:i/>
          <w:sz w:val="20"/>
        </w:rPr>
        <w:t xml:space="preserve">- </w:t>
      </w:r>
      <w:proofErr w:type="gramStart"/>
      <w:r w:rsidRPr="00437F82">
        <w:rPr>
          <w:b/>
          <w:i/>
          <w:sz w:val="20"/>
        </w:rPr>
        <w:t>and</w:t>
      </w:r>
      <w:proofErr w:type="gramEnd"/>
      <w:r w:rsidRPr="00437F82">
        <w:rPr>
          <w:b/>
          <w:i/>
          <w:sz w:val="20"/>
        </w:rPr>
        <w:t xml:space="preserve"> -</w:t>
      </w:r>
    </w:p>
    <w:p w:rsidR="009D7F27" w:rsidRPr="00437F82" w:rsidRDefault="009D7F27" w:rsidP="009D7F27">
      <w:pPr>
        <w:widowControl w:val="0"/>
        <w:ind w:left="720"/>
        <w:jc w:val="both"/>
        <w:rPr>
          <w:b/>
          <w:i/>
          <w:sz w:val="20"/>
        </w:rPr>
      </w:pPr>
      <w:r w:rsidRPr="00437F82">
        <w:rPr>
          <w:b/>
          <w:i/>
          <w:sz w:val="20"/>
        </w:rPr>
        <w:t xml:space="preserve">Person A v. Derek Brassington, David </w:t>
      </w:r>
      <w:proofErr w:type="spellStart"/>
      <w:r w:rsidRPr="00437F82">
        <w:rPr>
          <w:b/>
          <w:i/>
          <w:sz w:val="20"/>
        </w:rPr>
        <w:t>Attew</w:t>
      </w:r>
      <w:proofErr w:type="spellEnd"/>
      <w:r w:rsidRPr="00437F82">
        <w:rPr>
          <w:b/>
          <w:i/>
          <w:sz w:val="20"/>
        </w:rPr>
        <w:t>, Paul Johnston and Danny Michaud</w:t>
      </w:r>
    </w:p>
    <w:p w:rsidR="009D7F27" w:rsidRPr="00437F82" w:rsidRDefault="009D7F27" w:rsidP="009D7F27">
      <w:pPr>
        <w:widowControl w:val="0"/>
        <w:ind w:left="720"/>
        <w:jc w:val="both"/>
        <w:rPr>
          <w:b/>
          <w:i/>
          <w:sz w:val="20"/>
        </w:rPr>
      </w:pPr>
      <w:r w:rsidRPr="00437F82">
        <w:rPr>
          <w:b/>
          <w:i/>
          <w:sz w:val="20"/>
        </w:rPr>
        <w:t xml:space="preserve">- </w:t>
      </w:r>
      <w:proofErr w:type="gramStart"/>
      <w:r w:rsidRPr="00437F82">
        <w:rPr>
          <w:b/>
          <w:i/>
          <w:sz w:val="20"/>
        </w:rPr>
        <w:t>and</w:t>
      </w:r>
      <w:proofErr w:type="gramEnd"/>
      <w:r w:rsidRPr="00437F82">
        <w:rPr>
          <w:b/>
          <w:i/>
          <w:sz w:val="20"/>
        </w:rPr>
        <w:t xml:space="preserve"> -</w:t>
      </w:r>
    </w:p>
    <w:p w:rsidR="009D7F27" w:rsidRPr="00437F82" w:rsidRDefault="009D7F27" w:rsidP="009D7F27">
      <w:pPr>
        <w:widowControl w:val="0"/>
        <w:ind w:left="720"/>
        <w:jc w:val="both"/>
        <w:rPr>
          <w:b/>
          <w:i/>
          <w:sz w:val="20"/>
        </w:rPr>
      </w:pPr>
      <w:r w:rsidRPr="00437F82">
        <w:rPr>
          <w:b/>
          <w:i/>
          <w:sz w:val="20"/>
        </w:rPr>
        <w:t xml:space="preserve">Superintendent Gary </w:t>
      </w:r>
      <w:proofErr w:type="spellStart"/>
      <w:r w:rsidRPr="00437F82">
        <w:rPr>
          <w:b/>
          <w:i/>
          <w:sz w:val="20"/>
        </w:rPr>
        <w:t>Shinkaruk</w:t>
      </w:r>
      <w:proofErr w:type="spellEnd"/>
      <w:r w:rsidRPr="00437F82">
        <w:rPr>
          <w:b/>
          <w:i/>
          <w:sz w:val="20"/>
        </w:rPr>
        <w:t xml:space="preserve"> v. Derek Brassington, David </w:t>
      </w:r>
      <w:proofErr w:type="spellStart"/>
      <w:r w:rsidRPr="00437F82">
        <w:rPr>
          <w:b/>
          <w:i/>
          <w:sz w:val="20"/>
        </w:rPr>
        <w:t>Attew</w:t>
      </w:r>
      <w:proofErr w:type="spellEnd"/>
      <w:r w:rsidRPr="00437F82">
        <w:rPr>
          <w:b/>
          <w:i/>
          <w:sz w:val="20"/>
        </w:rPr>
        <w:t>, Paul Johnston and Danny Michaud</w:t>
      </w:r>
    </w:p>
    <w:p w:rsidR="009D7F27" w:rsidRPr="00437F82" w:rsidRDefault="009D7F27" w:rsidP="009D7F27">
      <w:pPr>
        <w:widowControl w:val="0"/>
        <w:ind w:left="1440" w:hanging="720"/>
        <w:jc w:val="both"/>
        <w:rPr>
          <w:sz w:val="20"/>
        </w:rPr>
      </w:pPr>
      <w:r w:rsidRPr="00437F82">
        <w:rPr>
          <w:sz w:val="20"/>
        </w:rPr>
        <w:t>(B.C.) (Criminal) (By Leave)</w:t>
      </w:r>
    </w:p>
    <w:p w:rsidR="009D7F27" w:rsidRPr="00437F82" w:rsidRDefault="009D7F27" w:rsidP="009D7F27">
      <w:pPr>
        <w:widowControl w:val="0"/>
        <w:jc w:val="both"/>
        <w:rPr>
          <w:sz w:val="20"/>
        </w:rPr>
      </w:pPr>
    </w:p>
    <w:p w:rsidR="009D7F27" w:rsidRPr="00437F82" w:rsidRDefault="009D7F27" w:rsidP="009D7F27">
      <w:pPr>
        <w:pStyle w:val="SCCBanSummary"/>
        <w:rPr>
          <w:sz w:val="20"/>
          <w:szCs w:val="20"/>
        </w:rPr>
      </w:pPr>
      <w:r w:rsidRPr="00437F82">
        <w:rPr>
          <w:sz w:val="20"/>
          <w:szCs w:val="20"/>
        </w:rPr>
        <w:t xml:space="preserve">(Publication ban in case) </w:t>
      </w:r>
    </w:p>
    <w:p w:rsidR="009D7F27" w:rsidRPr="00437F82" w:rsidRDefault="009D7F27" w:rsidP="009D7F27">
      <w:pPr>
        <w:rPr>
          <w:sz w:val="20"/>
        </w:rPr>
      </w:pPr>
    </w:p>
    <w:p w:rsidR="009D7F27" w:rsidRPr="00437F82" w:rsidRDefault="009D7F27" w:rsidP="009D7F27">
      <w:pPr>
        <w:widowControl w:val="0"/>
        <w:jc w:val="both"/>
        <w:rPr>
          <w:sz w:val="20"/>
        </w:rPr>
      </w:pPr>
      <w:r w:rsidRPr="00437F82">
        <w:rPr>
          <w:sz w:val="20"/>
        </w:rPr>
        <w:t>Criminal law.</w:t>
      </w:r>
      <w:bookmarkStart w:id="3" w:name="_GoBack"/>
      <w:bookmarkEnd w:id="3"/>
    </w:p>
    <w:p w:rsidR="009D7F27" w:rsidRPr="00437F82" w:rsidRDefault="009D7F27" w:rsidP="009D7F27">
      <w:pPr>
        <w:widowControl w:val="0"/>
        <w:jc w:val="both"/>
        <w:rPr>
          <w:sz w:val="20"/>
        </w:rPr>
      </w:pPr>
    </w:p>
    <w:p w:rsidR="009D7F27" w:rsidRPr="00437F82" w:rsidRDefault="009D7F27" w:rsidP="009D7F27">
      <w:pPr>
        <w:jc w:val="both"/>
        <w:rPr>
          <w:sz w:val="20"/>
        </w:rPr>
      </w:pPr>
      <w:r w:rsidRPr="00437F82">
        <w:rPr>
          <w:sz w:val="20"/>
        </w:rPr>
        <w:t>In the context of the investigation of the gang-related homicides of six individuals, known as the “Surrey Six”, four RCMP officers were charged with breach of trust, obstruction of justice and fraud allegedly committed in the course of their duties during the investigation, relating to allegations that they engaged in inappropriate conduct while managing a protected witness.</w:t>
      </w:r>
    </w:p>
    <w:p w:rsidR="009D7F27" w:rsidRPr="00437F82" w:rsidRDefault="009D7F27" w:rsidP="009D7F27">
      <w:pPr>
        <w:jc w:val="both"/>
        <w:rPr>
          <w:sz w:val="20"/>
        </w:rPr>
      </w:pPr>
    </w:p>
    <w:p w:rsidR="009D7F27" w:rsidRPr="00437F82" w:rsidRDefault="002526AE" w:rsidP="009D7F27">
      <w:pPr>
        <w:jc w:val="both"/>
        <w:rPr>
          <w:sz w:val="20"/>
        </w:rPr>
      </w:pPr>
      <w:r>
        <w:rPr>
          <w:sz w:val="20"/>
          <w:szCs w:val="20"/>
          <w:lang w:val="fr-CA"/>
        </w:rPr>
        <w:pict>
          <v:rect id="_x0000_i1043" style="width:2in;height:1pt" o:hrpct="0" o:hralign="center" o:hrstd="t" o:hrnoshade="t" o:hr="t" fillcolor="black [3213]" stroked="f"/>
        </w:pict>
      </w:r>
    </w:p>
    <w:p w:rsidR="009D7F27" w:rsidRPr="00437F82" w:rsidRDefault="009D7F27" w:rsidP="009D7F27">
      <w:pPr>
        <w:jc w:val="both"/>
        <w:rPr>
          <w:sz w:val="20"/>
        </w:rPr>
      </w:pPr>
    </w:p>
    <w:p w:rsidR="009D7F27" w:rsidRPr="00437F82" w:rsidRDefault="009D7F27" w:rsidP="009D7F27">
      <w:pPr>
        <w:widowControl w:val="0"/>
        <w:ind w:left="720" w:hanging="720"/>
        <w:jc w:val="both"/>
        <w:rPr>
          <w:b/>
          <w:i/>
          <w:sz w:val="20"/>
          <w:lang w:val="fr-CA"/>
        </w:rPr>
      </w:pPr>
      <w:r w:rsidRPr="00437F82">
        <w:rPr>
          <w:b/>
          <w:sz w:val="20"/>
          <w:lang w:val="fr-CA"/>
        </w:rPr>
        <w:fldChar w:fldCharType="begin"/>
      </w:r>
      <w:r w:rsidRPr="00437F82">
        <w:rPr>
          <w:b/>
          <w:sz w:val="20"/>
          <w:lang w:val="fr-CA"/>
        </w:rPr>
        <w:instrText xml:space="preserve"> SEQ CHAPTER \h \r 1</w:instrText>
      </w:r>
      <w:r w:rsidRPr="00437F82">
        <w:rPr>
          <w:b/>
          <w:sz w:val="20"/>
          <w:lang w:val="fr-CA"/>
        </w:rPr>
        <w:fldChar w:fldCharType="end"/>
      </w:r>
      <w:r w:rsidRPr="00437F82">
        <w:rPr>
          <w:b/>
          <w:sz w:val="20"/>
          <w:lang w:val="fr-CA"/>
        </w:rPr>
        <w:t>37476</w:t>
      </w:r>
      <w:r w:rsidRPr="00437F82">
        <w:rPr>
          <w:sz w:val="20"/>
          <w:lang w:val="fr-CA"/>
        </w:rPr>
        <w:tab/>
      </w:r>
      <w:r w:rsidRPr="00437F82">
        <w:rPr>
          <w:b/>
          <w:i/>
          <w:sz w:val="20"/>
          <w:lang w:val="fr-CA"/>
        </w:rPr>
        <w:t xml:space="preserve">Sa Majesté la Reine c. Derek Brassington, David </w:t>
      </w:r>
      <w:proofErr w:type="spellStart"/>
      <w:r w:rsidRPr="00437F82">
        <w:rPr>
          <w:b/>
          <w:i/>
          <w:sz w:val="20"/>
          <w:lang w:val="fr-CA"/>
        </w:rPr>
        <w:t>Attew</w:t>
      </w:r>
      <w:proofErr w:type="spellEnd"/>
      <w:r w:rsidRPr="00437F82">
        <w:rPr>
          <w:b/>
          <w:i/>
          <w:sz w:val="20"/>
          <w:lang w:val="fr-CA"/>
        </w:rPr>
        <w:t>, Paul Johnston et Danny Michaud</w:t>
      </w:r>
    </w:p>
    <w:p w:rsidR="009D7F27" w:rsidRPr="00437F82" w:rsidRDefault="009D7F27" w:rsidP="009D7F27">
      <w:pPr>
        <w:widowControl w:val="0"/>
        <w:ind w:left="720"/>
        <w:jc w:val="both"/>
        <w:rPr>
          <w:b/>
          <w:i/>
          <w:sz w:val="20"/>
          <w:lang w:val="fr-CA"/>
        </w:rPr>
      </w:pPr>
      <w:r w:rsidRPr="00437F82">
        <w:rPr>
          <w:b/>
          <w:i/>
          <w:sz w:val="20"/>
          <w:lang w:val="fr-CA"/>
        </w:rPr>
        <w:t>- et -</w:t>
      </w:r>
    </w:p>
    <w:p w:rsidR="009D7F27" w:rsidRPr="00437F82" w:rsidRDefault="009D7F27" w:rsidP="009D7F27">
      <w:pPr>
        <w:widowControl w:val="0"/>
        <w:ind w:left="720"/>
        <w:jc w:val="both"/>
        <w:rPr>
          <w:b/>
          <w:i/>
          <w:sz w:val="20"/>
          <w:lang w:val="fr-CA"/>
        </w:rPr>
      </w:pPr>
      <w:r w:rsidRPr="00437F82">
        <w:rPr>
          <w:b/>
          <w:i/>
          <w:sz w:val="20"/>
          <w:lang w:val="fr-CA"/>
        </w:rPr>
        <w:t xml:space="preserve">Person A c. Derek Brassington, David </w:t>
      </w:r>
      <w:proofErr w:type="spellStart"/>
      <w:r w:rsidRPr="00437F82">
        <w:rPr>
          <w:b/>
          <w:i/>
          <w:sz w:val="20"/>
          <w:lang w:val="fr-CA"/>
        </w:rPr>
        <w:t>Attew</w:t>
      </w:r>
      <w:proofErr w:type="spellEnd"/>
      <w:r w:rsidRPr="00437F82">
        <w:rPr>
          <w:b/>
          <w:i/>
          <w:sz w:val="20"/>
          <w:lang w:val="fr-CA"/>
        </w:rPr>
        <w:t>, Paul Johnston et Danny Michaud</w:t>
      </w:r>
    </w:p>
    <w:p w:rsidR="009D7F27" w:rsidRPr="00437F82" w:rsidRDefault="009D7F27" w:rsidP="009D7F27">
      <w:pPr>
        <w:widowControl w:val="0"/>
        <w:ind w:left="720"/>
        <w:jc w:val="both"/>
        <w:rPr>
          <w:b/>
          <w:i/>
          <w:sz w:val="20"/>
          <w:lang w:val="fr-CA"/>
        </w:rPr>
      </w:pPr>
      <w:r w:rsidRPr="00437F82">
        <w:rPr>
          <w:b/>
          <w:i/>
          <w:sz w:val="20"/>
          <w:lang w:val="fr-CA"/>
        </w:rPr>
        <w:t>- et -</w:t>
      </w:r>
    </w:p>
    <w:p w:rsidR="009D7F27" w:rsidRPr="00437F82" w:rsidRDefault="009D7F27" w:rsidP="009D7F27">
      <w:pPr>
        <w:widowControl w:val="0"/>
        <w:ind w:left="720"/>
        <w:jc w:val="both"/>
        <w:rPr>
          <w:b/>
          <w:i/>
          <w:sz w:val="20"/>
          <w:lang w:val="fr-CA"/>
        </w:rPr>
      </w:pPr>
      <w:r w:rsidRPr="00437F82">
        <w:rPr>
          <w:b/>
          <w:i/>
          <w:sz w:val="20"/>
          <w:lang w:val="fr-CA"/>
        </w:rPr>
        <w:t xml:space="preserve">Procureur général du Canada c. Derek Brassington, David </w:t>
      </w:r>
      <w:proofErr w:type="spellStart"/>
      <w:r w:rsidRPr="00437F82">
        <w:rPr>
          <w:b/>
          <w:i/>
          <w:sz w:val="20"/>
          <w:lang w:val="fr-CA"/>
        </w:rPr>
        <w:t>Attew</w:t>
      </w:r>
      <w:proofErr w:type="spellEnd"/>
      <w:r w:rsidRPr="00437F82">
        <w:rPr>
          <w:b/>
          <w:i/>
          <w:sz w:val="20"/>
          <w:lang w:val="fr-CA"/>
        </w:rPr>
        <w:t>, Paul Johnston et Danny Michaud</w:t>
      </w:r>
    </w:p>
    <w:p w:rsidR="009D7F27" w:rsidRPr="00437F82" w:rsidRDefault="009D7F27" w:rsidP="009D7F27">
      <w:pPr>
        <w:widowControl w:val="0"/>
        <w:ind w:left="720"/>
        <w:jc w:val="both"/>
        <w:rPr>
          <w:b/>
          <w:i/>
          <w:sz w:val="20"/>
          <w:lang w:val="fr-CA"/>
        </w:rPr>
      </w:pPr>
      <w:r w:rsidRPr="00437F82">
        <w:rPr>
          <w:b/>
          <w:i/>
          <w:sz w:val="20"/>
          <w:lang w:val="fr-CA"/>
        </w:rPr>
        <w:t>- et -</w:t>
      </w:r>
    </w:p>
    <w:p w:rsidR="009D7F27" w:rsidRPr="00437F82" w:rsidRDefault="009D7F27" w:rsidP="009D7F27">
      <w:pPr>
        <w:widowControl w:val="0"/>
        <w:ind w:left="720"/>
        <w:jc w:val="both"/>
        <w:rPr>
          <w:b/>
          <w:i/>
          <w:sz w:val="20"/>
          <w:lang w:val="fr-CA"/>
        </w:rPr>
      </w:pPr>
      <w:r w:rsidRPr="00437F82">
        <w:rPr>
          <w:b/>
          <w:i/>
          <w:sz w:val="20"/>
          <w:lang w:val="fr-CA"/>
        </w:rPr>
        <w:t xml:space="preserve">Sa Majesté la Reine c. Derek Brassington, David </w:t>
      </w:r>
      <w:proofErr w:type="spellStart"/>
      <w:r w:rsidRPr="00437F82">
        <w:rPr>
          <w:b/>
          <w:i/>
          <w:sz w:val="20"/>
          <w:lang w:val="fr-CA"/>
        </w:rPr>
        <w:t>Attew</w:t>
      </w:r>
      <w:proofErr w:type="spellEnd"/>
      <w:r w:rsidRPr="00437F82">
        <w:rPr>
          <w:b/>
          <w:i/>
          <w:sz w:val="20"/>
          <w:lang w:val="fr-CA"/>
        </w:rPr>
        <w:t>, Paul Johnston et Danny Michaud</w:t>
      </w:r>
    </w:p>
    <w:p w:rsidR="009D7F27" w:rsidRPr="00437F82" w:rsidRDefault="009D7F27" w:rsidP="009D7F27">
      <w:pPr>
        <w:widowControl w:val="0"/>
        <w:ind w:left="720"/>
        <w:jc w:val="both"/>
        <w:rPr>
          <w:b/>
          <w:i/>
          <w:sz w:val="20"/>
          <w:lang w:val="fr-CA"/>
        </w:rPr>
      </w:pPr>
      <w:r w:rsidRPr="00437F82">
        <w:rPr>
          <w:b/>
          <w:i/>
          <w:sz w:val="20"/>
          <w:lang w:val="fr-CA"/>
        </w:rPr>
        <w:t>- et -</w:t>
      </w:r>
    </w:p>
    <w:p w:rsidR="009D7F27" w:rsidRPr="00437F82" w:rsidRDefault="009D7F27" w:rsidP="009D7F27">
      <w:pPr>
        <w:widowControl w:val="0"/>
        <w:ind w:left="720"/>
        <w:jc w:val="both"/>
        <w:rPr>
          <w:b/>
          <w:i/>
          <w:sz w:val="20"/>
          <w:lang w:val="fr-CA"/>
        </w:rPr>
      </w:pPr>
      <w:r w:rsidRPr="00437F82">
        <w:rPr>
          <w:b/>
          <w:i/>
          <w:sz w:val="20"/>
          <w:lang w:val="fr-CA"/>
        </w:rPr>
        <w:t xml:space="preserve">Person A c. Derek Brassington, David </w:t>
      </w:r>
      <w:proofErr w:type="spellStart"/>
      <w:r w:rsidRPr="00437F82">
        <w:rPr>
          <w:b/>
          <w:i/>
          <w:sz w:val="20"/>
          <w:lang w:val="fr-CA"/>
        </w:rPr>
        <w:t>Attew</w:t>
      </w:r>
      <w:proofErr w:type="spellEnd"/>
      <w:r w:rsidRPr="00437F82">
        <w:rPr>
          <w:b/>
          <w:i/>
          <w:sz w:val="20"/>
          <w:lang w:val="fr-CA"/>
        </w:rPr>
        <w:t>, Paul Johnston et Danny Michaud</w:t>
      </w:r>
    </w:p>
    <w:p w:rsidR="009D7F27" w:rsidRPr="00437F82" w:rsidRDefault="009D7F27" w:rsidP="009D7F27">
      <w:pPr>
        <w:widowControl w:val="0"/>
        <w:ind w:left="720"/>
        <w:jc w:val="both"/>
        <w:rPr>
          <w:b/>
          <w:i/>
          <w:sz w:val="20"/>
          <w:lang w:val="fr-CA"/>
        </w:rPr>
      </w:pPr>
      <w:r w:rsidRPr="00437F82">
        <w:rPr>
          <w:b/>
          <w:i/>
          <w:sz w:val="20"/>
          <w:lang w:val="fr-CA"/>
        </w:rPr>
        <w:t>- et -</w:t>
      </w:r>
    </w:p>
    <w:p w:rsidR="009D7F27" w:rsidRPr="00437F82" w:rsidRDefault="009D7F27" w:rsidP="009D7F27">
      <w:pPr>
        <w:widowControl w:val="0"/>
        <w:ind w:left="720"/>
        <w:jc w:val="both"/>
        <w:rPr>
          <w:b/>
          <w:i/>
          <w:sz w:val="20"/>
          <w:lang w:val="fr-CA"/>
        </w:rPr>
      </w:pPr>
      <w:r w:rsidRPr="00437F82">
        <w:rPr>
          <w:b/>
          <w:i/>
          <w:sz w:val="20"/>
          <w:lang w:val="fr-CA"/>
        </w:rPr>
        <w:t xml:space="preserve">Surintendant Gary </w:t>
      </w:r>
      <w:proofErr w:type="spellStart"/>
      <w:r w:rsidRPr="00437F82">
        <w:rPr>
          <w:b/>
          <w:i/>
          <w:sz w:val="20"/>
          <w:lang w:val="fr-CA"/>
        </w:rPr>
        <w:t>Shinkaruk</w:t>
      </w:r>
      <w:proofErr w:type="spellEnd"/>
      <w:r w:rsidRPr="00437F82">
        <w:rPr>
          <w:b/>
          <w:i/>
          <w:sz w:val="20"/>
          <w:lang w:val="fr-CA"/>
        </w:rPr>
        <w:t xml:space="preserve"> c. Derek Brassington, David </w:t>
      </w:r>
      <w:proofErr w:type="spellStart"/>
      <w:r w:rsidRPr="00437F82">
        <w:rPr>
          <w:b/>
          <w:i/>
          <w:sz w:val="20"/>
          <w:lang w:val="fr-CA"/>
        </w:rPr>
        <w:t>Attew</w:t>
      </w:r>
      <w:proofErr w:type="spellEnd"/>
      <w:r w:rsidRPr="00437F82">
        <w:rPr>
          <w:b/>
          <w:i/>
          <w:sz w:val="20"/>
          <w:lang w:val="fr-CA"/>
        </w:rPr>
        <w:t>, Paul Johnston et Danny Michaud</w:t>
      </w:r>
    </w:p>
    <w:p w:rsidR="009D7F27" w:rsidRPr="00437F82" w:rsidRDefault="009D7F27" w:rsidP="009D7F27">
      <w:pPr>
        <w:widowControl w:val="0"/>
        <w:ind w:left="1440" w:hanging="720"/>
        <w:jc w:val="both"/>
        <w:rPr>
          <w:sz w:val="20"/>
          <w:lang w:val="fr-CA"/>
        </w:rPr>
      </w:pPr>
      <w:r w:rsidRPr="00437F82">
        <w:rPr>
          <w:sz w:val="20"/>
          <w:lang w:val="fr-CA"/>
        </w:rPr>
        <w:t>(C.-B.) (Criminelle) (Sur autorisation)</w:t>
      </w:r>
    </w:p>
    <w:p w:rsidR="009D7F27" w:rsidRPr="00437F82" w:rsidRDefault="009D7F27" w:rsidP="009D7F27">
      <w:pPr>
        <w:widowControl w:val="0"/>
        <w:jc w:val="both"/>
        <w:rPr>
          <w:sz w:val="20"/>
          <w:lang w:val="fr-CA"/>
        </w:rPr>
      </w:pPr>
    </w:p>
    <w:p w:rsidR="009D7F27" w:rsidRPr="00437F82" w:rsidRDefault="009D7F27" w:rsidP="009D7F27">
      <w:pPr>
        <w:pStyle w:val="SCCBanSummary"/>
        <w:rPr>
          <w:sz w:val="20"/>
          <w:szCs w:val="20"/>
          <w:lang w:val="fr-CA"/>
        </w:rPr>
      </w:pPr>
      <w:r w:rsidRPr="00437F82">
        <w:rPr>
          <w:sz w:val="20"/>
          <w:szCs w:val="20"/>
          <w:lang w:val="fr-CA"/>
        </w:rPr>
        <w:t xml:space="preserve">(Ordonnance de non-publication dans le dossier) </w:t>
      </w:r>
    </w:p>
    <w:p w:rsidR="009D7F27" w:rsidRPr="00437F82" w:rsidRDefault="009D7F27" w:rsidP="009D7F27">
      <w:pPr>
        <w:rPr>
          <w:sz w:val="20"/>
          <w:lang w:val="fr-CA"/>
        </w:rPr>
      </w:pPr>
    </w:p>
    <w:p w:rsidR="009D7F27" w:rsidRPr="00437F82" w:rsidRDefault="009D7F27" w:rsidP="009D7F27">
      <w:pPr>
        <w:widowControl w:val="0"/>
        <w:jc w:val="both"/>
        <w:rPr>
          <w:sz w:val="20"/>
          <w:lang w:val="fr-CA"/>
        </w:rPr>
      </w:pPr>
      <w:r w:rsidRPr="00437F82">
        <w:rPr>
          <w:sz w:val="20"/>
          <w:lang w:val="fr-CA"/>
        </w:rPr>
        <w:t>Droit criminel.</w:t>
      </w:r>
    </w:p>
    <w:p w:rsidR="009D7F27" w:rsidRPr="00437F82" w:rsidRDefault="009D7F27" w:rsidP="009D7F27">
      <w:pPr>
        <w:widowControl w:val="0"/>
        <w:jc w:val="both"/>
        <w:rPr>
          <w:sz w:val="20"/>
          <w:lang w:val="fr-CA"/>
        </w:rPr>
      </w:pPr>
    </w:p>
    <w:p w:rsidR="009D7F27" w:rsidRPr="00437F82" w:rsidRDefault="009D7F27" w:rsidP="009D7F27">
      <w:pPr>
        <w:jc w:val="both"/>
        <w:rPr>
          <w:sz w:val="20"/>
          <w:lang w:val="fr-CA"/>
        </w:rPr>
      </w:pPr>
      <w:r w:rsidRPr="00437F82">
        <w:rPr>
          <w:sz w:val="20"/>
          <w:lang w:val="fr-CA"/>
        </w:rPr>
        <w:t>Dans le contexte de l’enquête sur les homicides, attribuables à des gangs, de six personnes communément appelées les « Surrey Six », quatre agents de la GRC ont été accusés d’abus de confiance, d’entrave à la justice et de fraude qui auraient censément été commis dans l’exercice de leurs fonctions pendant l’enquête, relativement à des allégations selon lesquelles ils auraient eu une conduite répréhensible pendant qu’ils s’occupaient d’un témoin protégé.</w:t>
      </w:r>
    </w:p>
    <w:p w:rsidR="009D7F27" w:rsidRPr="00437F82" w:rsidRDefault="009D7F27" w:rsidP="009D7F27">
      <w:pPr>
        <w:widowControl w:val="0"/>
        <w:jc w:val="both"/>
        <w:rPr>
          <w:sz w:val="20"/>
          <w:lang w:val="fr-CA"/>
        </w:rPr>
      </w:pPr>
    </w:p>
    <w:p w:rsidR="007D1223" w:rsidRPr="00437F82" w:rsidRDefault="002526AE" w:rsidP="009D7F27">
      <w:pPr>
        <w:widowControl w:val="0"/>
        <w:jc w:val="both"/>
        <w:rPr>
          <w:sz w:val="20"/>
          <w:lang w:val="fr-CA"/>
        </w:rPr>
      </w:pPr>
      <w:r>
        <w:rPr>
          <w:sz w:val="20"/>
          <w:szCs w:val="20"/>
          <w:lang w:val="fr-CA"/>
        </w:rPr>
        <w:pict>
          <v:rect id="_x0000_i1044" style="width:2in;height:1pt" o:hrpct="0" o:hralign="center" o:hrstd="t" o:hrnoshade="t" o:hr="t" fillcolor="black [3213]" stroked="f"/>
        </w:pict>
      </w:r>
    </w:p>
    <w:p w:rsidR="007D1223" w:rsidRPr="00437F82" w:rsidRDefault="007D1223" w:rsidP="009D7F27">
      <w:pPr>
        <w:widowControl w:val="0"/>
        <w:jc w:val="both"/>
        <w:rPr>
          <w:sz w:val="20"/>
          <w:lang w:val="fr-CA"/>
        </w:rPr>
      </w:pPr>
    </w:p>
    <w:p w:rsidR="009D7F27" w:rsidRPr="00437F82" w:rsidRDefault="009D7F27">
      <w:pPr>
        <w:rPr>
          <w:sz w:val="20"/>
          <w:lang w:val="fr-CA"/>
        </w:rPr>
      </w:pPr>
      <w:r w:rsidRPr="00437F82">
        <w:rPr>
          <w:sz w:val="20"/>
          <w:lang w:val="fr-CA"/>
        </w:rPr>
        <w:br w:type="page"/>
      </w:r>
    </w:p>
    <w:p w:rsidR="009D7F27" w:rsidRPr="00437F82" w:rsidRDefault="009D7F27" w:rsidP="009D7F27">
      <w:pPr>
        <w:widowControl w:val="0"/>
        <w:tabs>
          <w:tab w:val="left" w:pos="1134"/>
        </w:tabs>
        <w:ind w:left="720" w:hanging="720"/>
        <w:rPr>
          <w:b/>
          <w:sz w:val="20"/>
          <w:lang w:val="fr-CA"/>
        </w:rPr>
      </w:pPr>
      <w:r w:rsidRPr="00437F82">
        <w:rPr>
          <w:b/>
          <w:sz w:val="20"/>
          <w:lang w:val="fr-CA"/>
        </w:rPr>
        <w:t>37543</w:t>
      </w:r>
      <w:r w:rsidRPr="00437F82">
        <w:rPr>
          <w:b/>
          <w:sz w:val="20"/>
          <w:lang w:val="fr-CA"/>
        </w:rPr>
        <w:tab/>
      </w:r>
      <w:r w:rsidRPr="00437F82">
        <w:rPr>
          <w:b/>
          <w:i/>
          <w:sz w:val="20"/>
          <w:lang w:val="fr-CA"/>
        </w:rPr>
        <w:t xml:space="preserve">Jacques Chagnon, in </w:t>
      </w:r>
      <w:proofErr w:type="spellStart"/>
      <w:r w:rsidRPr="00437F82">
        <w:rPr>
          <w:b/>
          <w:i/>
          <w:sz w:val="20"/>
          <w:lang w:val="fr-CA"/>
        </w:rPr>
        <w:t>his</w:t>
      </w:r>
      <w:proofErr w:type="spellEnd"/>
      <w:r w:rsidRPr="00437F82">
        <w:rPr>
          <w:b/>
          <w:i/>
          <w:sz w:val="20"/>
          <w:lang w:val="fr-CA"/>
        </w:rPr>
        <w:t xml:space="preserve"> </w:t>
      </w:r>
      <w:proofErr w:type="spellStart"/>
      <w:r w:rsidRPr="00437F82">
        <w:rPr>
          <w:b/>
          <w:i/>
          <w:sz w:val="20"/>
          <w:lang w:val="fr-CA"/>
        </w:rPr>
        <w:t>capacity</w:t>
      </w:r>
      <w:proofErr w:type="spellEnd"/>
      <w:r w:rsidRPr="00437F82">
        <w:rPr>
          <w:b/>
          <w:i/>
          <w:sz w:val="20"/>
          <w:lang w:val="fr-CA"/>
        </w:rPr>
        <w:t xml:space="preserve"> as </w:t>
      </w:r>
      <w:proofErr w:type="spellStart"/>
      <w:r w:rsidRPr="00437F82">
        <w:rPr>
          <w:b/>
          <w:i/>
          <w:sz w:val="20"/>
          <w:lang w:val="fr-CA"/>
        </w:rPr>
        <w:t>President</w:t>
      </w:r>
      <w:proofErr w:type="spellEnd"/>
      <w:r w:rsidRPr="00437F82">
        <w:rPr>
          <w:b/>
          <w:i/>
          <w:sz w:val="20"/>
          <w:lang w:val="fr-CA"/>
        </w:rPr>
        <w:t xml:space="preserve"> of the National </w:t>
      </w:r>
      <w:proofErr w:type="spellStart"/>
      <w:r w:rsidRPr="00437F82">
        <w:rPr>
          <w:b/>
          <w:i/>
          <w:sz w:val="20"/>
          <w:lang w:val="fr-CA"/>
        </w:rPr>
        <w:t>Assembly</w:t>
      </w:r>
      <w:proofErr w:type="spellEnd"/>
      <w:r w:rsidRPr="00437F82">
        <w:rPr>
          <w:b/>
          <w:i/>
          <w:sz w:val="20"/>
          <w:lang w:val="fr-CA"/>
        </w:rPr>
        <w:t xml:space="preserve"> of Quebec v. Syndicat de la fonction publique et parapublique du Québec (SFPQ)</w:t>
      </w:r>
    </w:p>
    <w:p w:rsidR="009D7F27" w:rsidRPr="00437F82" w:rsidRDefault="009D7F27" w:rsidP="009D7F27">
      <w:pPr>
        <w:widowControl w:val="0"/>
        <w:ind w:firstLine="720"/>
        <w:rPr>
          <w:sz w:val="20"/>
        </w:rPr>
      </w:pPr>
      <w:r w:rsidRPr="00437F82">
        <w:rPr>
          <w:sz w:val="20"/>
        </w:rPr>
        <w:t>(Que.) (Civil) (By Leave)</w:t>
      </w:r>
    </w:p>
    <w:p w:rsidR="009D7F27" w:rsidRPr="00437F82" w:rsidRDefault="009D7F27" w:rsidP="009D7F27">
      <w:pPr>
        <w:widowControl w:val="0"/>
        <w:rPr>
          <w:sz w:val="20"/>
        </w:rPr>
      </w:pPr>
    </w:p>
    <w:p w:rsidR="009D7F27" w:rsidRPr="00437F82" w:rsidRDefault="009D7F27" w:rsidP="008601D4">
      <w:pPr>
        <w:jc w:val="both"/>
        <w:rPr>
          <w:sz w:val="20"/>
        </w:rPr>
      </w:pPr>
      <w:r w:rsidRPr="00437F82">
        <w:rPr>
          <w:sz w:val="20"/>
        </w:rPr>
        <w:t>Constitutional law - Parliamentary privilege - National Assembly of Quebec - Management of employees - Ejection of strangers - National Assembly security guards contesting their ejection from Assembly by grievance - Test applicable to claim of privilege over management of employees - What is included in concept of implementing [</w:t>
      </w:r>
      <w:r w:rsidRPr="00437F82">
        <w:rPr>
          <w:smallCaps/>
          <w:sz w:val="20"/>
        </w:rPr>
        <w:t>translation</w:t>
      </w:r>
      <w:r w:rsidRPr="00437F82">
        <w:rPr>
          <w:sz w:val="20"/>
        </w:rPr>
        <w:t xml:space="preserve">] “control over access to parliamentary precincts” component of privilege to eject strangers from Assembly and its precincts? - Whether general reference in s. 120 of </w:t>
      </w:r>
      <w:r w:rsidRPr="00437F82">
        <w:rPr>
          <w:i/>
          <w:sz w:val="20"/>
        </w:rPr>
        <w:t>Act respecting the National Assembly</w:t>
      </w:r>
      <w:r w:rsidRPr="00437F82">
        <w:rPr>
          <w:sz w:val="20"/>
        </w:rPr>
        <w:t xml:space="preserve"> has effect of implicitly abrogating Assembly’s parliamentary privileges - </w:t>
      </w:r>
      <w:r w:rsidRPr="00437F82">
        <w:rPr>
          <w:i/>
          <w:sz w:val="20"/>
        </w:rPr>
        <w:t>Act respecting the National Assembly</w:t>
      </w:r>
      <w:r w:rsidRPr="00437F82">
        <w:rPr>
          <w:sz w:val="20"/>
        </w:rPr>
        <w:t>, CQLR, c. A</w:t>
      </w:r>
      <w:r w:rsidRPr="00437F82">
        <w:rPr>
          <w:sz w:val="20"/>
        </w:rPr>
        <w:noBreakHyphen/>
        <w:t>23.1, ss. 110, 116 and 120.</w:t>
      </w:r>
    </w:p>
    <w:p w:rsidR="009D7F27" w:rsidRPr="00437F82" w:rsidRDefault="009D7F27" w:rsidP="008601D4">
      <w:pPr>
        <w:widowControl w:val="0"/>
        <w:jc w:val="both"/>
        <w:rPr>
          <w:sz w:val="20"/>
        </w:rPr>
      </w:pPr>
    </w:p>
    <w:p w:rsidR="009D7F27" w:rsidRPr="00437F82" w:rsidRDefault="009D7F27" w:rsidP="008601D4">
      <w:pPr>
        <w:jc w:val="both"/>
        <w:rPr>
          <w:sz w:val="20"/>
        </w:rPr>
      </w:pPr>
      <w:r w:rsidRPr="00437F82">
        <w:rPr>
          <w:sz w:val="20"/>
        </w:rPr>
        <w:t xml:space="preserve">Three security guards from the National Assembly of Quebec were dismissed by the appellant, the President of the National Assembly of Quebec, following an investigation that revealed that they were using a National Assembly camera to observe activities in the rooms of adjacent hotels. Since the guards were represented by the respondent, the </w:t>
      </w:r>
      <w:proofErr w:type="spellStart"/>
      <w:r w:rsidRPr="00437F82">
        <w:rPr>
          <w:sz w:val="20"/>
        </w:rPr>
        <w:t>Syndicat</w:t>
      </w:r>
      <w:proofErr w:type="spellEnd"/>
      <w:r w:rsidRPr="00437F82">
        <w:rPr>
          <w:sz w:val="20"/>
        </w:rPr>
        <w:t xml:space="preserve"> de la </w:t>
      </w:r>
      <w:proofErr w:type="spellStart"/>
      <w:r w:rsidRPr="00437F82">
        <w:rPr>
          <w:sz w:val="20"/>
        </w:rPr>
        <w:t>fonction</w:t>
      </w:r>
      <w:proofErr w:type="spellEnd"/>
      <w:r w:rsidRPr="00437F82">
        <w:rPr>
          <w:sz w:val="20"/>
        </w:rPr>
        <w:t xml:space="preserve"> publique </w:t>
      </w:r>
      <w:proofErr w:type="gramStart"/>
      <w:r w:rsidRPr="00437F82">
        <w:rPr>
          <w:sz w:val="20"/>
        </w:rPr>
        <w:t>et</w:t>
      </w:r>
      <w:proofErr w:type="gramEnd"/>
      <w:r w:rsidRPr="00437F82">
        <w:rPr>
          <w:sz w:val="20"/>
        </w:rPr>
        <w:t xml:space="preserve"> </w:t>
      </w:r>
      <w:proofErr w:type="spellStart"/>
      <w:r w:rsidRPr="00437F82">
        <w:rPr>
          <w:sz w:val="20"/>
        </w:rPr>
        <w:t>parapublique</w:t>
      </w:r>
      <w:proofErr w:type="spellEnd"/>
      <w:r w:rsidRPr="00437F82">
        <w:rPr>
          <w:sz w:val="20"/>
        </w:rPr>
        <w:t xml:space="preserve"> du Québec, a grievance was filed contesting their dismissal. </w:t>
      </w:r>
    </w:p>
    <w:p w:rsidR="009D7F27" w:rsidRPr="00437F82" w:rsidRDefault="009D7F27" w:rsidP="008601D4">
      <w:pPr>
        <w:jc w:val="both"/>
        <w:rPr>
          <w:sz w:val="20"/>
        </w:rPr>
      </w:pPr>
    </w:p>
    <w:p w:rsidR="009D7F27" w:rsidRPr="00437F82" w:rsidRDefault="009D7F27" w:rsidP="008601D4">
      <w:pPr>
        <w:jc w:val="both"/>
        <w:rPr>
          <w:sz w:val="20"/>
        </w:rPr>
      </w:pPr>
      <w:r w:rsidRPr="00437F82">
        <w:rPr>
          <w:sz w:val="20"/>
        </w:rPr>
        <w:t>The President of the National Assembly of Quebec raised a preliminary objection to the tribunal’s jurisdiction, arguing that he had acted in the exercise of two constitutional parliamentary privileges, namely the privilege over the management of employees and the privilege to eject strangers from the National Assembly and its precincts.</w:t>
      </w:r>
    </w:p>
    <w:p w:rsidR="009D7F27" w:rsidRPr="00437F82" w:rsidRDefault="009D7F27" w:rsidP="009D7F27">
      <w:pPr>
        <w:rPr>
          <w:sz w:val="20"/>
        </w:rPr>
      </w:pPr>
    </w:p>
    <w:p w:rsidR="009D7F27" w:rsidRPr="00437F82" w:rsidRDefault="002526AE" w:rsidP="009D7F27">
      <w:pPr>
        <w:rPr>
          <w:sz w:val="20"/>
        </w:rPr>
      </w:pPr>
      <w:r>
        <w:rPr>
          <w:sz w:val="20"/>
          <w:szCs w:val="20"/>
          <w:lang w:val="fr-CA"/>
        </w:rPr>
        <w:pict>
          <v:rect id="_x0000_i1045" style="width:2in;height:1pt" o:hrpct="0" o:hralign="center" o:hrstd="t" o:hrnoshade="t" o:hr="t" fillcolor="black [3213]" stroked="f"/>
        </w:pict>
      </w:r>
    </w:p>
    <w:p w:rsidR="009D7F27" w:rsidRPr="00437F82" w:rsidRDefault="009D7F27" w:rsidP="009D7F27">
      <w:pPr>
        <w:rPr>
          <w:sz w:val="20"/>
        </w:rPr>
      </w:pPr>
    </w:p>
    <w:p w:rsidR="009D7F27" w:rsidRPr="00437F82" w:rsidRDefault="009D7F27" w:rsidP="009D7F27">
      <w:pPr>
        <w:widowControl w:val="0"/>
        <w:tabs>
          <w:tab w:val="left" w:pos="1134"/>
        </w:tabs>
        <w:ind w:left="720" w:hanging="720"/>
        <w:rPr>
          <w:b/>
          <w:sz w:val="20"/>
          <w:lang w:val="fr-CA"/>
        </w:rPr>
      </w:pPr>
      <w:r w:rsidRPr="00437F82">
        <w:rPr>
          <w:b/>
          <w:sz w:val="20"/>
          <w:lang w:val="fr-CA"/>
        </w:rPr>
        <w:t>37543</w:t>
      </w:r>
      <w:r w:rsidRPr="00437F82">
        <w:rPr>
          <w:b/>
          <w:sz w:val="20"/>
          <w:lang w:val="fr-CA"/>
        </w:rPr>
        <w:tab/>
      </w:r>
      <w:r w:rsidRPr="00437F82">
        <w:rPr>
          <w:b/>
          <w:i/>
          <w:sz w:val="20"/>
          <w:lang w:val="fr-CA"/>
        </w:rPr>
        <w:t>Jacques Chagnon, ès qualités de Président de l'Assemblée nationale du Québec c. Syndicat de la fonction publique et parapublique du Québec (SFPQ)</w:t>
      </w:r>
    </w:p>
    <w:p w:rsidR="009D7F27" w:rsidRPr="00437F82" w:rsidRDefault="009D7F27" w:rsidP="009D7F27">
      <w:pPr>
        <w:widowControl w:val="0"/>
        <w:ind w:firstLine="720"/>
        <w:rPr>
          <w:sz w:val="20"/>
          <w:lang w:val="fr-CA"/>
        </w:rPr>
      </w:pPr>
      <w:r w:rsidRPr="00437F82">
        <w:rPr>
          <w:sz w:val="20"/>
          <w:lang w:val="fr-CA"/>
        </w:rPr>
        <w:t>(Qc) (Civile) (Autorisation)</w:t>
      </w:r>
    </w:p>
    <w:p w:rsidR="009D7F27" w:rsidRPr="00437F82" w:rsidRDefault="009D7F27" w:rsidP="009D7F27">
      <w:pPr>
        <w:widowControl w:val="0"/>
        <w:rPr>
          <w:sz w:val="20"/>
          <w:lang w:val="fr-CA"/>
        </w:rPr>
      </w:pPr>
    </w:p>
    <w:p w:rsidR="009D7F27" w:rsidRPr="00437F82" w:rsidRDefault="009D7F27" w:rsidP="008601D4">
      <w:pPr>
        <w:jc w:val="both"/>
        <w:rPr>
          <w:sz w:val="20"/>
          <w:lang w:val="fr-CA"/>
        </w:rPr>
      </w:pPr>
      <w:r w:rsidRPr="00437F82">
        <w:rPr>
          <w:sz w:val="20"/>
          <w:lang w:val="fr-CA"/>
        </w:rPr>
        <w:t>Droit constitutionnel - Privilège parlementaire - Assemblée nationale du Québec - Gestion du personnel - Expulsion des étrangers - Gardiens de sécurité de l’Assemblée nationale contestant leur expulsion de l’assemblée par grief - Quel est le test applicable à une revendication du privilège de gestion du personnel? - Que comprend la notion de mise en œuvre du volet «</w:t>
      </w:r>
      <w:r w:rsidR="00325A27" w:rsidRPr="00437F82">
        <w:rPr>
          <w:sz w:val="20"/>
          <w:lang w:val="fr-CA"/>
        </w:rPr>
        <w:t> </w:t>
      </w:r>
      <w:r w:rsidRPr="00437F82">
        <w:rPr>
          <w:sz w:val="20"/>
          <w:lang w:val="fr-CA"/>
        </w:rPr>
        <w:t>contrôle de l’accès à l’enceinte parlementaire</w:t>
      </w:r>
      <w:r w:rsidR="00325A27" w:rsidRPr="00437F82">
        <w:rPr>
          <w:sz w:val="20"/>
          <w:lang w:val="fr-CA"/>
        </w:rPr>
        <w:t> </w:t>
      </w:r>
      <w:r w:rsidRPr="00437F82">
        <w:rPr>
          <w:sz w:val="20"/>
          <w:lang w:val="fr-CA"/>
        </w:rPr>
        <w:t xml:space="preserve">» du privilège d’expulser les étrangers de l’Assemblée et de ses environs? - Le renvoi général contenu à l’article 120 de la Loi sur l’Assemblée nationale a-t-il pour effet d’abroger implicitement les privilèges parlementaires de l’Assemblée? - </w:t>
      </w:r>
      <w:r w:rsidRPr="00437F82">
        <w:rPr>
          <w:i/>
          <w:sz w:val="20"/>
          <w:lang w:val="fr-CA"/>
        </w:rPr>
        <w:t>Loi sur l’Assemblée nationale</w:t>
      </w:r>
      <w:r w:rsidRPr="00437F82">
        <w:rPr>
          <w:sz w:val="20"/>
          <w:lang w:val="fr-CA"/>
        </w:rPr>
        <w:t>, RLRQ, c. A-23.1, art. 110, 116 et 120</w:t>
      </w:r>
    </w:p>
    <w:p w:rsidR="009D7F27" w:rsidRPr="00437F82" w:rsidRDefault="009D7F27" w:rsidP="008601D4">
      <w:pPr>
        <w:widowControl w:val="0"/>
        <w:jc w:val="both"/>
        <w:rPr>
          <w:sz w:val="20"/>
          <w:lang w:val="fr-CA"/>
        </w:rPr>
      </w:pPr>
    </w:p>
    <w:p w:rsidR="009D7F27" w:rsidRPr="00437F82" w:rsidRDefault="009D7F27" w:rsidP="008601D4">
      <w:pPr>
        <w:jc w:val="both"/>
        <w:rPr>
          <w:sz w:val="20"/>
          <w:lang w:val="fr-CA"/>
        </w:rPr>
      </w:pPr>
      <w:r w:rsidRPr="00437F82">
        <w:rPr>
          <w:sz w:val="20"/>
          <w:lang w:val="fr-CA"/>
        </w:rPr>
        <w:t xml:space="preserve">Trois gardiens de sécurité de l’Assemblée nationale du Québec sont congédiés par l’appelant, le Président de l’Assemblée nationale du Québec, à la suite d’une enquête ayant révélé qu’ils employaient une caméra de l’Assemblée nationale afin d’observer les activités se déroulant à l’intérieur des chambres des hôtels adjacents. Ces gardiens étant représentés par l’intimé le Syndicat de la fonction publique et parapublique du Québec, un grief est déposé contestant leur congédiement. </w:t>
      </w:r>
    </w:p>
    <w:p w:rsidR="009D7F27" w:rsidRPr="00437F82" w:rsidRDefault="009D7F27" w:rsidP="008601D4">
      <w:pPr>
        <w:jc w:val="both"/>
        <w:rPr>
          <w:sz w:val="20"/>
          <w:lang w:val="fr-CA"/>
        </w:rPr>
      </w:pPr>
    </w:p>
    <w:p w:rsidR="009D7F27" w:rsidRPr="00437F82" w:rsidRDefault="009D7F27" w:rsidP="008601D4">
      <w:pPr>
        <w:jc w:val="both"/>
        <w:rPr>
          <w:sz w:val="20"/>
          <w:lang w:val="fr-CA"/>
        </w:rPr>
      </w:pPr>
      <w:r w:rsidRPr="00437F82">
        <w:rPr>
          <w:sz w:val="20"/>
          <w:lang w:val="fr-CA"/>
        </w:rPr>
        <w:t>Le Président de l’Assemblée nationale du Québec soulève une objection préliminaire relative à la compétence du tribunal soutenant qu’il a agi dans l’exercice deux privilèges parlementaires constitutionnels, à savoir le privilège de gestion du personnel et le privilège d’expulser les étrangers de l’Assemblée nationale et de ses environs.</w:t>
      </w:r>
    </w:p>
    <w:p w:rsidR="009D7F27" w:rsidRPr="00437F82" w:rsidRDefault="009D7F27" w:rsidP="009D7F27">
      <w:pPr>
        <w:widowControl w:val="0"/>
        <w:jc w:val="both"/>
        <w:rPr>
          <w:sz w:val="20"/>
          <w:lang w:val="fr-CA"/>
        </w:rPr>
      </w:pPr>
    </w:p>
    <w:p w:rsidR="0029502C" w:rsidRPr="00437F82" w:rsidRDefault="002526AE" w:rsidP="009D7F27">
      <w:pPr>
        <w:widowControl w:val="0"/>
        <w:jc w:val="both"/>
        <w:rPr>
          <w:sz w:val="20"/>
          <w:lang w:val="fr-CA"/>
        </w:rPr>
      </w:pPr>
      <w:r>
        <w:rPr>
          <w:sz w:val="20"/>
          <w:szCs w:val="20"/>
          <w:lang w:val="fr-CA"/>
        </w:rPr>
        <w:pict>
          <v:rect id="_x0000_i1046" style="width:2in;height:1pt" o:hrpct="0" o:hralign="center" o:hrstd="t" o:hrnoshade="t" o:hr="t" fillcolor="black [3213]" stroked="f"/>
        </w:pict>
      </w:r>
    </w:p>
    <w:p w:rsidR="0029502C" w:rsidRPr="00437F82" w:rsidRDefault="0029502C" w:rsidP="009D7F27">
      <w:pPr>
        <w:widowControl w:val="0"/>
        <w:jc w:val="both"/>
        <w:rPr>
          <w:sz w:val="20"/>
          <w:lang w:val="fr-CA"/>
        </w:rPr>
      </w:pPr>
    </w:p>
    <w:p w:rsidR="009D7F27" w:rsidRPr="00437F82" w:rsidRDefault="009D7F27">
      <w:pPr>
        <w:rPr>
          <w:sz w:val="20"/>
          <w:lang w:val="fr-CA"/>
        </w:rPr>
      </w:pPr>
      <w:r w:rsidRPr="00437F82">
        <w:rPr>
          <w:sz w:val="20"/>
          <w:lang w:val="fr-CA"/>
        </w:rPr>
        <w:br w:type="page"/>
      </w:r>
    </w:p>
    <w:p w:rsidR="009D7F27" w:rsidRPr="00437F82" w:rsidRDefault="009D7F27" w:rsidP="009D7F27">
      <w:pPr>
        <w:widowControl w:val="0"/>
        <w:ind w:left="720" w:hanging="720"/>
        <w:jc w:val="both"/>
        <w:rPr>
          <w:b/>
          <w:i/>
          <w:sz w:val="20"/>
        </w:rPr>
      </w:pPr>
      <w:r w:rsidRPr="00437F82">
        <w:rPr>
          <w:b/>
          <w:sz w:val="20"/>
        </w:rPr>
        <w:fldChar w:fldCharType="begin"/>
      </w:r>
      <w:r w:rsidRPr="00437F82">
        <w:rPr>
          <w:b/>
          <w:sz w:val="20"/>
        </w:rPr>
        <w:instrText xml:space="preserve"> SEQ CHAPTER \h \r 1</w:instrText>
      </w:r>
      <w:r w:rsidRPr="00437F82">
        <w:rPr>
          <w:b/>
          <w:sz w:val="20"/>
        </w:rPr>
        <w:fldChar w:fldCharType="end"/>
      </w:r>
      <w:r w:rsidRPr="00437F82">
        <w:rPr>
          <w:b/>
          <w:sz w:val="20"/>
        </w:rPr>
        <w:t>37596</w:t>
      </w:r>
      <w:r w:rsidRPr="00437F82">
        <w:rPr>
          <w:sz w:val="20"/>
        </w:rPr>
        <w:tab/>
      </w:r>
      <w:r w:rsidRPr="00437F82">
        <w:rPr>
          <w:b/>
          <w:i/>
          <w:sz w:val="20"/>
        </w:rPr>
        <w:t>Spencer Dean Bird v. Her Majesty the Queen</w:t>
      </w:r>
    </w:p>
    <w:p w:rsidR="009D7F27" w:rsidRPr="00437F82" w:rsidRDefault="009D7F27" w:rsidP="009D7F27">
      <w:pPr>
        <w:widowControl w:val="0"/>
        <w:ind w:left="1440" w:hanging="720"/>
        <w:jc w:val="both"/>
        <w:rPr>
          <w:sz w:val="20"/>
        </w:rPr>
      </w:pPr>
      <w:r w:rsidRPr="00437F82">
        <w:rPr>
          <w:sz w:val="20"/>
        </w:rPr>
        <w:t>(Sask.) (Criminal) (As of Right)</w:t>
      </w:r>
    </w:p>
    <w:p w:rsidR="009D7F27" w:rsidRPr="00437F82" w:rsidRDefault="009D7F27" w:rsidP="009D7F27">
      <w:pPr>
        <w:widowControl w:val="0"/>
        <w:jc w:val="both"/>
        <w:rPr>
          <w:sz w:val="20"/>
        </w:rPr>
      </w:pPr>
    </w:p>
    <w:p w:rsidR="009D7F27" w:rsidRPr="00437F82" w:rsidRDefault="009D7F27" w:rsidP="009D7F27">
      <w:pPr>
        <w:widowControl w:val="0"/>
        <w:jc w:val="both"/>
        <w:rPr>
          <w:sz w:val="20"/>
        </w:rPr>
      </w:pPr>
      <w:r w:rsidRPr="00437F82">
        <w:rPr>
          <w:i/>
          <w:sz w:val="20"/>
        </w:rPr>
        <w:t>Charter of Rights</w:t>
      </w:r>
      <w:r w:rsidRPr="00437F82">
        <w:rPr>
          <w:sz w:val="20"/>
        </w:rPr>
        <w:t xml:space="preserve"> - Criminal law - Right to liberty - Long-term supervision - Residency requirement - Accused required to reside at community correctional centre or community residential facility as condition of long-term supervision - Accused failing to abide by order and charged with breach of long-term supervision - Trial judge finding that residency requirement violates s. 7 of </w:t>
      </w:r>
      <w:r w:rsidRPr="00437F82">
        <w:rPr>
          <w:i/>
          <w:sz w:val="20"/>
        </w:rPr>
        <w:t>Canadian Charter of Rights and Freedoms</w:t>
      </w:r>
      <w:r w:rsidRPr="00437F82">
        <w:rPr>
          <w:sz w:val="20"/>
        </w:rPr>
        <w:t xml:space="preserve"> and dismissing charge - Court of Appeal allowing appeal and entering conviction - Whether the Court of Appeal erred in law in its application of the doctrine of collateral attack - Whether the Court of Appeal failed to address the constitutional question of whether the Parole Board order infringes the </w:t>
      </w:r>
      <w:r w:rsidRPr="00437F82">
        <w:rPr>
          <w:i/>
          <w:sz w:val="20"/>
        </w:rPr>
        <w:t>Charter</w:t>
      </w:r>
      <w:r w:rsidRPr="00437F82">
        <w:rPr>
          <w:sz w:val="20"/>
        </w:rPr>
        <w:t>.</w:t>
      </w:r>
    </w:p>
    <w:p w:rsidR="009D7F27" w:rsidRPr="00437F82" w:rsidRDefault="009D7F27" w:rsidP="009D7F27">
      <w:pPr>
        <w:widowControl w:val="0"/>
        <w:jc w:val="both"/>
        <w:rPr>
          <w:sz w:val="20"/>
        </w:rPr>
      </w:pPr>
    </w:p>
    <w:p w:rsidR="009D7F27" w:rsidRPr="00437F82" w:rsidRDefault="009D7F27" w:rsidP="009D7F27">
      <w:pPr>
        <w:widowControl w:val="0"/>
        <w:jc w:val="both"/>
        <w:rPr>
          <w:sz w:val="20"/>
        </w:rPr>
      </w:pPr>
      <w:r w:rsidRPr="00437F82">
        <w:rPr>
          <w:sz w:val="20"/>
        </w:rPr>
        <w:t xml:space="preserve">The appellant was found to be a long-term offender and was given a sentence comprising a penitentiary term followed by a period of long-term supervision. The Parole Board determined that, as a condition of the long-term supervision, the appellant was to begin his period of supervision by residing at a community correctional centre or community residential facility. Upon completion of his prison term, the appellant took up residence in a community correctional centre, but soon left the centre and did not return. He was eventually apprehended and charged with failing to comply with a condition of his long-term supervision. He defended the charge by arguing that the residency requirement prescribed by the Parole Board was unlawful. The trial judge agreed and dismissed the charge, finding the requirement to be a violation of s. 7 of the </w:t>
      </w:r>
      <w:r w:rsidRPr="00437F82">
        <w:rPr>
          <w:i/>
          <w:sz w:val="20"/>
        </w:rPr>
        <w:t>Charter</w:t>
      </w:r>
      <w:r w:rsidRPr="00437F82">
        <w:rPr>
          <w:sz w:val="20"/>
        </w:rPr>
        <w:t xml:space="preserve"> on the basis that it obliged the appellant to live in a penal institution even though he had completed his prison term. The Court of Appeal allowed the appeal, set aside the acquittal and entered a conviction. It was of the view that the trial judge erred in permitting the appellant to collaterally attack the residency requirement.</w:t>
      </w:r>
    </w:p>
    <w:p w:rsidR="009D7F27" w:rsidRPr="00437F82" w:rsidRDefault="009D7F27" w:rsidP="009D7F27">
      <w:pPr>
        <w:widowControl w:val="0"/>
        <w:jc w:val="both"/>
        <w:rPr>
          <w:sz w:val="20"/>
        </w:rPr>
      </w:pPr>
    </w:p>
    <w:p w:rsidR="009D7F27" w:rsidRPr="00437F82" w:rsidRDefault="002526AE" w:rsidP="009D7F27">
      <w:pPr>
        <w:widowControl w:val="0"/>
        <w:jc w:val="both"/>
        <w:rPr>
          <w:sz w:val="20"/>
        </w:rPr>
      </w:pPr>
      <w:r>
        <w:rPr>
          <w:sz w:val="20"/>
          <w:szCs w:val="20"/>
          <w:lang w:val="fr-CA"/>
        </w:rPr>
        <w:pict>
          <v:rect id="_x0000_i1047" style="width:2in;height:1pt" o:hrpct="0" o:hralign="center" o:hrstd="t" o:hrnoshade="t" o:hr="t" fillcolor="black [3213]" stroked="f"/>
        </w:pict>
      </w:r>
    </w:p>
    <w:p w:rsidR="009D7F27" w:rsidRPr="00437F82" w:rsidRDefault="009D7F27" w:rsidP="009D7F27">
      <w:pPr>
        <w:widowControl w:val="0"/>
        <w:jc w:val="both"/>
        <w:rPr>
          <w:sz w:val="20"/>
        </w:rPr>
      </w:pPr>
    </w:p>
    <w:p w:rsidR="009D7F27" w:rsidRPr="00437F82" w:rsidRDefault="009D7F27" w:rsidP="009D7F27">
      <w:pPr>
        <w:widowControl w:val="0"/>
        <w:ind w:left="720" w:hanging="720"/>
        <w:jc w:val="both"/>
        <w:rPr>
          <w:b/>
          <w:i/>
          <w:sz w:val="20"/>
          <w:lang w:val="fr-CA"/>
        </w:rPr>
      </w:pPr>
      <w:r w:rsidRPr="00437F82">
        <w:rPr>
          <w:b/>
          <w:sz w:val="20"/>
          <w:lang w:val="fr-CA"/>
        </w:rPr>
        <w:fldChar w:fldCharType="begin"/>
      </w:r>
      <w:r w:rsidRPr="00437F82">
        <w:rPr>
          <w:b/>
          <w:sz w:val="20"/>
          <w:lang w:val="fr-CA"/>
        </w:rPr>
        <w:instrText xml:space="preserve"> SEQ CHAPTER \h \r 1</w:instrText>
      </w:r>
      <w:r w:rsidRPr="00437F82">
        <w:rPr>
          <w:b/>
          <w:sz w:val="20"/>
          <w:lang w:val="fr-CA"/>
        </w:rPr>
        <w:fldChar w:fldCharType="end"/>
      </w:r>
      <w:r w:rsidRPr="00437F82">
        <w:rPr>
          <w:b/>
          <w:sz w:val="20"/>
          <w:lang w:val="fr-CA"/>
        </w:rPr>
        <w:t>37596</w:t>
      </w:r>
      <w:r w:rsidRPr="00437F82">
        <w:rPr>
          <w:sz w:val="20"/>
          <w:lang w:val="fr-CA"/>
        </w:rPr>
        <w:tab/>
      </w:r>
      <w:r w:rsidRPr="00437F82">
        <w:rPr>
          <w:b/>
          <w:i/>
          <w:sz w:val="20"/>
          <w:lang w:val="fr-CA"/>
        </w:rPr>
        <w:t xml:space="preserve">Spencer Dean </w:t>
      </w:r>
      <w:proofErr w:type="spellStart"/>
      <w:r w:rsidRPr="00437F82">
        <w:rPr>
          <w:b/>
          <w:i/>
          <w:sz w:val="20"/>
          <w:lang w:val="fr-CA"/>
        </w:rPr>
        <w:t>Bird</w:t>
      </w:r>
      <w:proofErr w:type="spellEnd"/>
      <w:r w:rsidRPr="00437F82">
        <w:rPr>
          <w:b/>
          <w:i/>
          <w:sz w:val="20"/>
          <w:lang w:val="fr-CA"/>
        </w:rPr>
        <w:t xml:space="preserve"> c. Sa Majesté la Reine</w:t>
      </w:r>
    </w:p>
    <w:p w:rsidR="009D7F27" w:rsidRPr="00437F82" w:rsidRDefault="009D7F27" w:rsidP="009D7F27">
      <w:pPr>
        <w:widowControl w:val="0"/>
        <w:ind w:left="1440" w:hanging="720"/>
        <w:jc w:val="both"/>
        <w:rPr>
          <w:sz w:val="20"/>
          <w:lang w:val="fr-CA"/>
        </w:rPr>
      </w:pPr>
      <w:r w:rsidRPr="00437F82">
        <w:rPr>
          <w:sz w:val="20"/>
          <w:lang w:val="fr-CA"/>
        </w:rPr>
        <w:t>(</w:t>
      </w:r>
      <w:proofErr w:type="spellStart"/>
      <w:r w:rsidRPr="00437F82">
        <w:rPr>
          <w:sz w:val="20"/>
          <w:lang w:val="fr-CA"/>
        </w:rPr>
        <w:t>Sask</w:t>
      </w:r>
      <w:proofErr w:type="spellEnd"/>
      <w:r w:rsidRPr="00437F82">
        <w:rPr>
          <w:sz w:val="20"/>
          <w:lang w:val="fr-CA"/>
        </w:rPr>
        <w:t>.) (Criminelle) (De plein droit)</w:t>
      </w:r>
    </w:p>
    <w:p w:rsidR="009D7F27" w:rsidRPr="00437F82" w:rsidRDefault="009D7F27" w:rsidP="009D7F27">
      <w:pPr>
        <w:widowControl w:val="0"/>
        <w:jc w:val="both"/>
        <w:rPr>
          <w:sz w:val="20"/>
          <w:lang w:val="fr-CA"/>
        </w:rPr>
      </w:pPr>
    </w:p>
    <w:p w:rsidR="009D7F27" w:rsidRPr="00437F82" w:rsidRDefault="009D7F27" w:rsidP="009D7F27">
      <w:pPr>
        <w:widowControl w:val="0"/>
        <w:jc w:val="both"/>
        <w:rPr>
          <w:sz w:val="20"/>
          <w:lang w:val="fr-CA"/>
        </w:rPr>
      </w:pPr>
      <w:r w:rsidRPr="00437F82">
        <w:rPr>
          <w:i/>
          <w:sz w:val="20"/>
          <w:lang w:val="fr-CA"/>
        </w:rPr>
        <w:t>Charte des droits</w:t>
      </w:r>
      <w:r w:rsidRPr="00437F82">
        <w:rPr>
          <w:sz w:val="20"/>
          <w:lang w:val="fr-CA"/>
        </w:rPr>
        <w:t xml:space="preserve"> - Droit criminel - Droit à la liberté - Surveillance de longue durée - Exigence en matière d’assignation à résidence - L’accusé est obligé de résider à un centre correctionnel communautaire ou à un établissement résidentiel communautaire comme condition de surveillance de longue durée - L’accusé n’a pas respecté l’ordonnance et il a été accusé de violation d’une ordonnance de surveillance de longue durée - Le juge du procès a conclu que l’exigence en matière d’assignation à résidence violait l’art. 7 de la </w:t>
      </w:r>
      <w:r w:rsidRPr="00437F82">
        <w:rPr>
          <w:i/>
          <w:sz w:val="20"/>
          <w:lang w:val="fr-CA"/>
        </w:rPr>
        <w:t>Charte canadienne des droits et libertés</w:t>
      </w:r>
      <w:r w:rsidRPr="00437F82">
        <w:rPr>
          <w:sz w:val="20"/>
          <w:lang w:val="fr-CA"/>
        </w:rPr>
        <w:t xml:space="preserve"> et il a rejeté l’accusation - La Cour d’appel a accueilli l’appel et a inscrit une déclaration de culpabilité - La Cour d’appel a-t-elle commis une erreur de droit dans son application de la règle relative à la contestation indirecte? - La Cour d’appel a-t-elle omis d’aborder la question constitutionnelle de savoir si l’ordonnance de la Commission des libérations conditionnelles viole la </w:t>
      </w:r>
      <w:r w:rsidRPr="00437F82">
        <w:rPr>
          <w:i/>
          <w:sz w:val="20"/>
          <w:lang w:val="fr-CA"/>
        </w:rPr>
        <w:t>Charte</w:t>
      </w:r>
      <w:r w:rsidRPr="00437F82">
        <w:rPr>
          <w:sz w:val="20"/>
          <w:lang w:val="fr-CA"/>
        </w:rPr>
        <w:t>?</w:t>
      </w:r>
    </w:p>
    <w:p w:rsidR="009D7F27" w:rsidRPr="00437F82" w:rsidRDefault="009D7F27" w:rsidP="009D7F27">
      <w:pPr>
        <w:widowControl w:val="0"/>
        <w:jc w:val="both"/>
        <w:rPr>
          <w:sz w:val="20"/>
          <w:lang w:val="fr-CA"/>
        </w:rPr>
      </w:pPr>
    </w:p>
    <w:p w:rsidR="009D7F27" w:rsidRPr="00437F82" w:rsidRDefault="009D7F27" w:rsidP="009D7F27">
      <w:pPr>
        <w:widowControl w:val="0"/>
        <w:jc w:val="both"/>
        <w:rPr>
          <w:sz w:val="20"/>
          <w:lang w:val="fr-CA"/>
        </w:rPr>
      </w:pPr>
      <w:r w:rsidRPr="00437F82">
        <w:rPr>
          <w:sz w:val="20"/>
          <w:lang w:val="fr-CA"/>
        </w:rPr>
        <w:t xml:space="preserve">L’appelant a été déclaré délinquant à contrôler et il s’est vu infliger une peine d’emprisonnement dans un pénitencier, suivie d’une période de surveillance de longue durée. La Commission des libérations conditionnelles a décidé que, comme condition de surveillance de longue durée, l’appelant devait commencer sa période de surveillance en résidant à un centre correctionnel communautaire ou à un établissement résidentiel communautaire. Au terme de sa peine d’emprisonnement, l’appelant a commencé à résider à un centre correctionnel communautaire, mais il a quitté le centre peu après et n’y est pas retourné. Il a fini par être arrêté et accusé d’avoir violé une condition de sa surveillance de longue durée. En défense à l’accusation, il a plaidé que l’exigence en matière d’assignation à résidence imposée par la Commission des libérations conditionnelles était illégale. Le juge du procès a accepté cet argument et il a rejeté l’accusation, concluant que l’exigence violait l’art. 7 de la </w:t>
      </w:r>
      <w:r w:rsidRPr="00437F82">
        <w:rPr>
          <w:i/>
          <w:sz w:val="20"/>
          <w:lang w:val="fr-CA"/>
        </w:rPr>
        <w:t>Charte</w:t>
      </w:r>
      <w:r w:rsidRPr="00437F82">
        <w:rPr>
          <w:sz w:val="20"/>
          <w:lang w:val="fr-CA"/>
        </w:rPr>
        <w:t xml:space="preserve"> parce qu’elle obligeait l’appelant à habiter dans un établissement pénal, même s’il avait purgé sa peine d’emprisonnement. La Cour d’appel a accueilli l’appel, annulé l’acquittement et inscrit une déclaration de culpabilité. À son avis, le juge du procès avait eu tort de permettre à l’appelant de contester indirectement l’exigence en matière d’assignation à résidence.</w:t>
      </w:r>
    </w:p>
    <w:p w:rsidR="009D7F27" w:rsidRPr="00437F82" w:rsidRDefault="009D7F27" w:rsidP="009D7F27">
      <w:pPr>
        <w:widowControl w:val="0"/>
        <w:jc w:val="both"/>
        <w:rPr>
          <w:sz w:val="20"/>
          <w:lang w:val="fr-CA"/>
        </w:rPr>
      </w:pPr>
    </w:p>
    <w:p w:rsidR="00065619" w:rsidRPr="00437F82" w:rsidRDefault="002526AE" w:rsidP="009D7F27">
      <w:pPr>
        <w:widowControl w:val="0"/>
        <w:jc w:val="both"/>
        <w:rPr>
          <w:sz w:val="20"/>
          <w:lang w:val="fr-CA"/>
        </w:rPr>
      </w:pPr>
      <w:r>
        <w:rPr>
          <w:sz w:val="20"/>
          <w:szCs w:val="20"/>
          <w:lang w:val="fr-CA"/>
        </w:rPr>
        <w:pict>
          <v:rect id="_x0000_i1048" style="width:2in;height:1pt" o:hrpct="0" o:hralign="center" o:hrstd="t" o:hrnoshade="t" o:hr="t" fillcolor="black [3213]" stroked="f"/>
        </w:pict>
      </w:r>
    </w:p>
    <w:p w:rsidR="00065619" w:rsidRPr="00437F82" w:rsidRDefault="00065619" w:rsidP="009D7F27">
      <w:pPr>
        <w:widowControl w:val="0"/>
        <w:jc w:val="both"/>
        <w:rPr>
          <w:sz w:val="20"/>
          <w:lang w:val="fr-CA"/>
        </w:rPr>
      </w:pPr>
    </w:p>
    <w:p w:rsidR="009D7F27" w:rsidRPr="00437F82" w:rsidRDefault="009D7F27">
      <w:pPr>
        <w:rPr>
          <w:sz w:val="20"/>
          <w:lang w:val="fr-CA"/>
        </w:rPr>
      </w:pPr>
      <w:r w:rsidRPr="00437F82">
        <w:rPr>
          <w:sz w:val="20"/>
          <w:lang w:val="fr-CA"/>
        </w:rPr>
        <w:br w:type="page"/>
      </w:r>
    </w:p>
    <w:p w:rsidR="009D7F27" w:rsidRPr="00437F82" w:rsidRDefault="009D7F27" w:rsidP="009D7F27">
      <w:pPr>
        <w:widowControl w:val="0"/>
        <w:ind w:left="720" w:hanging="720"/>
        <w:jc w:val="both"/>
        <w:rPr>
          <w:b/>
          <w:i/>
          <w:sz w:val="20"/>
        </w:rPr>
      </w:pPr>
      <w:r w:rsidRPr="00437F82">
        <w:rPr>
          <w:b/>
          <w:sz w:val="20"/>
        </w:rPr>
        <w:fldChar w:fldCharType="begin"/>
      </w:r>
      <w:r w:rsidRPr="00437F82">
        <w:rPr>
          <w:b/>
          <w:sz w:val="20"/>
        </w:rPr>
        <w:instrText xml:space="preserve"> SEQ CHAPTER \h \r 1</w:instrText>
      </w:r>
      <w:r w:rsidRPr="00437F82">
        <w:rPr>
          <w:b/>
          <w:sz w:val="20"/>
        </w:rPr>
        <w:fldChar w:fldCharType="end"/>
      </w:r>
      <w:r w:rsidRPr="00437F82">
        <w:rPr>
          <w:b/>
          <w:sz w:val="20"/>
        </w:rPr>
        <w:t>37537</w:t>
      </w:r>
      <w:r w:rsidRPr="00437F82">
        <w:rPr>
          <w:sz w:val="20"/>
        </w:rPr>
        <w:tab/>
      </w:r>
      <w:r w:rsidRPr="00437F82">
        <w:rPr>
          <w:b/>
          <w:i/>
          <w:sz w:val="20"/>
        </w:rPr>
        <w:t xml:space="preserve">Kenneth F. Salomon, </w:t>
      </w:r>
      <w:proofErr w:type="spellStart"/>
      <w:r w:rsidRPr="00437F82">
        <w:rPr>
          <w:b/>
          <w:i/>
          <w:sz w:val="20"/>
        </w:rPr>
        <w:t>Sternthal</w:t>
      </w:r>
      <w:proofErr w:type="spellEnd"/>
      <w:r w:rsidRPr="00437F82">
        <w:rPr>
          <w:b/>
          <w:i/>
          <w:sz w:val="20"/>
        </w:rPr>
        <w:t xml:space="preserve"> </w:t>
      </w:r>
      <w:proofErr w:type="spellStart"/>
      <w:r w:rsidRPr="00437F82">
        <w:rPr>
          <w:b/>
          <w:i/>
          <w:sz w:val="20"/>
        </w:rPr>
        <w:t>Katznelson</w:t>
      </w:r>
      <w:proofErr w:type="spellEnd"/>
      <w:r w:rsidRPr="00437F82">
        <w:rPr>
          <w:b/>
          <w:i/>
          <w:sz w:val="20"/>
        </w:rPr>
        <w:t xml:space="preserve"> </w:t>
      </w:r>
      <w:proofErr w:type="spellStart"/>
      <w:r w:rsidRPr="00437F82">
        <w:rPr>
          <w:b/>
          <w:i/>
          <w:sz w:val="20"/>
        </w:rPr>
        <w:t>Montigny</w:t>
      </w:r>
      <w:proofErr w:type="spellEnd"/>
      <w:r w:rsidRPr="00437F82">
        <w:rPr>
          <w:b/>
          <w:i/>
          <w:sz w:val="20"/>
        </w:rPr>
        <w:t xml:space="preserve"> LLP v. Judith Matte-Thompson, 166376 Canada Inc.</w:t>
      </w:r>
    </w:p>
    <w:p w:rsidR="009D7F27" w:rsidRPr="00437F82" w:rsidRDefault="009D7F27" w:rsidP="009D7F27">
      <w:pPr>
        <w:pStyle w:val="SCCCaseDescriptor"/>
        <w:rPr>
          <w:b w:val="0"/>
          <w:sz w:val="20"/>
        </w:rPr>
      </w:pPr>
      <w:r w:rsidRPr="00437F82">
        <w:rPr>
          <w:b w:val="0"/>
          <w:sz w:val="20"/>
        </w:rPr>
        <w:tab/>
        <w:t>(Que.) (Civil) (By Leave)</w:t>
      </w:r>
      <w:bookmarkStart w:id="4" w:name="4"/>
      <w:bookmarkEnd w:id="4"/>
    </w:p>
    <w:p w:rsidR="009D7F27" w:rsidRPr="00437F82" w:rsidRDefault="009D7F27" w:rsidP="009D7F27">
      <w:pPr>
        <w:widowControl w:val="0"/>
        <w:jc w:val="both"/>
        <w:rPr>
          <w:sz w:val="20"/>
        </w:rPr>
      </w:pPr>
    </w:p>
    <w:p w:rsidR="009D7F27" w:rsidRPr="00437F82" w:rsidRDefault="009D7F27" w:rsidP="009D7F27">
      <w:pPr>
        <w:jc w:val="both"/>
        <w:rPr>
          <w:sz w:val="20"/>
        </w:rPr>
      </w:pPr>
      <w:r w:rsidRPr="00437F82">
        <w:rPr>
          <w:sz w:val="20"/>
        </w:rPr>
        <w:t>Law of professions - Professional liability - Lawyers - Duty to advise - What</w:t>
      </w:r>
      <w:r w:rsidRPr="00437F82">
        <w:rPr>
          <w:spacing w:val="-13"/>
          <w:sz w:val="20"/>
        </w:rPr>
        <w:t xml:space="preserve"> </w:t>
      </w:r>
      <w:r w:rsidRPr="00437F82">
        <w:rPr>
          <w:sz w:val="20"/>
        </w:rPr>
        <w:t>standard</w:t>
      </w:r>
      <w:r w:rsidRPr="00437F82">
        <w:rPr>
          <w:spacing w:val="-13"/>
          <w:sz w:val="20"/>
        </w:rPr>
        <w:t xml:space="preserve"> </w:t>
      </w:r>
      <w:r w:rsidRPr="00437F82">
        <w:rPr>
          <w:sz w:val="20"/>
        </w:rPr>
        <w:t>of</w:t>
      </w:r>
      <w:r w:rsidRPr="00437F82">
        <w:rPr>
          <w:spacing w:val="-14"/>
          <w:sz w:val="20"/>
        </w:rPr>
        <w:t xml:space="preserve"> </w:t>
      </w:r>
      <w:r w:rsidRPr="00437F82">
        <w:rPr>
          <w:sz w:val="20"/>
        </w:rPr>
        <w:t>review</w:t>
      </w:r>
      <w:r w:rsidRPr="00437F82">
        <w:rPr>
          <w:spacing w:val="-9"/>
          <w:sz w:val="20"/>
        </w:rPr>
        <w:t xml:space="preserve"> </w:t>
      </w:r>
      <w:r w:rsidRPr="00437F82">
        <w:rPr>
          <w:sz w:val="20"/>
        </w:rPr>
        <w:t>should</w:t>
      </w:r>
      <w:r w:rsidRPr="00437F82">
        <w:rPr>
          <w:spacing w:val="-13"/>
          <w:sz w:val="20"/>
        </w:rPr>
        <w:t xml:space="preserve"> </w:t>
      </w:r>
      <w:r w:rsidRPr="00437F82">
        <w:rPr>
          <w:sz w:val="20"/>
        </w:rPr>
        <w:t>the</w:t>
      </w:r>
      <w:r w:rsidRPr="00437F82">
        <w:rPr>
          <w:spacing w:val="-14"/>
          <w:sz w:val="20"/>
        </w:rPr>
        <w:t xml:space="preserve"> </w:t>
      </w:r>
      <w:r w:rsidRPr="00437F82">
        <w:rPr>
          <w:sz w:val="20"/>
        </w:rPr>
        <w:t>Court</w:t>
      </w:r>
      <w:r w:rsidRPr="00437F82">
        <w:rPr>
          <w:spacing w:val="-13"/>
          <w:sz w:val="20"/>
        </w:rPr>
        <w:t xml:space="preserve"> </w:t>
      </w:r>
      <w:r w:rsidRPr="00437F82">
        <w:rPr>
          <w:sz w:val="20"/>
        </w:rPr>
        <w:t>of</w:t>
      </w:r>
      <w:r w:rsidRPr="00437F82">
        <w:rPr>
          <w:spacing w:val="-12"/>
          <w:sz w:val="20"/>
        </w:rPr>
        <w:t xml:space="preserve"> </w:t>
      </w:r>
      <w:r w:rsidRPr="00437F82">
        <w:rPr>
          <w:sz w:val="20"/>
        </w:rPr>
        <w:t>Appeal</w:t>
      </w:r>
      <w:r w:rsidRPr="00437F82">
        <w:rPr>
          <w:spacing w:val="-13"/>
          <w:sz w:val="20"/>
        </w:rPr>
        <w:t xml:space="preserve"> </w:t>
      </w:r>
      <w:r w:rsidRPr="00437F82">
        <w:rPr>
          <w:sz w:val="20"/>
        </w:rPr>
        <w:t>have</w:t>
      </w:r>
      <w:r w:rsidRPr="00437F82">
        <w:rPr>
          <w:spacing w:val="-12"/>
          <w:sz w:val="20"/>
        </w:rPr>
        <w:t xml:space="preserve"> </w:t>
      </w:r>
      <w:r w:rsidRPr="00437F82">
        <w:rPr>
          <w:sz w:val="20"/>
        </w:rPr>
        <w:t>applied</w:t>
      </w:r>
      <w:r w:rsidRPr="00437F82">
        <w:rPr>
          <w:spacing w:val="-11"/>
          <w:sz w:val="20"/>
        </w:rPr>
        <w:t xml:space="preserve"> </w:t>
      </w:r>
      <w:r w:rsidRPr="00437F82">
        <w:rPr>
          <w:sz w:val="20"/>
        </w:rPr>
        <w:t>to</w:t>
      </w:r>
      <w:r w:rsidRPr="00437F82">
        <w:rPr>
          <w:spacing w:val="-13"/>
          <w:sz w:val="20"/>
        </w:rPr>
        <w:t xml:space="preserve"> </w:t>
      </w:r>
      <w:r w:rsidRPr="00437F82">
        <w:rPr>
          <w:sz w:val="20"/>
        </w:rPr>
        <w:t>the</w:t>
      </w:r>
      <w:r w:rsidRPr="00437F82">
        <w:rPr>
          <w:spacing w:val="-12"/>
          <w:sz w:val="20"/>
        </w:rPr>
        <w:t xml:space="preserve"> </w:t>
      </w:r>
      <w:r w:rsidRPr="00437F82">
        <w:rPr>
          <w:sz w:val="20"/>
        </w:rPr>
        <w:t>Trial</w:t>
      </w:r>
      <w:r w:rsidRPr="00437F82">
        <w:rPr>
          <w:spacing w:val="-13"/>
          <w:sz w:val="20"/>
        </w:rPr>
        <w:t xml:space="preserve"> </w:t>
      </w:r>
      <w:r w:rsidRPr="00437F82">
        <w:rPr>
          <w:sz w:val="20"/>
        </w:rPr>
        <w:t xml:space="preserve">Judge’s findings regarding fault and causation, and is the Court of Appeal’s notion of the </w:t>
      </w:r>
      <w:proofErr w:type="spellStart"/>
      <w:r w:rsidRPr="00437F82">
        <w:rPr>
          <w:i/>
          <w:sz w:val="20"/>
        </w:rPr>
        <w:t>prisme</w:t>
      </w:r>
      <w:proofErr w:type="spellEnd"/>
      <w:r w:rsidRPr="00437F82">
        <w:rPr>
          <w:i/>
          <w:sz w:val="20"/>
        </w:rPr>
        <w:t xml:space="preserve"> </w:t>
      </w:r>
      <w:proofErr w:type="spellStart"/>
      <w:r w:rsidRPr="00437F82">
        <w:rPr>
          <w:i/>
          <w:sz w:val="20"/>
        </w:rPr>
        <w:t>déformant</w:t>
      </w:r>
      <w:proofErr w:type="spellEnd"/>
      <w:r w:rsidRPr="00437F82">
        <w:rPr>
          <w:i/>
          <w:sz w:val="20"/>
        </w:rPr>
        <w:t xml:space="preserve"> </w:t>
      </w:r>
      <w:r w:rsidRPr="00437F82">
        <w:rPr>
          <w:sz w:val="20"/>
        </w:rPr>
        <w:t>consistent with this</w:t>
      </w:r>
      <w:r w:rsidRPr="00437F82">
        <w:rPr>
          <w:spacing w:val="-2"/>
          <w:sz w:val="20"/>
        </w:rPr>
        <w:t xml:space="preserve"> </w:t>
      </w:r>
      <w:r w:rsidRPr="00437F82">
        <w:rPr>
          <w:sz w:val="20"/>
        </w:rPr>
        <w:t>standard? - What</w:t>
      </w:r>
      <w:r w:rsidRPr="00437F82">
        <w:rPr>
          <w:spacing w:val="-12"/>
          <w:sz w:val="20"/>
        </w:rPr>
        <w:t xml:space="preserve"> </w:t>
      </w:r>
      <w:r w:rsidRPr="00437F82">
        <w:rPr>
          <w:sz w:val="20"/>
        </w:rPr>
        <w:t>is</w:t>
      </w:r>
      <w:r w:rsidRPr="00437F82">
        <w:rPr>
          <w:spacing w:val="-14"/>
          <w:sz w:val="20"/>
        </w:rPr>
        <w:t xml:space="preserve"> </w:t>
      </w:r>
      <w:r w:rsidRPr="00437F82">
        <w:rPr>
          <w:sz w:val="20"/>
        </w:rPr>
        <w:t>the</w:t>
      </w:r>
      <w:r w:rsidRPr="00437F82">
        <w:rPr>
          <w:spacing w:val="-13"/>
          <w:sz w:val="20"/>
        </w:rPr>
        <w:t xml:space="preserve"> </w:t>
      </w:r>
      <w:r w:rsidRPr="00437F82">
        <w:rPr>
          <w:sz w:val="20"/>
        </w:rPr>
        <w:t>standard</w:t>
      </w:r>
      <w:r w:rsidRPr="00437F82">
        <w:rPr>
          <w:spacing w:val="-12"/>
          <w:sz w:val="20"/>
        </w:rPr>
        <w:t xml:space="preserve"> </w:t>
      </w:r>
      <w:r w:rsidRPr="00437F82">
        <w:rPr>
          <w:sz w:val="20"/>
        </w:rPr>
        <w:t>for</w:t>
      </w:r>
      <w:r w:rsidRPr="00437F82">
        <w:rPr>
          <w:spacing w:val="-13"/>
          <w:sz w:val="20"/>
        </w:rPr>
        <w:t xml:space="preserve"> </w:t>
      </w:r>
      <w:r w:rsidRPr="00437F82">
        <w:rPr>
          <w:sz w:val="20"/>
        </w:rPr>
        <w:t>assessing</w:t>
      </w:r>
      <w:r w:rsidRPr="00437F82">
        <w:rPr>
          <w:spacing w:val="-14"/>
          <w:sz w:val="20"/>
        </w:rPr>
        <w:t xml:space="preserve"> </w:t>
      </w:r>
      <w:r w:rsidRPr="00437F82">
        <w:rPr>
          <w:sz w:val="20"/>
        </w:rPr>
        <w:t>fault</w:t>
      </w:r>
      <w:r w:rsidRPr="00437F82">
        <w:rPr>
          <w:spacing w:val="-12"/>
          <w:sz w:val="20"/>
        </w:rPr>
        <w:t xml:space="preserve"> </w:t>
      </w:r>
      <w:r w:rsidRPr="00437F82">
        <w:rPr>
          <w:sz w:val="20"/>
        </w:rPr>
        <w:t>in</w:t>
      </w:r>
      <w:r w:rsidRPr="00437F82">
        <w:rPr>
          <w:spacing w:val="-12"/>
          <w:sz w:val="20"/>
        </w:rPr>
        <w:t xml:space="preserve"> </w:t>
      </w:r>
      <w:r w:rsidRPr="00437F82">
        <w:rPr>
          <w:sz w:val="20"/>
        </w:rPr>
        <w:t>the</w:t>
      </w:r>
      <w:r w:rsidRPr="00437F82">
        <w:rPr>
          <w:spacing w:val="-13"/>
          <w:sz w:val="20"/>
        </w:rPr>
        <w:t xml:space="preserve"> </w:t>
      </w:r>
      <w:r w:rsidRPr="00437F82">
        <w:rPr>
          <w:sz w:val="20"/>
        </w:rPr>
        <w:t>context</w:t>
      </w:r>
      <w:r w:rsidRPr="00437F82">
        <w:rPr>
          <w:spacing w:val="-14"/>
          <w:sz w:val="20"/>
        </w:rPr>
        <w:t xml:space="preserve"> </w:t>
      </w:r>
      <w:r w:rsidRPr="00437F82">
        <w:rPr>
          <w:sz w:val="20"/>
        </w:rPr>
        <w:t>of</w:t>
      </w:r>
      <w:r w:rsidRPr="00437F82">
        <w:rPr>
          <w:spacing w:val="-13"/>
          <w:sz w:val="20"/>
        </w:rPr>
        <w:t xml:space="preserve"> </w:t>
      </w:r>
      <w:r w:rsidRPr="00437F82">
        <w:rPr>
          <w:sz w:val="20"/>
        </w:rPr>
        <w:t>a</w:t>
      </w:r>
      <w:r w:rsidRPr="00437F82">
        <w:rPr>
          <w:spacing w:val="-13"/>
          <w:sz w:val="20"/>
        </w:rPr>
        <w:t xml:space="preserve"> </w:t>
      </w:r>
      <w:r w:rsidRPr="00437F82">
        <w:rPr>
          <w:sz w:val="20"/>
        </w:rPr>
        <w:t>lawyer’s</w:t>
      </w:r>
      <w:r w:rsidRPr="00437F82">
        <w:rPr>
          <w:spacing w:val="-12"/>
          <w:sz w:val="20"/>
        </w:rPr>
        <w:t xml:space="preserve"> </w:t>
      </w:r>
      <w:r w:rsidRPr="00437F82">
        <w:rPr>
          <w:sz w:val="20"/>
        </w:rPr>
        <w:t>referral</w:t>
      </w:r>
      <w:r w:rsidRPr="00437F82">
        <w:rPr>
          <w:spacing w:val="-12"/>
          <w:sz w:val="20"/>
        </w:rPr>
        <w:t xml:space="preserve"> </w:t>
      </w:r>
      <w:r w:rsidRPr="00437F82">
        <w:rPr>
          <w:sz w:val="20"/>
        </w:rPr>
        <w:t>of</w:t>
      </w:r>
      <w:r w:rsidRPr="00437F82">
        <w:rPr>
          <w:spacing w:val="-13"/>
          <w:sz w:val="20"/>
        </w:rPr>
        <w:t xml:space="preserve"> </w:t>
      </w:r>
      <w:r w:rsidRPr="00437F82">
        <w:rPr>
          <w:sz w:val="20"/>
        </w:rPr>
        <w:t>another professional, and did the Court of Appeal err in interfering with the Trial Judge’s findings with respect to</w:t>
      </w:r>
      <w:r w:rsidRPr="00437F82">
        <w:rPr>
          <w:spacing w:val="-1"/>
          <w:sz w:val="20"/>
        </w:rPr>
        <w:t xml:space="preserve"> </w:t>
      </w:r>
      <w:r w:rsidRPr="00437F82">
        <w:rPr>
          <w:sz w:val="20"/>
        </w:rPr>
        <w:t>fault? -</w:t>
      </w:r>
      <w:r w:rsidR="00BE7C7B">
        <w:rPr>
          <w:sz w:val="20"/>
        </w:rPr>
        <w:t xml:space="preserve"> </w:t>
      </w:r>
      <w:r w:rsidRPr="00437F82">
        <w:rPr>
          <w:sz w:val="20"/>
        </w:rPr>
        <w:t>Did</w:t>
      </w:r>
      <w:r w:rsidRPr="00437F82">
        <w:rPr>
          <w:spacing w:val="-12"/>
          <w:sz w:val="20"/>
        </w:rPr>
        <w:t xml:space="preserve"> </w:t>
      </w:r>
      <w:r w:rsidRPr="00437F82">
        <w:rPr>
          <w:sz w:val="20"/>
        </w:rPr>
        <w:t>the</w:t>
      </w:r>
      <w:r w:rsidRPr="00437F82">
        <w:rPr>
          <w:spacing w:val="-13"/>
          <w:sz w:val="20"/>
        </w:rPr>
        <w:t xml:space="preserve"> </w:t>
      </w:r>
      <w:r w:rsidRPr="00437F82">
        <w:rPr>
          <w:sz w:val="20"/>
        </w:rPr>
        <w:t>Court</w:t>
      </w:r>
      <w:r w:rsidRPr="00437F82">
        <w:rPr>
          <w:spacing w:val="-12"/>
          <w:sz w:val="20"/>
        </w:rPr>
        <w:t xml:space="preserve"> </w:t>
      </w:r>
      <w:r w:rsidRPr="00437F82">
        <w:rPr>
          <w:sz w:val="20"/>
        </w:rPr>
        <w:t>of</w:t>
      </w:r>
      <w:r w:rsidRPr="00437F82">
        <w:rPr>
          <w:spacing w:val="-10"/>
          <w:sz w:val="20"/>
        </w:rPr>
        <w:t xml:space="preserve"> </w:t>
      </w:r>
      <w:r w:rsidRPr="00437F82">
        <w:rPr>
          <w:sz w:val="20"/>
        </w:rPr>
        <w:t>Appeal</w:t>
      </w:r>
      <w:r w:rsidRPr="00437F82">
        <w:rPr>
          <w:spacing w:val="-9"/>
          <w:sz w:val="20"/>
        </w:rPr>
        <w:t xml:space="preserve"> </w:t>
      </w:r>
      <w:r w:rsidRPr="00437F82">
        <w:rPr>
          <w:sz w:val="20"/>
        </w:rPr>
        <w:t>err</w:t>
      </w:r>
      <w:r w:rsidRPr="00437F82">
        <w:rPr>
          <w:spacing w:val="-13"/>
          <w:sz w:val="20"/>
        </w:rPr>
        <w:t xml:space="preserve"> </w:t>
      </w:r>
      <w:r w:rsidRPr="00437F82">
        <w:rPr>
          <w:sz w:val="20"/>
        </w:rPr>
        <w:t>in</w:t>
      </w:r>
      <w:r w:rsidRPr="00437F82">
        <w:rPr>
          <w:spacing w:val="-12"/>
          <w:sz w:val="20"/>
        </w:rPr>
        <w:t xml:space="preserve"> </w:t>
      </w:r>
      <w:r w:rsidRPr="00437F82">
        <w:rPr>
          <w:sz w:val="20"/>
        </w:rPr>
        <w:t>interfering</w:t>
      </w:r>
      <w:r w:rsidRPr="00437F82">
        <w:rPr>
          <w:spacing w:val="-14"/>
          <w:sz w:val="20"/>
        </w:rPr>
        <w:t xml:space="preserve"> </w:t>
      </w:r>
      <w:r w:rsidRPr="00437F82">
        <w:rPr>
          <w:sz w:val="20"/>
        </w:rPr>
        <w:t>with</w:t>
      </w:r>
      <w:r w:rsidRPr="00437F82">
        <w:rPr>
          <w:spacing w:val="-12"/>
          <w:sz w:val="20"/>
        </w:rPr>
        <w:t xml:space="preserve"> </w:t>
      </w:r>
      <w:r w:rsidRPr="00437F82">
        <w:rPr>
          <w:sz w:val="20"/>
        </w:rPr>
        <w:t>the</w:t>
      </w:r>
      <w:r w:rsidRPr="00437F82">
        <w:rPr>
          <w:spacing w:val="-11"/>
          <w:sz w:val="20"/>
        </w:rPr>
        <w:t xml:space="preserve"> </w:t>
      </w:r>
      <w:r w:rsidRPr="00437F82">
        <w:rPr>
          <w:sz w:val="20"/>
        </w:rPr>
        <w:t>Trial</w:t>
      </w:r>
      <w:r w:rsidRPr="00437F82">
        <w:rPr>
          <w:spacing w:val="-12"/>
          <w:sz w:val="20"/>
        </w:rPr>
        <w:t xml:space="preserve"> </w:t>
      </w:r>
      <w:r w:rsidRPr="00437F82">
        <w:rPr>
          <w:sz w:val="20"/>
        </w:rPr>
        <w:t>Judge’s</w:t>
      </w:r>
      <w:r w:rsidRPr="00437F82">
        <w:rPr>
          <w:spacing w:val="-9"/>
          <w:sz w:val="20"/>
        </w:rPr>
        <w:t xml:space="preserve"> </w:t>
      </w:r>
      <w:r w:rsidRPr="00437F82">
        <w:rPr>
          <w:sz w:val="20"/>
        </w:rPr>
        <w:t>findings</w:t>
      </w:r>
      <w:r w:rsidRPr="00437F82">
        <w:rPr>
          <w:spacing w:val="-9"/>
          <w:sz w:val="20"/>
        </w:rPr>
        <w:t xml:space="preserve"> </w:t>
      </w:r>
      <w:r w:rsidRPr="00437F82">
        <w:rPr>
          <w:sz w:val="20"/>
        </w:rPr>
        <w:t>with</w:t>
      </w:r>
      <w:r w:rsidRPr="00437F82">
        <w:rPr>
          <w:spacing w:val="-12"/>
          <w:sz w:val="20"/>
        </w:rPr>
        <w:t xml:space="preserve"> </w:t>
      </w:r>
      <w:r w:rsidRPr="00437F82">
        <w:rPr>
          <w:sz w:val="20"/>
        </w:rPr>
        <w:t>respect to</w:t>
      </w:r>
      <w:r w:rsidRPr="00437F82">
        <w:rPr>
          <w:spacing w:val="-1"/>
          <w:sz w:val="20"/>
        </w:rPr>
        <w:t xml:space="preserve"> </w:t>
      </w:r>
      <w:r w:rsidRPr="00437F82">
        <w:rPr>
          <w:sz w:val="20"/>
        </w:rPr>
        <w:t>causation?</w:t>
      </w:r>
    </w:p>
    <w:p w:rsidR="009D7F27" w:rsidRPr="00437F82" w:rsidRDefault="009D7F27" w:rsidP="009D7F27">
      <w:pPr>
        <w:widowControl w:val="0"/>
        <w:jc w:val="both"/>
        <w:rPr>
          <w:sz w:val="20"/>
        </w:rPr>
      </w:pPr>
    </w:p>
    <w:p w:rsidR="009D7F27" w:rsidRPr="00437F82" w:rsidRDefault="009D7F27" w:rsidP="009D7F27">
      <w:pPr>
        <w:jc w:val="both"/>
        <w:rPr>
          <w:sz w:val="20"/>
        </w:rPr>
      </w:pPr>
      <w:r w:rsidRPr="00437F82">
        <w:rPr>
          <w:sz w:val="20"/>
        </w:rPr>
        <w:t>The Respondents, Ms. Judith Matte-Thompson and 166376 Canada Inc., invested millions of dollars with Mr. </w:t>
      </w:r>
      <w:proofErr w:type="spellStart"/>
      <w:r w:rsidRPr="00437F82">
        <w:rPr>
          <w:sz w:val="20"/>
        </w:rPr>
        <w:t>Thémistoklis</w:t>
      </w:r>
      <w:proofErr w:type="spellEnd"/>
      <w:r w:rsidRPr="00437F82">
        <w:rPr>
          <w:sz w:val="20"/>
        </w:rPr>
        <w:t xml:space="preserve"> Papadopoulos (“Papadopoulos”), a representative of </w:t>
      </w:r>
      <w:proofErr w:type="spellStart"/>
      <w:r w:rsidRPr="00437F82">
        <w:rPr>
          <w:sz w:val="20"/>
        </w:rPr>
        <w:t>Triglobal</w:t>
      </w:r>
      <w:proofErr w:type="spellEnd"/>
      <w:r w:rsidRPr="00437F82">
        <w:rPr>
          <w:sz w:val="20"/>
        </w:rPr>
        <w:t xml:space="preserve"> Capital Management Inc.  The funds in which the Respondents invested - Focus and </w:t>
      </w:r>
      <w:proofErr w:type="spellStart"/>
      <w:r w:rsidRPr="00437F82">
        <w:rPr>
          <w:sz w:val="20"/>
        </w:rPr>
        <w:t>iVest</w:t>
      </w:r>
      <w:proofErr w:type="spellEnd"/>
      <w:r w:rsidRPr="00437F82">
        <w:rPr>
          <w:sz w:val="20"/>
        </w:rPr>
        <w:t xml:space="preserve"> - turned out to be a Ponzi scheme, Papadopoulos disappeared and the Respondents lost their investments.  The Respondents sued Papadopoulos and his associate Mario Bright, as well as the Appellants, Kenneth Salomon, Ms. Thompson’s lawyer who referred her to Papadopoulos, and his law firm, </w:t>
      </w:r>
      <w:proofErr w:type="spellStart"/>
      <w:r w:rsidRPr="00437F82">
        <w:rPr>
          <w:sz w:val="20"/>
        </w:rPr>
        <w:t>Sternthal</w:t>
      </w:r>
      <w:proofErr w:type="spellEnd"/>
      <w:r w:rsidRPr="00437F82">
        <w:rPr>
          <w:sz w:val="20"/>
        </w:rPr>
        <w:t xml:space="preserve"> </w:t>
      </w:r>
      <w:proofErr w:type="spellStart"/>
      <w:r w:rsidRPr="00437F82">
        <w:rPr>
          <w:sz w:val="20"/>
        </w:rPr>
        <w:t>Katznelson</w:t>
      </w:r>
      <w:proofErr w:type="spellEnd"/>
      <w:r w:rsidRPr="00437F82">
        <w:rPr>
          <w:sz w:val="20"/>
        </w:rPr>
        <w:t xml:space="preserve"> </w:t>
      </w:r>
      <w:proofErr w:type="spellStart"/>
      <w:r w:rsidRPr="00437F82">
        <w:rPr>
          <w:sz w:val="20"/>
        </w:rPr>
        <w:t>Montigny</w:t>
      </w:r>
      <w:proofErr w:type="spellEnd"/>
      <w:r w:rsidRPr="00437F82">
        <w:rPr>
          <w:sz w:val="20"/>
        </w:rPr>
        <w:t xml:space="preserve"> LLP.</w:t>
      </w:r>
    </w:p>
    <w:p w:rsidR="009D7F27" w:rsidRPr="00437F82" w:rsidRDefault="009D7F27" w:rsidP="009D7F27">
      <w:pPr>
        <w:jc w:val="both"/>
        <w:rPr>
          <w:sz w:val="20"/>
        </w:rPr>
      </w:pPr>
    </w:p>
    <w:p w:rsidR="009D7F27" w:rsidRPr="00437F82" w:rsidRDefault="002526AE" w:rsidP="009D7F27">
      <w:pPr>
        <w:jc w:val="both"/>
        <w:rPr>
          <w:sz w:val="20"/>
        </w:rPr>
      </w:pPr>
      <w:r>
        <w:rPr>
          <w:sz w:val="20"/>
          <w:szCs w:val="20"/>
          <w:lang w:val="fr-CA"/>
        </w:rPr>
        <w:pict>
          <v:rect id="_x0000_i1049" style="width:2in;height:1pt" o:hrpct="0" o:hralign="center" o:hrstd="t" o:hrnoshade="t" o:hr="t" fillcolor="black [3213]" stroked="f"/>
        </w:pict>
      </w:r>
    </w:p>
    <w:p w:rsidR="009D7F27" w:rsidRPr="00437F82" w:rsidRDefault="009D7F27" w:rsidP="009D7F27">
      <w:pPr>
        <w:jc w:val="both"/>
        <w:rPr>
          <w:sz w:val="20"/>
        </w:rPr>
      </w:pPr>
    </w:p>
    <w:p w:rsidR="009D7F27" w:rsidRPr="00437F82" w:rsidRDefault="009D7F27" w:rsidP="009D7F27">
      <w:pPr>
        <w:widowControl w:val="0"/>
        <w:ind w:left="720" w:hanging="720"/>
        <w:jc w:val="both"/>
        <w:rPr>
          <w:b/>
          <w:i/>
          <w:sz w:val="20"/>
        </w:rPr>
      </w:pPr>
      <w:r w:rsidRPr="00437F82">
        <w:rPr>
          <w:b/>
          <w:sz w:val="20"/>
          <w:lang w:val="fr-CA"/>
        </w:rPr>
        <w:fldChar w:fldCharType="begin"/>
      </w:r>
      <w:r w:rsidRPr="00437F82">
        <w:rPr>
          <w:b/>
          <w:sz w:val="20"/>
        </w:rPr>
        <w:instrText xml:space="preserve"> SEQ CHAPTER \h \r 1</w:instrText>
      </w:r>
      <w:r w:rsidRPr="00437F82">
        <w:rPr>
          <w:b/>
          <w:sz w:val="20"/>
          <w:lang w:val="fr-CA"/>
        </w:rPr>
        <w:fldChar w:fldCharType="end"/>
      </w:r>
      <w:r w:rsidRPr="00437F82">
        <w:rPr>
          <w:b/>
          <w:sz w:val="20"/>
        </w:rPr>
        <w:t>37537</w:t>
      </w:r>
      <w:r w:rsidRPr="00437F82">
        <w:rPr>
          <w:sz w:val="20"/>
        </w:rPr>
        <w:tab/>
      </w:r>
      <w:r w:rsidRPr="00437F82">
        <w:rPr>
          <w:b/>
          <w:i/>
          <w:sz w:val="20"/>
        </w:rPr>
        <w:t xml:space="preserve">Kenneth F. Salomon, </w:t>
      </w:r>
      <w:proofErr w:type="spellStart"/>
      <w:r w:rsidRPr="00437F82">
        <w:rPr>
          <w:b/>
          <w:i/>
          <w:sz w:val="20"/>
        </w:rPr>
        <w:t>Sternthal</w:t>
      </w:r>
      <w:proofErr w:type="spellEnd"/>
      <w:r w:rsidRPr="00437F82">
        <w:rPr>
          <w:b/>
          <w:i/>
          <w:sz w:val="20"/>
        </w:rPr>
        <w:t xml:space="preserve"> </w:t>
      </w:r>
      <w:proofErr w:type="spellStart"/>
      <w:r w:rsidRPr="00437F82">
        <w:rPr>
          <w:b/>
          <w:i/>
          <w:sz w:val="20"/>
        </w:rPr>
        <w:t>Katznelson</w:t>
      </w:r>
      <w:proofErr w:type="spellEnd"/>
      <w:r w:rsidRPr="00437F82">
        <w:rPr>
          <w:b/>
          <w:i/>
          <w:sz w:val="20"/>
        </w:rPr>
        <w:t xml:space="preserve"> </w:t>
      </w:r>
      <w:proofErr w:type="spellStart"/>
      <w:r w:rsidRPr="00437F82">
        <w:rPr>
          <w:b/>
          <w:i/>
          <w:sz w:val="20"/>
        </w:rPr>
        <w:t>Montigny</w:t>
      </w:r>
      <w:proofErr w:type="spellEnd"/>
      <w:r w:rsidRPr="00437F82">
        <w:rPr>
          <w:b/>
          <w:i/>
          <w:sz w:val="20"/>
        </w:rPr>
        <w:t xml:space="preserve"> s.e.n.c.r.l. c. Judith Matte-Thompson, 166376 Canada Inc.</w:t>
      </w:r>
    </w:p>
    <w:p w:rsidR="009D7F27" w:rsidRPr="00437F82" w:rsidRDefault="009D7F27" w:rsidP="009D7F27">
      <w:pPr>
        <w:pStyle w:val="SCCCaseDescriptor"/>
        <w:rPr>
          <w:b w:val="0"/>
          <w:sz w:val="20"/>
          <w:lang w:val="fr-CA"/>
        </w:rPr>
      </w:pPr>
      <w:r w:rsidRPr="00437F82">
        <w:rPr>
          <w:b w:val="0"/>
          <w:sz w:val="20"/>
          <w:lang w:val="en-US"/>
        </w:rPr>
        <w:tab/>
      </w:r>
      <w:r w:rsidRPr="00437F82">
        <w:rPr>
          <w:b w:val="0"/>
          <w:sz w:val="20"/>
          <w:lang w:val="fr-CA"/>
        </w:rPr>
        <w:t>(Qc) (Civile) (Sur autorisation)</w:t>
      </w:r>
    </w:p>
    <w:p w:rsidR="009D7F27" w:rsidRPr="00437F82" w:rsidRDefault="009D7F27" w:rsidP="009D7F27">
      <w:pPr>
        <w:widowControl w:val="0"/>
        <w:jc w:val="both"/>
        <w:rPr>
          <w:sz w:val="20"/>
          <w:lang w:val="fr-CA"/>
        </w:rPr>
      </w:pPr>
    </w:p>
    <w:p w:rsidR="009D7F27" w:rsidRPr="00437F82" w:rsidRDefault="009D7F27" w:rsidP="009D7F27">
      <w:pPr>
        <w:jc w:val="both"/>
        <w:rPr>
          <w:sz w:val="20"/>
          <w:lang w:val="fr-CA"/>
        </w:rPr>
      </w:pPr>
      <w:r w:rsidRPr="00437F82">
        <w:rPr>
          <w:sz w:val="20"/>
          <w:lang w:val="fr-CA"/>
        </w:rPr>
        <w:t>Droit des professions - Responsabilité professionnelle - Avocats - Devoir de conseil - Quelle norme de contrôle la Cour d’appel aurait-elle dû appliquer aux conclusions de la juge de première instance relativement à la faute et à la causalité, et la notion de « prisme déformant » évoquée par la Cour d’appel est-elle compatible avec cette norme? - Quelle est la norme d’appréciation de la faute dans le contexte où un avocat recommande un autre professionnel, et la Cour d’appel a-t-elle eu tort de modifier les conclusions de la juge de première instance relativement à la faute? - La Cour d’appel a-t-elle eu tort de modifier les conclusions de la juge de première instance relativement à la causalité?</w:t>
      </w:r>
    </w:p>
    <w:p w:rsidR="009D7F27" w:rsidRPr="00437F82" w:rsidRDefault="009D7F27" w:rsidP="009D7F27">
      <w:pPr>
        <w:widowControl w:val="0"/>
        <w:jc w:val="both"/>
        <w:rPr>
          <w:sz w:val="20"/>
          <w:lang w:val="fr-CA"/>
        </w:rPr>
      </w:pPr>
    </w:p>
    <w:p w:rsidR="009D7F27" w:rsidRPr="00437F82" w:rsidRDefault="009D7F27" w:rsidP="009D7F27">
      <w:pPr>
        <w:jc w:val="both"/>
        <w:rPr>
          <w:sz w:val="20"/>
          <w:lang w:val="fr-CA"/>
        </w:rPr>
      </w:pPr>
      <w:r w:rsidRPr="00437F82">
        <w:rPr>
          <w:sz w:val="20"/>
          <w:lang w:val="fr-CA"/>
        </w:rPr>
        <w:t>Les intimées, Mme Judith Matte-Thompson et 166376 Canada Inc., ont investi des millions de dollars chez M. </w:t>
      </w:r>
      <w:proofErr w:type="spellStart"/>
      <w:r w:rsidRPr="00437F82">
        <w:rPr>
          <w:sz w:val="20"/>
          <w:lang w:val="fr-CA"/>
        </w:rPr>
        <w:t>Thémistoklis</w:t>
      </w:r>
      <w:proofErr w:type="spellEnd"/>
      <w:r w:rsidRPr="00437F82">
        <w:rPr>
          <w:sz w:val="20"/>
          <w:lang w:val="fr-CA"/>
        </w:rPr>
        <w:t xml:space="preserve"> </w:t>
      </w:r>
      <w:proofErr w:type="spellStart"/>
      <w:r w:rsidRPr="00437F82">
        <w:rPr>
          <w:sz w:val="20"/>
          <w:lang w:val="fr-CA"/>
        </w:rPr>
        <w:t>Papadopoulos</w:t>
      </w:r>
      <w:proofErr w:type="spellEnd"/>
      <w:r w:rsidRPr="00437F82">
        <w:rPr>
          <w:sz w:val="20"/>
          <w:lang w:val="fr-CA"/>
        </w:rPr>
        <w:t xml:space="preserve"> (« M. </w:t>
      </w:r>
      <w:proofErr w:type="spellStart"/>
      <w:r w:rsidRPr="00437F82">
        <w:rPr>
          <w:sz w:val="20"/>
          <w:lang w:val="fr-CA"/>
        </w:rPr>
        <w:t>Papadopoulos</w:t>
      </w:r>
      <w:proofErr w:type="spellEnd"/>
      <w:r w:rsidRPr="00437F82">
        <w:rPr>
          <w:sz w:val="20"/>
          <w:lang w:val="fr-CA"/>
        </w:rPr>
        <w:t xml:space="preserve"> »), un représentant de </w:t>
      </w:r>
      <w:proofErr w:type="spellStart"/>
      <w:r w:rsidRPr="00437F82">
        <w:rPr>
          <w:sz w:val="20"/>
          <w:lang w:val="fr-CA"/>
        </w:rPr>
        <w:t>Triglobal</w:t>
      </w:r>
      <w:proofErr w:type="spellEnd"/>
      <w:r w:rsidRPr="00437F82">
        <w:rPr>
          <w:sz w:val="20"/>
          <w:lang w:val="fr-CA"/>
        </w:rPr>
        <w:t xml:space="preserve"> Capital Management Inc. Les fonds dans lesquels les intimées avaient investi - Focus et </w:t>
      </w:r>
      <w:proofErr w:type="spellStart"/>
      <w:r w:rsidRPr="00437F82">
        <w:rPr>
          <w:sz w:val="20"/>
          <w:lang w:val="fr-CA"/>
        </w:rPr>
        <w:t>iVest</w:t>
      </w:r>
      <w:proofErr w:type="spellEnd"/>
      <w:r w:rsidRPr="00437F82">
        <w:rPr>
          <w:sz w:val="20"/>
          <w:lang w:val="fr-CA"/>
        </w:rPr>
        <w:t xml:space="preserve"> - se sont révélés être une fraude à la </w:t>
      </w:r>
      <w:proofErr w:type="spellStart"/>
      <w:r w:rsidRPr="00437F82">
        <w:rPr>
          <w:sz w:val="20"/>
          <w:lang w:val="fr-CA"/>
        </w:rPr>
        <w:t>Ponzi</w:t>
      </w:r>
      <w:proofErr w:type="spellEnd"/>
      <w:r w:rsidRPr="00437F82">
        <w:rPr>
          <w:sz w:val="20"/>
          <w:lang w:val="fr-CA"/>
        </w:rPr>
        <w:t>, M. </w:t>
      </w:r>
      <w:proofErr w:type="spellStart"/>
      <w:r w:rsidRPr="00437F82">
        <w:rPr>
          <w:sz w:val="20"/>
          <w:lang w:val="fr-CA"/>
        </w:rPr>
        <w:t>Papadopoulos</w:t>
      </w:r>
      <w:proofErr w:type="spellEnd"/>
      <w:r w:rsidRPr="00437F82">
        <w:rPr>
          <w:sz w:val="20"/>
          <w:lang w:val="fr-CA"/>
        </w:rPr>
        <w:t xml:space="preserve"> a disparu et les intimées ont perdu leurs placements. Les intimées ont poursuivi M. </w:t>
      </w:r>
      <w:proofErr w:type="spellStart"/>
      <w:r w:rsidRPr="00437F82">
        <w:rPr>
          <w:sz w:val="20"/>
          <w:lang w:val="fr-CA"/>
        </w:rPr>
        <w:t>Papadopoulos</w:t>
      </w:r>
      <w:proofErr w:type="spellEnd"/>
      <w:r w:rsidRPr="00437F82">
        <w:rPr>
          <w:sz w:val="20"/>
          <w:lang w:val="fr-CA"/>
        </w:rPr>
        <w:t xml:space="preserve"> et son associé Mario Bright, ainsi que les appelants, Kenneth Salomon, l’avocat de Mme Thompson qui lui a recommandé M. </w:t>
      </w:r>
      <w:proofErr w:type="spellStart"/>
      <w:r w:rsidRPr="00437F82">
        <w:rPr>
          <w:sz w:val="20"/>
          <w:lang w:val="fr-CA"/>
        </w:rPr>
        <w:t>Papadopoulos</w:t>
      </w:r>
      <w:proofErr w:type="spellEnd"/>
      <w:r w:rsidRPr="00437F82">
        <w:rPr>
          <w:sz w:val="20"/>
          <w:lang w:val="fr-CA"/>
        </w:rPr>
        <w:t xml:space="preserve">, et son cabinet, </w:t>
      </w:r>
      <w:proofErr w:type="spellStart"/>
      <w:r w:rsidRPr="00437F82">
        <w:rPr>
          <w:sz w:val="20"/>
          <w:lang w:val="fr-CA"/>
        </w:rPr>
        <w:t>Sternthal</w:t>
      </w:r>
      <w:proofErr w:type="spellEnd"/>
      <w:r w:rsidRPr="00437F82">
        <w:rPr>
          <w:sz w:val="20"/>
          <w:lang w:val="fr-CA"/>
        </w:rPr>
        <w:t xml:space="preserve"> </w:t>
      </w:r>
      <w:proofErr w:type="spellStart"/>
      <w:r w:rsidRPr="00437F82">
        <w:rPr>
          <w:sz w:val="20"/>
          <w:lang w:val="fr-CA"/>
        </w:rPr>
        <w:t>Katznelson</w:t>
      </w:r>
      <w:proofErr w:type="spellEnd"/>
      <w:r w:rsidRPr="00437F82">
        <w:rPr>
          <w:sz w:val="20"/>
          <w:lang w:val="fr-CA"/>
        </w:rPr>
        <w:t xml:space="preserve"> Montigny s.e.n.c.r.l.</w:t>
      </w:r>
    </w:p>
    <w:p w:rsidR="009D7F27" w:rsidRPr="00437F82" w:rsidRDefault="009D7F27" w:rsidP="009D7F27">
      <w:pPr>
        <w:widowControl w:val="0"/>
        <w:jc w:val="both"/>
        <w:rPr>
          <w:sz w:val="20"/>
          <w:lang w:val="fr-CA"/>
        </w:rPr>
      </w:pPr>
    </w:p>
    <w:p w:rsidR="000E1278" w:rsidRPr="00437F82" w:rsidRDefault="002526AE" w:rsidP="009D7F27">
      <w:pPr>
        <w:widowControl w:val="0"/>
        <w:jc w:val="both"/>
        <w:rPr>
          <w:sz w:val="20"/>
          <w:lang w:val="fr-CA"/>
        </w:rPr>
      </w:pPr>
      <w:r>
        <w:rPr>
          <w:sz w:val="20"/>
          <w:szCs w:val="20"/>
          <w:lang w:val="fr-CA"/>
        </w:rPr>
        <w:pict>
          <v:rect id="_x0000_i1050" style="width:2in;height:1pt" o:hrpct="0" o:hralign="center" o:hrstd="t" o:hrnoshade="t" o:hr="t" fillcolor="black [3213]" stroked="f"/>
        </w:pict>
      </w:r>
    </w:p>
    <w:p w:rsidR="000E1278" w:rsidRPr="00437F82" w:rsidRDefault="000E1278" w:rsidP="009D7F27">
      <w:pPr>
        <w:widowControl w:val="0"/>
        <w:jc w:val="both"/>
        <w:rPr>
          <w:sz w:val="20"/>
          <w:lang w:val="fr-CA"/>
        </w:rPr>
      </w:pPr>
    </w:p>
    <w:p w:rsidR="009D7F27" w:rsidRPr="00437F82" w:rsidRDefault="009D7F27">
      <w:pPr>
        <w:rPr>
          <w:sz w:val="20"/>
          <w:lang w:val="fr-CA"/>
        </w:rPr>
      </w:pPr>
      <w:r w:rsidRPr="00437F82">
        <w:rPr>
          <w:sz w:val="20"/>
          <w:lang w:val="fr-CA"/>
        </w:rPr>
        <w:br w:type="page"/>
      </w:r>
    </w:p>
    <w:p w:rsidR="009D7F27" w:rsidRPr="00437F82" w:rsidRDefault="009D7F27" w:rsidP="009D7F27">
      <w:pPr>
        <w:pStyle w:val="SCCLsocParty"/>
        <w:ind w:left="720" w:hanging="720"/>
        <w:jc w:val="left"/>
        <w:rPr>
          <w:b/>
          <w:i/>
          <w:sz w:val="20"/>
          <w:szCs w:val="20"/>
          <w:lang w:val="en-CA"/>
        </w:rPr>
      </w:pPr>
      <w:r w:rsidRPr="00437F82">
        <w:rPr>
          <w:b/>
          <w:sz w:val="20"/>
          <w:szCs w:val="20"/>
          <w:lang w:val="en-CA"/>
        </w:rPr>
        <w:fldChar w:fldCharType="begin"/>
      </w:r>
      <w:r w:rsidRPr="00437F82">
        <w:rPr>
          <w:b/>
          <w:sz w:val="20"/>
          <w:szCs w:val="20"/>
          <w:lang w:val="en-US"/>
        </w:rPr>
        <w:instrText xml:space="preserve"> SEQ CHAPTER \h \r 1</w:instrText>
      </w:r>
      <w:r w:rsidRPr="00437F82">
        <w:rPr>
          <w:b/>
          <w:sz w:val="20"/>
          <w:szCs w:val="20"/>
        </w:rPr>
        <w:fldChar w:fldCharType="end"/>
      </w:r>
      <w:r w:rsidRPr="00437F82">
        <w:rPr>
          <w:b/>
          <w:sz w:val="20"/>
          <w:szCs w:val="20"/>
          <w:lang w:val="en-CA"/>
        </w:rPr>
        <w:t>37617</w:t>
      </w:r>
      <w:r w:rsidRPr="00437F82">
        <w:rPr>
          <w:b/>
          <w:sz w:val="20"/>
          <w:szCs w:val="20"/>
          <w:lang w:val="en-CA"/>
        </w:rPr>
        <w:tab/>
      </w:r>
      <w:r w:rsidRPr="00437F82">
        <w:rPr>
          <w:rFonts w:eastAsia="Times New Roman"/>
          <w:b/>
          <w:i/>
          <w:sz w:val="20"/>
          <w:szCs w:val="20"/>
          <w:lang w:val="en-CA" w:eastAsia="en-CA"/>
        </w:rPr>
        <w:t>International</w:t>
      </w:r>
      <w:r w:rsidRPr="00437F82">
        <w:rPr>
          <w:b/>
          <w:i/>
          <w:sz w:val="20"/>
          <w:szCs w:val="20"/>
          <w:lang w:val="en-CA"/>
        </w:rPr>
        <w:t xml:space="preserve"> Brotherhood of Electrical Workers (IBEW) Local 773, Karl Lovett, Ken </w:t>
      </w:r>
      <w:proofErr w:type="spellStart"/>
      <w:r w:rsidRPr="00437F82">
        <w:rPr>
          <w:b/>
          <w:i/>
          <w:sz w:val="20"/>
          <w:szCs w:val="20"/>
          <w:lang w:val="en-CA"/>
        </w:rPr>
        <w:t>Gelinas</w:t>
      </w:r>
      <w:proofErr w:type="spellEnd"/>
      <w:r w:rsidRPr="00437F82">
        <w:rPr>
          <w:b/>
          <w:i/>
          <w:sz w:val="20"/>
          <w:szCs w:val="20"/>
          <w:lang w:val="en-CA"/>
        </w:rPr>
        <w:t xml:space="preserve">, Jeff McPherson, Mark </w:t>
      </w:r>
      <w:proofErr w:type="spellStart"/>
      <w:r w:rsidRPr="00437F82">
        <w:rPr>
          <w:b/>
          <w:i/>
          <w:sz w:val="20"/>
          <w:szCs w:val="20"/>
          <w:lang w:val="en-CA"/>
        </w:rPr>
        <w:t>Stobbs</w:t>
      </w:r>
      <w:proofErr w:type="spellEnd"/>
      <w:r w:rsidRPr="00437F82">
        <w:rPr>
          <w:b/>
          <w:i/>
          <w:sz w:val="20"/>
          <w:szCs w:val="20"/>
          <w:lang w:val="en-CA"/>
        </w:rPr>
        <w:t xml:space="preserve">, Sean Bristow, Robert </w:t>
      </w:r>
      <w:proofErr w:type="spellStart"/>
      <w:r w:rsidRPr="00437F82">
        <w:rPr>
          <w:b/>
          <w:i/>
          <w:sz w:val="20"/>
          <w:szCs w:val="20"/>
          <w:lang w:val="en-CA"/>
        </w:rPr>
        <w:t>Duby</w:t>
      </w:r>
      <w:proofErr w:type="spellEnd"/>
      <w:r w:rsidRPr="00437F82">
        <w:rPr>
          <w:b/>
          <w:i/>
          <w:sz w:val="20"/>
          <w:szCs w:val="20"/>
          <w:lang w:val="en-CA"/>
        </w:rPr>
        <w:t>, Norm Ball, and Fred Bloomfield v. Pamela Lawrence</w:t>
      </w:r>
    </w:p>
    <w:p w:rsidR="009D7F27" w:rsidRPr="00437F82" w:rsidRDefault="009D7F27" w:rsidP="009D7F27">
      <w:pPr>
        <w:widowControl w:val="0"/>
        <w:ind w:left="1440" w:hanging="720"/>
        <w:jc w:val="both"/>
        <w:rPr>
          <w:sz w:val="20"/>
        </w:rPr>
      </w:pPr>
      <w:r w:rsidRPr="00437F82">
        <w:rPr>
          <w:sz w:val="20"/>
        </w:rPr>
        <w:t>(Ont.) (Civil) (By Leave)</w:t>
      </w:r>
    </w:p>
    <w:p w:rsidR="009D7F27" w:rsidRPr="00437F82" w:rsidRDefault="009D7F27" w:rsidP="009D7F27">
      <w:pPr>
        <w:widowControl w:val="0"/>
        <w:ind w:left="1440" w:hanging="1440"/>
        <w:jc w:val="both"/>
        <w:rPr>
          <w:sz w:val="20"/>
        </w:rPr>
      </w:pPr>
    </w:p>
    <w:p w:rsidR="009D7F27" w:rsidRPr="00437F82" w:rsidRDefault="009D7F27" w:rsidP="009D7F27">
      <w:pPr>
        <w:jc w:val="both"/>
        <w:rPr>
          <w:sz w:val="20"/>
        </w:rPr>
      </w:pPr>
      <w:r w:rsidRPr="00437F82">
        <w:rPr>
          <w:sz w:val="20"/>
        </w:rPr>
        <w:t>Civil procedure - Parties - Capacity to be sued - Trade unions - Union and directors named as defendants in wrongful dismissal action - After discovery, pre-trial conference and expiry of limitation period, Union moved to dismiss action based on incapacity to be sued - Motion dismissed - Representation order issued - Is the effect of the r. 12.07 Order to add a party after the expiry of the limitation period, or can it be re-characterized as an order under r. 5.04 correcting a misnomer, notwithstanding the</w:t>
      </w:r>
      <w:r w:rsidRPr="00437F82">
        <w:rPr>
          <w:spacing w:val="-5"/>
          <w:sz w:val="20"/>
        </w:rPr>
        <w:t xml:space="preserve"> </w:t>
      </w:r>
      <w:r w:rsidRPr="00437F82">
        <w:rPr>
          <w:i/>
          <w:sz w:val="20"/>
        </w:rPr>
        <w:t>Rights of Labour Act</w:t>
      </w:r>
      <w:r w:rsidRPr="00437F82">
        <w:rPr>
          <w:sz w:val="20"/>
        </w:rPr>
        <w:t>?</w:t>
      </w:r>
    </w:p>
    <w:p w:rsidR="009D7F27" w:rsidRPr="00437F82" w:rsidRDefault="009D7F27" w:rsidP="009D7F27">
      <w:pPr>
        <w:widowControl w:val="0"/>
        <w:jc w:val="both"/>
        <w:rPr>
          <w:sz w:val="20"/>
        </w:rPr>
      </w:pPr>
    </w:p>
    <w:p w:rsidR="009D7F27" w:rsidRPr="00437F82" w:rsidRDefault="009D7F27" w:rsidP="009D7F27">
      <w:pPr>
        <w:jc w:val="both"/>
        <w:rPr>
          <w:sz w:val="20"/>
        </w:rPr>
      </w:pPr>
      <w:r w:rsidRPr="00437F82">
        <w:rPr>
          <w:sz w:val="20"/>
        </w:rPr>
        <w:t xml:space="preserve">Having been terminated from her employment with the International Brotherhood of Electrical Workers, Local 773, Ms. Lawrence sought damages for wrongful dismissal, naming Local 773 as a defendant. Although Local 773 pleaded that, as a trade union, it could not be named as a party based on </w:t>
      </w:r>
      <w:r w:rsidRPr="00437F82">
        <w:rPr>
          <w:i/>
          <w:sz w:val="20"/>
        </w:rPr>
        <w:t>Rights of Labour Act</w:t>
      </w:r>
      <w:r w:rsidRPr="00437F82">
        <w:rPr>
          <w:sz w:val="20"/>
        </w:rPr>
        <w:t xml:space="preserve">, R.S.O. 1990, c. R.33, s. 3(2), Ms. Lawrence obtained a consent order adding several directors of Local 773 as defendants and amended the statement of claim to plead that they were jointly and severally liable for her claim rather than obtaining a representation order under r. 12.07 of the </w:t>
      </w:r>
      <w:r w:rsidRPr="00437F82">
        <w:rPr>
          <w:i/>
          <w:sz w:val="20"/>
        </w:rPr>
        <w:t>Rules of Civil Procedure</w:t>
      </w:r>
      <w:r w:rsidRPr="00437F82">
        <w:rPr>
          <w:sz w:val="20"/>
        </w:rPr>
        <w:t xml:space="preserve">, R.R.O. 1990, Reg. 194. The action proceeded normally. Once the limitation period expired, Local 773 and the individual defendants moved under r. 21 for an order dismissing the action on the ground that Local 773 was not a </w:t>
      </w:r>
      <w:proofErr w:type="spellStart"/>
      <w:r w:rsidRPr="00437F82">
        <w:rPr>
          <w:sz w:val="20"/>
        </w:rPr>
        <w:t>suable</w:t>
      </w:r>
      <w:proofErr w:type="spellEnd"/>
      <w:r w:rsidRPr="00437F82">
        <w:rPr>
          <w:sz w:val="20"/>
        </w:rPr>
        <w:t xml:space="preserve"> entity and the individual defendants were not personally answerable to the claim.</w:t>
      </w:r>
    </w:p>
    <w:p w:rsidR="009D7F27" w:rsidRPr="00437F82" w:rsidRDefault="009D7F27" w:rsidP="009D7F27">
      <w:pPr>
        <w:widowControl w:val="0"/>
        <w:jc w:val="both"/>
        <w:rPr>
          <w:sz w:val="20"/>
        </w:rPr>
      </w:pPr>
    </w:p>
    <w:p w:rsidR="009D7F27" w:rsidRPr="00437F82" w:rsidRDefault="009D7F27" w:rsidP="009D7F27">
      <w:pPr>
        <w:widowControl w:val="0"/>
        <w:jc w:val="both"/>
        <w:rPr>
          <w:sz w:val="20"/>
        </w:rPr>
      </w:pPr>
      <w:r w:rsidRPr="00437F82">
        <w:rPr>
          <w:sz w:val="20"/>
        </w:rPr>
        <w:t>The motions judge refused to strike the claim as disclosing no reasonable cause of action because the motion had not been brought in a timely manner. Leave to appeal that decision was dismissed. Ms. Lawrence then moved for and was granted a representation order under Rule 12.07 and leave to amend her statement of claim to add the individual applicants as representatives of all members of Local 773. A majority of the Court of Appeal dismissed both Ms. Lawrence’s motion to quash the appeal for want of jurisdiction and the applicants’ appeal.</w:t>
      </w:r>
    </w:p>
    <w:p w:rsidR="009D7F27" w:rsidRPr="00437F82" w:rsidRDefault="009D7F27" w:rsidP="009D7F27">
      <w:pPr>
        <w:widowControl w:val="0"/>
        <w:jc w:val="both"/>
        <w:rPr>
          <w:sz w:val="20"/>
        </w:rPr>
      </w:pPr>
    </w:p>
    <w:p w:rsidR="009D7F27" w:rsidRPr="00437F82" w:rsidRDefault="002526AE" w:rsidP="009D7F27">
      <w:pPr>
        <w:widowControl w:val="0"/>
        <w:jc w:val="both"/>
        <w:rPr>
          <w:sz w:val="20"/>
        </w:rPr>
      </w:pPr>
      <w:r>
        <w:rPr>
          <w:sz w:val="20"/>
          <w:szCs w:val="20"/>
          <w:lang w:val="fr-CA"/>
        </w:rPr>
        <w:pict>
          <v:rect id="_x0000_i1051" style="width:2in;height:1pt" o:hrpct="0" o:hralign="center" o:hrstd="t" o:hrnoshade="t" o:hr="t" fillcolor="black [3213]" stroked="f"/>
        </w:pict>
      </w:r>
    </w:p>
    <w:p w:rsidR="009D7F27" w:rsidRPr="00437F82" w:rsidRDefault="009D7F27" w:rsidP="009D7F27">
      <w:pPr>
        <w:widowControl w:val="0"/>
        <w:jc w:val="both"/>
        <w:rPr>
          <w:sz w:val="20"/>
        </w:rPr>
      </w:pPr>
    </w:p>
    <w:p w:rsidR="00F57751" w:rsidRPr="00437F82" w:rsidRDefault="00F57751">
      <w:pPr>
        <w:rPr>
          <w:rStyle w:val="SCCFileNumberChar"/>
          <w:sz w:val="20"/>
          <w:szCs w:val="20"/>
        </w:rPr>
      </w:pPr>
      <w:r w:rsidRPr="00437F82">
        <w:rPr>
          <w:rStyle w:val="SCCFileNumberChar"/>
          <w:sz w:val="20"/>
          <w:szCs w:val="20"/>
        </w:rPr>
        <w:br w:type="page"/>
      </w:r>
    </w:p>
    <w:p w:rsidR="009D7F27" w:rsidRPr="00437F82" w:rsidRDefault="009D7F27" w:rsidP="009D7F27">
      <w:pPr>
        <w:pStyle w:val="SCCLsocParty"/>
        <w:ind w:left="720" w:hanging="720"/>
        <w:jc w:val="left"/>
        <w:rPr>
          <w:sz w:val="20"/>
          <w:szCs w:val="20"/>
          <w:lang w:val="en-CA"/>
        </w:rPr>
      </w:pPr>
      <w:r w:rsidRPr="00437F82">
        <w:rPr>
          <w:rStyle w:val="SCCFileNumberChar"/>
          <w:sz w:val="20"/>
          <w:szCs w:val="20"/>
        </w:rPr>
        <w:t>37617</w:t>
      </w:r>
      <w:r w:rsidRPr="00437F82">
        <w:rPr>
          <w:rStyle w:val="SCCFileNumberChar"/>
          <w:sz w:val="20"/>
          <w:szCs w:val="20"/>
        </w:rPr>
        <w:tab/>
      </w:r>
      <w:proofErr w:type="spellStart"/>
      <w:r w:rsidRPr="00437F82">
        <w:rPr>
          <w:b/>
          <w:i/>
          <w:sz w:val="20"/>
          <w:szCs w:val="20"/>
          <w:lang w:val="en-CA"/>
        </w:rPr>
        <w:t>Fraternité</w:t>
      </w:r>
      <w:proofErr w:type="spellEnd"/>
      <w:r w:rsidRPr="00437F82">
        <w:rPr>
          <w:b/>
          <w:i/>
          <w:sz w:val="20"/>
          <w:szCs w:val="20"/>
          <w:lang w:val="en-CA"/>
        </w:rPr>
        <w:t xml:space="preserve"> </w:t>
      </w:r>
      <w:proofErr w:type="spellStart"/>
      <w:r w:rsidRPr="00437F82">
        <w:rPr>
          <w:b/>
          <w:i/>
          <w:sz w:val="20"/>
          <w:szCs w:val="20"/>
          <w:lang w:val="en-CA"/>
        </w:rPr>
        <w:t>internationale</w:t>
      </w:r>
      <w:proofErr w:type="spellEnd"/>
      <w:r w:rsidRPr="00437F82">
        <w:rPr>
          <w:b/>
          <w:i/>
          <w:sz w:val="20"/>
          <w:szCs w:val="20"/>
          <w:lang w:val="en-CA"/>
        </w:rPr>
        <w:t xml:space="preserve"> des </w:t>
      </w:r>
      <w:proofErr w:type="spellStart"/>
      <w:r w:rsidRPr="00437F82">
        <w:rPr>
          <w:b/>
          <w:i/>
          <w:sz w:val="20"/>
          <w:szCs w:val="20"/>
          <w:lang w:val="en-CA"/>
        </w:rPr>
        <w:t>ouvriers</w:t>
      </w:r>
      <w:proofErr w:type="spellEnd"/>
      <w:r w:rsidRPr="00437F82">
        <w:rPr>
          <w:b/>
          <w:i/>
          <w:sz w:val="20"/>
          <w:szCs w:val="20"/>
          <w:lang w:val="en-CA"/>
        </w:rPr>
        <w:t xml:space="preserve"> </w:t>
      </w:r>
      <w:proofErr w:type="spellStart"/>
      <w:r w:rsidRPr="00437F82">
        <w:rPr>
          <w:b/>
          <w:i/>
          <w:sz w:val="20"/>
          <w:szCs w:val="20"/>
          <w:lang w:val="en-CA"/>
        </w:rPr>
        <w:t>en</w:t>
      </w:r>
      <w:proofErr w:type="spellEnd"/>
      <w:r w:rsidRPr="00437F82">
        <w:rPr>
          <w:b/>
          <w:i/>
          <w:sz w:val="20"/>
          <w:szCs w:val="20"/>
          <w:lang w:val="en-CA"/>
        </w:rPr>
        <w:t xml:space="preserve"> </w:t>
      </w:r>
      <w:proofErr w:type="spellStart"/>
      <w:r w:rsidRPr="00437F82">
        <w:rPr>
          <w:b/>
          <w:i/>
          <w:sz w:val="20"/>
          <w:szCs w:val="20"/>
          <w:lang w:val="en-CA"/>
        </w:rPr>
        <w:t>électricité</w:t>
      </w:r>
      <w:proofErr w:type="spellEnd"/>
      <w:r w:rsidRPr="00437F82">
        <w:rPr>
          <w:b/>
          <w:i/>
          <w:sz w:val="20"/>
          <w:szCs w:val="20"/>
          <w:lang w:val="en-CA"/>
        </w:rPr>
        <w:t xml:space="preserve"> (FIOE) section locale 773, Karl Lovett, Ken </w:t>
      </w:r>
      <w:proofErr w:type="spellStart"/>
      <w:r w:rsidRPr="00437F82">
        <w:rPr>
          <w:b/>
          <w:i/>
          <w:sz w:val="20"/>
          <w:szCs w:val="20"/>
          <w:lang w:val="en-CA"/>
        </w:rPr>
        <w:t>Gelinas</w:t>
      </w:r>
      <w:proofErr w:type="spellEnd"/>
      <w:r w:rsidRPr="00437F82">
        <w:rPr>
          <w:b/>
          <w:i/>
          <w:sz w:val="20"/>
          <w:szCs w:val="20"/>
          <w:lang w:val="en-CA"/>
        </w:rPr>
        <w:t xml:space="preserve">, Jeff McPherson, Mark </w:t>
      </w:r>
      <w:proofErr w:type="spellStart"/>
      <w:r w:rsidRPr="00437F82">
        <w:rPr>
          <w:b/>
          <w:i/>
          <w:sz w:val="20"/>
          <w:szCs w:val="20"/>
          <w:lang w:val="en-CA"/>
        </w:rPr>
        <w:t>Stobbs</w:t>
      </w:r>
      <w:proofErr w:type="spellEnd"/>
      <w:r w:rsidRPr="00437F82">
        <w:rPr>
          <w:b/>
          <w:i/>
          <w:sz w:val="20"/>
          <w:szCs w:val="20"/>
          <w:lang w:val="en-CA"/>
        </w:rPr>
        <w:t xml:space="preserve">, Sean Bristow, Robert </w:t>
      </w:r>
      <w:proofErr w:type="spellStart"/>
      <w:r w:rsidRPr="00437F82">
        <w:rPr>
          <w:b/>
          <w:i/>
          <w:sz w:val="20"/>
          <w:szCs w:val="20"/>
          <w:lang w:val="en-CA"/>
        </w:rPr>
        <w:t>Duby</w:t>
      </w:r>
      <w:proofErr w:type="spellEnd"/>
      <w:r w:rsidRPr="00437F82">
        <w:rPr>
          <w:b/>
          <w:i/>
          <w:sz w:val="20"/>
          <w:szCs w:val="20"/>
          <w:lang w:val="en-CA"/>
        </w:rPr>
        <w:t>, Norm Ball et Fred Bloomfield c. Pamela Lawrence</w:t>
      </w:r>
    </w:p>
    <w:p w:rsidR="009D7F27" w:rsidRPr="00437F82" w:rsidRDefault="009D7F27" w:rsidP="009D7F27">
      <w:pPr>
        <w:widowControl w:val="0"/>
        <w:ind w:firstLine="720"/>
        <w:jc w:val="both"/>
        <w:rPr>
          <w:sz w:val="20"/>
          <w:lang w:val="fr-CA"/>
        </w:rPr>
      </w:pPr>
      <w:r w:rsidRPr="00437F82">
        <w:rPr>
          <w:sz w:val="20"/>
          <w:lang w:val="fr-CA"/>
        </w:rPr>
        <w:t>(Ont.) (Civile) (Sur autorisation)</w:t>
      </w:r>
    </w:p>
    <w:p w:rsidR="009D7F27" w:rsidRPr="00437F82" w:rsidRDefault="009D7F27" w:rsidP="009D7F27">
      <w:pPr>
        <w:widowControl w:val="0"/>
        <w:jc w:val="both"/>
        <w:rPr>
          <w:sz w:val="20"/>
          <w:lang w:val="fr-CA"/>
        </w:rPr>
      </w:pPr>
    </w:p>
    <w:p w:rsidR="009D7F27" w:rsidRPr="00437F82" w:rsidRDefault="009D7F27" w:rsidP="009D7F27">
      <w:pPr>
        <w:widowControl w:val="0"/>
        <w:jc w:val="both"/>
        <w:rPr>
          <w:sz w:val="20"/>
          <w:lang w:val="fr-CA"/>
        </w:rPr>
      </w:pPr>
      <w:r w:rsidRPr="00437F82">
        <w:rPr>
          <w:sz w:val="20"/>
          <w:lang w:val="fr-CA"/>
        </w:rPr>
        <w:t xml:space="preserve">Procédure civile - Parties - Capacité d’être poursuivi - Syndicats - Le syndicat et les administrateurs ont été nommés comme défendeurs dans une action en congédiement abusif - Après l’enquête préalable, la conférence préparatoire au procès et l’expiration du délai de prescription, le syndicat a présenté une motion en rejet de l’action, invoquant son incapacité d’être poursuivi - Rejet de la motion - Délivrance d’une ordonnance de représentation - L’effet de l’ordonnance prévue à la règle 12.07 est-il d’ajouter une partie après l’expiration du délai de prescription, ou l’ordonnance peut-elle être requalifiée d’ordonnance prévue à la règle 5.04 corrigeant une désignation incorrecte, nonobstant la </w:t>
      </w:r>
      <w:r w:rsidRPr="00437F82">
        <w:rPr>
          <w:i/>
          <w:sz w:val="20"/>
          <w:lang w:val="fr-CA"/>
        </w:rPr>
        <w:t>Loi sur les droits syndicaux</w:t>
      </w:r>
      <w:r w:rsidRPr="00437F82">
        <w:rPr>
          <w:sz w:val="20"/>
          <w:lang w:val="fr-CA"/>
        </w:rPr>
        <w:t>?</w:t>
      </w:r>
    </w:p>
    <w:p w:rsidR="009D7F27" w:rsidRPr="00437F82" w:rsidRDefault="009D7F27" w:rsidP="009D7F27">
      <w:pPr>
        <w:widowControl w:val="0"/>
        <w:jc w:val="both"/>
        <w:rPr>
          <w:sz w:val="20"/>
          <w:lang w:val="fr-CA"/>
        </w:rPr>
      </w:pPr>
    </w:p>
    <w:p w:rsidR="009D7F27" w:rsidRPr="00437F82" w:rsidRDefault="009D7F27" w:rsidP="00547D55">
      <w:pPr>
        <w:jc w:val="both"/>
        <w:rPr>
          <w:sz w:val="20"/>
          <w:lang w:val="fr-CA"/>
        </w:rPr>
      </w:pPr>
      <w:r w:rsidRPr="00437F82">
        <w:rPr>
          <w:sz w:val="20"/>
          <w:lang w:val="fr-CA"/>
        </w:rPr>
        <w:t xml:space="preserve">Après avoir été congédiée de son poste à la Fraternité internationale des ouvriers en électricité, section locale 773, Mme Lawrence a intenté une poursuite en dommages-intérêts pour congédiement abusif, nommant la section locale 773 comme défenderesse. Même si la section locale 773 a plaidé qu’en tant que syndicat, elle ne pouvait pas être nommée comme partie en vertu de la </w:t>
      </w:r>
      <w:r w:rsidRPr="00437F82">
        <w:rPr>
          <w:i/>
          <w:sz w:val="20"/>
          <w:lang w:val="fr-CA"/>
        </w:rPr>
        <w:t>Loi sur les droits syndicaux</w:t>
      </w:r>
      <w:r w:rsidRPr="00437F82">
        <w:rPr>
          <w:sz w:val="20"/>
          <w:lang w:val="fr-CA"/>
        </w:rPr>
        <w:t xml:space="preserve">, L.R.O. 1990, ch. R.33, par. 3(2), Mme Lawrence a obtenu une ordonnance sur consentement ajoutant plusieurs administrateurs de la section locale 773 comme défendeurs et a modifié la déclaration pour plaider qu’ils étaient solidairement responsables relativement à sa demande, plutôt que d’obtenir une ordonnance de représentation en application de la règle 12.07 des </w:t>
      </w:r>
      <w:r w:rsidRPr="00437F82">
        <w:rPr>
          <w:i/>
          <w:sz w:val="20"/>
          <w:lang w:val="fr-CA"/>
        </w:rPr>
        <w:t>Règles de procédure civile</w:t>
      </w:r>
      <w:r w:rsidRPr="00437F82">
        <w:rPr>
          <w:sz w:val="20"/>
          <w:lang w:val="fr-CA"/>
        </w:rPr>
        <w:t xml:space="preserve">, R.R.O. 1990, </w:t>
      </w:r>
      <w:proofErr w:type="spellStart"/>
      <w:r w:rsidRPr="00437F82">
        <w:rPr>
          <w:sz w:val="20"/>
          <w:lang w:val="fr-CA"/>
        </w:rPr>
        <w:t>règl</w:t>
      </w:r>
      <w:proofErr w:type="spellEnd"/>
      <w:r w:rsidRPr="00437F82">
        <w:rPr>
          <w:sz w:val="20"/>
          <w:lang w:val="fr-CA"/>
        </w:rPr>
        <w:t>. 194. L’action a suivi son cours normal. À l’expiration du délai de prescription, la section locale 773 et les défendeurs individuels ont présenté une motion fondée sur la règle 21 en vue d’obtenir une ordonnance rejetant l’action au motif que la section locale 773 n’était pas une entité susceptible de poursuite en justice et que les défendeurs individuels n’étaient pas personnellement responsables à l’égard de la demande.</w:t>
      </w:r>
    </w:p>
    <w:p w:rsidR="009D7F27" w:rsidRPr="00437F82" w:rsidRDefault="009D7F27" w:rsidP="009D7F27">
      <w:pPr>
        <w:rPr>
          <w:sz w:val="20"/>
          <w:lang w:val="fr-CA"/>
        </w:rPr>
      </w:pPr>
    </w:p>
    <w:p w:rsidR="009D7F27" w:rsidRPr="00437F82" w:rsidRDefault="009D7F27" w:rsidP="009D7F27">
      <w:pPr>
        <w:widowControl w:val="0"/>
        <w:jc w:val="both"/>
        <w:rPr>
          <w:sz w:val="20"/>
          <w:lang w:val="fr-CA"/>
        </w:rPr>
      </w:pPr>
      <w:r w:rsidRPr="00437F82">
        <w:rPr>
          <w:sz w:val="20"/>
          <w:lang w:val="fr-CA"/>
        </w:rPr>
        <w:t>Le juge de première instance a refusé de radier la demande au motif que, parce que la motion n’avait pas été présentée en temps opportun, elle ne révélait aucune cause d’action fondée. L’autorisation d’interjeter appel de cette décision a été refusée. Madame Lawrence a ensuite demandé et obtenu par motion une ordonnance de représentation en application de la règle 12.07 et l’autorisation de modifier sa déclaration pour ajouter les demandeurs individuels comme représentants de tous les membres de la section locale 773. Les juges majoritaires de la Cour d’appel ont rejeté la motion de Mme Lawrence en annulation de l’appel pour absence de compétence et l’appel des demandeurs.</w:t>
      </w:r>
    </w:p>
    <w:p w:rsidR="00F57751" w:rsidRPr="00437F82" w:rsidRDefault="00F57751" w:rsidP="009D7F27">
      <w:pPr>
        <w:widowControl w:val="0"/>
        <w:jc w:val="both"/>
        <w:rPr>
          <w:sz w:val="20"/>
          <w:lang w:val="fr-CA"/>
        </w:rPr>
      </w:pPr>
    </w:p>
    <w:p w:rsidR="00F57751" w:rsidRPr="00437F82" w:rsidRDefault="002526AE" w:rsidP="009D7F27">
      <w:pPr>
        <w:widowControl w:val="0"/>
        <w:jc w:val="both"/>
        <w:rPr>
          <w:sz w:val="20"/>
          <w:lang w:val="fr-CA"/>
        </w:rPr>
      </w:pPr>
      <w:r>
        <w:rPr>
          <w:sz w:val="20"/>
          <w:szCs w:val="20"/>
          <w:lang w:val="fr-CA"/>
        </w:rPr>
        <w:pict>
          <v:rect id="_x0000_i1052" style="width:2in;height:1pt" o:hrpct="0" o:hralign="center" o:hrstd="t" o:hrnoshade="t" o:hr="t" fillcolor="black [3213]" stroked="f"/>
        </w:pict>
      </w:r>
    </w:p>
    <w:p w:rsidR="00F57751" w:rsidRPr="00437F82" w:rsidRDefault="00F57751">
      <w:pPr>
        <w:rPr>
          <w:sz w:val="20"/>
          <w:lang w:val="fr-CA"/>
        </w:rPr>
      </w:pPr>
    </w:p>
    <w:p w:rsidR="00F57751" w:rsidRPr="00437F82" w:rsidRDefault="00F57751">
      <w:pPr>
        <w:rPr>
          <w:sz w:val="20"/>
          <w:lang w:val="fr-CA"/>
        </w:rPr>
      </w:pPr>
    </w:p>
    <w:p w:rsidR="009D7F27" w:rsidRPr="00437F82" w:rsidRDefault="009D7F27">
      <w:pPr>
        <w:rPr>
          <w:sz w:val="20"/>
          <w:lang w:val="fr-CA"/>
        </w:rPr>
      </w:pPr>
      <w:r w:rsidRPr="00437F82">
        <w:rPr>
          <w:sz w:val="20"/>
          <w:lang w:val="fr-CA"/>
        </w:rPr>
        <w:br w:type="page"/>
      </w:r>
    </w:p>
    <w:p w:rsidR="009D7F27" w:rsidRPr="00437F82" w:rsidRDefault="009D7F27" w:rsidP="009D7F27">
      <w:pPr>
        <w:widowControl w:val="0"/>
        <w:tabs>
          <w:tab w:val="left" w:pos="720"/>
        </w:tabs>
        <w:ind w:left="1440" w:hanging="1440"/>
        <w:jc w:val="both"/>
        <w:rPr>
          <w:b/>
          <w:i/>
          <w:sz w:val="20"/>
        </w:rPr>
      </w:pPr>
      <w:r w:rsidRPr="00437F82">
        <w:rPr>
          <w:b/>
          <w:sz w:val="20"/>
        </w:rPr>
        <w:fldChar w:fldCharType="begin"/>
      </w:r>
      <w:r w:rsidRPr="00437F82">
        <w:rPr>
          <w:b/>
          <w:sz w:val="20"/>
        </w:rPr>
        <w:instrText xml:space="preserve"> SEQ CHAPTER \h \r 1</w:instrText>
      </w:r>
      <w:r w:rsidRPr="00437F82">
        <w:rPr>
          <w:b/>
          <w:sz w:val="20"/>
        </w:rPr>
        <w:fldChar w:fldCharType="end"/>
      </w:r>
      <w:r w:rsidRPr="00437F82">
        <w:rPr>
          <w:b/>
          <w:sz w:val="20"/>
        </w:rPr>
        <w:t>36645</w:t>
      </w:r>
      <w:r w:rsidRPr="00437F82">
        <w:rPr>
          <w:sz w:val="20"/>
        </w:rPr>
        <w:tab/>
      </w:r>
      <w:r w:rsidRPr="00437F82">
        <w:rPr>
          <w:b/>
          <w:i/>
          <w:sz w:val="20"/>
        </w:rPr>
        <w:t>Gillian Frank and Jamie Duong v. Attorney General of Canada</w:t>
      </w:r>
    </w:p>
    <w:p w:rsidR="009D7F27" w:rsidRPr="00437F82" w:rsidRDefault="009D7F27" w:rsidP="009D7F27">
      <w:pPr>
        <w:widowControl w:val="0"/>
        <w:ind w:left="1440" w:hanging="720"/>
        <w:jc w:val="both"/>
        <w:rPr>
          <w:sz w:val="20"/>
        </w:rPr>
      </w:pPr>
      <w:r w:rsidRPr="00437F82">
        <w:rPr>
          <w:sz w:val="20"/>
        </w:rPr>
        <w:t>(Ont.) (Civil) (By leave)</w:t>
      </w:r>
    </w:p>
    <w:p w:rsidR="009D7F27" w:rsidRPr="00437F82" w:rsidRDefault="009D7F27" w:rsidP="009D7F27">
      <w:pPr>
        <w:widowControl w:val="0"/>
        <w:jc w:val="both"/>
        <w:rPr>
          <w:sz w:val="20"/>
        </w:rPr>
      </w:pPr>
    </w:p>
    <w:p w:rsidR="009D7F27" w:rsidRPr="00437F82" w:rsidRDefault="009D7F27" w:rsidP="009D7F27">
      <w:pPr>
        <w:widowControl w:val="0"/>
        <w:jc w:val="both"/>
        <w:rPr>
          <w:sz w:val="20"/>
        </w:rPr>
      </w:pPr>
      <w:r w:rsidRPr="00437F82">
        <w:rPr>
          <w:i/>
          <w:sz w:val="20"/>
        </w:rPr>
        <w:t>Charter of rights</w:t>
      </w:r>
      <w:r w:rsidRPr="00437F82">
        <w:rPr>
          <w:sz w:val="20"/>
        </w:rPr>
        <w:t xml:space="preserve"> - Constitutional law - Right to vote - Residency requirement - Legislative provisions disqualifying persons resident outside Canada for five years or more from voting in federal elections - Whether ss. 11(d), 222(1)(b) and (c), 223(1)(f), and the word “temporarily” in ss. 220, 222(1) and 223(1)(e) of the </w:t>
      </w:r>
      <w:r w:rsidRPr="00437F82">
        <w:rPr>
          <w:i/>
          <w:sz w:val="20"/>
        </w:rPr>
        <w:t>Canada Elections Act</w:t>
      </w:r>
      <w:r w:rsidRPr="00437F82">
        <w:rPr>
          <w:sz w:val="20"/>
        </w:rPr>
        <w:t xml:space="preserve"> violate s. 3 of </w:t>
      </w:r>
      <w:r w:rsidRPr="00437F82">
        <w:rPr>
          <w:i/>
          <w:sz w:val="20"/>
        </w:rPr>
        <w:t>Charter</w:t>
      </w:r>
      <w:r w:rsidRPr="00437F82">
        <w:rPr>
          <w:sz w:val="20"/>
        </w:rPr>
        <w:t xml:space="preserve"> - If so, whether infringement is reasonable limit prescribed by law as can be demonstrably justified in free and democratic society under s. 1 of </w:t>
      </w:r>
      <w:r w:rsidRPr="00437F82">
        <w:rPr>
          <w:i/>
          <w:sz w:val="20"/>
        </w:rPr>
        <w:t>Charter</w:t>
      </w:r>
      <w:r w:rsidRPr="00437F82">
        <w:rPr>
          <w:sz w:val="20"/>
        </w:rPr>
        <w:t xml:space="preserve"> - </w:t>
      </w:r>
      <w:r w:rsidRPr="00437F82">
        <w:rPr>
          <w:i/>
          <w:sz w:val="20"/>
        </w:rPr>
        <w:t>Canadian Charter of Rights and Freedoms</w:t>
      </w:r>
      <w:r w:rsidRPr="00437F82">
        <w:rPr>
          <w:sz w:val="20"/>
        </w:rPr>
        <w:t xml:space="preserve">, ss. 1, 3 - </w:t>
      </w:r>
      <w:r w:rsidRPr="00437F82">
        <w:rPr>
          <w:i/>
          <w:sz w:val="20"/>
        </w:rPr>
        <w:t>Canada Elections Act</w:t>
      </w:r>
      <w:r w:rsidRPr="00437F82">
        <w:rPr>
          <w:sz w:val="20"/>
        </w:rPr>
        <w:t>, S.C. 2000, c. 9, ss. 11(d), 127, 220, 222, 223, 226.</w:t>
      </w:r>
    </w:p>
    <w:p w:rsidR="009D7F27" w:rsidRPr="00437F82" w:rsidRDefault="009D7F27" w:rsidP="009D7F27">
      <w:pPr>
        <w:widowControl w:val="0"/>
        <w:jc w:val="both"/>
        <w:rPr>
          <w:sz w:val="20"/>
        </w:rPr>
      </w:pPr>
    </w:p>
    <w:p w:rsidR="009D7F27" w:rsidRPr="00437F82" w:rsidRDefault="009D7F27" w:rsidP="009D7F27">
      <w:pPr>
        <w:widowControl w:val="0"/>
        <w:jc w:val="both"/>
        <w:rPr>
          <w:sz w:val="20"/>
        </w:rPr>
      </w:pPr>
      <w:r w:rsidRPr="00437F82">
        <w:rPr>
          <w:sz w:val="20"/>
        </w:rPr>
        <w:t xml:space="preserve">The appellants are Canadian citizens residing in the United States for employment reasons, who intend to return to Canada if circumstances permit. Both appellants were refused voting ballots for the 2011 Canadian General Election since they had been resident outside Canada for five years or more, pursuant to certain provisions of the </w:t>
      </w:r>
      <w:r w:rsidRPr="00437F82">
        <w:rPr>
          <w:i/>
          <w:sz w:val="20"/>
        </w:rPr>
        <w:t>Canada Elections Act</w:t>
      </w:r>
      <w:r w:rsidRPr="00437F82">
        <w:rPr>
          <w:sz w:val="20"/>
        </w:rPr>
        <w:t xml:space="preserve">. The appellants sought a declaration that those provisions of the Act violated their </w:t>
      </w:r>
      <w:r w:rsidRPr="00437F82">
        <w:rPr>
          <w:i/>
          <w:sz w:val="20"/>
        </w:rPr>
        <w:t>Charter</w:t>
      </w:r>
      <w:r w:rsidRPr="00437F82">
        <w:rPr>
          <w:sz w:val="20"/>
        </w:rPr>
        <w:t xml:space="preserve">-protected right to vote. A judge of the Ontario Superior Court of Justice declared the impugned provisions of the Act unconstitutional for violating the appellants’ right to vote under s. 3 of the </w:t>
      </w:r>
      <w:r w:rsidRPr="00437F82">
        <w:rPr>
          <w:i/>
          <w:sz w:val="20"/>
        </w:rPr>
        <w:t>Charter</w:t>
      </w:r>
      <w:r w:rsidRPr="00437F82">
        <w:rPr>
          <w:sz w:val="20"/>
        </w:rPr>
        <w:t xml:space="preserve">, and the violation was not justified under s. 1. </w:t>
      </w:r>
    </w:p>
    <w:p w:rsidR="009D7F27" w:rsidRPr="00437F82" w:rsidRDefault="009D7F27" w:rsidP="009D7F27">
      <w:pPr>
        <w:widowControl w:val="0"/>
        <w:jc w:val="both"/>
        <w:rPr>
          <w:sz w:val="20"/>
        </w:rPr>
      </w:pPr>
    </w:p>
    <w:p w:rsidR="009D7F27" w:rsidRPr="00437F82" w:rsidRDefault="009D7F27" w:rsidP="009D7F27">
      <w:pPr>
        <w:widowControl w:val="0"/>
        <w:jc w:val="both"/>
        <w:rPr>
          <w:sz w:val="20"/>
        </w:rPr>
      </w:pPr>
      <w:r w:rsidRPr="00437F82">
        <w:rPr>
          <w:sz w:val="20"/>
        </w:rPr>
        <w:t xml:space="preserve">A majority of the Court of Appeal allowed the Attorney General’s appeal, finding that the denial of the vote to non-resident citizens who have been outside Canada for five years or more is saved by s. 1. The limitation is rationally connected to the government’s pressing and substantial objective of preserving Canada’s “social contract” (whereby resident citizens submit to laws passed by elected representatives because they had a voice in making such laws); it minimally impairs the voting rights of non-resident citizens by ensuring they may still vote if they resume residence in Canada; and the limitation’s deleterious effects do not outweigh the law’s benefits. In dissent, </w:t>
      </w:r>
      <w:proofErr w:type="spellStart"/>
      <w:r w:rsidRPr="00437F82">
        <w:rPr>
          <w:sz w:val="20"/>
        </w:rPr>
        <w:t>Laskin</w:t>
      </w:r>
      <w:proofErr w:type="spellEnd"/>
      <w:r w:rsidRPr="00437F82">
        <w:rPr>
          <w:sz w:val="20"/>
        </w:rPr>
        <w:t xml:space="preserve"> J.A. would have dismissed the appeal, finding that the “social contract” was not an appropriate nor a pressing and substantial legislative objective, and should not have been considered by the court. Justice </w:t>
      </w:r>
      <w:proofErr w:type="spellStart"/>
      <w:r w:rsidRPr="00437F82">
        <w:rPr>
          <w:sz w:val="20"/>
        </w:rPr>
        <w:t>Laskin</w:t>
      </w:r>
      <w:proofErr w:type="spellEnd"/>
      <w:r w:rsidRPr="00437F82">
        <w:rPr>
          <w:sz w:val="20"/>
        </w:rPr>
        <w:t xml:space="preserve"> also found that the denial of the right to vote was not rationally connected to the stated objective and did not minimally impair the rights of non-resident citizens, and that its harmful effects outweighed the stated benefits of the limitation.</w:t>
      </w:r>
    </w:p>
    <w:p w:rsidR="009D7F27" w:rsidRPr="00437F82" w:rsidRDefault="009D7F27" w:rsidP="009D7F27">
      <w:pPr>
        <w:widowControl w:val="0"/>
        <w:jc w:val="both"/>
        <w:rPr>
          <w:sz w:val="20"/>
        </w:rPr>
      </w:pPr>
    </w:p>
    <w:p w:rsidR="009D7F27" w:rsidRPr="00437F82" w:rsidRDefault="002526AE" w:rsidP="009D7F27">
      <w:pPr>
        <w:widowControl w:val="0"/>
        <w:jc w:val="both"/>
        <w:rPr>
          <w:sz w:val="20"/>
        </w:rPr>
      </w:pPr>
      <w:r>
        <w:rPr>
          <w:sz w:val="20"/>
          <w:szCs w:val="20"/>
          <w:lang w:val="fr-CA"/>
        </w:rPr>
        <w:pict>
          <v:rect id="_x0000_i1053" style="width:2in;height:1pt" o:hrpct="0" o:hralign="center" o:hrstd="t" o:hrnoshade="t" o:hr="t" fillcolor="black [3213]" stroked="f"/>
        </w:pict>
      </w:r>
    </w:p>
    <w:p w:rsidR="009D7F27" w:rsidRPr="00437F82" w:rsidRDefault="009D7F27" w:rsidP="009D7F27">
      <w:pPr>
        <w:widowControl w:val="0"/>
        <w:jc w:val="both"/>
        <w:rPr>
          <w:sz w:val="20"/>
        </w:rPr>
      </w:pPr>
    </w:p>
    <w:p w:rsidR="00F57751" w:rsidRPr="00437F82" w:rsidRDefault="00F57751">
      <w:pPr>
        <w:rPr>
          <w:b/>
          <w:sz w:val="20"/>
          <w:lang w:val="fr-CA"/>
        </w:rPr>
      </w:pPr>
      <w:r w:rsidRPr="00437F82">
        <w:rPr>
          <w:b/>
          <w:sz w:val="20"/>
          <w:lang w:val="fr-CA"/>
        </w:rPr>
        <w:br w:type="page"/>
      </w:r>
    </w:p>
    <w:p w:rsidR="009D7F27" w:rsidRPr="00437F82" w:rsidRDefault="009D7F27" w:rsidP="009D7F27">
      <w:pPr>
        <w:widowControl w:val="0"/>
        <w:tabs>
          <w:tab w:val="left" w:pos="720"/>
        </w:tabs>
        <w:ind w:left="1440" w:hanging="1440"/>
        <w:jc w:val="both"/>
        <w:rPr>
          <w:b/>
          <w:i/>
          <w:sz w:val="20"/>
          <w:lang w:val="fr-CA"/>
        </w:rPr>
      </w:pPr>
      <w:r w:rsidRPr="00437F82">
        <w:rPr>
          <w:b/>
          <w:sz w:val="20"/>
          <w:lang w:val="fr-CA"/>
        </w:rPr>
        <w:fldChar w:fldCharType="begin"/>
      </w:r>
      <w:r w:rsidRPr="00437F82">
        <w:rPr>
          <w:b/>
          <w:sz w:val="20"/>
          <w:lang w:val="fr-CA"/>
        </w:rPr>
        <w:instrText xml:space="preserve"> SEQ CHAPTER \h \r 1</w:instrText>
      </w:r>
      <w:r w:rsidRPr="00437F82">
        <w:rPr>
          <w:b/>
          <w:sz w:val="20"/>
          <w:lang w:val="fr-CA"/>
        </w:rPr>
        <w:fldChar w:fldCharType="end"/>
      </w:r>
      <w:r w:rsidRPr="00437F82">
        <w:rPr>
          <w:b/>
          <w:sz w:val="20"/>
          <w:lang w:val="fr-CA"/>
        </w:rPr>
        <w:t>36645</w:t>
      </w:r>
      <w:r w:rsidRPr="00437F82">
        <w:rPr>
          <w:sz w:val="20"/>
          <w:lang w:val="fr-CA"/>
        </w:rPr>
        <w:tab/>
      </w:r>
      <w:r w:rsidRPr="00437F82">
        <w:rPr>
          <w:b/>
          <w:i/>
          <w:sz w:val="20"/>
          <w:lang w:val="fr-CA"/>
        </w:rPr>
        <w:t xml:space="preserve">Gillian Frank, Jamie </w:t>
      </w:r>
      <w:proofErr w:type="spellStart"/>
      <w:r w:rsidRPr="00437F82">
        <w:rPr>
          <w:b/>
          <w:i/>
          <w:sz w:val="20"/>
          <w:lang w:val="fr-CA"/>
        </w:rPr>
        <w:t>Duong</w:t>
      </w:r>
      <w:proofErr w:type="spellEnd"/>
      <w:r w:rsidRPr="00437F82">
        <w:rPr>
          <w:b/>
          <w:i/>
          <w:sz w:val="20"/>
          <w:lang w:val="fr-CA"/>
        </w:rPr>
        <w:t xml:space="preserve"> c. Procureur général du Canada</w:t>
      </w:r>
    </w:p>
    <w:p w:rsidR="009D7F27" w:rsidRPr="00437F82" w:rsidRDefault="009D7F27" w:rsidP="009D7F27">
      <w:pPr>
        <w:widowControl w:val="0"/>
        <w:ind w:left="1440" w:hanging="720"/>
        <w:jc w:val="both"/>
        <w:rPr>
          <w:sz w:val="20"/>
          <w:lang w:val="fr-CA"/>
        </w:rPr>
      </w:pPr>
      <w:r w:rsidRPr="00437F82">
        <w:rPr>
          <w:sz w:val="20"/>
          <w:lang w:val="fr-CA"/>
        </w:rPr>
        <w:t>(Ont.) (Civile) (Sur autorisation)</w:t>
      </w:r>
    </w:p>
    <w:p w:rsidR="009D7F27" w:rsidRPr="00437F82" w:rsidRDefault="009D7F27" w:rsidP="009D7F27">
      <w:pPr>
        <w:widowControl w:val="0"/>
        <w:jc w:val="both"/>
        <w:rPr>
          <w:sz w:val="20"/>
          <w:lang w:val="fr-CA"/>
        </w:rPr>
      </w:pPr>
    </w:p>
    <w:p w:rsidR="009D7F27" w:rsidRPr="00437F82" w:rsidRDefault="009D7F27" w:rsidP="009D7F27">
      <w:pPr>
        <w:widowControl w:val="0"/>
        <w:jc w:val="both"/>
        <w:rPr>
          <w:sz w:val="20"/>
          <w:lang w:val="fr-CA"/>
        </w:rPr>
      </w:pPr>
      <w:r w:rsidRPr="00437F82">
        <w:rPr>
          <w:i/>
          <w:sz w:val="20"/>
          <w:lang w:val="fr-CA"/>
        </w:rPr>
        <w:t>Charte des droits</w:t>
      </w:r>
      <w:r w:rsidRPr="00437F82">
        <w:rPr>
          <w:sz w:val="20"/>
          <w:lang w:val="fr-CA"/>
        </w:rPr>
        <w:t xml:space="preserve"> - Droit constitutionnel - Droit de vote - Obligation de résidence - Des dispositions législatives ont pour effet de rendre inhabiles à voter aux élections fédérales les personnes qui résident à l’extérieur du Canada pendant cinq ans ou plus - Les al. 11d), 222(1)b) et c) et 223(1)f) et le mot « temporairement » </w:t>
      </w:r>
      <w:proofErr w:type="gramStart"/>
      <w:r w:rsidRPr="00437F82">
        <w:rPr>
          <w:sz w:val="20"/>
          <w:lang w:val="fr-CA"/>
        </w:rPr>
        <w:t>aux art</w:t>
      </w:r>
      <w:proofErr w:type="gramEnd"/>
      <w:r w:rsidRPr="00437F82">
        <w:rPr>
          <w:sz w:val="20"/>
          <w:lang w:val="fr-CA"/>
        </w:rPr>
        <w:t xml:space="preserve">. 220, 222(1) et 223(1)e) de la </w:t>
      </w:r>
      <w:r w:rsidRPr="00437F82">
        <w:rPr>
          <w:i/>
          <w:sz w:val="20"/>
          <w:lang w:val="fr-CA"/>
        </w:rPr>
        <w:t>Loi électorale du Canada</w:t>
      </w:r>
      <w:r w:rsidRPr="00437F82">
        <w:rPr>
          <w:sz w:val="20"/>
          <w:lang w:val="fr-CA"/>
        </w:rPr>
        <w:t xml:space="preserve"> violent-ils l’article 3 de la Charte? - Dans l’affirmative, s’agit-il de violations constituant des limites raisonnables prescrites par une règle de droit et dont la justification peut se démontrer dans le cadre d’une société libre et démocratique au sens de l’article premier de la </w:t>
      </w:r>
      <w:r w:rsidRPr="00437F82">
        <w:rPr>
          <w:i/>
          <w:sz w:val="20"/>
          <w:lang w:val="fr-CA"/>
        </w:rPr>
        <w:t>Charte canadienne des droits et libertés</w:t>
      </w:r>
      <w:r w:rsidRPr="00437F82">
        <w:rPr>
          <w:sz w:val="20"/>
          <w:lang w:val="fr-CA"/>
        </w:rPr>
        <w:t xml:space="preserve">? - </w:t>
      </w:r>
      <w:r w:rsidRPr="00437F82">
        <w:rPr>
          <w:i/>
          <w:sz w:val="20"/>
          <w:lang w:val="fr-CA"/>
        </w:rPr>
        <w:t>Loi électorale du Canada</w:t>
      </w:r>
      <w:r w:rsidRPr="00437F82">
        <w:rPr>
          <w:sz w:val="20"/>
          <w:lang w:val="fr-CA"/>
        </w:rPr>
        <w:t>, L.C. 2000, ch. 9, art. 11d), 127, 220, 222, 223, 226.</w:t>
      </w:r>
    </w:p>
    <w:p w:rsidR="009D7F27" w:rsidRPr="00437F82" w:rsidRDefault="009D7F27" w:rsidP="009D7F27">
      <w:pPr>
        <w:widowControl w:val="0"/>
        <w:jc w:val="both"/>
        <w:rPr>
          <w:sz w:val="20"/>
          <w:lang w:val="fr-CA"/>
        </w:rPr>
      </w:pPr>
    </w:p>
    <w:p w:rsidR="009D7F27" w:rsidRPr="00437F82" w:rsidRDefault="009D7F27" w:rsidP="009D7F27">
      <w:pPr>
        <w:widowControl w:val="0"/>
        <w:jc w:val="both"/>
        <w:rPr>
          <w:sz w:val="20"/>
          <w:lang w:val="fr-CA"/>
        </w:rPr>
      </w:pPr>
      <w:r w:rsidRPr="00437F82">
        <w:rPr>
          <w:sz w:val="20"/>
          <w:lang w:val="fr-CA"/>
        </w:rPr>
        <w:t xml:space="preserve">Les appelants sont des citoyens canadiens qui résident aux États-Unis pour des raisons professionnelles et qui ont l’intention de revenir au Canada si la situation le permet. Les deux demandeurs se sont vu refuser des bulletins de vote à l’élection générale canadienne de 2011, puisqu’ils avaient résidé à l’extérieur du Canada pendant cinq ans ou plus, en application de certaines dispositions de la </w:t>
      </w:r>
      <w:r w:rsidRPr="00437F82">
        <w:rPr>
          <w:i/>
          <w:sz w:val="20"/>
          <w:lang w:val="fr-CA"/>
        </w:rPr>
        <w:t>Loi électorale du Canada</w:t>
      </w:r>
      <w:r w:rsidRPr="00437F82">
        <w:rPr>
          <w:sz w:val="20"/>
          <w:lang w:val="fr-CA"/>
        </w:rPr>
        <w:t xml:space="preserve">. Les appelants ont sollicité un jugement déclarant que ces dispositions de la </w:t>
      </w:r>
      <w:r w:rsidRPr="00437F82">
        <w:rPr>
          <w:i/>
          <w:sz w:val="20"/>
          <w:lang w:val="fr-CA"/>
        </w:rPr>
        <w:t xml:space="preserve">Loi </w:t>
      </w:r>
      <w:r w:rsidRPr="00437F82">
        <w:rPr>
          <w:sz w:val="20"/>
          <w:lang w:val="fr-CA"/>
        </w:rPr>
        <w:t xml:space="preserve">violaient leur droit de vote garanti par la </w:t>
      </w:r>
      <w:r w:rsidRPr="00437F82">
        <w:rPr>
          <w:i/>
          <w:sz w:val="20"/>
          <w:lang w:val="fr-CA"/>
        </w:rPr>
        <w:t>Charte</w:t>
      </w:r>
      <w:r w:rsidRPr="00437F82">
        <w:rPr>
          <w:sz w:val="20"/>
          <w:lang w:val="fr-CA"/>
        </w:rPr>
        <w:t xml:space="preserve">. Un juge de la Cour supérieure de justice de l’Ontario a déclaré les dispositions contestées de la </w:t>
      </w:r>
      <w:r w:rsidRPr="00437F82">
        <w:rPr>
          <w:i/>
          <w:sz w:val="20"/>
          <w:lang w:val="fr-CA"/>
        </w:rPr>
        <w:t>Loi</w:t>
      </w:r>
      <w:r w:rsidRPr="00437F82">
        <w:rPr>
          <w:sz w:val="20"/>
          <w:lang w:val="fr-CA"/>
        </w:rPr>
        <w:t xml:space="preserve"> inconstitutionnelles, parce qu’elles violaient le droit de vote des appelants garanti par l’art. 3 de la </w:t>
      </w:r>
      <w:r w:rsidRPr="00437F82">
        <w:rPr>
          <w:i/>
          <w:sz w:val="20"/>
          <w:lang w:val="fr-CA"/>
        </w:rPr>
        <w:t>Charte</w:t>
      </w:r>
      <w:r w:rsidRPr="00437F82">
        <w:rPr>
          <w:sz w:val="20"/>
          <w:lang w:val="fr-CA"/>
        </w:rPr>
        <w:t xml:space="preserve"> et parce que la violation n’était pas justifiée au regard de l’article premier. </w:t>
      </w:r>
    </w:p>
    <w:p w:rsidR="009D7F27" w:rsidRPr="00437F82" w:rsidRDefault="009D7F27" w:rsidP="009D7F27">
      <w:pPr>
        <w:widowControl w:val="0"/>
        <w:jc w:val="both"/>
        <w:rPr>
          <w:sz w:val="20"/>
          <w:lang w:val="fr-CA"/>
        </w:rPr>
      </w:pPr>
    </w:p>
    <w:p w:rsidR="009D7F27" w:rsidRPr="00437F82" w:rsidRDefault="009D7F27" w:rsidP="009D7F27">
      <w:pPr>
        <w:widowControl w:val="0"/>
        <w:jc w:val="both"/>
        <w:rPr>
          <w:sz w:val="20"/>
          <w:lang w:val="fr-CA"/>
        </w:rPr>
      </w:pPr>
      <w:r w:rsidRPr="00437F82">
        <w:rPr>
          <w:sz w:val="20"/>
          <w:lang w:val="fr-CA"/>
        </w:rPr>
        <w:t xml:space="preserve">Les juges majoritaires de la Cour d’appel ont accueilli l’appel du procureur général, statuant que le déni du vote aux citoyens </w:t>
      </w:r>
      <w:proofErr w:type="spellStart"/>
      <w:r w:rsidRPr="00437F82">
        <w:rPr>
          <w:sz w:val="20"/>
          <w:lang w:val="fr-CA"/>
        </w:rPr>
        <w:t>non résidents</w:t>
      </w:r>
      <w:proofErr w:type="spellEnd"/>
      <w:r w:rsidRPr="00437F82">
        <w:rPr>
          <w:sz w:val="20"/>
          <w:lang w:val="fr-CA"/>
        </w:rPr>
        <w:t xml:space="preserve"> qui étaient à l’extérieur du Canada pendant cinq ans ou plus pouvait être justifié au regard de l’article premier. La restriction a un lien rationnel avec l’objectif urgent et réel du gouvernement de préserver le « contrat social » du Canada (en vertu duquel les citoyens résidents se soumettent aux lois adoptées par les représentants élus parce qu’ils ont eu une voix dans l’élaboration de ces lois), elle porte une atteinte minimale aux droits de vote des citoyens </w:t>
      </w:r>
      <w:proofErr w:type="spellStart"/>
      <w:r w:rsidRPr="00437F82">
        <w:rPr>
          <w:sz w:val="20"/>
          <w:lang w:val="fr-CA"/>
        </w:rPr>
        <w:t>non résidents</w:t>
      </w:r>
      <w:proofErr w:type="spellEnd"/>
      <w:r w:rsidRPr="00437F82">
        <w:rPr>
          <w:sz w:val="20"/>
          <w:lang w:val="fr-CA"/>
        </w:rPr>
        <w:t xml:space="preserve"> en faisant en sorte qu’ils puissent encore voter s’ils reviennent vivre au Canada et les effets préjudiciables des restrictions ne l’emportent pas sur les effets bénéfiques de la loi. Dans ses motifs dissidents, le juge </w:t>
      </w:r>
      <w:proofErr w:type="spellStart"/>
      <w:r w:rsidRPr="00437F82">
        <w:rPr>
          <w:sz w:val="20"/>
          <w:lang w:val="fr-CA"/>
        </w:rPr>
        <w:t>Laskin</w:t>
      </w:r>
      <w:proofErr w:type="spellEnd"/>
      <w:r w:rsidRPr="00437F82">
        <w:rPr>
          <w:sz w:val="20"/>
          <w:lang w:val="fr-CA"/>
        </w:rPr>
        <w:t xml:space="preserve"> était d’avis de rejeter l’appel, concluant que le « contrat social » n’était pas un objectif approprié, urgent ou réel et que le tribunal n’aurait pas dû en tenir compte. Le juge </w:t>
      </w:r>
      <w:proofErr w:type="spellStart"/>
      <w:r w:rsidRPr="00437F82">
        <w:rPr>
          <w:sz w:val="20"/>
          <w:lang w:val="fr-CA"/>
        </w:rPr>
        <w:t>Laskin</w:t>
      </w:r>
      <w:proofErr w:type="spellEnd"/>
      <w:r w:rsidRPr="00437F82">
        <w:rPr>
          <w:sz w:val="20"/>
          <w:lang w:val="fr-CA"/>
        </w:rPr>
        <w:t xml:space="preserve"> a également conclu que le déni du droit de vote n’avait pas de lien rationnel avec l’objectif déclaré, qu’il ne portait pas une atteinte minimale aux droits des citoyens </w:t>
      </w:r>
      <w:proofErr w:type="spellStart"/>
      <w:r w:rsidRPr="00437F82">
        <w:rPr>
          <w:sz w:val="20"/>
          <w:lang w:val="fr-CA"/>
        </w:rPr>
        <w:t>non résidents</w:t>
      </w:r>
      <w:proofErr w:type="spellEnd"/>
      <w:r w:rsidRPr="00437F82">
        <w:rPr>
          <w:sz w:val="20"/>
          <w:lang w:val="fr-CA"/>
        </w:rPr>
        <w:t xml:space="preserve"> et que ses effets préjudiciables l’emportaient sur les effets bénéfiques déclarés de la restriction.</w:t>
      </w:r>
    </w:p>
    <w:p w:rsidR="00F57751" w:rsidRPr="00437F82" w:rsidRDefault="00F57751" w:rsidP="009D7F27">
      <w:pPr>
        <w:widowControl w:val="0"/>
        <w:jc w:val="both"/>
        <w:rPr>
          <w:sz w:val="20"/>
          <w:lang w:val="fr-CA"/>
        </w:rPr>
      </w:pPr>
    </w:p>
    <w:p w:rsidR="009D7F27" w:rsidRPr="00437F82" w:rsidRDefault="002526AE" w:rsidP="009D7F27">
      <w:pPr>
        <w:widowControl w:val="0"/>
        <w:jc w:val="both"/>
        <w:rPr>
          <w:sz w:val="20"/>
          <w:lang w:val="fr-CA"/>
        </w:rPr>
      </w:pPr>
      <w:r>
        <w:rPr>
          <w:sz w:val="20"/>
          <w:szCs w:val="20"/>
          <w:lang w:val="fr-CA"/>
        </w:rPr>
        <w:pict>
          <v:rect id="_x0000_i1054" style="width:2in;height:1pt" o:hrpct="0" o:hralign="center" o:hrstd="t" o:hrnoshade="t" o:hr="t" fillcolor="black [3213]" stroked="f"/>
        </w:pict>
      </w:r>
    </w:p>
    <w:p w:rsidR="009D7F27" w:rsidRPr="00437F82" w:rsidRDefault="009D7F27" w:rsidP="009D7F27">
      <w:pPr>
        <w:widowControl w:val="0"/>
        <w:jc w:val="both"/>
        <w:rPr>
          <w:sz w:val="20"/>
          <w:lang w:val="fr-CA"/>
        </w:rPr>
      </w:pPr>
    </w:p>
    <w:p w:rsidR="00F57751" w:rsidRPr="00437F82" w:rsidRDefault="00F57751">
      <w:pPr>
        <w:rPr>
          <w:sz w:val="20"/>
          <w:lang w:val="fr-CA"/>
        </w:rPr>
      </w:pPr>
      <w:r w:rsidRPr="00437F82">
        <w:rPr>
          <w:sz w:val="20"/>
          <w:lang w:val="fr-CA"/>
        </w:rPr>
        <w:br w:type="page"/>
      </w:r>
    </w:p>
    <w:p w:rsidR="009D7F27" w:rsidRPr="00437F82" w:rsidRDefault="009D7F27" w:rsidP="009D7F27">
      <w:pPr>
        <w:widowControl w:val="0"/>
        <w:ind w:left="720" w:hanging="720"/>
        <w:jc w:val="both"/>
        <w:rPr>
          <w:b/>
          <w:i/>
          <w:sz w:val="20"/>
        </w:rPr>
      </w:pPr>
      <w:r w:rsidRPr="00437F82">
        <w:rPr>
          <w:b/>
          <w:sz w:val="20"/>
        </w:rPr>
        <w:fldChar w:fldCharType="begin"/>
      </w:r>
      <w:r w:rsidRPr="00437F82">
        <w:rPr>
          <w:b/>
          <w:sz w:val="20"/>
        </w:rPr>
        <w:instrText xml:space="preserve"> SEQ CHAPTER \h \r 1</w:instrText>
      </w:r>
      <w:r w:rsidRPr="00437F82">
        <w:rPr>
          <w:b/>
          <w:sz w:val="20"/>
        </w:rPr>
        <w:fldChar w:fldCharType="end"/>
      </w:r>
      <w:r w:rsidRPr="00437F82">
        <w:rPr>
          <w:b/>
          <w:sz w:val="20"/>
        </w:rPr>
        <w:t>37613</w:t>
      </w:r>
      <w:r w:rsidRPr="00437F82">
        <w:rPr>
          <w:sz w:val="20"/>
        </w:rPr>
        <w:tab/>
      </w:r>
      <w:r w:rsidRPr="00437F82">
        <w:rPr>
          <w:b/>
          <w:i/>
          <w:sz w:val="20"/>
        </w:rPr>
        <w:t>Attorney General of Quebec et al. v. Attorney General of Canada</w:t>
      </w:r>
    </w:p>
    <w:p w:rsidR="009D7F27" w:rsidRPr="00437F82" w:rsidRDefault="009D7F27" w:rsidP="009D7F27">
      <w:pPr>
        <w:widowControl w:val="0"/>
        <w:ind w:left="1440" w:hanging="720"/>
        <w:jc w:val="both"/>
        <w:rPr>
          <w:sz w:val="20"/>
        </w:rPr>
      </w:pPr>
      <w:r w:rsidRPr="00437F82">
        <w:rPr>
          <w:sz w:val="20"/>
        </w:rPr>
        <w:t>(Que.) (Civil) (As of Right)</w:t>
      </w:r>
    </w:p>
    <w:p w:rsidR="009D7F27" w:rsidRPr="00437F82" w:rsidRDefault="009D7F27" w:rsidP="009D7F27">
      <w:pPr>
        <w:widowControl w:val="0"/>
        <w:jc w:val="both"/>
        <w:rPr>
          <w:sz w:val="20"/>
        </w:rPr>
      </w:pPr>
    </w:p>
    <w:p w:rsidR="009D7F27" w:rsidRPr="00437F82" w:rsidRDefault="009D7F27" w:rsidP="009D7F27">
      <w:pPr>
        <w:widowControl w:val="0"/>
        <w:jc w:val="both"/>
        <w:rPr>
          <w:sz w:val="20"/>
        </w:rPr>
      </w:pPr>
      <w:r w:rsidRPr="00437F82">
        <w:rPr>
          <w:sz w:val="20"/>
        </w:rPr>
        <w:t xml:space="preserve">Constitutional law - Division of powers - Trade and commerce - Securities - Reference - Pan-Canadian securities regulation - Regulatory regime for capital markets - </w:t>
      </w:r>
      <w:r w:rsidRPr="00437F82">
        <w:rPr>
          <w:i/>
          <w:sz w:val="20"/>
        </w:rPr>
        <w:t>Constitution Act, 1867</w:t>
      </w:r>
      <w:r w:rsidRPr="00437F82">
        <w:rPr>
          <w:sz w:val="20"/>
        </w:rPr>
        <w:t>, s. 91(2).</w:t>
      </w:r>
    </w:p>
    <w:p w:rsidR="009D7F27" w:rsidRPr="00437F82" w:rsidRDefault="009D7F27" w:rsidP="009D7F27">
      <w:pPr>
        <w:widowControl w:val="0"/>
        <w:jc w:val="both"/>
        <w:rPr>
          <w:sz w:val="20"/>
        </w:rPr>
      </w:pPr>
    </w:p>
    <w:p w:rsidR="009D7F27" w:rsidRPr="00437F82" w:rsidRDefault="009D7F27" w:rsidP="009D7F27">
      <w:pPr>
        <w:widowControl w:val="0"/>
        <w:jc w:val="both"/>
        <w:rPr>
          <w:sz w:val="20"/>
        </w:rPr>
      </w:pPr>
      <w:r w:rsidRPr="00437F82">
        <w:rPr>
          <w:sz w:val="20"/>
        </w:rPr>
        <w:t>Under Order in Council No. 642-2015 dated July 15, 2015, the Government of Quebec referred the following two questions to the Quebec Court of Appeal:</w:t>
      </w:r>
    </w:p>
    <w:p w:rsidR="009D7F27" w:rsidRPr="00437F82" w:rsidRDefault="009D7F27" w:rsidP="009D7F27">
      <w:pPr>
        <w:widowControl w:val="0"/>
        <w:jc w:val="both"/>
        <w:rPr>
          <w:sz w:val="20"/>
        </w:rPr>
      </w:pPr>
    </w:p>
    <w:p w:rsidR="009D7F27" w:rsidRPr="00437F82" w:rsidRDefault="009D7F27" w:rsidP="009D7F27">
      <w:pPr>
        <w:pStyle w:val="ListParagraph"/>
        <w:widowControl w:val="0"/>
        <w:numPr>
          <w:ilvl w:val="0"/>
          <w:numId w:val="8"/>
        </w:numPr>
        <w:jc w:val="both"/>
        <w:rPr>
          <w:sz w:val="20"/>
          <w:szCs w:val="20"/>
        </w:rPr>
      </w:pPr>
      <w:r w:rsidRPr="00437F82">
        <w:rPr>
          <w:sz w:val="20"/>
          <w:szCs w:val="20"/>
        </w:rPr>
        <w:t>Does the Constitution of Canada authorize the implementation of pan-Canadian securities regulation under the authority of a single regulator, according to the model established by the most recent publication of the “Memorandum of Agreement regarding the Cooperative Capital Markets Regulatory System”?</w:t>
      </w:r>
    </w:p>
    <w:p w:rsidR="009D7F27" w:rsidRPr="00437F82" w:rsidRDefault="009D7F27" w:rsidP="009D7F27">
      <w:pPr>
        <w:pStyle w:val="ListParagraph"/>
        <w:jc w:val="both"/>
        <w:rPr>
          <w:sz w:val="20"/>
          <w:szCs w:val="20"/>
        </w:rPr>
      </w:pPr>
    </w:p>
    <w:p w:rsidR="009D7F27" w:rsidRPr="00437F82" w:rsidRDefault="009D7F27" w:rsidP="009D7F27">
      <w:pPr>
        <w:pStyle w:val="ListParagraph"/>
        <w:widowControl w:val="0"/>
        <w:numPr>
          <w:ilvl w:val="0"/>
          <w:numId w:val="8"/>
        </w:numPr>
        <w:jc w:val="both"/>
        <w:rPr>
          <w:sz w:val="20"/>
          <w:szCs w:val="20"/>
        </w:rPr>
      </w:pPr>
      <w:r w:rsidRPr="00437F82">
        <w:rPr>
          <w:sz w:val="20"/>
          <w:szCs w:val="20"/>
        </w:rPr>
        <w:t xml:space="preserve">Does the most recent version of the draft of the federal “Capital Markets Stability Act” exceed the authority of the Parliament of Canada over the general branch of the trade and commerce power under subsection 91(2) of the </w:t>
      </w:r>
      <w:r w:rsidRPr="00437F82">
        <w:rPr>
          <w:i/>
          <w:sz w:val="20"/>
          <w:szCs w:val="20"/>
        </w:rPr>
        <w:t>Constitution Act, 1867</w:t>
      </w:r>
      <w:r w:rsidRPr="00437F82">
        <w:rPr>
          <w:sz w:val="20"/>
          <w:szCs w:val="20"/>
        </w:rPr>
        <w:t>?</w:t>
      </w:r>
    </w:p>
    <w:p w:rsidR="009D7F27" w:rsidRPr="00437F82" w:rsidRDefault="009D7F27" w:rsidP="009D7F27">
      <w:pPr>
        <w:rPr>
          <w:sz w:val="20"/>
        </w:rPr>
      </w:pPr>
    </w:p>
    <w:p w:rsidR="009D7F27" w:rsidRPr="00437F82" w:rsidRDefault="009D7F27" w:rsidP="009D7F27">
      <w:pPr>
        <w:widowControl w:val="0"/>
        <w:jc w:val="both"/>
        <w:rPr>
          <w:sz w:val="20"/>
        </w:rPr>
      </w:pPr>
      <w:r w:rsidRPr="00437F82">
        <w:rPr>
          <w:sz w:val="20"/>
        </w:rPr>
        <w:t>The majority of the Court of Appeal answered “no” to the first question, finding that the Constitution of Canada does not authorize the implementation of the regulation at issue under that model. It also answered “no” to the second question, as it was of the view that the most recent version of the draft of the legislation is not beyond the jurisdiction of Parliament, except with respect to its sections 76 to 79 concerning the role and powers of the Council of Ministers which, if not removed, render the act unconstitutional as a whole.</w:t>
      </w:r>
    </w:p>
    <w:p w:rsidR="009D7F27" w:rsidRPr="00437F82" w:rsidRDefault="009D7F27" w:rsidP="009D7F27">
      <w:pPr>
        <w:widowControl w:val="0"/>
        <w:jc w:val="both"/>
        <w:rPr>
          <w:sz w:val="20"/>
        </w:rPr>
      </w:pPr>
    </w:p>
    <w:p w:rsidR="009D7F27" w:rsidRPr="00437F82" w:rsidRDefault="002526AE" w:rsidP="009D7F27">
      <w:pPr>
        <w:widowControl w:val="0"/>
        <w:jc w:val="both"/>
        <w:rPr>
          <w:sz w:val="20"/>
        </w:rPr>
      </w:pPr>
      <w:r>
        <w:rPr>
          <w:sz w:val="20"/>
          <w:szCs w:val="20"/>
          <w:lang w:val="fr-CA"/>
        </w:rPr>
        <w:pict>
          <v:rect id="_x0000_i1055" style="width:2in;height:1pt" o:hrpct="0" o:hralign="center" o:hrstd="t" o:hrnoshade="t" o:hr="t" fillcolor="black [3213]" stroked="f"/>
        </w:pict>
      </w:r>
    </w:p>
    <w:p w:rsidR="009D7F27" w:rsidRPr="00437F82" w:rsidRDefault="009D7F27" w:rsidP="009D7F27">
      <w:pPr>
        <w:widowControl w:val="0"/>
        <w:jc w:val="both"/>
        <w:rPr>
          <w:sz w:val="20"/>
        </w:rPr>
      </w:pPr>
    </w:p>
    <w:p w:rsidR="009D7F27" w:rsidRPr="00437F82" w:rsidRDefault="009D7F27" w:rsidP="009D7F27">
      <w:pPr>
        <w:widowControl w:val="0"/>
        <w:ind w:left="720" w:hanging="720"/>
        <w:jc w:val="both"/>
        <w:rPr>
          <w:b/>
          <w:i/>
          <w:sz w:val="20"/>
          <w:lang w:val="fr-CA"/>
        </w:rPr>
      </w:pPr>
      <w:r w:rsidRPr="00437F82">
        <w:rPr>
          <w:b/>
          <w:sz w:val="20"/>
        </w:rPr>
        <w:fldChar w:fldCharType="begin"/>
      </w:r>
      <w:r w:rsidRPr="00437F82">
        <w:rPr>
          <w:b/>
          <w:sz w:val="20"/>
          <w:lang w:val="fr-CA"/>
        </w:rPr>
        <w:instrText xml:space="preserve"> SEQ CHAPTER \h \r 1</w:instrText>
      </w:r>
      <w:r w:rsidRPr="00437F82">
        <w:rPr>
          <w:b/>
          <w:sz w:val="20"/>
        </w:rPr>
        <w:fldChar w:fldCharType="end"/>
      </w:r>
      <w:r w:rsidRPr="00437F82">
        <w:rPr>
          <w:b/>
          <w:sz w:val="20"/>
          <w:lang w:val="fr-CA"/>
        </w:rPr>
        <w:t>37613</w:t>
      </w:r>
      <w:r w:rsidRPr="00437F82">
        <w:rPr>
          <w:sz w:val="20"/>
          <w:lang w:val="fr-CA"/>
        </w:rPr>
        <w:tab/>
      </w:r>
      <w:r w:rsidRPr="00437F82">
        <w:rPr>
          <w:b/>
          <w:i/>
          <w:sz w:val="20"/>
          <w:lang w:val="fr-CA"/>
        </w:rPr>
        <w:t>Procureure générale du Québec et autre c. Procureur général du Canada</w:t>
      </w:r>
    </w:p>
    <w:p w:rsidR="009D7F27" w:rsidRPr="00437F82" w:rsidRDefault="009D7F27" w:rsidP="009D7F27">
      <w:pPr>
        <w:widowControl w:val="0"/>
        <w:ind w:left="1440" w:hanging="720"/>
        <w:jc w:val="both"/>
        <w:rPr>
          <w:sz w:val="20"/>
          <w:lang w:val="fr-CA"/>
        </w:rPr>
      </w:pPr>
      <w:r w:rsidRPr="00437F82">
        <w:rPr>
          <w:sz w:val="20"/>
          <w:lang w:val="fr-CA"/>
        </w:rPr>
        <w:t>(Qc) (Civile) (De plein droit)</w:t>
      </w:r>
    </w:p>
    <w:p w:rsidR="009D7F27" w:rsidRPr="00437F82" w:rsidRDefault="009D7F27" w:rsidP="009D7F27">
      <w:pPr>
        <w:widowControl w:val="0"/>
        <w:jc w:val="both"/>
        <w:rPr>
          <w:sz w:val="20"/>
          <w:lang w:val="fr-CA"/>
        </w:rPr>
      </w:pPr>
    </w:p>
    <w:p w:rsidR="009D7F27" w:rsidRPr="00437F82" w:rsidRDefault="009D7F27" w:rsidP="009D7F27">
      <w:pPr>
        <w:widowControl w:val="0"/>
        <w:jc w:val="both"/>
        <w:rPr>
          <w:sz w:val="20"/>
          <w:lang w:val="fr-CA"/>
        </w:rPr>
      </w:pPr>
      <w:r w:rsidRPr="00437F82">
        <w:rPr>
          <w:sz w:val="20"/>
          <w:lang w:val="fr-CA"/>
        </w:rPr>
        <w:t>Droit constitutionnel - Partage des compétences - Trafic et commerce - Valeurs mobilières - Renvoi - Réglementation pancanadienne des valeurs mobilières -</w:t>
      </w:r>
      <w:r w:rsidRPr="00437F82">
        <w:rPr>
          <w:b/>
          <w:sz w:val="20"/>
          <w:lang w:val="fr-CA"/>
        </w:rPr>
        <w:t xml:space="preserve"> </w:t>
      </w:r>
      <w:r w:rsidRPr="00437F82">
        <w:rPr>
          <w:sz w:val="20"/>
          <w:lang w:val="fr-CA"/>
        </w:rPr>
        <w:t xml:space="preserve">Régime coopératif de réglementation des marchés des capitaux - </w:t>
      </w:r>
      <w:r w:rsidRPr="00437F82">
        <w:rPr>
          <w:i/>
          <w:sz w:val="20"/>
          <w:lang w:val="fr-CA"/>
        </w:rPr>
        <w:t>Loi constitutionnelle de 1867</w:t>
      </w:r>
      <w:r w:rsidRPr="00437F82">
        <w:rPr>
          <w:sz w:val="20"/>
          <w:lang w:val="fr-CA"/>
        </w:rPr>
        <w:t>, art. 91(2).</w:t>
      </w:r>
    </w:p>
    <w:p w:rsidR="009D7F27" w:rsidRPr="00437F82" w:rsidRDefault="009D7F27" w:rsidP="009D7F27">
      <w:pPr>
        <w:widowControl w:val="0"/>
        <w:jc w:val="both"/>
        <w:rPr>
          <w:sz w:val="20"/>
          <w:lang w:val="fr-CA"/>
        </w:rPr>
      </w:pPr>
    </w:p>
    <w:p w:rsidR="009D7F27" w:rsidRPr="00437F82" w:rsidRDefault="009D7F27" w:rsidP="009D7F27">
      <w:pPr>
        <w:widowControl w:val="0"/>
        <w:jc w:val="both"/>
        <w:rPr>
          <w:sz w:val="20"/>
          <w:lang w:val="fr-CA"/>
        </w:rPr>
      </w:pPr>
      <w:r w:rsidRPr="00437F82">
        <w:rPr>
          <w:sz w:val="20"/>
          <w:lang w:val="fr-CA"/>
        </w:rPr>
        <w:t>Par le décret n</w:t>
      </w:r>
      <w:r w:rsidRPr="00437F82">
        <w:rPr>
          <w:sz w:val="20"/>
          <w:vertAlign w:val="superscript"/>
          <w:lang w:val="fr-CA"/>
        </w:rPr>
        <w:t>o </w:t>
      </w:r>
      <w:r w:rsidRPr="00437F82">
        <w:rPr>
          <w:sz w:val="20"/>
          <w:lang w:val="fr-CA"/>
        </w:rPr>
        <w:t>642-2015 du 15 juillet 2015, le gouvernement du Québec a soumis les deux questions suivantes à la Cour d’appel du Québec :</w:t>
      </w:r>
    </w:p>
    <w:p w:rsidR="009D7F27" w:rsidRPr="00437F82" w:rsidRDefault="009D7F27" w:rsidP="009D7F27">
      <w:pPr>
        <w:widowControl w:val="0"/>
        <w:jc w:val="both"/>
        <w:rPr>
          <w:sz w:val="20"/>
          <w:lang w:val="fr-CA"/>
        </w:rPr>
      </w:pPr>
    </w:p>
    <w:p w:rsidR="009D7F27" w:rsidRPr="00437F82" w:rsidRDefault="009D7F27" w:rsidP="009D7F27">
      <w:pPr>
        <w:pStyle w:val="ListParagraph"/>
        <w:widowControl w:val="0"/>
        <w:numPr>
          <w:ilvl w:val="0"/>
          <w:numId w:val="9"/>
        </w:numPr>
        <w:jc w:val="both"/>
        <w:rPr>
          <w:sz w:val="20"/>
          <w:szCs w:val="20"/>
          <w:lang w:val="fr-CA"/>
        </w:rPr>
      </w:pPr>
      <w:r w:rsidRPr="00437F82">
        <w:rPr>
          <w:sz w:val="20"/>
          <w:szCs w:val="20"/>
          <w:lang w:val="fr-CA"/>
        </w:rPr>
        <w:t>La Constitution du Canada autorise-t-elle la mise en place d’une réglementation pancanadienne des valeurs mobilières sous la gouverne d’un organisme unique selon le modèle prévu par la plus récente publication du « Protocole d’accord concernant le régime coopératif de réglementation des marchés des capitaux »?</w:t>
      </w:r>
    </w:p>
    <w:p w:rsidR="009D7F27" w:rsidRPr="00437F82" w:rsidRDefault="009D7F27" w:rsidP="009D7F27">
      <w:pPr>
        <w:pStyle w:val="ListParagraph"/>
        <w:jc w:val="both"/>
        <w:rPr>
          <w:sz w:val="20"/>
          <w:szCs w:val="20"/>
          <w:lang w:val="fr-CA"/>
        </w:rPr>
      </w:pPr>
    </w:p>
    <w:p w:rsidR="009D7F27" w:rsidRPr="00437F82" w:rsidRDefault="009D7F27" w:rsidP="009D7F27">
      <w:pPr>
        <w:pStyle w:val="ListParagraph"/>
        <w:widowControl w:val="0"/>
        <w:numPr>
          <w:ilvl w:val="0"/>
          <w:numId w:val="9"/>
        </w:numPr>
        <w:jc w:val="both"/>
        <w:rPr>
          <w:sz w:val="20"/>
          <w:szCs w:val="20"/>
          <w:lang w:val="fr-CA"/>
        </w:rPr>
      </w:pPr>
      <w:r w:rsidRPr="00437F82">
        <w:rPr>
          <w:sz w:val="20"/>
          <w:szCs w:val="20"/>
          <w:lang w:val="fr-CA"/>
        </w:rPr>
        <w:t>La plus récente version de l’ébauche de la loi fédérale intitulée « </w:t>
      </w:r>
      <w:r w:rsidRPr="00437F82">
        <w:rPr>
          <w:i/>
          <w:sz w:val="20"/>
          <w:szCs w:val="20"/>
          <w:lang w:val="fr-CA"/>
        </w:rPr>
        <w:t>Loi sur la stabilité des marchés des capitaux</w:t>
      </w:r>
      <w:r w:rsidRPr="00437F82">
        <w:rPr>
          <w:sz w:val="20"/>
          <w:szCs w:val="20"/>
          <w:lang w:val="fr-CA"/>
        </w:rPr>
        <w:t xml:space="preserve"> » excède-t-elle la compétence du Parlement du Canada sur le commerce selon le paragraphe 91(2) de la </w:t>
      </w:r>
      <w:r w:rsidRPr="00437F82">
        <w:rPr>
          <w:i/>
          <w:sz w:val="20"/>
          <w:szCs w:val="20"/>
          <w:lang w:val="fr-CA"/>
        </w:rPr>
        <w:t>Loi constitutionnelle de 1867</w:t>
      </w:r>
      <w:r w:rsidRPr="00437F82">
        <w:rPr>
          <w:sz w:val="20"/>
          <w:szCs w:val="20"/>
          <w:lang w:val="fr-CA"/>
        </w:rPr>
        <w:t>?</w:t>
      </w:r>
    </w:p>
    <w:p w:rsidR="009D7F27" w:rsidRPr="00437F82" w:rsidRDefault="009D7F27" w:rsidP="009D7F27">
      <w:pPr>
        <w:pStyle w:val="ListParagraph"/>
        <w:rPr>
          <w:sz w:val="20"/>
          <w:szCs w:val="20"/>
          <w:lang w:val="fr-CA"/>
        </w:rPr>
      </w:pPr>
    </w:p>
    <w:p w:rsidR="009D7F27" w:rsidRPr="00437F82" w:rsidRDefault="009D7F27" w:rsidP="009D7F27">
      <w:pPr>
        <w:widowControl w:val="0"/>
        <w:jc w:val="both"/>
        <w:rPr>
          <w:sz w:val="20"/>
          <w:lang w:val="fr-CA"/>
        </w:rPr>
      </w:pPr>
      <w:r w:rsidRPr="00437F82">
        <w:rPr>
          <w:sz w:val="20"/>
          <w:lang w:val="fr-CA"/>
        </w:rPr>
        <w:t xml:space="preserve">Les juges majoritaires de la Cour d’appel ont répondu « non » à la première question, estimant que la Constitution du Canada n’autorise pas la mise en place de la réglementation en question selon ce modèle. Ils ont également répondu « non » à la deuxième question, étant d’avis que la plus récente version de la loi n’excède pas la compétence du Parlement, sauf en regard de ses articles 76 à 79 pour ce qui est du rôle et des pouvoirs du Conseil des ministres, lesquels articles rendent la loi proposée inconstitutionnelle dans son ensemble s’ils n’en sont pas retirés. </w:t>
      </w:r>
    </w:p>
    <w:p w:rsidR="009D7F27" w:rsidRPr="00437F82" w:rsidRDefault="009D7F27" w:rsidP="009D7F27">
      <w:pPr>
        <w:widowControl w:val="0"/>
        <w:jc w:val="both"/>
        <w:rPr>
          <w:sz w:val="20"/>
          <w:lang w:val="fr-CA"/>
        </w:rPr>
      </w:pPr>
    </w:p>
    <w:p w:rsidR="004C2D3C" w:rsidRPr="00437F82" w:rsidRDefault="002526AE" w:rsidP="009D7F27">
      <w:pPr>
        <w:widowControl w:val="0"/>
        <w:jc w:val="both"/>
        <w:rPr>
          <w:sz w:val="20"/>
          <w:lang w:val="fr-CA"/>
        </w:rPr>
      </w:pPr>
      <w:r>
        <w:rPr>
          <w:sz w:val="20"/>
          <w:szCs w:val="20"/>
          <w:lang w:val="fr-CA"/>
        </w:rPr>
        <w:pict>
          <v:rect id="_x0000_i1056" style="width:2in;height:1pt" o:hrpct="0" o:hralign="center" o:hrstd="t" o:hrnoshade="t" o:hr="t" fillcolor="black [3213]" stroked="f"/>
        </w:pict>
      </w:r>
    </w:p>
    <w:p w:rsidR="004C2D3C" w:rsidRPr="00437F82" w:rsidRDefault="004C2D3C" w:rsidP="009D7F27">
      <w:pPr>
        <w:widowControl w:val="0"/>
        <w:jc w:val="both"/>
        <w:rPr>
          <w:sz w:val="20"/>
          <w:lang w:val="fr-CA"/>
        </w:rPr>
      </w:pPr>
    </w:p>
    <w:p w:rsidR="009D7F27" w:rsidRPr="00437F82" w:rsidRDefault="009D7F27">
      <w:pPr>
        <w:rPr>
          <w:sz w:val="20"/>
          <w:lang w:val="fr-CA"/>
        </w:rPr>
      </w:pPr>
      <w:r w:rsidRPr="00437F82">
        <w:rPr>
          <w:sz w:val="20"/>
          <w:lang w:val="fr-CA"/>
        </w:rPr>
        <w:br w:type="page"/>
      </w:r>
    </w:p>
    <w:p w:rsidR="009D7F27" w:rsidRPr="00437F82" w:rsidRDefault="009D7F27" w:rsidP="009D7F27">
      <w:pPr>
        <w:widowControl w:val="0"/>
        <w:ind w:left="720" w:hanging="720"/>
        <w:jc w:val="both"/>
        <w:rPr>
          <w:b/>
          <w:i/>
          <w:sz w:val="20"/>
        </w:rPr>
      </w:pPr>
      <w:r w:rsidRPr="00437F82">
        <w:rPr>
          <w:b/>
          <w:sz w:val="20"/>
        </w:rPr>
        <w:fldChar w:fldCharType="begin"/>
      </w:r>
      <w:r w:rsidRPr="00437F82">
        <w:rPr>
          <w:b/>
          <w:sz w:val="20"/>
        </w:rPr>
        <w:instrText xml:space="preserve"> SEQ CHAPTER \h \r 1</w:instrText>
      </w:r>
      <w:r w:rsidRPr="00437F82">
        <w:rPr>
          <w:b/>
          <w:sz w:val="20"/>
        </w:rPr>
        <w:fldChar w:fldCharType="end"/>
      </w:r>
      <w:r w:rsidRPr="00437F82">
        <w:rPr>
          <w:b/>
          <w:sz w:val="20"/>
        </w:rPr>
        <w:t>37757</w:t>
      </w:r>
      <w:r w:rsidRPr="00437F82">
        <w:rPr>
          <w:sz w:val="20"/>
        </w:rPr>
        <w:tab/>
      </w:r>
      <w:r w:rsidRPr="00437F82">
        <w:rPr>
          <w:b/>
          <w:i/>
          <w:sz w:val="20"/>
        </w:rPr>
        <w:t>R.A. v. Her Majesty the Queen</w:t>
      </w:r>
    </w:p>
    <w:p w:rsidR="009D7F27" w:rsidRPr="00437F82" w:rsidRDefault="009D7F27" w:rsidP="009D7F27">
      <w:pPr>
        <w:widowControl w:val="0"/>
        <w:ind w:left="1440" w:hanging="720"/>
        <w:jc w:val="both"/>
        <w:rPr>
          <w:sz w:val="20"/>
        </w:rPr>
      </w:pPr>
      <w:r w:rsidRPr="00437F82">
        <w:rPr>
          <w:sz w:val="20"/>
        </w:rPr>
        <w:t>(Ont.) (Criminal) (As of Right)</w:t>
      </w:r>
    </w:p>
    <w:p w:rsidR="009D7F27" w:rsidRPr="00437F82" w:rsidRDefault="009D7F27" w:rsidP="009D7F27">
      <w:pPr>
        <w:widowControl w:val="0"/>
        <w:jc w:val="both"/>
        <w:rPr>
          <w:sz w:val="20"/>
        </w:rPr>
      </w:pPr>
    </w:p>
    <w:p w:rsidR="009D7F27" w:rsidRPr="00437F82" w:rsidRDefault="009D7F27" w:rsidP="009D7F27">
      <w:pPr>
        <w:widowControl w:val="0"/>
        <w:jc w:val="both"/>
        <w:rPr>
          <w:smallCaps/>
          <w:sz w:val="20"/>
        </w:rPr>
      </w:pPr>
      <w:r w:rsidRPr="00437F82">
        <w:rPr>
          <w:smallCaps/>
          <w:sz w:val="20"/>
        </w:rPr>
        <w:t>(publication ban on party) (publication ban in case)</w:t>
      </w:r>
    </w:p>
    <w:p w:rsidR="009D7F27" w:rsidRPr="00437F82" w:rsidRDefault="009D7F27" w:rsidP="009D7F27">
      <w:pPr>
        <w:widowControl w:val="0"/>
        <w:jc w:val="both"/>
        <w:rPr>
          <w:sz w:val="20"/>
        </w:rPr>
      </w:pPr>
    </w:p>
    <w:p w:rsidR="009D7F27" w:rsidRPr="00437F82" w:rsidRDefault="009D7F27" w:rsidP="009D7F27">
      <w:pPr>
        <w:widowControl w:val="0"/>
        <w:jc w:val="both"/>
        <w:rPr>
          <w:sz w:val="20"/>
        </w:rPr>
      </w:pPr>
      <w:r w:rsidRPr="00437F82">
        <w:rPr>
          <w:sz w:val="20"/>
        </w:rPr>
        <w:t>Criminal law - Trials - Judgments - Reasons for judgment - Sufficiency of reasons - Whether Court of Appeal erred in rejecting accused’s argument that trial judge’s reasons were insufficient.</w:t>
      </w:r>
    </w:p>
    <w:p w:rsidR="009D7F27" w:rsidRPr="00437F82" w:rsidRDefault="009D7F27" w:rsidP="009D7F27">
      <w:pPr>
        <w:widowControl w:val="0"/>
        <w:jc w:val="both"/>
        <w:rPr>
          <w:sz w:val="20"/>
        </w:rPr>
      </w:pPr>
    </w:p>
    <w:p w:rsidR="009D7F27" w:rsidRPr="00437F82" w:rsidRDefault="009D7F27" w:rsidP="009D7F27">
      <w:pPr>
        <w:widowControl w:val="0"/>
        <w:jc w:val="both"/>
        <w:rPr>
          <w:sz w:val="20"/>
        </w:rPr>
      </w:pPr>
      <w:r w:rsidRPr="00437F82">
        <w:rPr>
          <w:sz w:val="20"/>
        </w:rPr>
        <w:t>The appellant was convicted of sexual interference at trial by a judge sitting without a jury. The offence was committed against the young daughter of his then-girlfriend. The appellant appealed his conviction, arguing that the trial judge had failed to resolve a critical inconsistency in the complainant’s evidence and failed to explain why he accepted the complainant’s evidence and rejected his evidence. The majority in the Court of Appeal dismissed the appeal. It was of the view that the trial judge’s analysis reflected a careful and sensitive approach to the evidence as a whole and that there was no error which would allow the court to intervene. Trotter J.A., dissenting, would have allowed the appeal and ordered a new trial. In his opinion, the inconsistency in the complainant’s evidence was significant, and the trial judge’s failure to address it constituted a reversible error.</w:t>
      </w:r>
    </w:p>
    <w:p w:rsidR="009D7F27" w:rsidRPr="00437F82" w:rsidRDefault="009D7F27" w:rsidP="009D7F27">
      <w:pPr>
        <w:widowControl w:val="0"/>
        <w:jc w:val="both"/>
        <w:rPr>
          <w:sz w:val="20"/>
        </w:rPr>
      </w:pPr>
    </w:p>
    <w:p w:rsidR="009D7F27" w:rsidRPr="00437F82" w:rsidRDefault="002526AE" w:rsidP="009D7F27">
      <w:pPr>
        <w:widowControl w:val="0"/>
        <w:jc w:val="both"/>
        <w:rPr>
          <w:sz w:val="20"/>
        </w:rPr>
      </w:pPr>
      <w:r>
        <w:rPr>
          <w:sz w:val="20"/>
          <w:szCs w:val="20"/>
          <w:lang w:val="fr-CA"/>
        </w:rPr>
        <w:pict>
          <v:rect id="_x0000_i1057" style="width:2in;height:1pt" o:hrpct="0" o:hralign="center" o:hrstd="t" o:hrnoshade="t" o:hr="t" fillcolor="black [3213]" stroked="f"/>
        </w:pict>
      </w:r>
    </w:p>
    <w:p w:rsidR="009D7F27" w:rsidRPr="00437F82" w:rsidRDefault="009D7F27" w:rsidP="009D7F27">
      <w:pPr>
        <w:widowControl w:val="0"/>
        <w:jc w:val="both"/>
        <w:rPr>
          <w:sz w:val="20"/>
        </w:rPr>
      </w:pPr>
    </w:p>
    <w:p w:rsidR="009D7F27" w:rsidRPr="00437F82" w:rsidRDefault="009D7F27" w:rsidP="009D7F27">
      <w:pPr>
        <w:widowControl w:val="0"/>
        <w:ind w:left="720" w:hanging="720"/>
        <w:jc w:val="both"/>
        <w:rPr>
          <w:b/>
          <w:i/>
          <w:sz w:val="20"/>
          <w:lang w:val="fr-CA"/>
        </w:rPr>
      </w:pPr>
      <w:r w:rsidRPr="00437F82">
        <w:rPr>
          <w:b/>
          <w:sz w:val="20"/>
          <w:lang w:val="fr-CA"/>
        </w:rPr>
        <w:fldChar w:fldCharType="begin"/>
      </w:r>
      <w:r w:rsidRPr="00437F82">
        <w:rPr>
          <w:b/>
          <w:sz w:val="20"/>
          <w:lang w:val="fr-CA"/>
        </w:rPr>
        <w:instrText xml:space="preserve"> SEQ CHAPTER \h \r 1</w:instrText>
      </w:r>
      <w:r w:rsidRPr="00437F82">
        <w:rPr>
          <w:b/>
          <w:sz w:val="20"/>
          <w:lang w:val="fr-CA"/>
        </w:rPr>
        <w:fldChar w:fldCharType="end"/>
      </w:r>
      <w:r w:rsidRPr="00437F82">
        <w:rPr>
          <w:b/>
          <w:sz w:val="20"/>
          <w:lang w:val="fr-CA"/>
        </w:rPr>
        <w:t>37757</w:t>
      </w:r>
      <w:r w:rsidRPr="00437F82">
        <w:rPr>
          <w:sz w:val="20"/>
          <w:lang w:val="fr-CA"/>
        </w:rPr>
        <w:tab/>
      </w:r>
      <w:r w:rsidRPr="00437F82">
        <w:rPr>
          <w:b/>
          <w:i/>
          <w:sz w:val="20"/>
          <w:lang w:val="fr-CA"/>
        </w:rPr>
        <w:t>R.A. c. Sa Majesté la Reine</w:t>
      </w:r>
    </w:p>
    <w:p w:rsidR="009D7F27" w:rsidRPr="00437F82" w:rsidRDefault="009D7F27" w:rsidP="009D7F27">
      <w:pPr>
        <w:widowControl w:val="0"/>
        <w:ind w:left="1440" w:hanging="720"/>
        <w:jc w:val="both"/>
        <w:rPr>
          <w:sz w:val="20"/>
          <w:lang w:val="fr-CA"/>
        </w:rPr>
      </w:pPr>
      <w:r w:rsidRPr="00437F82">
        <w:rPr>
          <w:sz w:val="20"/>
          <w:lang w:val="fr-CA"/>
        </w:rPr>
        <w:t>(Ont.) (Criminelle) (De plein droit)</w:t>
      </w:r>
    </w:p>
    <w:p w:rsidR="009D7F27" w:rsidRPr="00437F82" w:rsidRDefault="009D7F27" w:rsidP="009D7F27">
      <w:pPr>
        <w:widowControl w:val="0"/>
        <w:jc w:val="both"/>
        <w:rPr>
          <w:sz w:val="20"/>
          <w:lang w:val="fr-CA"/>
        </w:rPr>
      </w:pPr>
    </w:p>
    <w:p w:rsidR="009D7F27" w:rsidRPr="00437F82" w:rsidRDefault="009D7F27" w:rsidP="009D7F27">
      <w:pPr>
        <w:widowControl w:val="0"/>
        <w:jc w:val="both"/>
        <w:rPr>
          <w:smallCaps/>
          <w:sz w:val="20"/>
          <w:lang w:val="fr-CA"/>
        </w:rPr>
      </w:pPr>
      <w:r w:rsidRPr="00437F82">
        <w:rPr>
          <w:smallCaps/>
          <w:sz w:val="20"/>
          <w:lang w:val="fr-CA"/>
        </w:rPr>
        <w:t>(Ordonnance de non-publication visant une partie) (Ordonnance de non-publication dans le dossier)</w:t>
      </w:r>
    </w:p>
    <w:p w:rsidR="009D7F27" w:rsidRPr="00437F82" w:rsidRDefault="009D7F27" w:rsidP="009D7F27">
      <w:pPr>
        <w:widowControl w:val="0"/>
        <w:jc w:val="both"/>
        <w:rPr>
          <w:sz w:val="20"/>
          <w:lang w:val="fr-CA"/>
        </w:rPr>
      </w:pPr>
    </w:p>
    <w:p w:rsidR="009D7F27" w:rsidRPr="00437F82" w:rsidRDefault="009D7F27" w:rsidP="009D7F27">
      <w:pPr>
        <w:widowControl w:val="0"/>
        <w:jc w:val="both"/>
        <w:rPr>
          <w:sz w:val="20"/>
          <w:lang w:val="fr-CA"/>
        </w:rPr>
      </w:pPr>
      <w:r w:rsidRPr="00437F82">
        <w:rPr>
          <w:sz w:val="20"/>
          <w:lang w:val="fr-CA"/>
        </w:rPr>
        <w:t>Droit criminel - Procès - Jugements - Motifs de jugement - Suffisance des motifs - La Cour d’appel a-t-elle commis une erreur en rejetant l’argument de l’accusé selon lequel les motifs du juge du procès étaient insuffisants?</w:t>
      </w:r>
    </w:p>
    <w:p w:rsidR="009D7F27" w:rsidRPr="00437F82" w:rsidRDefault="009D7F27" w:rsidP="009D7F27">
      <w:pPr>
        <w:widowControl w:val="0"/>
        <w:jc w:val="both"/>
        <w:rPr>
          <w:sz w:val="20"/>
          <w:lang w:val="fr-CA"/>
        </w:rPr>
      </w:pPr>
    </w:p>
    <w:p w:rsidR="009D7F27" w:rsidRPr="00437F82" w:rsidRDefault="009D7F27" w:rsidP="009D7F27">
      <w:pPr>
        <w:widowControl w:val="0"/>
        <w:jc w:val="both"/>
        <w:rPr>
          <w:sz w:val="20"/>
          <w:lang w:val="fr-CA"/>
        </w:rPr>
      </w:pPr>
      <w:r w:rsidRPr="00437F82">
        <w:rPr>
          <w:sz w:val="20"/>
          <w:lang w:val="fr-CA"/>
        </w:rPr>
        <w:t>L’appelant a été reconnu coupable de contacts sexuels au terme d’un procès devant un juge siégeant sans jury. L’infraction a été commise à l’endroit de la fille en bas âge de sa petite amie de l’époque. L’appelant a fait appel de sa déclaration de culpabilité parce que le juge du procès n’aurait pas résolu une contradiction cruciale dans la déposition de la plaignante et n’aurait pas expliqué pourquoi il avait accepté le témoignage de la plaignante et rejeté celui de l’appelant. Les juges majoritaires de la Cour d’appel ont rejeté l’appel. Ils ont estimé que l’analyse du juge du procès témoignait d’un examen soigné et délicat de la preuve dans son ensemble et qu’aucune erreur ne permettrait à la cour d’intervenir. Le juge Trotter, dissident, aurait fait droit à l’appel et ordonné la tenue d’un nouveau procès. À son avis, la contradiction relevée dans le témoignage de la plaignante était importante et l’omission du juge du procès de l’aborder constituait une erreur donnant ouverture à révision.</w:t>
      </w:r>
    </w:p>
    <w:p w:rsidR="00C01FCB" w:rsidRPr="00437F82" w:rsidRDefault="00C01FCB" w:rsidP="00C01FCB">
      <w:pPr>
        <w:widowControl w:val="0"/>
        <w:rPr>
          <w:sz w:val="20"/>
          <w:szCs w:val="20"/>
          <w:lang w:val="fr-CA"/>
        </w:rPr>
      </w:pPr>
    </w:p>
    <w:p w:rsidR="000B3C9A" w:rsidRPr="00DD0B49" w:rsidRDefault="002526AE" w:rsidP="000B3C9A">
      <w:pPr>
        <w:tabs>
          <w:tab w:val="left" w:pos="-1440"/>
          <w:tab w:val="left" w:pos="-720"/>
        </w:tabs>
        <w:jc w:val="both"/>
        <w:rPr>
          <w:sz w:val="20"/>
          <w:szCs w:val="20"/>
          <w:lang w:val="fr-CA"/>
        </w:rPr>
      </w:pPr>
      <w:r>
        <w:rPr>
          <w:sz w:val="20"/>
          <w:szCs w:val="20"/>
          <w:lang w:val="fr-CA"/>
        </w:rPr>
        <w:pict>
          <v:rect id="_x0000_i1058" style="width:2in;height:1pt" o:hrpct="0" o:hralign="center" o:hrstd="t" o:hrnoshade="t" o:hr="t" fillcolor="black [3213]" stroked="f"/>
        </w:pict>
      </w:r>
    </w:p>
    <w:p w:rsidR="005F263E" w:rsidRDefault="005F263E" w:rsidP="00782AE4">
      <w:pPr>
        <w:jc w:val="both"/>
        <w:rPr>
          <w:sz w:val="20"/>
          <w:szCs w:val="20"/>
          <w:lang w:val="fr-CA"/>
        </w:rPr>
      </w:pPr>
    </w:p>
    <w:sectPr w:rsidR="005F263E" w:rsidSect="002526AE">
      <w:headerReference w:type="default" r:id="rId30"/>
      <w:footerReference w:type="default" r:id="rId31"/>
      <w:pgSz w:w="12240" w:h="15840" w:code="1"/>
      <w:pgMar w:top="720" w:right="965" w:bottom="1080" w:left="1656" w:header="720" w:footer="965" w:gutter="0"/>
      <w:pgNumType w:start="23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E3" w:rsidRDefault="003D51E3" w:rsidP="00A87207">
      <w:r>
        <w:separator/>
      </w:r>
    </w:p>
  </w:endnote>
  <w:endnote w:type="continuationSeparator" w:id="0">
    <w:p w:rsidR="003D51E3" w:rsidRDefault="003D51E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E3" w:rsidRDefault="002526AE" w:rsidP="00A87207">
    <w:pPr>
      <w:pStyle w:val="Footer"/>
    </w:pPr>
    <w:r>
      <w:pict>
        <v:rect id="_x0000_i1029" style="width:480.95pt;height:1pt" o:hralign="center" o:hrstd="t" o:hrnoshade="t" o:hr="t" fillcolor="black [3213]" stroked="f"/>
      </w:pict>
    </w:r>
  </w:p>
  <w:p w:rsidR="003D51E3" w:rsidRPr="00B7374B" w:rsidRDefault="003D51E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E3" w:rsidRDefault="002526AE" w:rsidP="0022323B">
    <w:r>
      <w:pict>
        <v:rect id="_x0000_i1040" style="width:480.95pt;height:1pt" o:hralign="center" o:hrstd="t" o:hrnoshade="t" o:hr="t" fillcolor="black [3213]" stroked="f"/>
      </w:pict>
    </w:r>
  </w:p>
  <w:p w:rsidR="003D51E3" w:rsidRDefault="003D51E3" w:rsidP="0022323B">
    <w:pPr>
      <w:tabs>
        <w:tab w:val="center" w:pos="4740"/>
      </w:tabs>
      <w:spacing w:line="0" w:lineRule="atLeast"/>
    </w:pPr>
    <w:r>
      <w:tab/>
      <w:t xml:space="preserve">- </w:t>
    </w:r>
    <w:r>
      <w:fldChar w:fldCharType="begin"/>
    </w:r>
    <w:r>
      <w:instrText xml:space="preserve"> PAGE   \* MERGEFORMAT </w:instrText>
    </w:r>
    <w:r>
      <w:fldChar w:fldCharType="separate"/>
    </w:r>
    <w:r w:rsidR="002526AE">
      <w:rPr>
        <w:noProof/>
      </w:rPr>
      <w:t>230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11" w:rsidRDefault="002526AE" w:rsidP="00405611">
    <w:r>
      <w:pict>
        <v:rect id="_x0000_i1157" style="width:480.95pt;height:1pt" o:hralign="center" o:hrstd="t" o:hrnoshade="t" o:hr="t" fillcolor="black [3213]" stroked="f"/>
      </w:pict>
    </w:r>
  </w:p>
  <w:p w:rsidR="00405611" w:rsidRDefault="00405611" w:rsidP="00405611">
    <w:pPr>
      <w:tabs>
        <w:tab w:val="center" w:pos="4740"/>
      </w:tabs>
      <w:spacing w:line="0" w:lineRule="atLeast"/>
    </w:pPr>
    <w:r>
      <w:tab/>
      <w:t xml:space="preserve">- </w:t>
    </w:r>
    <w:r>
      <w:fldChar w:fldCharType="begin"/>
    </w:r>
    <w:r>
      <w:instrText xml:space="preserve"> PAGE   \* MERGEFORMAT </w:instrText>
    </w:r>
    <w:r>
      <w:fldChar w:fldCharType="separate"/>
    </w:r>
    <w:r w:rsidR="002526AE">
      <w:rPr>
        <w:noProof/>
      </w:rPr>
      <w:t>231</w:t>
    </w:r>
    <w:r>
      <w:rPr>
        <w:noProof/>
      </w:rPr>
      <w:fldChar w:fldCharType="end"/>
    </w:r>
    <w:r>
      <w:t xml:space="preserve"> -</w:t>
    </w:r>
  </w:p>
  <w:p w:rsidR="003D51E3" w:rsidRPr="00924065" w:rsidRDefault="003D51E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E3" w:rsidRDefault="002526AE" w:rsidP="00755F22">
    <w:pPr>
      <w:tabs>
        <w:tab w:val="left" w:pos="-1440"/>
        <w:tab w:val="left" w:pos="-720"/>
      </w:tabs>
    </w:pPr>
    <w:r>
      <w:pict>
        <v:rect id="_x0000_i1030" style="width:480.95pt;height:1pt" o:hralign="center" o:hrstd="t" o:hrnoshade="t" o:hr="t" fillcolor="black [3213]" stroked="f"/>
      </w:pict>
    </w:r>
  </w:p>
  <w:p w:rsidR="003D51E3" w:rsidRPr="00954D22" w:rsidRDefault="003D51E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526AE">
      <w:rPr>
        <w:noProof/>
        <w:szCs w:val="24"/>
      </w:rPr>
      <w:t>224</w:t>
    </w:r>
    <w:r>
      <w:rPr>
        <w:szCs w:val="24"/>
      </w:rPr>
      <w:fldChar w:fldCharType="end"/>
    </w:r>
    <w:r w:rsidRPr="00954D22">
      <w:rPr>
        <w:szCs w:val="24"/>
      </w:rPr>
      <w:t xml:space="preserve"> -</w:t>
    </w:r>
  </w:p>
  <w:p w:rsidR="003D51E3" w:rsidRDefault="003D51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E3" w:rsidRDefault="002526AE" w:rsidP="00A87207">
    <w:pPr>
      <w:pStyle w:val="Footer"/>
    </w:pPr>
    <w:r>
      <w:pict>
        <v:rect id="_x0000_i1032" style="width:480.95pt;height:1pt" o:hralign="center" o:hrstd="t" o:hrnoshade="t" o:hr="t" fillcolor="black [3213]" stroked="f"/>
      </w:pict>
    </w:r>
  </w:p>
  <w:p w:rsidR="003D51E3" w:rsidRPr="00B7374B" w:rsidRDefault="003D51E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E3" w:rsidRDefault="002526A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3D51E3" w:rsidRPr="00954D22" w:rsidRDefault="003D51E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526AE">
      <w:rPr>
        <w:noProof/>
        <w:szCs w:val="24"/>
      </w:rPr>
      <w:t>225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E3" w:rsidRDefault="003D51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D51E3" w:rsidRDefault="003D51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D51E3" w:rsidRDefault="003D51E3">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E3" w:rsidRDefault="002526AE" w:rsidP="00755F22">
    <w:pPr>
      <w:tabs>
        <w:tab w:val="left" w:pos="-1440"/>
        <w:tab w:val="left" w:pos="-720"/>
      </w:tabs>
    </w:pPr>
    <w:r>
      <w:pict>
        <v:rect id="_x0000_i1035" style="width:480.95pt;height:1pt" o:hralign="center" o:hrstd="t" o:hrnoshade="t" o:hr="t" fillcolor="black [3213]" stroked="f"/>
      </w:pict>
    </w:r>
  </w:p>
  <w:p w:rsidR="003D51E3" w:rsidRDefault="003D51E3" w:rsidP="00EB2B90">
    <w:pPr>
      <w:tabs>
        <w:tab w:val="center" w:pos="4680"/>
      </w:tabs>
    </w:pPr>
    <w:r>
      <w:tab/>
      <w:t xml:space="preserve">- </w:t>
    </w:r>
    <w:r>
      <w:fldChar w:fldCharType="begin"/>
    </w:r>
    <w:r>
      <w:instrText xml:space="preserve"> PAGE   \* MERGEFORMAT </w:instrText>
    </w:r>
    <w:r>
      <w:fldChar w:fldCharType="separate"/>
    </w:r>
    <w:r w:rsidR="002526AE">
      <w:rPr>
        <w:noProof/>
      </w:rPr>
      <w:t>228</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E3" w:rsidRDefault="002526AE" w:rsidP="00EB2B90">
    <w:pPr>
      <w:tabs>
        <w:tab w:val="center" w:pos="4680"/>
      </w:tabs>
    </w:pPr>
    <w:r>
      <w:pict>
        <v:rect id="_x0000_i1036" style="width:480.95pt;height:1pt" o:hralign="center" o:hrstd="t" o:hrnoshade="t" o:hr="t" fillcolor="black [3213]" stroked="f"/>
      </w:pict>
    </w:r>
  </w:p>
  <w:p w:rsidR="003D51E3" w:rsidRPr="0031432F" w:rsidRDefault="003D51E3" w:rsidP="00EB2B90">
    <w:pPr>
      <w:tabs>
        <w:tab w:val="center" w:pos="4680"/>
      </w:tabs>
    </w:pPr>
    <w:r>
      <w:tab/>
      <w:t xml:space="preserve">- </w:t>
    </w:r>
    <w:r>
      <w:fldChar w:fldCharType="begin"/>
    </w:r>
    <w:r>
      <w:instrText xml:space="preserve"> PAGE   \* MERGEFORMAT </w:instrText>
    </w:r>
    <w:r>
      <w:fldChar w:fldCharType="separate"/>
    </w:r>
    <w:r w:rsidR="002526AE">
      <w:rPr>
        <w:noProof/>
      </w:rPr>
      <w:t>226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E3" w:rsidRDefault="003D51E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3D51E3" w:rsidRDefault="003D51E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3D51E3" w:rsidRDefault="003D51E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E3" w:rsidRDefault="002526AE" w:rsidP="0022323B">
    <w:r>
      <w:pict>
        <v:rect id="_x0000_i1039" style="width:480.95pt;height:1pt" o:hralign="center" o:hrstd="t" o:hrnoshade="t" o:hr="t" fillcolor="black [3213]" stroked="f"/>
      </w:pict>
    </w:r>
  </w:p>
  <w:p w:rsidR="003D51E3" w:rsidRDefault="003D51E3">
    <w:pPr>
      <w:tabs>
        <w:tab w:val="center" w:pos="4740"/>
      </w:tabs>
      <w:spacing w:line="0" w:lineRule="atLeast"/>
    </w:pPr>
    <w:r>
      <w:tab/>
      <w:t xml:space="preserve">- </w:t>
    </w:r>
    <w:r>
      <w:fldChar w:fldCharType="begin"/>
    </w:r>
    <w:r>
      <w:instrText xml:space="preserve"> PAGE   \* MERGEFORMAT </w:instrText>
    </w:r>
    <w:r>
      <w:fldChar w:fldCharType="separate"/>
    </w:r>
    <w:r>
      <w:rPr>
        <w:noProof/>
      </w:rPr>
      <w:t>233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E3" w:rsidRDefault="003D51E3" w:rsidP="00A87207">
      <w:r>
        <w:separator/>
      </w:r>
    </w:p>
  </w:footnote>
  <w:footnote w:type="continuationSeparator" w:id="0">
    <w:p w:rsidR="003D51E3" w:rsidRDefault="003D51E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D51E3" w:rsidRPr="0044776A" w:rsidTr="00245129">
      <w:tc>
        <w:tcPr>
          <w:tcW w:w="4290" w:type="dxa"/>
          <w:tcMar>
            <w:left w:w="0" w:type="dxa"/>
            <w:right w:w="0" w:type="dxa"/>
          </w:tcMar>
        </w:tcPr>
        <w:p w:rsidR="003D51E3" w:rsidRPr="0044776A" w:rsidRDefault="003D51E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D51E3" w:rsidRPr="0044776A" w:rsidRDefault="003D51E3" w:rsidP="002E2327">
          <w:pPr>
            <w:keepNext/>
            <w:keepLines/>
            <w:tabs>
              <w:tab w:val="left" w:pos="-1440"/>
              <w:tab w:val="left" w:pos="-720"/>
            </w:tabs>
            <w:jc w:val="center"/>
            <w:rPr>
              <w:sz w:val="20"/>
              <w:szCs w:val="20"/>
            </w:rPr>
          </w:pPr>
        </w:p>
        <w:p w:rsidR="003D51E3" w:rsidRPr="0044776A" w:rsidRDefault="003D51E3" w:rsidP="002E2327">
          <w:pPr>
            <w:keepNext/>
            <w:keepLines/>
            <w:tabs>
              <w:tab w:val="left" w:pos="-1440"/>
              <w:tab w:val="left" w:pos="-720"/>
            </w:tabs>
            <w:jc w:val="center"/>
            <w:rPr>
              <w:sz w:val="20"/>
              <w:szCs w:val="20"/>
            </w:rPr>
          </w:pPr>
        </w:p>
        <w:p w:rsidR="003D51E3" w:rsidRPr="0044776A" w:rsidRDefault="003D51E3" w:rsidP="002E2327">
          <w:pPr>
            <w:keepNext/>
            <w:keepLines/>
            <w:tabs>
              <w:tab w:val="left" w:pos="-1440"/>
              <w:tab w:val="left" w:pos="-720"/>
            </w:tabs>
            <w:jc w:val="center"/>
            <w:rPr>
              <w:sz w:val="20"/>
              <w:szCs w:val="20"/>
            </w:rPr>
          </w:pPr>
        </w:p>
      </w:tc>
      <w:tc>
        <w:tcPr>
          <w:tcW w:w="4320" w:type="dxa"/>
          <w:tcMar>
            <w:left w:w="0" w:type="dxa"/>
            <w:right w:w="0" w:type="dxa"/>
          </w:tcMar>
        </w:tcPr>
        <w:p w:rsidR="003D51E3" w:rsidRPr="0044776A" w:rsidRDefault="003D51E3" w:rsidP="002E2327">
          <w:pPr>
            <w:keepLines/>
            <w:rPr>
              <w:sz w:val="20"/>
              <w:szCs w:val="20"/>
              <w:lang w:val="fr-CA"/>
            </w:rPr>
          </w:pPr>
          <w:r w:rsidRPr="0044776A">
            <w:rPr>
              <w:sz w:val="20"/>
              <w:szCs w:val="20"/>
              <w:lang w:val="fr-CA"/>
            </w:rPr>
            <w:t>DEMANDES D'AUTORISATION D'APPEL DÉPOSÉES</w:t>
          </w:r>
        </w:p>
      </w:tc>
    </w:tr>
  </w:tbl>
  <w:p w:rsidR="003D51E3" w:rsidRDefault="003D51E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E3" w:rsidRDefault="003D51E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526AE" w:rsidRPr="005F263E" w:rsidTr="00E418DE">
      <w:tc>
        <w:tcPr>
          <w:tcW w:w="4200" w:type="dxa"/>
          <w:tcMar>
            <w:left w:w="0" w:type="dxa"/>
            <w:right w:w="0" w:type="dxa"/>
          </w:tcMar>
        </w:tcPr>
        <w:p w:rsidR="002526AE" w:rsidRPr="005F263E" w:rsidRDefault="002526AE" w:rsidP="002526AE">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2526AE" w:rsidRPr="005F263E" w:rsidRDefault="002526AE" w:rsidP="002526AE">
          <w:pPr>
            <w:keepNext/>
            <w:keepLines/>
            <w:tabs>
              <w:tab w:val="left" w:pos="-1440"/>
              <w:tab w:val="left" w:pos="-720"/>
            </w:tabs>
            <w:jc w:val="center"/>
            <w:rPr>
              <w:sz w:val="20"/>
              <w:szCs w:val="20"/>
            </w:rPr>
          </w:pPr>
        </w:p>
        <w:p w:rsidR="002526AE" w:rsidRPr="005F263E" w:rsidRDefault="002526AE" w:rsidP="002526AE">
          <w:pPr>
            <w:keepNext/>
            <w:keepLines/>
            <w:tabs>
              <w:tab w:val="left" w:pos="-1440"/>
              <w:tab w:val="left" w:pos="-720"/>
            </w:tabs>
            <w:jc w:val="center"/>
            <w:rPr>
              <w:sz w:val="20"/>
              <w:szCs w:val="20"/>
            </w:rPr>
          </w:pPr>
        </w:p>
      </w:tc>
      <w:tc>
        <w:tcPr>
          <w:tcW w:w="4080" w:type="dxa"/>
          <w:tcMar>
            <w:left w:w="0" w:type="dxa"/>
            <w:right w:w="0" w:type="dxa"/>
          </w:tcMar>
        </w:tcPr>
        <w:p w:rsidR="002526AE" w:rsidRPr="005F263E" w:rsidRDefault="002526AE" w:rsidP="002526AE">
          <w:pPr>
            <w:keepLines/>
            <w:tabs>
              <w:tab w:val="left" w:pos="-1440"/>
              <w:tab w:val="left" w:pos="-720"/>
            </w:tabs>
            <w:rPr>
              <w:sz w:val="20"/>
              <w:szCs w:val="20"/>
            </w:rPr>
          </w:pPr>
          <w:r w:rsidRPr="005F263E">
            <w:rPr>
              <w:sz w:val="20"/>
              <w:szCs w:val="20"/>
            </w:rPr>
            <w:t>RÉSUMÉS DES AFFAIRES</w:t>
          </w:r>
        </w:p>
      </w:tc>
    </w:tr>
  </w:tbl>
  <w:p w:rsidR="003D51E3" w:rsidRPr="005C6EB1" w:rsidRDefault="003D51E3" w:rsidP="00252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E3" w:rsidRDefault="003D5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D51E3" w:rsidRPr="00FB017F" w:rsidTr="00245129">
      <w:tc>
        <w:tcPr>
          <w:tcW w:w="4200" w:type="dxa"/>
          <w:tcMar>
            <w:left w:w="0" w:type="dxa"/>
            <w:right w:w="0" w:type="dxa"/>
          </w:tcMar>
        </w:tcPr>
        <w:p w:rsidR="003D51E3" w:rsidRPr="0044776A" w:rsidRDefault="003D51E3" w:rsidP="0044776A">
          <w:pPr>
            <w:keepNext/>
            <w:keepLines/>
            <w:widowControl w:val="0"/>
            <w:rPr>
              <w:sz w:val="20"/>
              <w:szCs w:val="20"/>
            </w:rPr>
          </w:pPr>
          <w:r>
            <w:rPr>
              <w:sz w:val="20"/>
              <w:szCs w:val="20"/>
            </w:rPr>
            <w:t>APPLICATIONS FOR LEAVE</w:t>
          </w:r>
        </w:p>
        <w:p w:rsidR="003D51E3" w:rsidRPr="0044776A" w:rsidRDefault="003D51E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D51E3" w:rsidRPr="0044776A" w:rsidRDefault="003D51E3" w:rsidP="0044776A">
          <w:pPr>
            <w:keepNext/>
            <w:keepLines/>
            <w:widowControl w:val="0"/>
            <w:jc w:val="center"/>
            <w:rPr>
              <w:sz w:val="20"/>
              <w:szCs w:val="20"/>
            </w:rPr>
          </w:pPr>
        </w:p>
        <w:p w:rsidR="003D51E3" w:rsidRPr="0044776A" w:rsidRDefault="003D51E3" w:rsidP="0044776A">
          <w:pPr>
            <w:keepNext/>
            <w:keepLines/>
            <w:widowControl w:val="0"/>
            <w:jc w:val="center"/>
            <w:rPr>
              <w:sz w:val="20"/>
              <w:szCs w:val="20"/>
            </w:rPr>
          </w:pPr>
        </w:p>
        <w:p w:rsidR="003D51E3" w:rsidRPr="0044776A" w:rsidRDefault="003D51E3" w:rsidP="0044776A">
          <w:pPr>
            <w:keepNext/>
            <w:keepLines/>
            <w:widowControl w:val="0"/>
            <w:jc w:val="center"/>
            <w:rPr>
              <w:sz w:val="20"/>
              <w:szCs w:val="20"/>
            </w:rPr>
          </w:pPr>
        </w:p>
      </w:tc>
      <w:tc>
        <w:tcPr>
          <w:tcW w:w="4080" w:type="dxa"/>
          <w:tcMar>
            <w:left w:w="0" w:type="dxa"/>
            <w:right w:w="0" w:type="dxa"/>
          </w:tcMar>
        </w:tcPr>
        <w:p w:rsidR="003D51E3" w:rsidRPr="0044776A" w:rsidRDefault="003D51E3" w:rsidP="0044776A">
          <w:pPr>
            <w:keepLines/>
            <w:widowControl w:val="0"/>
            <w:rPr>
              <w:sz w:val="20"/>
              <w:szCs w:val="20"/>
              <w:lang w:val="fr-CA"/>
            </w:rPr>
          </w:pPr>
          <w:r w:rsidRPr="0044776A">
            <w:rPr>
              <w:sz w:val="20"/>
              <w:szCs w:val="20"/>
              <w:lang w:val="fr-CA"/>
            </w:rPr>
            <w:t>DEMANDES SOUMISES À LA COUR DEPUIS LA DERNIÈRE PARUTION</w:t>
          </w:r>
        </w:p>
        <w:p w:rsidR="003D51E3" w:rsidRPr="0044776A" w:rsidRDefault="003D51E3" w:rsidP="0044776A">
          <w:pPr>
            <w:widowControl w:val="0"/>
            <w:rPr>
              <w:sz w:val="20"/>
              <w:szCs w:val="20"/>
              <w:lang w:val="fr-CA"/>
            </w:rPr>
          </w:pPr>
        </w:p>
      </w:tc>
    </w:tr>
  </w:tbl>
  <w:p w:rsidR="003D51E3" w:rsidRPr="002E2327" w:rsidRDefault="003D51E3">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E3" w:rsidRDefault="003D51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D51E3">
      <w:tc>
        <w:tcPr>
          <w:tcW w:w="4230" w:type="dxa"/>
          <w:tcMar>
            <w:left w:w="0" w:type="dxa"/>
            <w:right w:w="0" w:type="dxa"/>
          </w:tcMar>
        </w:tcPr>
        <w:p w:rsidR="003D51E3" w:rsidRDefault="003D51E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D51E3" w:rsidRDefault="003D51E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D51E3" w:rsidRDefault="003D51E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D51E3">
      <w:trPr>
        <w:gridAfter w:val="2"/>
        <w:wAfter w:w="5250" w:type="dxa"/>
      </w:trPr>
      <w:tc>
        <w:tcPr>
          <w:tcW w:w="4230" w:type="dxa"/>
          <w:tcMar>
            <w:left w:w="0" w:type="dxa"/>
            <w:right w:w="0" w:type="dxa"/>
          </w:tcMar>
        </w:tcPr>
        <w:p w:rsidR="003D51E3" w:rsidRDefault="003D51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D51E3" w:rsidRDefault="003D51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D51E3" w:rsidRPr="00755F22" w:rsidTr="00245129">
      <w:tc>
        <w:tcPr>
          <w:tcW w:w="4230" w:type="dxa"/>
          <w:tcMar>
            <w:left w:w="0" w:type="dxa"/>
            <w:right w:w="0" w:type="dxa"/>
          </w:tcMar>
        </w:tcPr>
        <w:p w:rsidR="003D51E3" w:rsidRPr="00755F22" w:rsidRDefault="003D51E3" w:rsidP="00831CA9">
          <w:pPr>
            <w:keepNext/>
            <w:keepLines/>
            <w:rPr>
              <w:sz w:val="20"/>
              <w:szCs w:val="20"/>
            </w:rPr>
          </w:pPr>
          <w:r w:rsidRPr="00755F22">
            <w:rPr>
              <w:sz w:val="20"/>
              <w:szCs w:val="20"/>
            </w:rPr>
            <w:t>MOTIONS</w:t>
          </w:r>
        </w:p>
      </w:tc>
      <w:tc>
        <w:tcPr>
          <w:tcW w:w="1170" w:type="dxa"/>
          <w:tcMar>
            <w:left w:w="0" w:type="dxa"/>
            <w:right w:w="0" w:type="dxa"/>
          </w:tcMar>
        </w:tcPr>
        <w:p w:rsidR="003D51E3" w:rsidRPr="00755F22" w:rsidRDefault="003D51E3" w:rsidP="00831CA9">
          <w:pPr>
            <w:keepLines/>
            <w:jc w:val="center"/>
            <w:rPr>
              <w:sz w:val="20"/>
              <w:szCs w:val="20"/>
            </w:rPr>
          </w:pPr>
        </w:p>
        <w:p w:rsidR="003D51E3" w:rsidRPr="00755F22" w:rsidRDefault="003D51E3" w:rsidP="00831CA9">
          <w:pPr>
            <w:keepLines/>
            <w:tabs>
              <w:tab w:val="left" w:pos="-1440"/>
              <w:tab w:val="left" w:pos="-720"/>
            </w:tabs>
            <w:jc w:val="center"/>
            <w:rPr>
              <w:sz w:val="20"/>
              <w:szCs w:val="20"/>
            </w:rPr>
          </w:pPr>
        </w:p>
      </w:tc>
      <w:tc>
        <w:tcPr>
          <w:tcW w:w="4080" w:type="dxa"/>
          <w:tcMar>
            <w:left w:w="0" w:type="dxa"/>
            <w:right w:w="0" w:type="dxa"/>
          </w:tcMar>
        </w:tcPr>
        <w:p w:rsidR="003D51E3" w:rsidRPr="00BA6468" w:rsidRDefault="003D51E3" w:rsidP="00BA6468">
          <w:pPr>
            <w:keepLines/>
            <w:rPr>
              <w:sz w:val="20"/>
              <w:szCs w:val="20"/>
              <w:lang w:val="fr-CA"/>
            </w:rPr>
          </w:pPr>
          <w:r w:rsidRPr="00BA6468">
            <w:rPr>
              <w:sz w:val="20"/>
              <w:szCs w:val="20"/>
              <w:lang w:val="fr-CA"/>
            </w:rPr>
            <w:t>REQUÊTES</w:t>
          </w:r>
        </w:p>
      </w:tc>
    </w:tr>
  </w:tbl>
  <w:p w:rsidR="003D51E3" w:rsidRDefault="003D51E3" w:rsidP="00831CA9">
    <w:pP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E3" w:rsidRDefault="003D51E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D51E3">
      <w:tc>
        <w:tcPr>
          <w:tcW w:w="4200" w:type="dxa"/>
          <w:tcMar>
            <w:left w:w="0" w:type="dxa"/>
            <w:right w:w="0" w:type="dxa"/>
          </w:tcMar>
        </w:tcPr>
        <w:p w:rsidR="003D51E3" w:rsidRDefault="003D51E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3D51E3" w:rsidRDefault="003D51E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3D51E3" w:rsidRDefault="003D51E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3D51E3" w:rsidRDefault="003D51E3">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3D51E3" w:rsidRDefault="003D51E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3D51E3" w:rsidRDefault="003D51E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D51E3" w:rsidRPr="00C50A5C" w:rsidTr="00245129">
      <w:tc>
        <w:tcPr>
          <w:tcW w:w="4200" w:type="dxa"/>
          <w:tcMar>
            <w:left w:w="0" w:type="dxa"/>
            <w:right w:w="0" w:type="dxa"/>
          </w:tcMar>
        </w:tcPr>
        <w:p w:rsidR="003D51E3" w:rsidRPr="00C50A5C" w:rsidRDefault="003D51E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3D51E3" w:rsidRPr="00C50A5C" w:rsidRDefault="003D51E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3D51E3" w:rsidRPr="00C50A5C" w:rsidRDefault="003D51E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3D51E3" w:rsidRPr="00C50A5C" w:rsidRDefault="003D51E3"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3D51E3" w:rsidRDefault="003D51E3"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CBA"/>
    <w:multiLevelType w:val="hybridMultilevel"/>
    <w:tmpl w:val="D3C0F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05606"/>
    <w:multiLevelType w:val="hybridMultilevel"/>
    <w:tmpl w:val="D3C0F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A31BA"/>
    <w:multiLevelType w:val="hybridMultilevel"/>
    <w:tmpl w:val="9C8E972A"/>
    <w:lvl w:ilvl="0" w:tplc="D626E7DC">
      <w:start w:val="2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4D0157"/>
    <w:multiLevelType w:val="hybridMultilevel"/>
    <w:tmpl w:val="466AC4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C901D7D"/>
    <w:multiLevelType w:val="hybridMultilevel"/>
    <w:tmpl w:val="466AC4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4A"/>
    <w:rsid w:val="00002704"/>
    <w:rsid w:val="00020DC3"/>
    <w:rsid w:val="000233C5"/>
    <w:rsid w:val="0003223B"/>
    <w:rsid w:val="000327B2"/>
    <w:rsid w:val="000328AE"/>
    <w:rsid w:val="00033D96"/>
    <w:rsid w:val="0004528B"/>
    <w:rsid w:val="00064FBA"/>
    <w:rsid w:val="00065619"/>
    <w:rsid w:val="00091FA6"/>
    <w:rsid w:val="00096BD9"/>
    <w:rsid w:val="000B3C9A"/>
    <w:rsid w:val="000B40A2"/>
    <w:rsid w:val="000B4624"/>
    <w:rsid w:val="000C0ACD"/>
    <w:rsid w:val="000C0D2A"/>
    <w:rsid w:val="000C5CE8"/>
    <w:rsid w:val="000D779D"/>
    <w:rsid w:val="000E1278"/>
    <w:rsid w:val="000E27A5"/>
    <w:rsid w:val="000E2959"/>
    <w:rsid w:val="000F0B60"/>
    <w:rsid w:val="00102926"/>
    <w:rsid w:val="00104C0C"/>
    <w:rsid w:val="0010587F"/>
    <w:rsid w:val="00111C6B"/>
    <w:rsid w:val="0012102B"/>
    <w:rsid w:val="00122148"/>
    <w:rsid w:val="0013369E"/>
    <w:rsid w:val="001348D5"/>
    <w:rsid w:val="0013595D"/>
    <w:rsid w:val="00164E6D"/>
    <w:rsid w:val="00172B38"/>
    <w:rsid w:val="00183454"/>
    <w:rsid w:val="001938BD"/>
    <w:rsid w:val="00197AD4"/>
    <w:rsid w:val="001A2977"/>
    <w:rsid w:val="001B1529"/>
    <w:rsid w:val="001B157C"/>
    <w:rsid w:val="001B4006"/>
    <w:rsid w:val="001B5C23"/>
    <w:rsid w:val="001D0D5F"/>
    <w:rsid w:val="001D0FF3"/>
    <w:rsid w:val="001D6B8C"/>
    <w:rsid w:val="001F1F83"/>
    <w:rsid w:val="001F2F35"/>
    <w:rsid w:val="001F40DF"/>
    <w:rsid w:val="001F43F8"/>
    <w:rsid w:val="001F6B2D"/>
    <w:rsid w:val="002021A9"/>
    <w:rsid w:val="002139A7"/>
    <w:rsid w:val="00215F7C"/>
    <w:rsid w:val="0022323B"/>
    <w:rsid w:val="00237FAD"/>
    <w:rsid w:val="002410B8"/>
    <w:rsid w:val="00242AEE"/>
    <w:rsid w:val="00245129"/>
    <w:rsid w:val="00245879"/>
    <w:rsid w:val="002526AE"/>
    <w:rsid w:val="00253236"/>
    <w:rsid w:val="00267FD5"/>
    <w:rsid w:val="00274D34"/>
    <w:rsid w:val="00283ED8"/>
    <w:rsid w:val="002868D0"/>
    <w:rsid w:val="002911C4"/>
    <w:rsid w:val="0029502C"/>
    <w:rsid w:val="002A008C"/>
    <w:rsid w:val="002A27D1"/>
    <w:rsid w:val="002A4AFA"/>
    <w:rsid w:val="002A4F5C"/>
    <w:rsid w:val="002A7E1B"/>
    <w:rsid w:val="002B516C"/>
    <w:rsid w:val="002B59CD"/>
    <w:rsid w:val="002D72EB"/>
    <w:rsid w:val="002E2327"/>
    <w:rsid w:val="002E3583"/>
    <w:rsid w:val="002E5576"/>
    <w:rsid w:val="002E5800"/>
    <w:rsid w:val="002F6547"/>
    <w:rsid w:val="0030050B"/>
    <w:rsid w:val="00301639"/>
    <w:rsid w:val="0030299B"/>
    <w:rsid w:val="00325A27"/>
    <w:rsid w:val="00331B52"/>
    <w:rsid w:val="003359D3"/>
    <w:rsid w:val="00355967"/>
    <w:rsid w:val="00382B93"/>
    <w:rsid w:val="00382C47"/>
    <w:rsid w:val="00384384"/>
    <w:rsid w:val="003866AE"/>
    <w:rsid w:val="003945FE"/>
    <w:rsid w:val="003A4771"/>
    <w:rsid w:val="003B3977"/>
    <w:rsid w:val="003D0C9A"/>
    <w:rsid w:val="003D51E3"/>
    <w:rsid w:val="003E1D4C"/>
    <w:rsid w:val="004035FA"/>
    <w:rsid w:val="00405611"/>
    <w:rsid w:val="004137A0"/>
    <w:rsid w:val="00422D9A"/>
    <w:rsid w:val="00432989"/>
    <w:rsid w:val="00437F82"/>
    <w:rsid w:val="00440E24"/>
    <w:rsid w:val="00443099"/>
    <w:rsid w:val="0044776A"/>
    <w:rsid w:val="00460AFC"/>
    <w:rsid w:val="0047471F"/>
    <w:rsid w:val="0048260F"/>
    <w:rsid w:val="00494B27"/>
    <w:rsid w:val="004B195E"/>
    <w:rsid w:val="004B66B4"/>
    <w:rsid w:val="004B7F60"/>
    <w:rsid w:val="004C1AAC"/>
    <w:rsid w:val="004C2D3C"/>
    <w:rsid w:val="004E1E0A"/>
    <w:rsid w:val="004F090E"/>
    <w:rsid w:val="00501F3C"/>
    <w:rsid w:val="0052229C"/>
    <w:rsid w:val="00527CC7"/>
    <w:rsid w:val="00547D55"/>
    <w:rsid w:val="0056248C"/>
    <w:rsid w:val="00571CA4"/>
    <w:rsid w:val="00582136"/>
    <w:rsid w:val="005B449D"/>
    <w:rsid w:val="005C6840"/>
    <w:rsid w:val="005C6EB1"/>
    <w:rsid w:val="005F1ED8"/>
    <w:rsid w:val="005F263E"/>
    <w:rsid w:val="00600252"/>
    <w:rsid w:val="0060770F"/>
    <w:rsid w:val="00612A40"/>
    <w:rsid w:val="0062714A"/>
    <w:rsid w:val="0065533D"/>
    <w:rsid w:val="00675479"/>
    <w:rsid w:val="00680709"/>
    <w:rsid w:val="00681F61"/>
    <w:rsid w:val="00696BF9"/>
    <w:rsid w:val="00697C62"/>
    <w:rsid w:val="006A329B"/>
    <w:rsid w:val="006A7EB8"/>
    <w:rsid w:val="006B02C7"/>
    <w:rsid w:val="006B2B4D"/>
    <w:rsid w:val="006B6926"/>
    <w:rsid w:val="006C3F47"/>
    <w:rsid w:val="006C5F7A"/>
    <w:rsid w:val="006E06AF"/>
    <w:rsid w:val="006F350F"/>
    <w:rsid w:val="007071D1"/>
    <w:rsid w:val="00707AAF"/>
    <w:rsid w:val="00732DB7"/>
    <w:rsid w:val="00734806"/>
    <w:rsid w:val="0074238B"/>
    <w:rsid w:val="0074361E"/>
    <w:rsid w:val="00745EF7"/>
    <w:rsid w:val="00755F22"/>
    <w:rsid w:val="00761C05"/>
    <w:rsid w:val="00766E4A"/>
    <w:rsid w:val="00770F76"/>
    <w:rsid w:val="007820CE"/>
    <w:rsid w:val="00782AE4"/>
    <w:rsid w:val="00782E1B"/>
    <w:rsid w:val="0078410A"/>
    <w:rsid w:val="0079724F"/>
    <w:rsid w:val="007A1448"/>
    <w:rsid w:val="007A3EAE"/>
    <w:rsid w:val="007C04FC"/>
    <w:rsid w:val="007C3DB0"/>
    <w:rsid w:val="007C47C2"/>
    <w:rsid w:val="007D1223"/>
    <w:rsid w:val="007D3E0F"/>
    <w:rsid w:val="007E4282"/>
    <w:rsid w:val="007F387B"/>
    <w:rsid w:val="00802863"/>
    <w:rsid w:val="008112A9"/>
    <w:rsid w:val="0081473A"/>
    <w:rsid w:val="00815B3C"/>
    <w:rsid w:val="0081610A"/>
    <w:rsid w:val="0082783A"/>
    <w:rsid w:val="00831CA9"/>
    <w:rsid w:val="008378CC"/>
    <w:rsid w:val="00845E89"/>
    <w:rsid w:val="00850E1F"/>
    <w:rsid w:val="0085476B"/>
    <w:rsid w:val="008601D4"/>
    <w:rsid w:val="0086340B"/>
    <w:rsid w:val="00886A6C"/>
    <w:rsid w:val="008902B1"/>
    <w:rsid w:val="00890FEB"/>
    <w:rsid w:val="00895E7E"/>
    <w:rsid w:val="008A5C1A"/>
    <w:rsid w:val="008C0C1B"/>
    <w:rsid w:val="008C107F"/>
    <w:rsid w:val="008D292F"/>
    <w:rsid w:val="008E024E"/>
    <w:rsid w:val="008E03DC"/>
    <w:rsid w:val="008E3566"/>
    <w:rsid w:val="00902E51"/>
    <w:rsid w:val="00910988"/>
    <w:rsid w:val="00924065"/>
    <w:rsid w:val="00925134"/>
    <w:rsid w:val="00930D68"/>
    <w:rsid w:val="00932DB4"/>
    <w:rsid w:val="00941A0C"/>
    <w:rsid w:val="00941A4B"/>
    <w:rsid w:val="00942CC0"/>
    <w:rsid w:val="00946242"/>
    <w:rsid w:val="0095096B"/>
    <w:rsid w:val="009530E1"/>
    <w:rsid w:val="00970CD3"/>
    <w:rsid w:val="009723FA"/>
    <w:rsid w:val="00984546"/>
    <w:rsid w:val="00996510"/>
    <w:rsid w:val="009A1D06"/>
    <w:rsid w:val="009C14CD"/>
    <w:rsid w:val="009C1CD2"/>
    <w:rsid w:val="009D1F15"/>
    <w:rsid w:val="009D555E"/>
    <w:rsid w:val="009D7F27"/>
    <w:rsid w:val="009F3024"/>
    <w:rsid w:val="009F39BA"/>
    <w:rsid w:val="00A0355E"/>
    <w:rsid w:val="00A375D1"/>
    <w:rsid w:val="00A4468B"/>
    <w:rsid w:val="00A51D10"/>
    <w:rsid w:val="00A52A83"/>
    <w:rsid w:val="00A6552C"/>
    <w:rsid w:val="00A65E85"/>
    <w:rsid w:val="00A72AE7"/>
    <w:rsid w:val="00A77C5E"/>
    <w:rsid w:val="00A87207"/>
    <w:rsid w:val="00A935AA"/>
    <w:rsid w:val="00A956D3"/>
    <w:rsid w:val="00AA3BD7"/>
    <w:rsid w:val="00AA5B2F"/>
    <w:rsid w:val="00AA6588"/>
    <w:rsid w:val="00AB2201"/>
    <w:rsid w:val="00AB7B01"/>
    <w:rsid w:val="00AD1D34"/>
    <w:rsid w:val="00AD3259"/>
    <w:rsid w:val="00AD76E0"/>
    <w:rsid w:val="00AF1715"/>
    <w:rsid w:val="00AF3904"/>
    <w:rsid w:val="00B010C0"/>
    <w:rsid w:val="00B4740D"/>
    <w:rsid w:val="00B61629"/>
    <w:rsid w:val="00B7108A"/>
    <w:rsid w:val="00B7374B"/>
    <w:rsid w:val="00B90DC0"/>
    <w:rsid w:val="00B91C02"/>
    <w:rsid w:val="00B91D9C"/>
    <w:rsid w:val="00B9440E"/>
    <w:rsid w:val="00BA116A"/>
    <w:rsid w:val="00BA5582"/>
    <w:rsid w:val="00BA573B"/>
    <w:rsid w:val="00BA6468"/>
    <w:rsid w:val="00BB1D44"/>
    <w:rsid w:val="00BD06DA"/>
    <w:rsid w:val="00BD4217"/>
    <w:rsid w:val="00BE7C7B"/>
    <w:rsid w:val="00BF25F3"/>
    <w:rsid w:val="00C01FCB"/>
    <w:rsid w:val="00C0596C"/>
    <w:rsid w:val="00C10A96"/>
    <w:rsid w:val="00C1697B"/>
    <w:rsid w:val="00C21644"/>
    <w:rsid w:val="00C21CB5"/>
    <w:rsid w:val="00C34A2B"/>
    <w:rsid w:val="00C46376"/>
    <w:rsid w:val="00C50A5C"/>
    <w:rsid w:val="00C50FDF"/>
    <w:rsid w:val="00C63381"/>
    <w:rsid w:val="00C73D06"/>
    <w:rsid w:val="00C73E1B"/>
    <w:rsid w:val="00C7556C"/>
    <w:rsid w:val="00C759B4"/>
    <w:rsid w:val="00C76A18"/>
    <w:rsid w:val="00C77713"/>
    <w:rsid w:val="00C85BB7"/>
    <w:rsid w:val="00CA2DEA"/>
    <w:rsid w:val="00CA7661"/>
    <w:rsid w:val="00CB3520"/>
    <w:rsid w:val="00CB43D5"/>
    <w:rsid w:val="00CC4D84"/>
    <w:rsid w:val="00CE198A"/>
    <w:rsid w:val="00CF05ED"/>
    <w:rsid w:val="00CF08C8"/>
    <w:rsid w:val="00CF0B33"/>
    <w:rsid w:val="00D004FC"/>
    <w:rsid w:val="00D176A9"/>
    <w:rsid w:val="00D26A9B"/>
    <w:rsid w:val="00D36DAF"/>
    <w:rsid w:val="00D64901"/>
    <w:rsid w:val="00D76BDF"/>
    <w:rsid w:val="00D818B6"/>
    <w:rsid w:val="00D862C1"/>
    <w:rsid w:val="00D93B50"/>
    <w:rsid w:val="00D94028"/>
    <w:rsid w:val="00D94670"/>
    <w:rsid w:val="00DA46F6"/>
    <w:rsid w:val="00DA698F"/>
    <w:rsid w:val="00DA756F"/>
    <w:rsid w:val="00DC0577"/>
    <w:rsid w:val="00DD0B49"/>
    <w:rsid w:val="00DE0502"/>
    <w:rsid w:val="00DE349D"/>
    <w:rsid w:val="00DE45A3"/>
    <w:rsid w:val="00E06DFA"/>
    <w:rsid w:val="00E20A0A"/>
    <w:rsid w:val="00E240C2"/>
    <w:rsid w:val="00E3567C"/>
    <w:rsid w:val="00E356C7"/>
    <w:rsid w:val="00E414CA"/>
    <w:rsid w:val="00E41A5A"/>
    <w:rsid w:val="00E45FE4"/>
    <w:rsid w:val="00E64FA7"/>
    <w:rsid w:val="00E75CFD"/>
    <w:rsid w:val="00E770CB"/>
    <w:rsid w:val="00E8544A"/>
    <w:rsid w:val="00E903A1"/>
    <w:rsid w:val="00E940EB"/>
    <w:rsid w:val="00E942C2"/>
    <w:rsid w:val="00E952F3"/>
    <w:rsid w:val="00E9703F"/>
    <w:rsid w:val="00EB2B90"/>
    <w:rsid w:val="00ED70F7"/>
    <w:rsid w:val="00ED7E83"/>
    <w:rsid w:val="00EE091F"/>
    <w:rsid w:val="00EF4B63"/>
    <w:rsid w:val="00F0068D"/>
    <w:rsid w:val="00F04CE8"/>
    <w:rsid w:val="00F0576D"/>
    <w:rsid w:val="00F07FA3"/>
    <w:rsid w:val="00F14E6D"/>
    <w:rsid w:val="00F15EA8"/>
    <w:rsid w:val="00F16C8D"/>
    <w:rsid w:val="00F26C61"/>
    <w:rsid w:val="00F27D8F"/>
    <w:rsid w:val="00F33CCE"/>
    <w:rsid w:val="00F40249"/>
    <w:rsid w:val="00F526C8"/>
    <w:rsid w:val="00F57751"/>
    <w:rsid w:val="00F75C89"/>
    <w:rsid w:val="00F761A3"/>
    <w:rsid w:val="00F9272D"/>
    <w:rsid w:val="00F9518C"/>
    <w:rsid w:val="00FA316E"/>
    <w:rsid w:val="00FA3373"/>
    <w:rsid w:val="00FA59EF"/>
    <w:rsid w:val="00FB017F"/>
    <w:rsid w:val="00FB19A2"/>
    <w:rsid w:val="00FB2ECE"/>
    <w:rsid w:val="00FB36BC"/>
    <w:rsid w:val="00FB4A2E"/>
    <w:rsid w:val="00FC100D"/>
    <w:rsid w:val="00FD59E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table" w:customStyle="1" w:styleId="TableGrid10">
    <w:name w:val="Table Grid10"/>
    <w:basedOn w:val="TableNormal"/>
    <w:next w:val="TableGrid"/>
    <w:uiPriority w:val="59"/>
    <w:rsid w:val="00494B27"/>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BanSummary">
    <w:name w:val="SCC.BanSummary"/>
    <w:basedOn w:val="Normal"/>
    <w:next w:val="Normal"/>
    <w:link w:val="SCCBanSummaryChar"/>
    <w:rsid w:val="009D7F27"/>
    <w:pPr>
      <w:jc w:val="both"/>
    </w:pPr>
    <w:rPr>
      <w:rFonts w:eastAsia="Calibri" w:cs="Times New Roman"/>
      <w:smallCaps/>
    </w:rPr>
  </w:style>
  <w:style w:type="character" w:customStyle="1" w:styleId="SCCBanSummaryChar">
    <w:name w:val="SCC.BanSummary Char"/>
    <w:link w:val="SCCBanSummary"/>
    <w:rsid w:val="009D7F27"/>
    <w:rPr>
      <w:rFonts w:eastAsia="Calibri" w:cs="Times New Roman"/>
      <w:smallCaps/>
      <w:lang w:val="en-CA"/>
    </w:rPr>
  </w:style>
  <w:style w:type="paragraph" w:customStyle="1" w:styleId="SCCCaseDescriptor">
    <w:name w:val="SCC.CaseDescriptor"/>
    <w:basedOn w:val="Normal"/>
    <w:link w:val="SCCCaseDescriptorChar"/>
    <w:qFormat/>
    <w:rsid w:val="009D7F27"/>
    <w:rPr>
      <w:rFonts w:eastAsia="Times New Roman" w:cs="Times New Roman"/>
      <w:b/>
      <w:szCs w:val="20"/>
      <w:lang w:eastAsia="en-CA"/>
    </w:rPr>
  </w:style>
  <w:style w:type="character" w:customStyle="1" w:styleId="SCCCaseDescriptorChar">
    <w:name w:val="SCC.CaseDescriptor Char"/>
    <w:basedOn w:val="DefaultParagraphFont"/>
    <w:link w:val="SCCCaseDescriptor"/>
    <w:rsid w:val="009D7F27"/>
    <w:rPr>
      <w:rFonts w:eastAsia="Times New Roman" w:cs="Times New Roman"/>
      <w:b/>
      <w:szCs w:val="20"/>
      <w:lang w:val="en-CA" w:eastAsia="en-CA"/>
    </w:rPr>
  </w:style>
  <w:style w:type="paragraph" w:styleId="BalloonText">
    <w:name w:val="Balloon Text"/>
    <w:basedOn w:val="Normal"/>
    <w:link w:val="BalloonTextChar"/>
    <w:uiPriority w:val="99"/>
    <w:semiHidden/>
    <w:unhideWhenUsed/>
    <w:rsid w:val="00D36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AF"/>
    <w:rPr>
      <w:rFonts w:ascii="Segoe UI" w:hAnsi="Segoe UI" w:cs="Segoe UI"/>
      <w:sz w:val="18"/>
      <w:szCs w:val="18"/>
      <w:lang w:val="en-CA"/>
    </w:rPr>
  </w:style>
  <w:style w:type="paragraph" w:customStyle="1" w:styleId="Default">
    <w:name w:val="Default"/>
    <w:rsid w:val="00761C05"/>
    <w:pPr>
      <w:autoSpaceDE w:val="0"/>
      <w:autoSpaceDN w:val="0"/>
      <w:adjustRightInd w:val="0"/>
    </w:pPr>
    <w:rPr>
      <w:rFonts w:eastAsiaTheme="minorEastAsia" w:cs="Times New Roman"/>
      <w:color w:val="000000"/>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394303">
      <w:bodyDiv w:val="1"/>
      <w:marLeft w:val="0"/>
      <w:marRight w:val="0"/>
      <w:marTop w:val="0"/>
      <w:marBottom w:val="0"/>
      <w:divBdr>
        <w:top w:val="none" w:sz="0" w:space="0" w:color="auto"/>
        <w:left w:val="none" w:sz="0" w:space="0" w:color="auto"/>
        <w:bottom w:val="none" w:sz="0" w:space="0" w:color="auto"/>
        <w:right w:val="none" w:sz="0" w:space="0" w:color="auto"/>
      </w:divBdr>
    </w:div>
    <w:div w:id="20415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7033</Words>
  <Characters>40093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2018-02-22T20:32:00Z</dcterms:created>
  <dcterms:modified xsi:type="dcterms:W3CDTF">2018-03-05T14:59:00Z</dcterms:modified>
</cp:coreProperties>
</file>