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606F29" w:rsidRDefault="00382C47" w:rsidP="00C7556C">
      <w:pPr>
        <w:jc w:val="center"/>
      </w:pPr>
      <w:r w:rsidRPr="00606F29">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606F29"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606F29" w:rsidTr="002E5576">
        <w:tc>
          <w:tcPr>
            <w:tcW w:w="4518" w:type="dxa"/>
          </w:tcPr>
          <w:p w:rsidR="00BF25F3" w:rsidRPr="00606F29" w:rsidRDefault="00BF25F3" w:rsidP="00BF25F3">
            <w:pPr>
              <w:tabs>
                <w:tab w:val="left" w:pos="6075"/>
              </w:tabs>
              <w:jc w:val="center"/>
              <w:rPr>
                <w:b/>
                <w:sz w:val="32"/>
                <w:szCs w:val="32"/>
              </w:rPr>
            </w:pPr>
            <w:r w:rsidRPr="00606F29">
              <w:rPr>
                <w:b/>
                <w:sz w:val="32"/>
                <w:szCs w:val="32"/>
              </w:rPr>
              <w:t>SUPREME COURT OF CANADA</w:t>
            </w:r>
          </w:p>
        </w:tc>
        <w:tc>
          <w:tcPr>
            <w:tcW w:w="630" w:type="dxa"/>
          </w:tcPr>
          <w:p w:rsidR="00BF25F3" w:rsidRPr="00606F29" w:rsidRDefault="00BF25F3" w:rsidP="00BF25F3">
            <w:pPr>
              <w:tabs>
                <w:tab w:val="left" w:pos="6075"/>
              </w:tabs>
              <w:jc w:val="center"/>
              <w:rPr>
                <w:sz w:val="32"/>
                <w:szCs w:val="32"/>
              </w:rPr>
            </w:pPr>
          </w:p>
        </w:tc>
        <w:tc>
          <w:tcPr>
            <w:tcW w:w="4428" w:type="dxa"/>
          </w:tcPr>
          <w:p w:rsidR="00BF25F3" w:rsidRPr="00606F29" w:rsidRDefault="00BF25F3" w:rsidP="00BF25F3">
            <w:pPr>
              <w:tabs>
                <w:tab w:val="left" w:pos="6075"/>
              </w:tabs>
              <w:jc w:val="center"/>
              <w:rPr>
                <w:b/>
                <w:sz w:val="32"/>
                <w:szCs w:val="32"/>
                <w:lang w:val="fr-CA"/>
              </w:rPr>
            </w:pPr>
            <w:r w:rsidRPr="00606F29">
              <w:rPr>
                <w:b/>
                <w:sz w:val="32"/>
                <w:szCs w:val="32"/>
                <w:lang w:val="fr-CA"/>
              </w:rPr>
              <w:t>COUR SUPRÊME DU CANADA</w:t>
            </w:r>
          </w:p>
        </w:tc>
      </w:tr>
      <w:tr w:rsidR="00BF25F3" w:rsidRPr="00606F29" w:rsidTr="002E5576">
        <w:tc>
          <w:tcPr>
            <w:tcW w:w="4518" w:type="dxa"/>
          </w:tcPr>
          <w:p w:rsidR="00BF25F3" w:rsidRPr="00606F29" w:rsidRDefault="00BF25F3" w:rsidP="00BF25F3">
            <w:pPr>
              <w:tabs>
                <w:tab w:val="left" w:pos="6075"/>
              </w:tabs>
            </w:pPr>
          </w:p>
          <w:p w:rsidR="001B5C23" w:rsidRPr="00606F29" w:rsidRDefault="001B5C23" w:rsidP="00BF25F3">
            <w:pPr>
              <w:tabs>
                <w:tab w:val="left" w:pos="6075"/>
              </w:tabs>
            </w:pPr>
          </w:p>
          <w:p w:rsidR="001B5C23" w:rsidRPr="00606F29" w:rsidRDefault="001B5C23" w:rsidP="00BF25F3">
            <w:pPr>
              <w:tabs>
                <w:tab w:val="left" w:pos="6075"/>
              </w:tabs>
            </w:pPr>
          </w:p>
        </w:tc>
        <w:tc>
          <w:tcPr>
            <w:tcW w:w="630" w:type="dxa"/>
          </w:tcPr>
          <w:p w:rsidR="00BF25F3" w:rsidRPr="00606F29" w:rsidRDefault="00BF25F3" w:rsidP="00BF25F3">
            <w:pPr>
              <w:tabs>
                <w:tab w:val="left" w:pos="6075"/>
              </w:tabs>
            </w:pPr>
          </w:p>
        </w:tc>
        <w:tc>
          <w:tcPr>
            <w:tcW w:w="4428" w:type="dxa"/>
          </w:tcPr>
          <w:p w:rsidR="00BF25F3" w:rsidRPr="00606F29" w:rsidRDefault="00BF25F3" w:rsidP="00BF25F3">
            <w:pPr>
              <w:tabs>
                <w:tab w:val="left" w:pos="6075"/>
              </w:tabs>
              <w:rPr>
                <w:lang w:val="fr-CA"/>
              </w:rPr>
            </w:pPr>
          </w:p>
        </w:tc>
      </w:tr>
      <w:tr w:rsidR="00BF25F3" w:rsidRPr="00606F29" w:rsidTr="002E5576">
        <w:tc>
          <w:tcPr>
            <w:tcW w:w="4518" w:type="dxa"/>
          </w:tcPr>
          <w:p w:rsidR="001B5C23" w:rsidRPr="00606F29" w:rsidRDefault="00BF25F3" w:rsidP="00BF25F3">
            <w:pPr>
              <w:tabs>
                <w:tab w:val="left" w:pos="6075"/>
              </w:tabs>
              <w:jc w:val="center"/>
              <w:rPr>
                <w:sz w:val="28"/>
                <w:szCs w:val="28"/>
              </w:rPr>
            </w:pPr>
            <w:r w:rsidRPr="00606F29">
              <w:rPr>
                <w:sz w:val="28"/>
                <w:szCs w:val="28"/>
              </w:rPr>
              <w:t>BULLETIN OF</w:t>
            </w:r>
          </w:p>
          <w:p w:rsidR="00BF25F3" w:rsidRPr="00606F29" w:rsidRDefault="00BF25F3" w:rsidP="00BF25F3">
            <w:pPr>
              <w:tabs>
                <w:tab w:val="left" w:pos="6075"/>
              </w:tabs>
              <w:jc w:val="center"/>
              <w:rPr>
                <w:sz w:val="28"/>
                <w:szCs w:val="28"/>
              </w:rPr>
            </w:pPr>
            <w:r w:rsidRPr="00606F29">
              <w:rPr>
                <w:sz w:val="28"/>
                <w:szCs w:val="28"/>
              </w:rPr>
              <w:t xml:space="preserve"> PROCEEDINGS</w:t>
            </w:r>
          </w:p>
        </w:tc>
        <w:tc>
          <w:tcPr>
            <w:tcW w:w="630" w:type="dxa"/>
          </w:tcPr>
          <w:p w:rsidR="00BF25F3" w:rsidRPr="00606F29" w:rsidRDefault="00BF25F3" w:rsidP="00BF25F3">
            <w:pPr>
              <w:tabs>
                <w:tab w:val="left" w:pos="6075"/>
              </w:tabs>
            </w:pPr>
          </w:p>
        </w:tc>
        <w:tc>
          <w:tcPr>
            <w:tcW w:w="4428" w:type="dxa"/>
          </w:tcPr>
          <w:p w:rsidR="001B5C23" w:rsidRPr="00606F29" w:rsidRDefault="00BF25F3" w:rsidP="00BF25F3">
            <w:pPr>
              <w:tabs>
                <w:tab w:val="left" w:pos="6075"/>
              </w:tabs>
              <w:jc w:val="center"/>
              <w:rPr>
                <w:sz w:val="28"/>
                <w:szCs w:val="28"/>
                <w:lang w:val="fr-CA"/>
              </w:rPr>
            </w:pPr>
            <w:r w:rsidRPr="00606F29">
              <w:rPr>
                <w:sz w:val="28"/>
                <w:szCs w:val="28"/>
                <w:lang w:val="fr-CA"/>
              </w:rPr>
              <w:t>BULLETIN DES</w:t>
            </w:r>
          </w:p>
          <w:p w:rsidR="00BF25F3" w:rsidRPr="00606F29" w:rsidRDefault="00BF25F3" w:rsidP="00BF25F3">
            <w:pPr>
              <w:tabs>
                <w:tab w:val="left" w:pos="6075"/>
              </w:tabs>
              <w:jc w:val="center"/>
              <w:rPr>
                <w:sz w:val="28"/>
                <w:szCs w:val="28"/>
                <w:lang w:val="fr-CA"/>
              </w:rPr>
            </w:pPr>
            <w:r w:rsidRPr="00606F29">
              <w:rPr>
                <w:sz w:val="28"/>
                <w:szCs w:val="28"/>
                <w:lang w:val="fr-CA"/>
              </w:rPr>
              <w:t xml:space="preserve"> PROCÉDURES</w:t>
            </w:r>
          </w:p>
        </w:tc>
      </w:tr>
      <w:tr w:rsidR="00BF25F3" w:rsidRPr="00606F29" w:rsidTr="002E5576">
        <w:tc>
          <w:tcPr>
            <w:tcW w:w="4518" w:type="dxa"/>
          </w:tcPr>
          <w:p w:rsidR="00BF25F3" w:rsidRPr="00606F29" w:rsidRDefault="00BF25F3" w:rsidP="00BF25F3">
            <w:pPr>
              <w:tabs>
                <w:tab w:val="left" w:pos="6075"/>
              </w:tabs>
            </w:pPr>
          </w:p>
          <w:p w:rsidR="001B5C23" w:rsidRPr="00606F29" w:rsidRDefault="001B5C23" w:rsidP="00BF25F3">
            <w:pPr>
              <w:tabs>
                <w:tab w:val="left" w:pos="6075"/>
              </w:tabs>
            </w:pPr>
          </w:p>
        </w:tc>
        <w:tc>
          <w:tcPr>
            <w:tcW w:w="630" w:type="dxa"/>
          </w:tcPr>
          <w:p w:rsidR="00BF25F3" w:rsidRPr="00606F29" w:rsidRDefault="00BF25F3" w:rsidP="00BF25F3">
            <w:pPr>
              <w:tabs>
                <w:tab w:val="left" w:pos="6075"/>
              </w:tabs>
            </w:pPr>
          </w:p>
        </w:tc>
        <w:tc>
          <w:tcPr>
            <w:tcW w:w="4428" w:type="dxa"/>
          </w:tcPr>
          <w:p w:rsidR="00BF25F3" w:rsidRPr="00606F29" w:rsidRDefault="00BF25F3" w:rsidP="00BF25F3">
            <w:pPr>
              <w:tabs>
                <w:tab w:val="left" w:pos="6075"/>
              </w:tabs>
              <w:rPr>
                <w:lang w:val="fr-CA"/>
              </w:rPr>
            </w:pPr>
          </w:p>
        </w:tc>
      </w:tr>
      <w:tr w:rsidR="00BF25F3" w:rsidRPr="009813FB" w:rsidTr="002E5576">
        <w:tc>
          <w:tcPr>
            <w:tcW w:w="4518" w:type="dxa"/>
          </w:tcPr>
          <w:p w:rsidR="00BF25F3" w:rsidRPr="00606F29" w:rsidRDefault="00BF25F3" w:rsidP="00BF25F3">
            <w:pPr>
              <w:tabs>
                <w:tab w:val="left" w:pos="6075"/>
              </w:tabs>
              <w:jc w:val="both"/>
              <w:rPr>
                <w:rFonts w:ascii="Arial" w:hAnsi="Arial" w:cs="Arial"/>
                <w:i/>
                <w:sz w:val="20"/>
                <w:szCs w:val="20"/>
              </w:rPr>
            </w:pPr>
            <w:r w:rsidRPr="00606F2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606F29" w:rsidRDefault="00BF25F3" w:rsidP="00BF25F3">
            <w:pPr>
              <w:tabs>
                <w:tab w:val="left" w:pos="6075"/>
              </w:tabs>
              <w:jc w:val="both"/>
              <w:rPr>
                <w:rFonts w:ascii="Arial" w:hAnsi="Arial" w:cs="Arial"/>
                <w:i/>
                <w:sz w:val="20"/>
                <w:szCs w:val="20"/>
              </w:rPr>
            </w:pPr>
          </w:p>
        </w:tc>
        <w:tc>
          <w:tcPr>
            <w:tcW w:w="4428" w:type="dxa"/>
          </w:tcPr>
          <w:p w:rsidR="00BF25F3" w:rsidRPr="00606F29" w:rsidRDefault="00BF25F3" w:rsidP="00BF25F3">
            <w:pPr>
              <w:tabs>
                <w:tab w:val="left" w:pos="6075"/>
              </w:tabs>
              <w:jc w:val="both"/>
              <w:rPr>
                <w:rFonts w:ascii="Arial" w:hAnsi="Arial" w:cs="Arial"/>
                <w:i/>
                <w:sz w:val="20"/>
                <w:szCs w:val="20"/>
                <w:lang w:val="fr-CA"/>
              </w:rPr>
            </w:pPr>
            <w:r w:rsidRPr="00606F2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813FB" w:rsidTr="002E5576">
        <w:tc>
          <w:tcPr>
            <w:tcW w:w="4518" w:type="dxa"/>
          </w:tcPr>
          <w:p w:rsidR="00BF25F3" w:rsidRPr="00606F29" w:rsidRDefault="00BF25F3" w:rsidP="00BF25F3">
            <w:pPr>
              <w:tabs>
                <w:tab w:val="left" w:pos="6075"/>
              </w:tabs>
              <w:rPr>
                <w:lang w:val="fr-CA"/>
              </w:rPr>
            </w:pPr>
          </w:p>
          <w:p w:rsidR="00D862C1" w:rsidRPr="00606F29" w:rsidRDefault="00D862C1" w:rsidP="00BF25F3">
            <w:pPr>
              <w:tabs>
                <w:tab w:val="left" w:pos="6075"/>
              </w:tabs>
              <w:rPr>
                <w:lang w:val="fr-CA"/>
              </w:rPr>
            </w:pPr>
          </w:p>
        </w:tc>
        <w:tc>
          <w:tcPr>
            <w:tcW w:w="630" w:type="dxa"/>
          </w:tcPr>
          <w:p w:rsidR="00BF25F3" w:rsidRPr="00606F29" w:rsidRDefault="00BF25F3" w:rsidP="00BF25F3">
            <w:pPr>
              <w:tabs>
                <w:tab w:val="left" w:pos="6075"/>
              </w:tabs>
              <w:rPr>
                <w:lang w:val="fr-CA"/>
              </w:rPr>
            </w:pPr>
          </w:p>
        </w:tc>
        <w:tc>
          <w:tcPr>
            <w:tcW w:w="4428" w:type="dxa"/>
          </w:tcPr>
          <w:p w:rsidR="00BF25F3" w:rsidRPr="00606F29" w:rsidRDefault="00BF25F3" w:rsidP="00BF25F3">
            <w:pPr>
              <w:tabs>
                <w:tab w:val="left" w:pos="6075"/>
              </w:tabs>
              <w:rPr>
                <w:lang w:val="fr-CA"/>
              </w:rPr>
            </w:pPr>
          </w:p>
        </w:tc>
      </w:tr>
      <w:tr w:rsidR="00BF25F3" w:rsidRPr="009813FB" w:rsidTr="002E5576">
        <w:tc>
          <w:tcPr>
            <w:tcW w:w="4518" w:type="dxa"/>
          </w:tcPr>
          <w:p w:rsidR="00BF25F3" w:rsidRPr="00606F29" w:rsidRDefault="00BF25F3" w:rsidP="009F3024">
            <w:pPr>
              <w:tabs>
                <w:tab w:val="left" w:pos="6075"/>
              </w:tabs>
              <w:jc w:val="both"/>
              <w:rPr>
                <w:rFonts w:ascii="Arial" w:hAnsi="Arial" w:cs="Arial"/>
                <w:i/>
                <w:sz w:val="20"/>
                <w:szCs w:val="20"/>
              </w:rPr>
            </w:pPr>
            <w:r w:rsidRPr="00606F29">
              <w:rPr>
                <w:rFonts w:ascii="Arial" w:hAnsi="Arial" w:cs="Arial"/>
                <w:i/>
                <w:sz w:val="20"/>
                <w:szCs w:val="20"/>
              </w:rPr>
              <w:t xml:space="preserve">During Court sessions </w:t>
            </w:r>
            <w:r w:rsidR="009F3024" w:rsidRPr="00606F29">
              <w:rPr>
                <w:rFonts w:ascii="Arial" w:hAnsi="Arial" w:cs="Arial"/>
                <w:i/>
                <w:sz w:val="20"/>
                <w:szCs w:val="20"/>
              </w:rPr>
              <w:t xml:space="preserve">the Bulletin </w:t>
            </w:r>
            <w:r w:rsidRPr="00606F29">
              <w:rPr>
                <w:rFonts w:ascii="Arial" w:hAnsi="Arial" w:cs="Arial"/>
                <w:i/>
                <w:sz w:val="20"/>
                <w:szCs w:val="20"/>
              </w:rPr>
              <w:t>is usually issued weekly.</w:t>
            </w:r>
          </w:p>
        </w:tc>
        <w:tc>
          <w:tcPr>
            <w:tcW w:w="630" w:type="dxa"/>
          </w:tcPr>
          <w:p w:rsidR="00BF25F3" w:rsidRPr="00606F29" w:rsidRDefault="00BF25F3" w:rsidP="00BF25F3">
            <w:pPr>
              <w:tabs>
                <w:tab w:val="left" w:pos="6075"/>
              </w:tabs>
              <w:jc w:val="both"/>
              <w:rPr>
                <w:rFonts w:ascii="Arial" w:hAnsi="Arial" w:cs="Arial"/>
                <w:i/>
                <w:sz w:val="20"/>
                <w:szCs w:val="20"/>
              </w:rPr>
            </w:pPr>
          </w:p>
        </w:tc>
        <w:tc>
          <w:tcPr>
            <w:tcW w:w="4428" w:type="dxa"/>
          </w:tcPr>
          <w:p w:rsidR="00BF25F3" w:rsidRPr="00606F29" w:rsidRDefault="00BF25F3" w:rsidP="00BF25F3">
            <w:pPr>
              <w:tabs>
                <w:tab w:val="left" w:pos="6075"/>
              </w:tabs>
              <w:jc w:val="both"/>
              <w:rPr>
                <w:rFonts w:ascii="Arial" w:hAnsi="Arial" w:cs="Arial"/>
                <w:i/>
                <w:sz w:val="20"/>
                <w:szCs w:val="20"/>
                <w:lang w:val="fr-CA"/>
              </w:rPr>
            </w:pPr>
            <w:r w:rsidRPr="00606F29">
              <w:rPr>
                <w:rFonts w:ascii="Arial" w:hAnsi="Arial" w:cs="Arial"/>
                <w:i/>
                <w:sz w:val="20"/>
                <w:szCs w:val="20"/>
                <w:lang w:val="fr-CA"/>
              </w:rPr>
              <w:t>Le Bulletin paraît en principe toutes les semaines pendant les sessions de la Cour.</w:t>
            </w:r>
          </w:p>
        </w:tc>
      </w:tr>
      <w:tr w:rsidR="00BF25F3" w:rsidRPr="009813FB" w:rsidTr="002E5576">
        <w:tc>
          <w:tcPr>
            <w:tcW w:w="4518" w:type="dxa"/>
          </w:tcPr>
          <w:p w:rsidR="00BF25F3" w:rsidRPr="00606F29" w:rsidRDefault="00BF25F3" w:rsidP="00BF25F3">
            <w:pPr>
              <w:tabs>
                <w:tab w:val="left" w:pos="6075"/>
              </w:tabs>
              <w:rPr>
                <w:lang w:val="fr-CA"/>
              </w:rPr>
            </w:pPr>
          </w:p>
          <w:p w:rsidR="00D862C1" w:rsidRPr="00606F29" w:rsidRDefault="00D862C1" w:rsidP="00BF25F3">
            <w:pPr>
              <w:tabs>
                <w:tab w:val="left" w:pos="6075"/>
              </w:tabs>
              <w:rPr>
                <w:lang w:val="fr-CA"/>
              </w:rPr>
            </w:pPr>
          </w:p>
        </w:tc>
        <w:tc>
          <w:tcPr>
            <w:tcW w:w="630" w:type="dxa"/>
          </w:tcPr>
          <w:p w:rsidR="00BF25F3" w:rsidRPr="00606F29" w:rsidRDefault="00BF25F3" w:rsidP="00BF25F3">
            <w:pPr>
              <w:tabs>
                <w:tab w:val="left" w:pos="6075"/>
              </w:tabs>
              <w:rPr>
                <w:lang w:val="fr-CA"/>
              </w:rPr>
            </w:pPr>
          </w:p>
        </w:tc>
        <w:tc>
          <w:tcPr>
            <w:tcW w:w="4428" w:type="dxa"/>
          </w:tcPr>
          <w:p w:rsidR="00BF25F3" w:rsidRPr="00606F29" w:rsidRDefault="00BF25F3" w:rsidP="00BF25F3">
            <w:pPr>
              <w:tabs>
                <w:tab w:val="left" w:pos="6075"/>
              </w:tabs>
              <w:rPr>
                <w:lang w:val="fr-CA"/>
              </w:rPr>
            </w:pPr>
          </w:p>
        </w:tc>
      </w:tr>
      <w:tr w:rsidR="00BF25F3" w:rsidRPr="009813FB" w:rsidTr="002E5576">
        <w:tc>
          <w:tcPr>
            <w:tcW w:w="4518" w:type="dxa"/>
          </w:tcPr>
          <w:p w:rsidR="00BF25F3" w:rsidRPr="00606F29" w:rsidRDefault="000E27A5" w:rsidP="00BF25F3">
            <w:pPr>
              <w:tabs>
                <w:tab w:val="left" w:pos="6075"/>
              </w:tabs>
              <w:jc w:val="both"/>
              <w:rPr>
                <w:rFonts w:ascii="Arial" w:hAnsi="Arial" w:cs="Arial"/>
                <w:i/>
                <w:sz w:val="20"/>
                <w:szCs w:val="20"/>
              </w:rPr>
            </w:pPr>
            <w:r w:rsidRPr="00606F29">
              <w:rPr>
                <w:rFonts w:ascii="Arial" w:hAnsi="Arial" w:cs="Arial"/>
                <w:i/>
                <w:sz w:val="20"/>
                <w:szCs w:val="20"/>
              </w:rPr>
              <w:fldChar w:fldCharType="begin"/>
            </w:r>
            <w:r w:rsidR="00BF25F3" w:rsidRPr="00606F29">
              <w:rPr>
                <w:rFonts w:ascii="Arial" w:hAnsi="Arial" w:cs="Arial"/>
                <w:i/>
                <w:sz w:val="20"/>
                <w:szCs w:val="20"/>
              </w:rPr>
              <w:instrText xml:space="preserve"> SEQ CHAPTER \h \r 1</w:instrText>
            </w:r>
            <w:r w:rsidRPr="00606F29">
              <w:rPr>
                <w:rFonts w:ascii="Arial" w:hAnsi="Arial" w:cs="Arial"/>
                <w:i/>
                <w:sz w:val="20"/>
                <w:szCs w:val="20"/>
              </w:rPr>
              <w:fldChar w:fldCharType="end"/>
            </w:r>
            <w:r w:rsidR="00BF25F3" w:rsidRPr="00606F2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606F29" w:rsidRDefault="00BF25F3" w:rsidP="00BF25F3">
            <w:pPr>
              <w:tabs>
                <w:tab w:val="left" w:pos="6075"/>
              </w:tabs>
              <w:jc w:val="both"/>
              <w:rPr>
                <w:rFonts w:ascii="Arial" w:hAnsi="Arial" w:cs="Arial"/>
                <w:i/>
                <w:sz w:val="20"/>
                <w:szCs w:val="20"/>
              </w:rPr>
            </w:pPr>
          </w:p>
        </w:tc>
        <w:tc>
          <w:tcPr>
            <w:tcW w:w="4428" w:type="dxa"/>
          </w:tcPr>
          <w:p w:rsidR="00BF25F3" w:rsidRPr="00606F29" w:rsidRDefault="000E27A5" w:rsidP="00BF25F3">
            <w:pPr>
              <w:tabs>
                <w:tab w:val="left" w:pos="6075"/>
              </w:tabs>
              <w:jc w:val="both"/>
              <w:rPr>
                <w:rFonts w:ascii="Arial" w:hAnsi="Arial" w:cs="Arial"/>
                <w:i/>
                <w:sz w:val="20"/>
                <w:szCs w:val="20"/>
                <w:lang w:val="fr-CA"/>
              </w:rPr>
            </w:pPr>
            <w:r w:rsidRPr="00606F29">
              <w:rPr>
                <w:rFonts w:ascii="Arial" w:hAnsi="Arial" w:cs="Arial"/>
                <w:i/>
                <w:sz w:val="20"/>
                <w:szCs w:val="20"/>
                <w:lang w:val="fr-CA"/>
              </w:rPr>
              <w:fldChar w:fldCharType="begin"/>
            </w:r>
            <w:r w:rsidR="00BF25F3" w:rsidRPr="00606F29">
              <w:rPr>
                <w:rFonts w:ascii="Arial" w:hAnsi="Arial" w:cs="Arial"/>
                <w:i/>
                <w:sz w:val="20"/>
                <w:szCs w:val="20"/>
                <w:lang w:val="fr-CA"/>
              </w:rPr>
              <w:instrText xml:space="preserve"> SEQ CHAPTER \h \r 1</w:instrText>
            </w:r>
            <w:r w:rsidRPr="00606F29">
              <w:rPr>
                <w:rFonts w:ascii="Arial" w:hAnsi="Arial" w:cs="Arial"/>
                <w:i/>
                <w:sz w:val="20"/>
                <w:szCs w:val="20"/>
                <w:lang w:val="fr-CA"/>
              </w:rPr>
              <w:fldChar w:fldCharType="end"/>
            </w:r>
            <w:r w:rsidR="00BF25F3" w:rsidRPr="00606F2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813FB" w:rsidTr="002E5576">
        <w:tc>
          <w:tcPr>
            <w:tcW w:w="4518" w:type="dxa"/>
          </w:tcPr>
          <w:p w:rsidR="009F3024" w:rsidRPr="00606F29" w:rsidRDefault="009F3024" w:rsidP="009F3024">
            <w:pPr>
              <w:tabs>
                <w:tab w:val="left" w:pos="6075"/>
              </w:tabs>
              <w:rPr>
                <w:rFonts w:cs="Times New Roman"/>
                <w:szCs w:val="24"/>
                <w:lang w:val="fr-CA"/>
              </w:rPr>
            </w:pPr>
          </w:p>
          <w:p w:rsidR="009F3024" w:rsidRPr="00606F29" w:rsidRDefault="009F3024" w:rsidP="009F3024">
            <w:pPr>
              <w:tabs>
                <w:tab w:val="left" w:pos="6075"/>
              </w:tabs>
              <w:rPr>
                <w:rFonts w:cs="Times New Roman"/>
                <w:szCs w:val="24"/>
                <w:lang w:val="fr-CA"/>
              </w:rPr>
            </w:pPr>
          </w:p>
        </w:tc>
        <w:tc>
          <w:tcPr>
            <w:tcW w:w="630" w:type="dxa"/>
          </w:tcPr>
          <w:p w:rsidR="009F3024" w:rsidRPr="00606F29" w:rsidRDefault="009F3024" w:rsidP="009F3024">
            <w:pPr>
              <w:tabs>
                <w:tab w:val="left" w:pos="6075"/>
              </w:tabs>
              <w:rPr>
                <w:rFonts w:cs="Times New Roman"/>
                <w:szCs w:val="24"/>
                <w:lang w:val="fr-CA"/>
              </w:rPr>
            </w:pPr>
          </w:p>
        </w:tc>
        <w:tc>
          <w:tcPr>
            <w:tcW w:w="4428" w:type="dxa"/>
          </w:tcPr>
          <w:p w:rsidR="009F3024" w:rsidRPr="00606F29" w:rsidRDefault="009F3024" w:rsidP="009F3024">
            <w:pPr>
              <w:tabs>
                <w:tab w:val="left" w:pos="6075"/>
              </w:tabs>
              <w:rPr>
                <w:rFonts w:cs="Times New Roman"/>
                <w:szCs w:val="24"/>
                <w:lang w:val="fr-CA"/>
              </w:rPr>
            </w:pPr>
          </w:p>
        </w:tc>
      </w:tr>
      <w:tr w:rsidR="009F3024" w:rsidRPr="009813FB" w:rsidTr="002E5576">
        <w:tc>
          <w:tcPr>
            <w:tcW w:w="4518" w:type="dxa"/>
          </w:tcPr>
          <w:p w:rsidR="009F3024" w:rsidRPr="00606F29" w:rsidRDefault="009F3024" w:rsidP="00E414CA">
            <w:pPr>
              <w:tabs>
                <w:tab w:val="left" w:pos="6075"/>
              </w:tabs>
              <w:jc w:val="both"/>
              <w:rPr>
                <w:rFonts w:ascii="Arial" w:hAnsi="Arial" w:cs="Arial"/>
                <w:i/>
                <w:sz w:val="20"/>
                <w:szCs w:val="20"/>
              </w:rPr>
            </w:pPr>
            <w:r w:rsidRPr="00606F29">
              <w:rPr>
                <w:rFonts w:ascii="Arial" w:hAnsi="Arial" w:cs="Arial"/>
                <w:i/>
                <w:sz w:val="20"/>
                <w:szCs w:val="20"/>
              </w:rPr>
              <w:t xml:space="preserve">Consult the Supreme Court of Canada website at </w:t>
            </w:r>
            <w:hyperlink r:id="rId8" w:history="1">
              <w:r w:rsidR="00E414CA" w:rsidRPr="00606F29">
                <w:rPr>
                  <w:rStyle w:val="Hyperlink"/>
                  <w:rFonts w:ascii="Arial" w:hAnsi="Arial" w:cs="Arial"/>
                  <w:i/>
                  <w:sz w:val="20"/>
                  <w:szCs w:val="20"/>
                </w:rPr>
                <w:t>www.scc-csc.ca</w:t>
              </w:r>
            </w:hyperlink>
            <w:r w:rsidRPr="00606F29">
              <w:rPr>
                <w:rFonts w:ascii="Arial" w:hAnsi="Arial" w:cs="Arial"/>
                <w:i/>
                <w:sz w:val="20"/>
                <w:szCs w:val="20"/>
              </w:rPr>
              <w:t xml:space="preserve"> for more information.</w:t>
            </w:r>
          </w:p>
        </w:tc>
        <w:tc>
          <w:tcPr>
            <w:tcW w:w="630" w:type="dxa"/>
          </w:tcPr>
          <w:p w:rsidR="009F3024" w:rsidRPr="00606F29" w:rsidRDefault="009F3024" w:rsidP="00BF25F3">
            <w:pPr>
              <w:tabs>
                <w:tab w:val="left" w:pos="6075"/>
              </w:tabs>
              <w:jc w:val="both"/>
              <w:rPr>
                <w:rFonts w:ascii="Arial" w:hAnsi="Arial" w:cs="Arial"/>
                <w:i/>
                <w:sz w:val="20"/>
                <w:szCs w:val="20"/>
              </w:rPr>
            </w:pPr>
          </w:p>
        </w:tc>
        <w:tc>
          <w:tcPr>
            <w:tcW w:w="4428" w:type="dxa"/>
          </w:tcPr>
          <w:p w:rsidR="009F3024" w:rsidRPr="00606F29" w:rsidRDefault="009F3024" w:rsidP="00E414CA">
            <w:pPr>
              <w:tabs>
                <w:tab w:val="left" w:pos="6075"/>
              </w:tabs>
              <w:jc w:val="both"/>
              <w:rPr>
                <w:rFonts w:ascii="Arial" w:hAnsi="Arial" w:cs="Arial"/>
                <w:i/>
                <w:sz w:val="20"/>
                <w:szCs w:val="20"/>
                <w:lang w:val="fr-CA"/>
              </w:rPr>
            </w:pPr>
            <w:r w:rsidRPr="00606F29">
              <w:rPr>
                <w:rFonts w:ascii="Arial" w:hAnsi="Arial" w:cs="Arial"/>
                <w:i/>
                <w:sz w:val="20"/>
                <w:szCs w:val="20"/>
                <w:lang w:val="fr-CA"/>
              </w:rPr>
              <w:t xml:space="preserve">Pour de plus amples informations, consulter le site Web de la Cour suprême du Canada à l’adresse suivante : </w:t>
            </w:r>
            <w:r w:rsidR="009813FB">
              <w:fldChar w:fldCharType="begin"/>
            </w:r>
            <w:r w:rsidR="009813FB" w:rsidRPr="009813FB">
              <w:rPr>
                <w:lang w:val="fr-CA"/>
              </w:rPr>
              <w:instrText xml:space="preserve"> HYPERLINK "http://www.scc-csc.ca" </w:instrText>
            </w:r>
            <w:r w:rsidR="009813FB">
              <w:fldChar w:fldCharType="separate"/>
            </w:r>
            <w:r w:rsidR="0081473A" w:rsidRPr="00606F29">
              <w:rPr>
                <w:rStyle w:val="Hyperlink"/>
                <w:rFonts w:ascii="Arial" w:hAnsi="Arial" w:cs="Arial"/>
                <w:i/>
                <w:sz w:val="20"/>
                <w:szCs w:val="20"/>
                <w:lang w:val="fr-CA"/>
              </w:rPr>
              <w:t>www.scc-csc.ca</w:t>
            </w:r>
            <w:r w:rsidR="009813FB">
              <w:rPr>
                <w:rStyle w:val="Hyperlink"/>
                <w:rFonts w:ascii="Arial" w:hAnsi="Arial" w:cs="Arial"/>
                <w:i/>
                <w:sz w:val="20"/>
                <w:szCs w:val="20"/>
                <w:lang w:val="fr-CA"/>
              </w:rPr>
              <w:fldChar w:fldCharType="end"/>
            </w:r>
            <w:r w:rsidRPr="00606F29">
              <w:rPr>
                <w:rFonts w:ascii="Arial" w:hAnsi="Arial" w:cs="Arial"/>
                <w:i/>
                <w:sz w:val="20"/>
                <w:szCs w:val="20"/>
                <w:lang w:val="fr-CA"/>
              </w:rPr>
              <w:t xml:space="preserve"> </w:t>
            </w:r>
          </w:p>
        </w:tc>
      </w:tr>
    </w:tbl>
    <w:p w:rsidR="00BF25F3" w:rsidRPr="00606F29" w:rsidRDefault="00BF25F3" w:rsidP="00BF25F3">
      <w:pPr>
        <w:tabs>
          <w:tab w:val="left" w:pos="6075"/>
        </w:tabs>
        <w:rPr>
          <w:lang w:val="fr-CA"/>
        </w:rPr>
      </w:pPr>
    </w:p>
    <w:p w:rsidR="00440E24" w:rsidRPr="00606F29" w:rsidRDefault="00440E24" w:rsidP="00440E24">
      <w:pPr>
        <w:pBdr>
          <w:bottom w:val="single" w:sz="6" w:space="1" w:color="auto"/>
        </w:pBdr>
        <w:tabs>
          <w:tab w:val="left" w:pos="6075"/>
        </w:tabs>
        <w:rPr>
          <w:lang w:val="fr-CA"/>
        </w:rPr>
      </w:pPr>
    </w:p>
    <w:p w:rsidR="00440E24" w:rsidRPr="00606F29" w:rsidRDefault="00440E24" w:rsidP="00440E24">
      <w:pPr>
        <w:rPr>
          <w:lang w:val="fr-CA"/>
        </w:rPr>
      </w:pPr>
    </w:p>
    <w:p w:rsidR="00600252" w:rsidRPr="00606F29" w:rsidRDefault="006D031A" w:rsidP="00F0068D">
      <w:pPr>
        <w:pBdr>
          <w:bottom w:val="single" w:sz="6" w:space="1" w:color="auto"/>
        </w:pBdr>
        <w:tabs>
          <w:tab w:val="center" w:pos="4680"/>
          <w:tab w:val="right" w:pos="9360"/>
        </w:tabs>
        <w:rPr>
          <w:lang w:val="fr-CA"/>
        </w:rPr>
      </w:pPr>
      <w:r w:rsidRPr="00606F29">
        <w:rPr>
          <w:lang w:val="fr-CA"/>
        </w:rPr>
        <w:t>March</w:t>
      </w:r>
      <w:r w:rsidR="00440E24" w:rsidRPr="00606F29">
        <w:rPr>
          <w:lang w:val="fr-CA"/>
        </w:rPr>
        <w:t xml:space="preserve"> </w:t>
      </w:r>
      <w:r w:rsidRPr="00606F29">
        <w:rPr>
          <w:lang w:val="fr-CA"/>
        </w:rPr>
        <w:t>29</w:t>
      </w:r>
      <w:r w:rsidR="00440E24" w:rsidRPr="00606F29">
        <w:rPr>
          <w:lang w:val="fr-CA"/>
        </w:rPr>
        <w:t>, 201</w:t>
      </w:r>
      <w:r w:rsidR="00DC0577" w:rsidRPr="00606F29">
        <w:rPr>
          <w:lang w:val="fr-CA"/>
        </w:rPr>
        <w:t>8</w:t>
      </w:r>
      <w:r w:rsidR="00F0068D" w:rsidRPr="00606F29">
        <w:rPr>
          <w:lang w:val="fr-CA"/>
        </w:rPr>
        <w:tab/>
      </w:r>
      <w:r w:rsidR="00320379" w:rsidRPr="00606F29">
        <w:rPr>
          <w:lang w:val="fr-CA"/>
        </w:rPr>
        <w:t>358</w:t>
      </w:r>
      <w:r w:rsidR="00F0068D" w:rsidRPr="00606F29">
        <w:rPr>
          <w:lang w:val="fr-CA"/>
        </w:rPr>
        <w:t xml:space="preserve"> - </w:t>
      </w:r>
      <w:r w:rsidR="00912512" w:rsidRPr="00606F29">
        <w:rPr>
          <w:lang w:val="fr-CA"/>
        </w:rPr>
        <w:t>38</w:t>
      </w:r>
      <w:r w:rsidR="00145314" w:rsidRPr="00606F29">
        <w:rPr>
          <w:lang w:val="fr-CA"/>
        </w:rPr>
        <w:t>7</w:t>
      </w:r>
      <w:r w:rsidR="00440E24" w:rsidRPr="00606F29">
        <w:rPr>
          <w:lang w:val="fr-CA"/>
        </w:rPr>
        <w:tab/>
        <w:t>Le</w:t>
      </w:r>
      <w:r w:rsidR="00C73D06" w:rsidRPr="00606F29">
        <w:rPr>
          <w:lang w:val="fr-CA"/>
        </w:rPr>
        <w:t xml:space="preserve"> </w:t>
      </w:r>
      <w:r w:rsidRPr="00606F29">
        <w:rPr>
          <w:lang w:val="fr-CA"/>
        </w:rPr>
        <w:t>29</w:t>
      </w:r>
      <w:r w:rsidR="00C73D06" w:rsidRPr="00606F29">
        <w:rPr>
          <w:lang w:val="fr-CA"/>
        </w:rPr>
        <w:t xml:space="preserve"> </w:t>
      </w:r>
      <w:r w:rsidRPr="00606F29">
        <w:rPr>
          <w:lang w:val="fr-CA"/>
        </w:rPr>
        <w:t>mars</w:t>
      </w:r>
      <w:r w:rsidR="00440E24" w:rsidRPr="00606F29">
        <w:rPr>
          <w:lang w:val="fr-CA"/>
        </w:rPr>
        <w:t xml:space="preserve"> 201</w:t>
      </w:r>
      <w:r w:rsidR="00DC0577" w:rsidRPr="00606F29">
        <w:rPr>
          <w:lang w:val="fr-CA"/>
        </w:rPr>
        <w:t>8</w:t>
      </w:r>
    </w:p>
    <w:p w:rsidR="00440E24" w:rsidRPr="00606F29" w:rsidRDefault="00440E24" w:rsidP="00440E24">
      <w:pPr>
        <w:pBdr>
          <w:bottom w:val="single" w:sz="6" w:space="1" w:color="auto"/>
        </w:pBdr>
        <w:tabs>
          <w:tab w:val="right" w:pos="9360"/>
        </w:tabs>
        <w:rPr>
          <w:lang w:val="fr-CA"/>
        </w:rPr>
      </w:pPr>
    </w:p>
    <w:p w:rsidR="00440E24" w:rsidRPr="00606F29" w:rsidRDefault="00440E24" w:rsidP="00440E24">
      <w:pPr>
        <w:pBdr>
          <w:bottom w:val="single" w:sz="6" w:space="1" w:color="auto"/>
        </w:pBdr>
        <w:tabs>
          <w:tab w:val="right" w:pos="9360"/>
        </w:tabs>
        <w:rPr>
          <w:sz w:val="18"/>
          <w:szCs w:val="18"/>
          <w:lang w:val="fr-CA"/>
        </w:rPr>
      </w:pPr>
      <w:r w:rsidRPr="00606F29">
        <w:rPr>
          <w:sz w:val="18"/>
          <w:szCs w:val="18"/>
          <w:lang w:val="fr-CA"/>
        </w:rPr>
        <w:t xml:space="preserve">© </w:t>
      </w:r>
      <w:proofErr w:type="spellStart"/>
      <w:r w:rsidRPr="00606F29">
        <w:rPr>
          <w:sz w:val="18"/>
          <w:szCs w:val="18"/>
          <w:lang w:val="fr-CA"/>
        </w:rPr>
        <w:t>Supreme</w:t>
      </w:r>
      <w:proofErr w:type="spellEnd"/>
      <w:r w:rsidRPr="00606F29">
        <w:rPr>
          <w:sz w:val="18"/>
          <w:szCs w:val="18"/>
          <w:lang w:val="fr-CA"/>
        </w:rPr>
        <w:t xml:space="preserve"> Court of Canada (</w:t>
      </w:r>
      <w:r w:rsidR="0030050B" w:rsidRPr="00606F29">
        <w:rPr>
          <w:sz w:val="18"/>
          <w:szCs w:val="18"/>
          <w:lang w:val="fr-CA"/>
        </w:rPr>
        <w:t>201</w:t>
      </w:r>
      <w:r w:rsidR="00E8544A" w:rsidRPr="00606F29">
        <w:rPr>
          <w:sz w:val="18"/>
          <w:szCs w:val="18"/>
          <w:lang w:val="fr-CA"/>
        </w:rPr>
        <w:t>7</w:t>
      </w:r>
      <w:r w:rsidRPr="00606F29">
        <w:rPr>
          <w:sz w:val="18"/>
          <w:szCs w:val="18"/>
          <w:lang w:val="fr-CA"/>
        </w:rPr>
        <w:t>)</w:t>
      </w:r>
      <w:r w:rsidRPr="00606F29">
        <w:rPr>
          <w:sz w:val="18"/>
          <w:szCs w:val="18"/>
          <w:lang w:val="fr-CA"/>
        </w:rPr>
        <w:tab/>
        <w:t>© Cour suprême du Canada (</w:t>
      </w:r>
      <w:r w:rsidR="0030050B" w:rsidRPr="00606F29">
        <w:rPr>
          <w:sz w:val="18"/>
          <w:szCs w:val="18"/>
          <w:lang w:val="fr-CA"/>
        </w:rPr>
        <w:t>201</w:t>
      </w:r>
      <w:r w:rsidR="00E8544A" w:rsidRPr="00606F29">
        <w:rPr>
          <w:sz w:val="18"/>
          <w:szCs w:val="18"/>
          <w:lang w:val="fr-CA"/>
        </w:rPr>
        <w:t>7</w:t>
      </w:r>
      <w:r w:rsidRPr="00606F29">
        <w:rPr>
          <w:sz w:val="18"/>
          <w:szCs w:val="18"/>
          <w:lang w:val="fr-CA"/>
        </w:rPr>
        <w:t>)</w:t>
      </w:r>
    </w:p>
    <w:p w:rsidR="00440E24" w:rsidRPr="00606F29" w:rsidRDefault="00440E24" w:rsidP="00440E24">
      <w:pPr>
        <w:pBdr>
          <w:bottom w:val="single" w:sz="6" w:space="1" w:color="auto"/>
        </w:pBdr>
        <w:tabs>
          <w:tab w:val="right" w:pos="9360"/>
        </w:tabs>
        <w:rPr>
          <w:sz w:val="18"/>
          <w:szCs w:val="18"/>
          <w:lang w:val="fr-CA"/>
        </w:rPr>
      </w:pPr>
      <w:r w:rsidRPr="00606F29">
        <w:rPr>
          <w:sz w:val="18"/>
          <w:szCs w:val="18"/>
          <w:lang w:val="fr-CA"/>
        </w:rPr>
        <w:t>ISSN 1918-8358 (Online)</w:t>
      </w:r>
      <w:r w:rsidRPr="00606F29">
        <w:rPr>
          <w:sz w:val="18"/>
          <w:szCs w:val="18"/>
          <w:lang w:val="fr-CA"/>
        </w:rPr>
        <w:tab/>
        <w:t>ISSN 1918-8358 (En ligne)</w:t>
      </w:r>
    </w:p>
    <w:p w:rsidR="00600252" w:rsidRPr="00606F29" w:rsidRDefault="00600252" w:rsidP="00BF25F3">
      <w:pPr>
        <w:pBdr>
          <w:bottom w:val="single" w:sz="6" w:space="1" w:color="auto"/>
        </w:pBdr>
        <w:tabs>
          <w:tab w:val="left" w:pos="6075"/>
        </w:tabs>
        <w:rPr>
          <w:lang w:val="fr-CA"/>
        </w:rPr>
      </w:pPr>
    </w:p>
    <w:p w:rsidR="0030050B" w:rsidRPr="00606F2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606F29" w:rsidTr="00245129">
        <w:tc>
          <w:tcPr>
            <w:tcW w:w="4290" w:type="dxa"/>
            <w:shd w:val="clear" w:color="auto" w:fill="auto"/>
            <w:tcMar>
              <w:left w:w="0" w:type="dxa"/>
              <w:right w:w="0" w:type="dxa"/>
            </w:tcMar>
          </w:tcPr>
          <w:p w:rsidR="00245129" w:rsidRPr="00606F29" w:rsidRDefault="00245129" w:rsidP="00245129">
            <w:pPr>
              <w:jc w:val="both"/>
              <w:rPr>
                <w:rFonts w:eastAsia="Times New Roman" w:cs="Times New Roman"/>
                <w:b/>
                <w:sz w:val="20"/>
                <w:szCs w:val="20"/>
                <w:lang w:eastAsia="en-CA"/>
              </w:rPr>
            </w:pPr>
            <w:r w:rsidRPr="00606F29">
              <w:rPr>
                <w:b/>
              </w:rPr>
              <w:lastRenderedPageBreak/>
              <w:t>CONTENTS</w:t>
            </w:r>
          </w:p>
        </w:tc>
        <w:tc>
          <w:tcPr>
            <w:tcW w:w="1200" w:type="dxa"/>
            <w:shd w:val="clear" w:color="auto" w:fill="auto"/>
            <w:tcMar>
              <w:left w:w="0" w:type="dxa"/>
              <w:right w:w="0" w:type="dxa"/>
            </w:tcMar>
          </w:tcPr>
          <w:p w:rsidR="00245129" w:rsidRPr="00606F29" w:rsidRDefault="00245129" w:rsidP="00245129">
            <w:pPr>
              <w:jc w:val="center"/>
              <w:rPr>
                <w:rFonts w:eastAsia="Times New Roman" w:cs="Times New Roman"/>
                <w:b/>
                <w:sz w:val="20"/>
                <w:szCs w:val="20"/>
                <w:lang w:eastAsia="en-CA"/>
              </w:rPr>
            </w:pPr>
          </w:p>
          <w:p w:rsidR="00245129" w:rsidRPr="00606F29"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606F29" w:rsidRDefault="00245129" w:rsidP="00245129">
            <w:pPr>
              <w:rPr>
                <w:rFonts w:eastAsia="Times New Roman" w:cs="Times New Roman"/>
                <w:b/>
                <w:sz w:val="20"/>
                <w:szCs w:val="20"/>
                <w:lang w:val="fr-CA" w:eastAsia="en-CA"/>
              </w:rPr>
            </w:pPr>
            <w:r w:rsidRPr="00606F29">
              <w:rPr>
                <w:b/>
                <w:lang w:val="fr-CA"/>
              </w:rPr>
              <w:t>TABLE DES MATIÈRES</w:t>
            </w:r>
          </w:p>
        </w:tc>
      </w:tr>
    </w:tbl>
    <w:p w:rsidR="0095096B" w:rsidRPr="00606F29"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813FB" w:rsidTr="00164E6D">
        <w:tc>
          <w:tcPr>
            <w:tcW w:w="3708" w:type="dxa"/>
          </w:tcPr>
          <w:p w:rsidR="0095096B" w:rsidRPr="00606F29" w:rsidRDefault="0095096B" w:rsidP="0095096B">
            <w:pPr>
              <w:tabs>
                <w:tab w:val="right" w:pos="9360"/>
              </w:tabs>
              <w:rPr>
                <w:rFonts w:cs="Times New Roman"/>
                <w:sz w:val="20"/>
                <w:szCs w:val="20"/>
              </w:rPr>
            </w:pPr>
            <w:r w:rsidRPr="00606F29">
              <w:rPr>
                <w:rFonts w:cs="Times New Roman"/>
                <w:sz w:val="20"/>
                <w:szCs w:val="20"/>
              </w:rPr>
              <w:t xml:space="preserve">Applications for leave to appeal </w:t>
            </w:r>
          </w:p>
          <w:p w:rsidR="0095096B" w:rsidRPr="00606F29" w:rsidRDefault="0095096B" w:rsidP="0095096B">
            <w:pPr>
              <w:tabs>
                <w:tab w:val="right" w:pos="9360"/>
              </w:tabs>
              <w:rPr>
                <w:rFonts w:cs="Times New Roman"/>
                <w:sz w:val="20"/>
                <w:szCs w:val="20"/>
              </w:rPr>
            </w:pPr>
            <w:r w:rsidRPr="00606F29">
              <w:rPr>
                <w:rFonts w:cs="Times New Roman"/>
                <w:sz w:val="20"/>
                <w:szCs w:val="20"/>
              </w:rPr>
              <w:t>filed</w:t>
            </w:r>
          </w:p>
          <w:p w:rsidR="0095096B" w:rsidRPr="00606F29" w:rsidRDefault="0095096B" w:rsidP="0095096B">
            <w:pPr>
              <w:tabs>
                <w:tab w:val="right" w:pos="9360"/>
              </w:tabs>
              <w:rPr>
                <w:rFonts w:cs="Times New Roman"/>
                <w:sz w:val="20"/>
                <w:szCs w:val="20"/>
              </w:rPr>
            </w:pPr>
          </w:p>
          <w:p w:rsidR="0095096B" w:rsidRPr="00606F29" w:rsidRDefault="0095096B" w:rsidP="0095096B">
            <w:pPr>
              <w:tabs>
                <w:tab w:val="right" w:pos="9360"/>
              </w:tabs>
              <w:rPr>
                <w:rFonts w:cs="Times New Roman"/>
                <w:sz w:val="20"/>
                <w:szCs w:val="20"/>
              </w:rPr>
            </w:pPr>
            <w:r w:rsidRPr="00606F29">
              <w:rPr>
                <w:rFonts w:cs="Times New Roman"/>
                <w:sz w:val="20"/>
                <w:szCs w:val="20"/>
              </w:rPr>
              <w:t xml:space="preserve">Applications for leave submitted </w:t>
            </w:r>
          </w:p>
          <w:p w:rsidR="0095096B" w:rsidRPr="00606F29" w:rsidRDefault="0095096B" w:rsidP="0095096B">
            <w:pPr>
              <w:tabs>
                <w:tab w:val="right" w:pos="9360"/>
              </w:tabs>
              <w:rPr>
                <w:rFonts w:cs="Times New Roman"/>
                <w:sz w:val="20"/>
                <w:szCs w:val="20"/>
              </w:rPr>
            </w:pPr>
            <w:r w:rsidRPr="00606F29">
              <w:rPr>
                <w:rFonts w:cs="Times New Roman"/>
                <w:sz w:val="20"/>
                <w:szCs w:val="20"/>
              </w:rPr>
              <w:t>to Court since last issue</w:t>
            </w:r>
          </w:p>
          <w:p w:rsidR="0095096B" w:rsidRPr="00606F29" w:rsidRDefault="0095096B" w:rsidP="0095096B">
            <w:pPr>
              <w:tabs>
                <w:tab w:val="right" w:pos="9360"/>
              </w:tabs>
              <w:rPr>
                <w:rFonts w:cs="Times New Roman"/>
                <w:sz w:val="20"/>
                <w:szCs w:val="20"/>
              </w:rPr>
            </w:pPr>
          </w:p>
          <w:p w:rsidR="0095096B" w:rsidRPr="00606F29" w:rsidRDefault="0095096B" w:rsidP="0095096B">
            <w:pPr>
              <w:tabs>
                <w:tab w:val="right" w:pos="9360"/>
              </w:tabs>
              <w:rPr>
                <w:rFonts w:cs="Times New Roman"/>
                <w:sz w:val="20"/>
                <w:szCs w:val="20"/>
              </w:rPr>
            </w:pPr>
            <w:r w:rsidRPr="00606F29">
              <w:rPr>
                <w:rFonts w:cs="Times New Roman"/>
                <w:sz w:val="20"/>
                <w:szCs w:val="20"/>
              </w:rPr>
              <w:t xml:space="preserve">Judgments on applications for </w:t>
            </w:r>
          </w:p>
          <w:p w:rsidR="0095096B" w:rsidRPr="00606F29" w:rsidRDefault="0095096B" w:rsidP="0095096B">
            <w:pPr>
              <w:tabs>
                <w:tab w:val="right" w:pos="9360"/>
              </w:tabs>
              <w:rPr>
                <w:rFonts w:cs="Times New Roman"/>
                <w:sz w:val="20"/>
                <w:szCs w:val="20"/>
              </w:rPr>
            </w:pPr>
            <w:r w:rsidRPr="00606F29">
              <w:rPr>
                <w:rFonts w:cs="Times New Roman"/>
                <w:sz w:val="20"/>
                <w:szCs w:val="20"/>
              </w:rPr>
              <w:t>leave</w:t>
            </w:r>
          </w:p>
          <w:p w:rsidR="0095096B" w:rsidRPr="00606F29" w:rsidRDefault="0095096B" w:rsidP="0095096B">
            <w:pPr>
              <w:tabs>
                <w:tab w:val="right" w:pos="9360"/>
              </w:tabs>
              <w:rPr>
                <w:rFonts w:cs="Times New Roman"/>
                <w:sz w:val="20"/>
                <w:szCs w:val="20"/>
              </w:rPr>
            </w:pPr>
          </w:p>
          <w:p w:rsidR="0095096B" w:rsidRPr="00606F29" w:rsidRDefault="0095096B" w:rsidP="0095096B">
            <w:pPr>
              <w:tabs>
                <w:tab w:val="right" w:pos="9360"/>
              </w:tabs>
              <w:rPr>
                <w:rFonts w:cs="Times New Roman"/>
                <w:sz w:val="20"/>
                <w:szCs w:val="20"/>
              </w:rPr>
            </w:pPr>
            <w:r w:rsidRPr="00606F29">
              <w:rPr>
                <w:rFonts w:cs="Times New Roman"/>
                <w:sz w:val="20"/>
                <w:szCs w:val="20"/>
              </w:rPr>
              <w:t>Motions</w:t>
            </w:r>
          </w:p>
          <w:p w:rsidR="0095096B" w:rsidRPr="00606F29" w:rsidRDefault="0095096B" w:rsidP="0095096B">
            <w:pPr>
              <w:tabs>
                <w:tab w:val="right" w:pos="9360"/>
              </w:tabs>
              <w:rPr>
                <w:rFonts w:cs="Times New Roman"/>
                <w:sz w:val="20"/>
                <w:szCs w:val="20"/>
              </w:rPr>
            </w:pPr>
          </w:p>
          <w:p w:rsidR="0095096B" w:rsidRPr="00606F29" w:rsidRDefault="0095096B" w:rsidP="0095096B">
            <w:pPr>
              <w:tabs>
                <w:tab w:val="right" w:pos="9360"/>
              </w:tabs>
              <w:rPr>
                <w:rFonts w:cs="Times New Roman"/>
                <w:sz w:val="20"/>
                <w:szCs w:val="20"/>
              </w:rPr>
            </w:pPr>
            <w:r w:rsidRPr="00606F29">
              <w:rPr>
                <w:rFonts w:cs="Times New Roman"/>
                <w:sz w:val="20"/>
                <w:szCs w:val="20"/>
              </w:rPr>
              <w:t xml:space="preserve">Notices of appeal filed since last </w:t>
            </w:r>
          </w:p>
          <w:p w:rsidR="0095096B" w:rsidRPr="00606F29" w:rsidRDefault="0095096B" w:rsidP="0095096B">
            <w:pPr>
              <w:tabs>
                <w:tab w:val="right" w:pos="9360"/>
              </w:tabs>
              <w:rPr>
                <w:rFonts w:cs="Times New Roman"/>
                <w:sz w:val="20"/>
                <w:szCs w:val="20"/>
              </w:rPr>
            </w:pPr>
            <w:r w:rsidRPr="00606F29">
              <w:rPr>
                <w:rFonts w:cs="Times New Roman"/>
                <w:sz w:val="20"/>
                <w:szCs w:val="20"/>
              </w:rPr>
              <w:t>issue</w:t>
            </w:r>
          </w:p>
          <w:p w:rsidR="0095096B" w:rsidRPr="00606F29" w:rsidRDefault="0095096B" w:rsidP="0095096B">
            <w:pPr>
              <w:tabs>
                <w:tab w:val="right" w:pos="9360"/>
              </w:tabs>
              <w:rPr>
                <w:rFonts w:cs="Times New Roman"/>
                <w:sz w:val="20"/>
                <w:szCs w:val="20"/>
              </w:rPr>
            </w:pPr>
          </w:p>
          <w:p w:rsidR="0095096B" w:rsidRPr="00606F29" w:rsidRDefault="0095096B" w:rsidP="0095096B">
            <w:pPr>
              <w:tabs>
                <w:tab w:val="right" w:pos="9360"/>
              </w:tabs>
              <w:rPr>
                <w:rFonts w:cs="Times New Roman"/>
                <w:sz w:val="20"/>
                <w:szCs w:val="20"/>
              </w:rPr>
            </w:pPr>
            <w:r w:rsidRPr="00606F29">
              <w:rPr>
                <w:rFonts w:cs="Times New Roman"/>
                <w:sz w:val="20"/>
                <w:szCs w:val="20"/>
              </w:rPr>
              <w:t>Appeals heard since last issue and disposition</w:t>
            </w:r>
          </w:p>
          <w:p w:rsidR="0095096B" w:rsidRPr="00606F29" w:rsidRDefault="0095096B" w:rsidP="0095096B">
            <w:pPr>
              <w:tabs>
                <w:tab w:val="right" w:pos="9360"/>
              </w:tabs>
              <w:rPr>
                <w:rFonts w:cs="Times New Roman"/>
                <w:sz w:val="20"/>
                <w:szCs w:val="20"/>
              </w:rPr>
            </w:pPr>
          </w:p>
          <w:p w:rsidR="00A87207" w:rsidRPr="00606F29" w:rsidRDefault="0095096B" w:rsidP="00A72807">
            <w:pPr>
              <w:tabs>
                <w:tab w:val="right" w:pos="9360"/>
              </w:tabs>
              <w:rPr>
                <w:rFonts w:cs="Times New Roman"/>
                <w:sz w:val="20"/>
                <w:szCs w:val="20"/>
              </w:rPr>
            </w:pPr>
            <w:r w:rsidRPr="00606F29">
              <w:rPr>
                <w:rFonts w:cs="Times New Roman"/>
                <w:sz w:val="20"/>
                <w:szCs w:val="20"/>
              </w:rPr>
              <w:t>Judgments reported in S.C.R.</w:t>
            </w:r>
          </w:p>
          <w:p w:rsidR="00A72807" w:rsidRPr="00606F29" w:rsidRDefault="00A72807" w:rsidP="00A72807">
            <w:pPr>
              <w:tabs>
                <w:tab w:val="right" w:pos="9360"/>
              </w:tabs>
              <w:rPr>
                <w:rFonts w:cs="Times New Roman"/>
                <w:sz w:val="20"/>
                <w:szCs w:val="20"/>
              </w:rPr>
            </w:pPr>
          </w:p>
        </w:tc>
        <w:tc>
          <w:tcPr>
            <w:tcW w:w="1980" w:type="dxa"/>
          </w:tcPr>
          <w:p w:rsidR="0095096B" w:rsidRPr="00606F29" w:rsidRDefault="005D0128" w:rsidP="0095096B">
            <w:pPr>
              <w:jc w:val="center"/>
              <w:rPr>
                <w:rFonts w:cs="Times New Roman"/>
                <w:sz w:val="20"/>
                <w:szCs w:val="20"/>
              </w:rPr>
            </w:pPr>
            <w:r w:rsidRPr="00606F29">
              <w:rPr>
                <w:rFonts w:cs="Times New Roman"/>
                <w:sz w:val="20"/>
                <w:szCs w:val="20"/>
              </w:rPr>
              <w:t>358</w:t>
            </w:r>
            <w:r w:rsidR="000E27A5" w:rsidRPr="00606F29">
              <w:rPr>
                <w:rFonts w:cs="Times New Roman"/>
                <w:sz w:val="20"/>
                <w:szCs w:val="20"/>
              </w:rPr>
              <w:fldChar w:fldCharType="begin"/>
            </w:r>
            <w:r w:rsidR="0095096B" w:rsidRPr="00606F29">
              <w:rPr>
                <w:rFonts w:cs="Times New Roman"/>
                <w:sz w:val="20"/>
                <w:szCs w:val="20"/>
              </w:rPr>
              <w:instrText xml:space="preserve"> SEQ CHAPTER \h \r 1</w:instrText>
            </w:r>
            <w:r w:rsidR="000E27A5" w:rsidRPr="00606F29">
              <w:rPr>
                <w:rFonts w:cs="Times New Roman"/>
                <w:sz w:val="20"/>
                <w:szCs w:val="20"/>
              </w:rPr>
              <w:fldChar w:fldCharType="end"/>
            </w:r>
          </w:p>
          <w:p w:rsidR="0095096B" w:rsidRPr="00606F29" w:rsidRDefault="0095096B" w:rsidP="0095096B">
            <w:pPr>
              <w:jc w:val="center"/>
              <w:rPr>
                <w:rFonts w:cs="Times New Roman"/>
                <w:sz w:val="20"/>
                <w:szCs w:val="20"/>
              </w:rPr>
            </w:pPr>
          </w:p>
          <w:p w:rsidR="0095096B" w:rsidRPr="00606F29" w:rsidRDefault="0095096B" w:rsidP="0095096B">
            <w:pPr>
              <w:jc w:val="center"/>
              <w:rPr>
                <w:rFonts w:cs="Times New Roman"/>
                <w:sz w:val="20"/>
                <w:szCs w:val="20"/>
              </w:rPr>
            </w:pPr>
          </w:p>
          <w:p w:rsidR="0095096B" w:rsidRPr="00606F29" w:rsidRDefault="005D0128" w:rsidP="0095096B">
            <w:pPr>
              <w:jc w:val="center"/>
              <w:rPr>
                <w:rFonts w:cs="Times New Roman"/>
                <w:sz w:val="20"/>
                <w:szCs w:val="20"/>
              </w:rPr>
            </w:pPr>
            <w:r w:rsidRPr="00606F29">
              <w:rPr>
                <w:rFonts w:cs="Times New Roman"/>
                <w:sz w:val="20"/>
                <w:szCs w:val="20"/>
              </w:rPr>
              <w:t>359</w:t>
            </w:r>
          </w:p>
          <w:p w:rsidR="0095096B" w:rsidRPr="00606F29" w:rsidRDefault="0095096B" w:rsidP="0095096B">
            <w:pPr>
              <w:jc w:val="center"/>
              <w:rPr>
                <w:rFonts w:cs="Times New Roman"/>
                <w:sz w:val="20"/>
                <w:szCs w:val="20"/>
              </w:rPr>
            </w:pPr>
          </w:p>
          <w:p w:rsidR="0095096B" w:rsidRPr="00606F29" w:rsidRDefault="0095096B" w:rsidP="0095096B">
            <w:pPr>
              <w:jc w:val="center"/>
              <w:rPr>
                <w:rFonts w:cs="Times New Roman"/>
                <w:sz w:val="20"/>
                <w:szCs w:val="20"/>
              </w:rPr>
            </w:pPr>
          </w:p>
          <w:p w:rsidR="0095096B" w:rsidRPr="00606F29" w:rsidRDefault="005D0128" w:rsidP="0095096B">
            <w:pPr>
              <w:jc w:val="center"/>
              <w:rPr>
                <w:rFonts w:cs="Times New Roman"/>
                <w:sz w:val="20"/>
                <w:szCs w:val="20"/>
              </w:rPr>
            </w:pPr>
            <w:r w:rsidRPr="00606F29">
              <w:rPr>
                <w:rFonts w:cs="Times New Roman"/>
                <w:sz w:val="20"/>
                <w:szCs w:val="20"/>
              </w:rPr>
              <w:t>360 - 37</w:t>
            </w:r>
            <w:r w:rsidR="00145314" w:rsidRPr="00606F29">
              <w:rPr>
                <w:rFonts w:cs="Times New Roman"/>
                <w:sz w:val="20"/>
                <w:szCs w:val="20"/>
              </w:rPr>
              <w:t>4</w:t>
            </w:r>
          </w:p>
          <w:p w:rsidR="0095096B" w:rsidRPr="00606F29" w:rsidRDefault="0095096B" w:rsidP="0095096B">
            <w:pPr>
              <w:jc w:val="center"/>
              <w:rPr>
                <w:rFonts w:cs="Times New Roman"/>
                <w:sz w:val="20"/>
                <w:szCs w:val="20"/>
              </w:rPr>
            </w:pPr>
          </w:p>
          <w:p w:rsidR="0095096B" w:rsidRPr="00606F29" w:rsidRDefault="0095096B" w:rsidP="0095096B">
            <w:pPr>
              <w:jc w:val="center"/>
              <w:rPr>
                <w:rFonts w:cs="Times New Roman"/>
                <w:sz w:val="20"/>
                <w:szCs w:val="20"/>
              </w:rPr>
            </w:pPr>
          </w:p>
          <w:p w:rsidR="005D0128" w:rsidRPr="00606F29" w:rsidRDefault="00145314" w:rsidP="0095096B">
            <w:pPr>
              <w:jc w:val="center"/>
              <w:rPr>
                <w:rFonts w:cs="Times New Roman"/>
                <w:sz w:val="20"/>
                <w:szCs w:val="20"/>
              </w:rPr>
            </w:pPr>
            <w:r w:rsidRPr="00606F29">
              <w:rPr>
                <w:rFonts w:cs="Times New Roman"/>
                <w:sz w:val="20"/>
                <w:szCs w:val="20"/>
              </w:rPr>
              <w:t>375</w:t>
            </w:r>
            <w:r w:rsidR="005D0128" w:rsidRPr="00606F29">
              <w:rPr>
                <w:rFonts w:cs="Times New Roman"/>
                <w:sz w:val="20"/>
                <w:szCs w:val="20"/>
              </w:rPr>
              <w:t xml:space="preserve"> - 38</w:t>
            </w:r>
            <w:r w:rsidRPr="00606F29">
              <w:rPr>
                <w:rFonts w:cs="Times New Roman"/>
                <w:sz w:val="20"/>
                <w:szCs w:val="20"/>
              </w:rPr>
              <w:t>4</w:t>
            </w:r>
          </w:p>
          <w:p w:rsidR="0095096B" w:rsidRPr="00606F29" w:rsidRDefault="0095096B" w:rsidP="0095096B">
            <w:pPr>
              <w:jc w:val="center"/>
              <w:rPr>
                <w:rFonts w:cs="Times New Roman"/>
                <w:sz w:val="20"/>
                <w:szCs w:val="20"/>
              </w:rPr>
            </w:pPr>
          </w:p>
          <w:p w:rsidR="0095096B" w:rsidRPr="00606F29" w:rsidRDefault="00145314" w:rsidP="0095096B">
            <w:pPr>
              <w:jc w:val="center"/>
              <w:rPr>
                <w:rFonts w:cs="Times New Roman"/>
                <w:sz w:val="20"/>
                <w:szCs w:val="20"/>
              </w:rPr>
            </w:pPr>
            <w:r w:rsidRPr="00606F29">
              <w:rPr>
                <w:rFonts w:cs="Times New Roman"/>
                <w:sz w:val="20"/>
                <w:szCs w:val="20"/>
              </w:rPr>
              <w:t>385</w:t>
            </w:r>
          </w:p>
          <w:p w:rsidR="0095096B" w:rsidRPr="00606F29" w:rsidRDefault="0095096B" w:rsidP="0095096B">
            <w:pPr>
              <w:jc w:val="center"/>
              <w:rPr>
                <w:rFonts w:cs="Times New Roman"/>
                <w:sz w:val="20"/>
                <w:szCs w:val="20"/>
              </w:rPr>
            </w:pPr>
          </w:p>
          <w:p w:rsidR="0095096B" w:rsidRPr="00606F29" w:rsidRDefault="0095096B" w:rsidP="0095096B">
            <w:pPr>
              <w:jc w:val="center"/>
              <w:rPr>
                <w:rFonts w:cs="Times New Roman"/>
                <w:sz w:val="20"/>
                <w:szCs w:val="20"/>
              </w:rPr>
            </w:pPr>
          </w:p>
          <w:p w:rsidR="0095096B" w:rsidRPr="00606F29" w:rsidRDefault="00145314" w:rsidP="0095096B">
            <w:pPr>
              <w:jc w:val="center"/>
              <w:rPr>
                <w:rFonts w:cs="Times New Roman"/>
                <w:sz w:val="20"/>
                <w:szCs w:val="20"/>
              </w:rPr>
            </w:pPr>
            <w:r w:rsidRPr="00606F29">
              <w:rPr>
                <w:rFonts w:cs="Times New Roman"/>
                <w:sz w:val="20"/>
                <w:szCs w:val="20"/>
              </w:rPr>
              <w:t>386</w:t>
            </w:r>
          </w:p>
          <w:p w:rsidR="0095096B" w:rsidRPr="00606F29" w:rsidRDefault="0095096B" w:rsidP="0095096B">
            <w:pPr>
              <w:jc w:val="center"/>
              <w:rPr>
                <w:rFonts w:cs="Times New Roman"/>
                <w:sz w:val="20"/>
                <w:szCs w:val="20"/>
              </w:rPr>
            </w:pPr>
          </w:p>
          <w:p w:rsidR="0095096B" w:rsidRPr="00606F29" w:rsidRDefault="0095096B" w:rsidP="0095096B">
            <w:pPr>
              <w:jc w:val="center"/>
              <w:rPr>
                <w:rFonts w:cs="Times New Roman"/>
                <w:sz w:val="20"/>
                <w:szCs w:val="20"/>
              </w:rPr>
            </w:pPr>
          </w:p>
          <w:p w:rsidR="00A87207" w:rsidRPr="00606F29" w:rsidRDefault="00145314" w:rsidP="00A72807">
            <w:pPr>
              <w:jc w:val="center"/>
              <w:rPr>
                <w:rFonts w:cs="Times New Roman"/>
                <w:sz w:val="20"/>
                <w:szCs w:val="20"/>
              </w:rPr>
            </w:pPr>
            <w:r w:rsidRPr="00606F29">
              <w:rPr>
                <w:rFonts w:cs="Times New Roman"/>
                <w:sz w:val="20"/>
                <w:szCs w:val="20"/>
              </w:rPr>
              <w:t>387</w:t>
            </w:r>
            <w:r w:rsidR="005D0128" w:rsidRPr="00606F29">
              <w:rPr>
                <w:rFonts w:cs="Times New Roman"/>
                <w:sz w:val="20"/>
                <w:szCs w:val="20"/>
              </w:rPr>
              <w:t xml:space="preserve"> </w:t>
            </w:r>
          </w:p>
        </w:tc>
        <w:tc>
          <w:tcPr>
            <w:tcW w:w="3888" w:type="dxa"/>
          </w:tcPr>
          <w:p w:rsidR="0095096B" w:rsidRPr="00606F29" w:rsidRDefault="000E27A5" w:rsidP="0095096B">
            <w:pPr>
              <w:rPr>
                <w:rFonts w:cs="Times New Roman"/>
                <w:sz w:val="20"/>
                <w:szCs w:val="20"/>
                <w:lang w:val="fr-CA"/>
              </w:rPr>
            </w:pPr>
            <w:r w:rsidRPr="00606F29">
              <w:rPr>
                <w:rFonts w:cs="Times New Roman"/>
                <w:sz w:val="20"/>
                <w:szCs w:val="20"/>
                <w:lang w:val="fr-CA"/>
              </w:rPr>
              <w:fldChar w:fldCharType="begin"/>
            </w:r>
            <w:r w:rsidR="0095096B" w:rsidRPr="00606F29">
              <w:rPr>
                <w:rFonts w:cs="Times New Roman"/>
                <w:sz w:val="20"/>
                <w:szCs w:val="20"/>
                <w:lang w:val="fr-CA"/>
              </w:rPr>
              <w:instrText xml:space="preserve"> SEQ CHAPTER \h \r 1</w:instrText>
            </w:r>
            <w:r w:rsidRPr="00606F29">
              <w:rPr>
                <w:rFonts w:cs="Times New Roman"/>
                <w:sz w:val="20"/>
                <w:szCs w:val="20"/>
                <w:lang w:val="fr-CA"/>
              </w:rPr>
              <w:fldChar w:fldCharType="end"/>
            </w:r>
            <w:r w:rsidR="0095096B" w:rsidRPr="00606F29">
              <w:rPr>
                <w:rFonts w:cs="Times New Roman"/>
                <w:sz w:val="20"/>
                <w:szCs w:val="20"/>
                <w:lang w:val="fr-CA"/>
              </w:rPr>
              <w:t>Demandes d</w:t>
            </w:r>
            <w:r w:rsidR="004137A0" w:rsidRPr="00606F29">
              <w:rPr>
                <w:rFonts w:cs="Times New Roman"/>
                <w:sz w:val="20"/>
                <w:szCs w:val="20"/>
                <w:lang w:val="fr-CA"/>
              </w:rPr>
              <w:t>’</w:t>
            </w:r>
            <w:r w:rsidR="0095096B" w:rsidRPr="00606F29">
              <w:rPr>
                <w:rFonts w:cs="Times New Roman"/>
                <w:sz w:val="20"/>
                <w:szCs w:val="20"/>
                <w:lang w:val="fr-CA"/>
              </w:rPr>
              <w:t>autorisation d</w:t>
            </w:r>
            <w:r w:rsidR="004137A0" w:rsidRPr="00606F29">
              <w:rPr>
                <w:rFonts w:cs="Times New Roman"/>
                <w:sz w:val="20"/>
                <w:szCs w:val="20"/>
                <w:lang w:val="fr-CA"/>
              </w:rPr>
              <w:t>’</w:t>
            </w:r>
            <w:r w:rsidR="0095096B" w:rsidRPr="00606F29">
              <w:rPr>
                <w:rFonts w:cs="Times New Roman"/>
                <w:sz w:val="20"/>
                <w:szCs w:val="20"/>
                <w:lang w:val="fr-CA"/>
              </w:rPr>
              <w:t xml:space="preserve">appel </w:t>
            </w:r>
          </w:p>
          <w:p w:rsidR="0095096B" w:rsidRPr="00606F29" w:rsidRDefault="0095096B" w:rsidP="0095096B">
            <w:pPr>
              <w:rPr>
                <w:rFonts w:cs="Times New Roman"/>
                <w:sz w:val="20"/>
                <w:szCs w:val="20"/>
                <w:lang w:val="fr-CA"/>
              </w:rPr>
            </w:pPr>
            <w:r w:rsidRPr="00606F29">
              <w:rPr>
                <w:rFonts w:cs="Times New Roman"/>
                <w:sz w:val="20"/>
                <w:szCs w:val="20"/>
                <w:lang w:val="fr-CA"/>
              </w:rPr>
              <w:t>déposées</w:t>
            </w:r>
          </w:p>
          <w:p w:rsidR="0095096B" w:rsidRPr="00606F29" w:rsidRDefault="0095096B" w:rsidP="0095096B">
            <w:pPr>
              <w:rPr>
                <w:rFonts w:cs="Times New Roman"/>
                <w:sz w:val="20"/>
                <w:szCs w:val="20"/>
                <w:lang w:val="fr-CA"/>
              </w:rPr>
            </w:pPr>
          </w:p>
          <w:p w:rsidR="0095096B" w:rsidRPr="00606F29" w:rsidRDefault="0095096B" w:rsidP="0095096B">
            <w:pPr>
              <w:rPr>
                <w:rFonts w:cs="Times New Roman"/>
                <w:sz w:val="20"/>
                <w:szCs w:val="20"/>
                <w:lang w:val="fr-CA"/>
              </w:rPr>
            </w:pPr>
            <w:r w:rsidRPr="00606F29">
              <w:rPr>
                <w:rFonts w:cs="Times New Roman"/>
                <w:sz w:val="20"/>
                <w:szCs w:val="20"/>
                <w:lang w:val="fr-CA"/>
              </w:rPr>
              <w:t xml:space="preserve">Demandes soumises à la Cour depuis la </w:t>
            </w:r>
          </w:p>
          <w:p w:rsidR="0095096B" w:rsidRPr="00606F29" w:rsidRDefault="0095096B" w:rsidP="0095096B">
            <w:pPr>
              <w:rPr>
                <w:rFonts w:cs="Times New Roman"/>
                <w:sz w:val="20"/>
                <w:szCs w:val="20"/>
                <w:lang w:val="fr-CA"/>
              </w:rPr>
            </w:pPr>
            <w:r w:rsidRPr="00606F29">
              <w:rPr>
                <w:rFonts w:cs="Times New Roman"/>
                <w:sz w:val="20"/>
                <w:szCs w:val="20"/>
                <w:lang w:val="fr-CA"/>
              </w:rPr>
              <w:t>dernière parution</w:t>
            </w:r>
          </w:p>
          <w:p w:rsidR="0095096B" w:rsidRPr="00606F29" w:rsidRDefault="0095096B" w:rsidP="0095096B">
            <w:pPr>
              <w:rPr>
                <w:rFonts w:cs="Times New Roman"/>
                <w:sz w:val="20"/>
                <w:szCs w:val="20"/>
                <w:lang w:val="fr-CA"/>
              </w:rPr>
            </w:pPr>
          </w:p>
          <w:p w:rsidR="0095096B" w:rsidRPr="00606F29" w:rsidRDefault="0095096B" w:rsidP="0095096B">
            <w:pPr>
              <w:rPr>
                <w:rFonts w:cs="Times New Roman"/>
                <w:sz w:val="20"/>
                <w:szCs w:val="20"/>
                <w:lang w:val="fr-CA"/>
              </w:rPr>
            </w:pPr>
            <w:r w:rsidRPr="00606F29">
              <w:rPr>
                <w:rFonts w:cs="Times New Roman"/>
                <w:sz w:val="20"/>
                <w:szCs w:val="20"/>
                <w:lang w:val="fr-CA"/>
              </w:rPr>
              <w:t xml:space="preserve">Jugements rendus sur les demandes </w:t>
            </w:r>
          </w:p>
          <w:p w:rsidR="0095096B" w:rsidRPr="00606F29" w:rsidRDefault="004137A0" w:rsidP="0095096B">
            <w:pPr>
              <w:rPr>
                <w:rFonts w:cs="Times New Roman"/>
                <w:sz w:val="20"/>
                <w:szCs w:val="20"/>
                <w:lang w:val="fr-CA"/>
              </w:rPr>
            </w:pPr>
            <w:r w:rsidRPr="00606F29">
              <w:rPr>
                <w:rFonts w:cs="Times New Roman"/>
                <w:sz w:val="20"/>
                <w:szCs w:val="20"/>
                <w:lang w:val="fr-CA"/>
              </w:rPr>
              <w:t>d’</w:t>
            </w:r>
            <w:r w:rsidR="0095096B" w:rsidRPr="00606F29">
              <w:rPr>
                <w:rFonts w:cs="Times New Roman"/>
                <w:sz w:val="20"/>
                <w:szCs w:val="20"/>
                <w:lang w:val="fr-CA"/>
              </w:rPr>
              <w:t>autorisation</w:t>
            </w:r>
          </w:p>
          <w:p w:rsidR="0095096B" w:rsidRPr="00606F29" w:rsidRDefault="0095096B" w:rsidP="0095096B">
            <w:pPr>
              <w:rPr>
                <w:rFonts w:cs="Times New Roman"/>
                <w:sz w:val="20"/>
                <w:szCs w:val="20"/>
                <w:lang w:val="fr-CA"/>
              </w:rPr>
            </w:pPr>
          </w:p>
          <w:p w:rsidR="0095096B" w:rsidRPr="00606F29" w:rsidRDefault="0095096B" w:rsidP="0095096B">
            <w:pPr>
              <w:rPr>
                <w:rFonts w:cs="Times New Roman"/>
                <w:sz w:val="20"/>
                <w:szCs w:val="20"/>
                <w:lang w:val="fr-CA"/>
              </w:rPr>
            </w:pPr>
            <w:r w:rsidRPr="00606F29">
              <w:rPr>
                <w:rFonts w:cs="Times New Roman"/>
                <w:sz w:val="20"/>
                <w:szCs w:val="20"/>
                <w:lang w:val="fr-CA"/>
              </w:rPr>
              <w:t>Requêtes</w:t>
            </w:r>
          </w:p>
          <w:p w:rsidR="0095096B" w:rsidRPr="00606F29" w:rsidRDefault="0095096B" w:rsidP="0095096B">
            <w:pPr>
              <w:rPr>
                <w:rFonts w:cs="Times New Roman"/>
                <w:sz w:val="20"/>
                <w:szCs w:val="20"/>
                <w:lang w:val="fr-CA"/>
              </w:rPr>
            </w:pPr>
          </w:p>
          <w:p w:rsidR="0095096B" w:rsidRPr="00606F29" w:rsidRDefault="0095096B" w:rsidP="0095096B">
            <w:pPr>
              <w:rPr>
                <w:rFonts w:cs="Times New Roman"/>
                <w:sz w:val="20"/>
                <w:szCs w:val="20"/>
                <w:lang w:val="fr-CA"/>
              </w:rPr>
            </w:pPr>
            <w:r w:rsidRPr="00606F29">
              <w:rPr>
                <w:rFonts w:cs="Times New Roman"/>
                <w:sz w:val="20"/>
                <w:szCs w:val="20"/>
                <w:lang w:val="fr-CA"/>
              </w:rPr>
              <w:t>Avis d</w:t>
            </w:r>
            <w:r w:rsidR="004137A0" w:rsidRPr="00606F29">
              <w:rPr>
                <w:rFonts w:cs="Times New Roman"/>
                <w:sz w:val="20"/>
                <w:szCs w:val="20"/>
                <w:lang w:val="fr-CA"/>
              </w:rPr>
              <w:t>’</w:t>
            </w:r>
            <w:r w:rsidRPr="00606F29">
              <w:rPr>
                <w:rFonts w:cs="Times New Roman"/>
                <w:sz w:val="20"/>
                <w:szCs w:val="20"/>
                <w:lang w:val="fr-CA"/>
              </w:rPr>
              <w:t xml:space="preserve">appel déposés depuis la dernière </w:t>
            </w:r>
          </w:p>
          <w:p w:rsidR="0095096B" w:rsidRPr="00606F29" w:rsidRDefault="0095096B" w:rsidP="0095096B">
            <w:pPr>
              <w:rPr>
                <w:rFonts w:cs="Times New Roman"/>
                <w:sz w:val="20"/>
                <w:szCs w:val="20"/>
                <w:lang w:val="fr-CA"/>
              </w:rPr>
            </w:pPr>
            <w:r w:rsidRPr="00606F29">
              <w:rPr>
                <w:rFonts w:cs="Times New Roman"/>
                <w:sz w:val="20"/>
                <w:szCs w:val="20"/>
                <w:lang w:val="fr-CA"/>
              </w:rPr>
              <w:t>parution</w:t>
            </w:r>
          </w:p>
          <w:p w:rsidR="0095096B" w:rsidRPr="00606F29" w:rsidRDefault="0095096B" w:rsidP="0095096B">
            <w:pPr>
              <w:rPr>
                <w:rFonts w:cs="Times New Roman"/>
                <w:sz w:val="20"/>
                <w:szCs w:val="20"/>
                <w:lang w:val="fr-CA"/>
              </w:rPr>
            </w:pPr>
          </w:p>
          <w:p w:rsidR="0095096B" w:rsidRPr="00606F29" w:rsidRDefault="00A72807" w:rsidP="0095096B">
            <w:pPr>
              <w:rPr>
                <w:rFonts w:cs="Times New Roman"/>
                <w:sz w:val="20"/>
                <w:szCs w:val="20"/>
                <w:lang w:val="fr-CA"/>
              </w:rPr>
            </w:pPr>
            <w:r w:rsidRPr="00606F29">
              <w:rPr>
                <w:rFonts w:cs="Times New Roman"/>
                <w:sz w:val="20"/>
                <w:szCs w:val="20"/>
                <w:lang w:val="fr-CA"/>
              </w:rPr>
              <w:t>A</w:t>
            </w:r>
            <w:r w:rsidR="0095096B" w:rsidRPr="00606F29">
              <w:rPr>
                <w:rFonts w:cs="Times New Roman"/>
                <w:sz w:val="20"/>
                <w:szCs w:val="20"/>
                <w:lang w:val="fr-CA"/>
              </w:rPr>
              <w:t xml:space="preserve">ppels entendus depuis la dernière </w:t>
            </w:r>
          </w:p>
          <w:p w:rsidR="0095096B" w:rsidRPr="00606F29" w:rsidRDefault="0095096B" w:rsidP="0095096B">
            <w:pPr>
              <w:rPr>
                <w:rFonts w:cs="Times New Roman"/>
                <w:sz w:val="20"/>
                <w:szCs w:val="20"/>
                <w:lang w:val="fr-CA"/>
              </w:rPr>
            </w:pPr>
            <w:r w:rsidRPr="00606F29">
              <w:rPr>
                <w:rFonts w:cs="Times New Roman"/>
                <w:sz w:val="20"/>
                <w:szCs w:val="20"/>
                <w:lang w:val="fr-CA"/>
              </w:rPr>
              <w:t>parution et résultat</w:t>
            </w:r>
          </w:p>
          <w:p w:rsidR="0095096B" w:rsidRPr="00606F29" w:rsidRDefault="0095096B" w:rsidP="0095096B">
            <w:pPr>
              <w:rPr>
                <w:rFonts w:cs="Times New Roman"/>
                <w:sz w:val="20"/>
                <w:szCs w:val="20"/>
                <w:lang w:val="fr-CA"/>
              </w:rPr>
            </w:pPr>
          </w:p>
          <w:p w:rsidR="00A87207" w:rsidRPr="00606F29" w:rsidRDefault="0095096B" w:rsidP="00A72807">
            <w:pPr>
              <w:tabs>
                <w:tab w:val="right" w:pos="9360"/>
              </w:tabs>
              <w:rPr>
                <w:rFonts w:cs="Times New Roman"/>
                <w:sz w:val="20"/>
                <w:szCs w:val="20"/>
                <w:lang w:val="fr-CA"/>
              </w:rPr>
            </w:pPr>
            <w:r w:rsidRPr="00606F29">
              <w:rPr>
                <w:rFonts w:cs="Times New Roman"/>
                <w:sz w:val="20"/>
                <w:szCs w:val="20"/>
                <w:lang w:val="fr-CA"/>
              </w:rPr>
              <w:t>Jugements publiés au R.C.S.</w:t>
            </w:r>
          </w:p>
        </w:tc>
      </w:tr>
    </w:tbl>
    <w:p w:rsidR="0095096B" w:rsidRPr="00606F29"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9813FB" w:rsidTr="0079724F">
        <w:tc>
          <w:tcPr>
            <w:tcW w:w="9576" w:type="dxa"/>
          </w:tcPr>
          <w:p w:rsidR="0079724F" w:rsidRPr="00606F29" w:rsidRDefault="0079724F" w:rsidP="00215F7C">
            <w:pPr>
              <w:keepNext/>
              <w:tabs>
                <w:tab w:val="right" w:pos="9360"/>
              </w:tabs>
              <w:jc w:val="center"/>
              <w:rPr>
                <w:szCs w:val="24"/>
              </w:rPr>
            </w:pPr>
            <w:r w:rsidRPr="00606F29">
              <w:rPr>
                <w:szCs w:val="24"/>
              </w:rPr>
              <w:t>NOTICE</w:t>
            </w:r>
          </w:p>
          <w:p w:rsidR="0079724F" w:rsidRPr="00606F29" w:rsidRDefault="0079724F" w:rsidP="00215F7C">
            <w:pPr>
              <w:keepNext/>
              <w:tabs>
                <w:tab w:val="right" w:pos="9360"/>
              </w:tabs>
              <w:rPr>
                <w:szCs w:val="24"/>
              </w:rPr>
            </w:pPr>
          </w:p>
          <w:p w:rsidR="0079724F" w:rsidRPr="00606F29" w:rsidRDefault="0079724F" w:rsidP="00215F7C">
            <w:pPr>
              <w:keepNext/>
              <w:tabs>
                <w:tab w:val="right" w:pos="9360"/>
              </w:tabs>
              <w:jc w:val="both"/>
              <w:rPr>
                <w:szCs w:val="24"/>
              </w:rPr>
            </w:pPr>
            <w:r w:rsidRPr="00606F29">
              <w:rPr>
                <w:szCs w:val="24"/>
              </w:rPr>
              <w:t>Case summaries included in the Bulletin are prepared by the Office of the Registrar of the Supreme Court of Canada (Law Branch) for information purposes only.</w:t>
            </w:r>
          </w:p>
          <w:p w:rsidR="0079724F" w:rsidRPr="00606F29" w:rsidRDefault="0079724F" w:rsidP="00215F7C">
            <w:pPr>
              <w:keepNext/>
              <w:tabs>
                <w:tab w:val="right" w:pos="9360"/>
              </w:tabs>
              <w:rPr>
                <w:szCs w:val="24"/>
              </w:rPr>
            </w:pPr>
          </w:p>
          <w:p w:rsidR="0079724F" w:rsidRPr="00606F29" w:rsidRDefault="0079724F" w:rsidP="00215F7C">
            <w:pPr>
              <w:keepNext/>
              <w:tabs>
                <w:tab w:val="right" w:pos="9360"/>
              </w:tabs>
              <w:rPr>
                <w:szCs w:val="24"/>
              </w:rPr>
            </w:pPr>
          </w:p>
          <w:p w:rsidR="0079724F" w:rsidRPr="00606F29" w:rsidRDefault="0079724F" w:rsidP="00215F7C">
            <w:pPr>
              <w:keepNext/>
              <w:tabs>
                <w:tab w:val="right" w:pos="9360"/>
              </w:tabs>
              <w:jc w:val="center"/>
              <w:rPr>
                <w:szCs w:val="24"/>
                <w:lang w:val="fr-CA"/>
              </w:rPr>
            </w:pPr>
            <w:r w:rsidRPr="00606F29">
              <w:rPr>
                <w:szCs w:val="24"/>
                <w:lang w:val="fr-CA"/>
              </w:rPr>
              <w:t>AVIS</w:t>
            </w:r>
          </w:p>
          <w:p w:rsidR="0079724F" w:rsidRPr="00606F29" w:rsidRDefault="0079724F" w:rsidP="00215F7C">
            <w:pPr>
              <w:keepNext/>
              <w:tabs>
                <w:tab w:val="right" w:pos="9360"/>
              </w:tabs>
              <w:rPr>
                <w:szCs w:val="24"/>
                <w:lang w:val="fr-CA"/>
              </w:rPr>
            </w:pPr>
          </w:p>
          <w:p w:rsidR="0079724F" w:rsidRPr="00606F29" w:rsidRDefault="0079724F" w:rsidP="00215F7C">
            <w:pPr>
              <w:keepNext/>
              <w:tabs>
                <w:tab w:val="right" w:pos="9360"/>
              </w:tabs>
              <w:jc w:val="both"/>
              <w:rPr>
                <w:sz w:val="20"/>
                <w:szCs w:val="20"/>
                <w:lang w:val="fr-CA"/>
              </w:rPr>
            </w:pPr>
            <w:r w:rsidRPr="00606F29">
              <w:rPr>
                <w:szCs w:val="24"/>
                <w:lang w:val="fr-CA"/>
              </w:rPr>
              <w:t>Les résumés de dossiers publiés dans le bulletin sont préparés par le Bureau du registraire (Direction générale du droit) uniquement à titre d’information.</w:t>
            </w:r>
          </w:p>
        </w:tc>
      </w:tr>
    </w:tbl>
    <w:p w:rsidR="0095096B" w:rsidRPr="00606F29" w:rsidRDefault="0095096B" w:rsidP="0095096B">
      <w:pPr>
        <w:tabs>
          <w:tab w:val="right" w:pos="9360"/>
        </w:tabs>
        <w:rPr>
          <w:lang w:val="fr-CA"/>
        </w:rPr>
      </w:pPr>
    </w:p>
    <w:p w:rsidR="00C01FCB" w:rsidRPr="00606F29" w:rsidRDefault="00C01FCB" w:rsidP="0095096B">
      <w:pPr>
        <w:tabs>
          <w:tab w:val="right" w:pos="9360"/>
        </w:tabs>
        <w:rPr>
          <w:lang w:val="fr-CA"/>
        </w:rPr>
      </w:pPr>
    </w:p>
    <w:p w:rsidR="00C01FCB" w:rsidRPr="00606F29" w:rsidRDefault="00C01FCB" w:rsidP="0095096B">
      <w:pPr>
        <w:tabs>
          <w:tab w:val="right" w:pos="9360"/>
        </w:tabs>
        <w:rPr>
          <w:lang w:val="fr-CA"/>
        </w:rPr>
      </w:pPr>
    </w:p>
    <w:p w:rsidR="00A87207" w:rsidRPr="00606F29" w:rsidRDefault="00A87207" w:rsidP="0095096B">
      <w:pPr>
        <w:tabs>
          <w:tab w:val="right" w:pos="9360"/>
        </w:tabs>
        <w:rPr>
          <w:lang w:val="fr-CA"/>
        </w:rPr>
        <w:sectPr w:rsidR="00A87207" w:rsidRPr="00606F2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606F29" w:rsidTr="00245129">
        <w:tc>
          <w:tcPr>
            <w:tcW w:w="4200" w:type="dxa"/>
            <w:shd w:val="clear" w:color="auto" w:fill="auto"/>
            <w:tcMar>
              <w:left w:w="0" w:type="dxa"/>
              <w:right w:w="0" w:type="dxa"/>
            </w:tcMar>
          </w:tcPr>
          <w:p w:rsidR="00A87207" w:rsidRPr="00606F29" w:rsidRDefault="00A87207" w:rsidP="00BA6468">
            <w:pPr>
              <w:rPr>
                <w:rFonts w:eastAsia="Times New Roman" w:cs="Times New Roman"/>
                <w:b/>
                <w:sz w:val="20"/>
                <w:szCs w:val="20"/>
                <w:lang w:eastAsia="en-CA"/>
              </w:rPr>
            </w:pPr>
            <w:r w:rsidRPr="00606F29">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606F29" w:rsidRDefault="00A87207" w:rsidP="002E2327">
            <w:pPr>
              <w:jc w:val="center"/>
              <w:rPr>
                <w:rFonts w:eastAsia="Times New Roman" w:cs="Times New Roman"/>
                <w:b/>
                <w:sz w:val="20"/>
                <w:szCs w:val="20"/>
                <w:lang w:eastAsia="en-CA"/>
              </w:rPr>
            </w:pPr>
          </w:p>
          <w:p w:rsidR="00A87207" w:rsidRPr="00606F29" w:rsidRDefault="00A87207" w:rsidP="002E2327">
            <w:pPr>
              <w:jc w:val="center"/>
              <w:rPr>
                <w:rFonts w:eastAsia="Times New Roman" w:cs="Times New Roman"/>
                <w:b/>
                <w:sz w:val="20"/>
                <w:szCs w:val="20"/>
                <w:lang w:eastAsia="en-CA"/>
              </w:rPr>
            </w:pPr>
          </w:p>
          <w:p w:rsidR="00A87207" w:rsidRPr="00606F29"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606F29" w:rsidRDefault="00A87207" w:rsidP="00A87207">
            <w:pPr>
              <w:rPr>
                <w:rFonts w:eastAsia="Times New Roman" w:cs="Times New Roman"/>
                <w:b/>
                <w:sz w:val="20"/>
                <w:szCs w:val="20"/>
                <w:lang w:val="fr-CA" w:eastAsia="en-CA"/>
              </w:rPr>
            </w:pPr>
            <w:r w:rsidRPr="00606F29">
              <w:rPr>
                <w:rFonts w:eastAsia="Times New Roman" w:cs="Times New Roman"/>
                <w:b/>
                <w:szCs w:val="20"/>
                <w:lang w:val="fr-CA" w:eastAsia="en-CA"/>
              </w:rPr>
              <w:t>DEMANDES D’AUTORISATION D’APPEL DÉPOSÉES</w:t>
            </w:r>
          </w:p>
        </w:tc>
      </w:tr>
    </w:tbl>
    <w:p w:rsidR="00A87207" w:rsidRPr="00606F29"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606F29" w:rsidTr="003B3977">
        <w:tc>
          <w:tcPr>
            <w:tcW w:w="4320" w:type="dxa"/>
            <w:shd w:val="clear" w:color="auto" w:fill="auto"/>
          </w:tcPr>
          <w:p w:rsidR="00C21644" w:rsidRPr="00606F29" w:rsidRDefault="006D031A" w:rsidP="005F1ED8">
            <w:pPr>
              <w:rPr>
                <w:b/>
                <w:sz w:val="20"/>
                <w:szCs w:val="20"/>
                <w:lang w:val="fr-CA"/>
              </w:rPr>
            </w:pPr>
            <w:r w:rsidRPr="00606F29">
              <w:rPr>
                <w:b/>
                <w:sz w:val="20"/>
                <w:szCs w:val="20"/>
                <w:lang w:val="fr-CA"/>
              </w:rPr>
              <w:t>L.L.</w:t>
            </w:r>
          </w:p>
          <w:p w:rsidR="00C21644" w:rsidRPr="00606F29" w:rsidRDefault="00C21644" w:rsidP="005F1ED8">
            <w:pPr>
              <w:tabs>
                <w:tab w:val="left" w:pos="-1440"/>
                <w:tab w:val="left" w:pos="-720"/>
              </w:tabs>
              <w:rPr>
                <w:sz w:val="20"/>
                <w:szCs w:val="20"/>
                <w:lang w:val="fr-CA"/>
              </w:rPr>
            </w:pPr>
            <w:r w:rsidRPr="00606F29">
              <w:rPr>
                <w:sz w:val="20"/>
                <w:szCs w:val="20"/>
                <w:lang w:val="fr-CA"/>
              </w:rPr>
              <w:tab/>
            </w:r>
            <w:r w:rsidR="006D031A" w:rsidRPr="00606F29">
              <w:rPr>
                <w:sz w:val="20"/>
                <w:szCs w:val="20"/>
                <w:lang w:val="fr-CA"/>
              </w:rPr>
              <w:t>Julie Giroux</w:t>
            </w:r>
          </w:p>
          <w:p w:rsidR="00C21644" w:rsidRPr="00606F29" w:rsidRDefault="00C21644" w:rsidP="005F1ED8">
            <w:pPr>
              <w:tabs>
                <w:tab w:val="left" w:pos="-1440"/>
                <w:tab w:val="left" w:pos="-720"/>
              </w:tabs>
              <w:rPr>
                <w:sz w:val="20"/>
                <w:szCs w:val="20"/>
                <w:lang w:val="fr-CA"/>
              </w:rPr>
            </w:pPr>
            <w:r w:rsidRPr="00606F29">
              <w:rPr>
                <w:sz w:val="20"/>
                <w:szCs w:val="20"/>
                <w:lang w:val="fr-CA"/>
              </w:rPr>
              <w:tab/>
            </w:r>
          </w:p>
          <w:p w:rsidR="00C21644" w:rsidRPr="00606F29" w:rsidRDefault="00C21644" w:rsidP="005F1ED8">
            <w:pPr>
              <w:tabs>
                <w:tab w:val="left" w:pos="-1440"/>
                <w:tab w:val="left" w:pos="-720"/>
              </w:tabs>
              <w:rPr>
                <w:sz w:val="20"/>
                <w:szCs w:val="20"/>
                <w:lang w:val="fr-CA"/>
              </w:rPr>
            </w:pPr>
            <w:r w:rsidRPr="00606F29">
              <w:rPr>
                <w:sz w:val="20"/>
                <w:szCs w:val="20"/>
                <w:lang w:val="fr-CA"/>
              </w:rPr>
              <w:tab/>
            </w:r>
            <w:r w:rsidR="00C71A6D" w:rsidRPr="00606F29">
              <w:rPr>
                <w:sz w:val="20"/>
                <w:szCs w:val="20"/>
                <w:lang w:val="fr-CA"/>
              </w:rPr>
              <w:t>c</w:t>
            </w:r>
            <w:r w:rsidRPr="00606F29">
              <w:rPr>
                <w:sz w:val="20"/>
                <w:szCs w:val="20"/>
                <w:lang w:val="fr-CA"/>
              </w:rPr>
              <w:t>. (</w:t>
            </w:r>
            <w:r w:rsidR="009813FB">
              <w:rPr>
                <w:sz w:val="20"/>
                <w:szCs w:val="20"/>
                <w:lang w:val="fr-CA"/>
              </w:rPr>
              <w:t>37872</w:t>
            </w:r>
            <w:bookmarkStart w:id="0" w:name="_GoBack"/>
            <w:bookmarkEnd w:id="0"/>
            <w:r w:rsidRPr="00606F29">
              <w:rPr>
                <w:sz w:val="20"/>
                <w:szCs w:val="20"/>
                <w:lang w:val="fr-CA"/>
              </w:rPr>
              <w:t>)</w:t>
            </w:r>
          </w:p>
          <w:p w:rsidR="00C21644" w:rsidRPr="00606F29" w:rsidRDefault="00C21644" w:rsidP="005F1ED8">
            <w:pPr>
              <w:tabs>
                <w:tab w:val="left" w:pos="-1440"/>
                <w:tab w:val="left" w:pos="-720"/>
              </w:tabs>
              <w:rPr>
                <w:sz w:val="20"/>
                <w:szCs w:val="20"/>
                <w:lang w:val="fr-CA"/>
              </w:rPr>
            </w:pPr>
          </w:p>
          <w:p w:rsidR="00C21644" w:rsidRPr="00606F29" w:rsidRDefault="00C71A6D" w:rsidP="005F1ED8">
            <w:pPr>
              <w:tabs>
                <w:tab w:val="left" w:pos="-1440"/>
                <w:tab w:val="left" w:pos="-720"/>
              </w:tabs>
              <w:rPr>
                <w:b/>
                <w:sz w:val="20"/>
                <w:szCs w:val="20"/>
                <w:lang w:val="fr-CA"/>
              </w:rPr>
            </w:pPr>
            <w:r w:rsidRPr="00606F29">
              <w:rPr>
                <w:b/>
                <w:sz w:val="20"/>
                <w:szCs w:val="20"/>
                <w:lang w:val="fr-CA"/>
              </w:rPr>
              <w:t>Sa Majesté la Reine</w:t>
            </w:r>
            <w:r w:rsidR="00C21644" w:rsidRPr="00606F29">
              <w:rPr>
                <w:sz w:val="20"/>
                <w:szCs w:val="20"/>
                <w:lang w:val="fr-CA"/>
              </w:rPr>
              <w:t xml:space="preserve"> </w:t>
            </w:r>
            <w:r w:rsidR="00C21644" w:rsidRPr="00606F29">
              <w:rPr>
                <w:b/>
                <w:sz w:val="20"/>
                <w:szCs w:val="20"/>
                <w:lang w:val="fr-CA"/>
              </w:rPr>
              <w:t>(</w:t>
            </w:r>
            <w:proofErr w:type="spellStart"/>
            <w:r w:rsidRPr="00606F29">
              <w:rPr>
                <w:b/>
                <w:sz w:val="20"/>
                <w:szCs w:val="20"/>
                <w:lang w:val="fr-CA"/>
              </w:rPr>
              <w:t>Qc</w:t>
            </w:r>
            <w:proofErr w:type="spellEnd"/>
            <w:r w:rsidR="00C21644" w:rsidRPr="00606F29">
              <w:rPr>
                <w:b/>
                <w:sz w:val="20"/>
                <w:szCs w:val="20"/>
                <w:lang w:val="fr-CA"/>
              </w:rPr>
              <w:t>)</w:t>
            </w:r>
          </w:p>
          <w:p w:rsidR="00C71A6D" w:rsidRPr="00606F29" w:rsidRDefault="00C21644" w:rsidP="005F1ED8">
            <w:pPr>
              <w:tabs>
                <w:tab w:val="left" w:pos="-1440"/>
                <w:tab w:val="left" w:pos="-720"/>
              </w:tabs>
              <w:rPr>
                <w:sz w:val="20"/>
                <w:szCs w:val="20"/>
                <w:lang w:val="fr-CA"/>
              </w:rPr>
            </w:pPr>
            <w:r w:rsidRPr="00606F29">
              <w:rPr>
                <w:sz w:val="20"/>
                <w:szCs w:val="20"/>
                <w:lang w:val="fr-CA"/>
              </w:rPr>
              <w:tab/>
            </w:r>
            <w:r w:rsidR="00C71A6D" w:rsidRPr="00606F29">
              <w:rPr>
                <w:sz w:val="20"/>
                <w:szCs w:val="20"/>
                <w:lang w:val="fr-CA"/>
              </w:rPr>
              <w:t>Magalie Cimon</w:t>
            </w:r>
          </w:p>
          <w:p w:rsidR="00C21644" w:rsidRPr="00606F29" w:rsidRDefault="00C71A6D" w:rsidP="00C71A6D">
            <w:pPr>
              <w:tabs>
                <w:tab w:val="left" w:pos="-1440"/>
                <w:tab w:val="left" w:pos="-720"/>
              </w:tabs>
              <w:ind w:left="720"/>
              <w:rPr>
                <w:sz w:val="20"/>
                <w:szCs w:val="20"/>
                <w:lang w:val="fr-CA"/>
              </w:rPr>
            </w:pPr>
            <w:r w:rsidRPr="00606F29">
              <w:rPr>
                <w:sz w:val="20"/>
                <w:szCs w:val="20"/>
                <w:lang w:val="fr-CA"/>
              </w:rPr>
              <w:t>Procureurs aux poursuites criminelles et pénales</w:t>
            </w:r>
          </w:p>
          <w:p w:rsidR="00C21644" w:rsidRPr="00606F29" w:rsidRDefault="00C21644" w:rsidP="005F1ED8">
            <w:pPr>
              <w:tabs>
                <w:tab w:val="left" w:pos="-1440"/>
                <w:tab w:val="left" w:pos="-720"/>
              </w:tabs>
              <w:rPr>
                <w:sz w:val="20"/>
                <w:szCs w:val="20"/>
                <w:lang w:val="fr-CA"/>
              </w:rPr>
            </w:pPr>
          </w:p>
          <w:p w:rsidR="00C21644" w:rsidRPr="00606F29" w:rsidRDefault="00C71A6D" w:rsidP="005F1ED8">
            <w:pPr>
              <w:rPr>
                <w:sz w:val="20"/>
                <w:szCs w:val="20"/>
              </w:rPr>
            </w:pPr>
            <w:r w:rsidRPr="00606F29">
              <w:rPr>
                <w:sz w:val="20"/>
                <w:szCs w:val="20"/>
              </w:rPr>
              <w:t>DATE DE PRODUCTION</w:t>
            </w:r>
            <w:r w:rsidR="00C21644" w:rsidRPr="00606F29">
              <w:rPr>
                <w:sz w:val="20"/>
                <w:szCs w:val="20"/>
              </w:rPr>
              <w:t xml:space="preserve">: </w:t>
            </w:r>
            <w:r w:rsidRPr="00606F29">
              <w:rPr>
                <w:sz w:val="20"/>
                <w:szCs w:val="20"/>
              </w:rPr>
              <w:t>22</w:t>
            </w:r>
            <w:r w:rsidR="00C21644" w:rsidRPr="00606F29">
              <w:rPr>
                <w:sz w:val="20"/>
                <w:szCs w:val="20"/>
              </w:rPr>
              <w:t>.</w:t>
            </w:r>
            <w:r w:rsidRPr="00606F29">
              <w:rPr>
                <w:sz w:val="20"/>
                <w:szCs w:val="20"/>
              </w:rPr>
              <w:t>1</w:t>
            </w:r>
            <w:r w:rsidR="00E8544A" w:rsidRPr="00606F29">
              <w:rPr>
                <w:sz w:val="20"/>
                <w:szCs w:val="20"/>
              </w:rPr>
              <w:t>1</w:t>
            </w:r>
            <w:r w:rsidR="00C21644" w:rsidRPr="00606F29">
              <w:rPr>
                <w:sz w:val="20"/>
                <w:szCs w:val="20"/>
              </w:rPr>
              <w:t>.201</w:t>
            </w:r>
            <w:r w:rsidR="00E8544A" w:rsidRPr="00606F29">
              <w:rPr>
                <w:sz w:val="20"/>
                <w:szCs w:val="20"/>
              </w:rPr>
              <w:t>7</w:t>
            </w:r>
          </w:p>
          <w:p w:rsidR="00C21644" w:rsidRPr="00606F29" w:rsidRDefault="009813FB"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p w:rsidR="00C21644" w:rsidRPr="00606F29" w:rsidRDefault="00C21644" w:rsidP="00242AEE">
            <w:pPr>
              <w:jc w:val="center"/>
              <w:rPr>
                <w:sz w:val="20"/>
                <w:szCs w:val="20"/>
              </w:rPr>
            </w:pPr>
          </w:p>
        </w:tc>
        <w:tc>
          <w:tcPr>
            <w:tcW w:w="4320" w:type="dxa"/>
            <w:shd w:val="clear" w:color="auto" w:fill="auto"/>
          </w:tcPr>
          <w:p w:rsidR="00C71A6D" w:rsidRPr="00606F29" w:rsidRDefault="00C71A6D" w:rsidP="00C71A6D">
            <w:pPr>
              <w:rPr>
                <w:b/>
                <w:sz w:val="20"/>
                <w:szCs w:val="20"/>
                <w:lang w:val="en-US"/>
              </w:rPr>
            </w:pPr>
            <w:r w:rsidRPr="00606F29">
              <w:rPr>
                <w:b/>
                <w:sz w:val="20"/>
                <w:szCs w:val="20"/>
                <w:lang w:val="en-US"/>
              </w:rPr>
              <w:t>David Matthew Clarke</w:t>
            </w:r>
          </w:p>
          <w:p w:rsidR="00C71A6D" w:rsidRPr="00606F29" w:rsidRDefault="00C71A6D" w:rsidP="00C71A6D">
            <w:pPr>
              <w:tabs>
                <w:tab w:val="left" w:pos="-1440"/>
                <w:tab w:val="left" w:pos="-720"/>
              </w:tabs>
              <w:rPr>
                <w:sz w:val="20"/>
                <w:szCs w:val="20"/>
                <w:lang w:val="en-US"/>
              </w:rPr>
            </w:pPr>
            <w:r w:rsidRPr="00606F29">
              <w:rPr>
                <w:sz w:val="20"/>
                <w:szCs w:val="20"/>
                <w:lang w:val="en-US"/>
              </w:rPr>
              <w:tab/>
              <w:t xml:space="preserve">Roger P. </w:t>
            </w:r>
            <w:proofErr w:type="spellStart"/>
            <w:r w:rsidRPr="00606F29">
              <w:rPr>
                <w:sz w:val="20"/>
                <w:szCs w:val="20"/>
                <w:lang w:val="en-US"/>
              </w:rPr>
              <w:t>Thirkell</w:t>
            </w:r>
            <w:proofErr w:type="spellEnd"/>
          </w:p>
          <w:p w:rsidR="00C71A6D" w:rsidRPr="00606F29" w:rsidRDefault="00C71A6D" w:rsidP="00C71A6D">
            <w:pPr>
              <w:tabs>
                <w:tab w:val="left" w:pos="-1440"/>
                <w:tab w:val="left" w:pos="-720"/>
              </w:tabs>
              <w:rPr>
                <w:sz w:val="20"/>
                <w:szCs w:val="20"/>
                <w:lang w:val="en-US"/>
              </w:rPr>
            </w:pPr>
            <w:r w:rsidRPr="00606F29">
              <w:rPr>
                <w:sz w:val="20"/>
                <w:szCs w:val="20"/>
                <w:lang w:val="en-US"/>
              </w:rPr>
              <w:tab/>
            </w:r>
            <w:proofErr w:type="spellStart"/>
            <w:r w:rsidRPr="00606F29">
              <w:rPr>
                <w:sz w:val="20"/>
                <w:szCs w:val="20"/>
                <w:lang w:val="en-US"/>
              </w:rPr>
              <w:t>Thirkell</w:t>
            </w:r>
            <w:proofErr w:type="spellEnd"/>
            <w:r w:rsidRPr="00606F29">
              <w:rPr>
                <w:sz w:val="20"/>
                <w:szCs w:val="20"/>
                <w:lang w:val="en-US"/>
              </w:rPr>
              <w:t xml:space="preserve"> &amp; Company</w:t>
            </w:r>
          </w:p>
          <w:p w:rsidR="00C71A6D" w:rsidRPr="00606F29" w:rsidRDefault="00C71A6D" w:rsidP="00C71A6D">
            <w:pPr>
              <w:tabs>
                <w:tab w:val="left" w:pos="-1440"/>
                <w:tab w:val="left" w:pos="-720"/>
              </w:tabs>
              <w:rPr>
                <w:sz w:val="20"/>
                <w:szCs w:val="20"/>
                <w:lang w:val="en-US"/>
              </w:rPr>
            </w:pPr>
          </w:p>
          <w:p w:rsidR="00C71A6D" w:rsidRPr="00606F29" w:rsidRDefault="00C71A6D" w:rsidP="00C71A6D">
            <w:pPr>
              <w:tabs>
                <w:tab w:val="left" w:pos="-1440"/>
                <w:tab w:val="left" w:pos="-720"/>
              </w:tabs>
              <w:rPr>
                <w:sz w:val="20"/>
                <w:szCs w:val="20"/>
                <w:lang w:val="en-US"/>
              </w:rPr>
            </w:pPr>
            <w:r w:rsidRPr="00606F29">
              <w:rPr>
                <w:sz w:val="20"/>
                <w:szCs w:val="20"/>
                <w:lang w:val="en-US"/>
              </w:rPr>
              <w:tab/>
              <w:t>v. (37977)</w:t>
            </w:r>
          </w:p>
          <w:p w:rsidR="00C71A6D" w:rsidRPr="00606F29" w:rsidRDefault="00C71A6D" w:rsidP="00C71A6D">
            <w:pPr>
              <w:tabs>
                <w:tab w:val="left" w:pos="-1440"/>
                <w:tab w:val="left" w:pos="-720"/>
              </w:tabs>
              <w:rPr>
                <w:sz w:val="20"/>
                <w:szCs w:val="20"/>
                <w:lang w:val="en-US"/>
              </w:rPr>
            </w:pPr>
          </w:p>
          <w:p w:rsidR="00C71A6D" w:rsidRPr="00606F29" w:rsidRDefault="00C71A6D" w:rsidP="00C71A6D">
            <w:pPr>
              <w:tabs>
                <w:tab w:val="left" w:pos="-1440"/>
                <w:tab w:val="left" w:pos="-720"/>
              </w:tabs>
              <w:rPr>
                <w:b/>
                <w:sz w:val="20"/>
                <w:szCs w:val="20"/>
                <w:lang w:val="en-US"/>
              </w:rPr>
            </w:pPr>
            <w:r w:rsidRPr="00606F29">
              <w:rPr>
                <w:b/>
                <w:sz w:val="20"/>
                <w:szCs w:val="20"/>
                <w:lang w:val="en-US"/>
              </w:rPr>
              <w:t>Her Majesty the Queen</w:t>
            </w:r>
            <w:r w:rsidRPr="00606F29">
              <w:rPr>
                <w:sz w:val="20"/>
                <w:szCs w:val="20"/>
                <w:lang w:val="en-US"/>
              </w:rPr>
              <w:t xml:space="preserve"> </w:t>
            </w:r>
            <w:r w:rsidRPr="00606F29">
              <w:rPr>
                <w:b/>
                <w:sz w:val="20"/>
                <w:szCs w:val="20"/>
                <w:lang w:val="en-US"/>
              </w:rPr>
              <w:t>(B.C.)</w:t>
            </w:r>
          </w:p>
          <w:p w:rsidR="00C71A6D" w:rsidRPr="00606F29" w:rsidRDefault="00C71A6D" w:rsidP="00C71A6D">
            <w:pPr>
              <w:tabs>
                <w:tab w:val="left" w:pos="-1440"/>
                <w:tab w:val="left" w:pos="-720"/>
              </w:tabs>
              <w:rPr>
                <w:sz w:val="20"/>
                <w:szCs w:val="20"/>
                <w:lang w:val="en-US"/>
              </w:rPr>
            </w:pPr>
            <w:r w:rsidRPr="00606F29">
              <w:rPr>
                <w:sz w:val="20"/>
                <w:szCs w:val="20"/>
                <w:lang w:val="en-US"/>
              </w:rPr>
              <w:tab/>
              <w:t>Mark Levitz, Q.C.</w:t>
            </w:r>
          </w:p>
          <w:p w:rsidR="00C71A6D" w:rsidRPr="00606F29" w:rsidRDefault="00C71A6D" w:rsidP="00C71A6D">
            <w:pPr>
              <w:tabs>
                <w:tab w:val="left" w:pos="-1440"/>
                <w:tab w:val="left" w:pos="-720"/>
              </w:tabs>
              <w:ind w:left="720"/>
              <w:rPr>
                <w:sz w:val="20"/>
                <w:szCs w:val="20"/>
                <w:lang w:val="en-US"/>
              </w:rPr>
            </w:pPr>
            <w:r w:rsidRPr="00606F29">
              <w:rPr>
                <w:sz w:val="20"/>
                <w:szCs w:val="20"/>
                <w:lang w:val="en-US"/>
              </w:rPr>
              <w:t>A.G. of British Columbia</w:t>
            </w:r>
          </w:p>
          <w:p w:rsidR="00C71A6D" w:rsidRPr="00606F29" w:rsidRDefault="00C71A6D" w:rsidP="00C71A6D">
            <w:pPr>
              <w:tabs>
                <w:tab w:val="left" w:pos="-1440"/>
                <w:tab w:val="left" w:pos="-720"/>
              </w:tabs>
              <w:rPr>
                <w:sz w:val="20"/>
                <w:szCs w:val="20"/>
                <w:lang w:val="en-US"/>
              </w:rPr>
            </w:pPr>
          </w:p>
          <w:p w:rsidR="00C71A6D" w:rsidRPr="00606F29" w:rsidRDefault="00C71A6D" w:rsidP="00C71A6D">
            <w:pPr>
              <w:rPr>
                <w:sz w:val="20"/>
                <w:szCs w:val="20"/>
              </w:rPr>
            </w:pPr>
            <w:r w:rsidRPr="00606F29">
              <w:rPr>
                <w:sz w:val="20"/>
                <w:szCs w:val="20"/>
              </w:rPr>
              <w:t>FILING DATE: 26.02.2018</w:t>
            </w:r>
          </w:p>
          <w:p w:rsidR="00C21644" w:rsidRPr="00606F29" w:rsidRDefault="009813FB" w:rsidP="00C71A6D">
            <w:pPr>
              <w:rPr>
                <w:sz w:val="20"/>
                <w:szCs w:val="20"/>
                <w:lang w:val="en-US"/>
              </w:rPr>
            </w:pPr>
            <w:r>
              <w:rPr>
                <w:sz w:val="20"/>
                <w:szCs w:val="20"/>
                <w:lang w:val="fr-CA"/>
              </w:rPr>
              <w:pict>
                <v:rect id="_x0000_i1026" style="width:108pt;height:1pt" o:hrpct="0" o:hralign="center" o:hrstd="t" o:hrnoshade="t" o:hr="t" fillcolor="black [3213]" stroked="f"/>
              </w:pict>
            </w:r>
          </w:p>
        </w:tc>
      </w:tr>
    </w:tbl>
    <w:p w:rsidR="00242AEE" w:rsidRPr="00606F29" w:rsidRDefault="00242AEE" w:rsidP="0095096B">
      <w:pPr>
        <w:tabs>
          <w:tab w:val="right" w:pos="9360"/>
        </w:tabs>
        <w:rPr>
          <w:sz w:val="20"/>
          <w:szCs w:val="20"/>
        </w:rPr>
      </w:pPr>
    </w:p>
    <w:p w:rsidR="00C01FCB" w:rsidRPr="00606F29" w:rsidRDefault="00C01FCB" w:rsidP="0095096B">
      <w:pPr>
        <w:tabs>
          <w:tab w:val="right" w:pos="9360"/>
        </w:tabs>
        <w:rPr>
          <w:sz w:val="20"/>
          <w:szCs w:val="20"/>
        </w:rPr>
      </w:pPr>
    </w:p>
    <w:p w:rsidR="00C01FCB" w:rsidRPr="00606F29" w:rsidRDefault="00C01FCB" w:rsidP="0095096B">
      <w:pPr>
        <w:tabs>
          <w:tab w:val="right" w:pos="9360"/>
        </w:tabs>
        <w:rPr>
          <w:sz w:val="20"/>
          <w:szCs w:val="20"/>
        </w:rPr>
      </w:pPr>
    </w:p>
    <w:p w:rsidR="00242AEE" w:rsidRPr="00606F29" w:rsidRDefault="00242AEE" w:rsidP="0095096B">
      <w:pPr>
        <w:tabs>
          <w:tab w:val="right" w:pos="9360"/>
        </w:tabs>
        <w:rPr>
          <w:sz w:val="20"/>
          <w:szCs w:val="20"/>
        </w:rPr>
        <w:sectPr w:rsidR="00242AEE" w:rsidRPr="00606F29" w:rsidSect="00320379">
          <w:headerReference w:type="default" r:id="rId9"/>
          <w:footerReference w:type="default" r:id="rId10"/>
          <w:headerReference w:type="first" r:id="rId11"/>
          <w:footerReference w:type="first" r:id="rId12"/>
          <w:pgSz w:w="12240" w:h="15840"/>
          <w:pgMar w:top="720" w:right="965" w:bottom="1080" w:left="1656" w:header="706" w:footer="706" w:gutter="0"/>
          <w:pgNumType w:start="35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813FB" w:rsidTr="00BA6468">
        <w:trPr>
          <w:trHeight w:val="900"/>
        </w:trPr>
        <w:tc>
          <w:tcPr>
            <w:tcW w:w="4200" w:type="dxa"/>
            <w:tcMar>
              <w:left w:w="0" w:type="dxa"/>
              <w:right w:w="0" w:type="dxa"/>
            </w:tcMar>
          </w:tcPr>
          <w:p w:rsidR="002E2327" w:rsidRPr="00606F29" w:rsidRDefault="002E2327" w:rsidP="002E2327">
            <w:pPr>
              <w:keepNext/>
              <w:keepLines/>
              <w:widowControl w:val="0"/>
              <w:rPr>
                <w:b/>
                <w:szCs w:val="24"/>
              </w:rPr>
            </w:pPr>
            <w:r w:rsidRPr="00606F29">
              <w:rPr>
                <w:b/>
                <w:szCs w:val="24"/>
              </w:rPr>
              <w:lastRenderedPageBreak/>
              <w:t>APPLICATIONS FOR LEAVE SUBMITTED TO COURT SINCE LAST ISSUE</w:t>
            </w:r>
          </w:p>
        </w:tc>
        <w:tc>
          <w:tcPr>
            <w:tcW w:w="1200" w:type="dxa"/>
            <w:tcMar>
              <w:left w:w="0" w:type="dxa"/>
              <w:right w:w="0" w:type="dxa"/>
            </w:tcMar>
          </w:tcPr>
          <w:p w:rsidR="002E2327" w:rsidRPr="00606F29" w:rsidRDefault="002E2327" w:rsidP="002E2327">
            <w:pPr>
              <w:keepNext/>
              <w:keepLines/>
              <w:widowControl w:val="0"/>
              <w:jc w:val="center"/>
              <w:rPr>
                <w:b/>
                <w:szCs w:val="24"/>
              </w:rPr>
            </w:pPr>
          </w:p>
          <w:p w:rsidR="001D0D5F" w:rsidRPr="00606F29" w:rsidRDefault="001D0D5F" w:rsidP="002E2327">
            <w:pPr>
              <w:keepNext/>
              <w:keepLines/>
              <w:widowControl w:val="0"/>
              <w:jc w:val="center"/>
              <w:rPr>
                <w:b/>
                <w:szCs w:val="24"/>
              </w:rPr>
            </w:pPr>
          </w:p>
          <w:p w:rsidR="001D0D5F" w:rsidRPr="00606F29" w:rsidRDefault="001D0D5F" w:rsidP="002E2327">
            <w:pPr>
              <w:keepNext/>
              <w:keepLines/>
              <w:widowControl w:val="0"/>
              <w:jc w:val="center"/>
              <w:rPr>
                <w:b/>
                <w:szCs w:val="24"/>
              </w:rPr>
            </w:pPr>
          </w:p>
          <w:p w:rsidR="001D0D5F" w:rsidRPr="00606F29" w:rsidRDefault="001D0D5F" w:rsidP="002E2327">
            <w:pPr>
              <w:keepNext/>
              <w:keepLines/>
              <w:widowControl w:val="0"/>
              <w:jc w:val="center"/>
              <w:rPr>
                <w:b/>
                <w:szCs w:val="24"/>
              </w:rPr>
            </w:pPr>
          </w:p>
        </w:tc>
        <w:tc>
          <w:tcPr>
            <w:tcW w:w="4080" w:type="dxa"/>
            <w:tcMar>
              <w:left w:w="0" w:type="dxa"/>
              <w:right w:w="0" w:type="dxa"/>
            </w:tcMar>
          </w:tcPr>
          <w:p w:rsidR="002E2327" w:rsidRPr="00606F29" w:rsidRDefault="002E2327" w:rsidP="002E2327">
            <w:pPr>
              <w:keepLines/>
              <w:widowControl w:val="0"/>
              <w:rPr>
                <w:szCs w:val="24"/>
                <w:lang w:val="fr-CA"/>
              </w:rPr>
            </w:pPr>
            <w:r w:rsidRPr="00606F29">
              <w:rPr>
                <w:b/>
                <w:szCs w:val="24"/>
                <w:lang w:val="fr-CA"/>
              </w:rPr>
              <w:t>DEMANDES SOUMISES À LA COUR DEPUIS LA DERNIÈRE PARUTION</w:t>
            </w:r>
          </w:p>
          <w:p w:rsidR="002E2327" w:rsidRPr="00606F2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606F29" w:rsidRDefault="002E2327" w:rsidP="002E2327">
      <w:pPr>
        <w:widowControl w:val="0"/>
        <w:rPr>
          <w:b/>
          <w:sz w:val="20"/>
          <w:szCs w:val="20"/>
          <w:lang w:val="fr-CA"/>
        </w:rPr>
      </w:pPr>
    </w:p>
    <w:p w:rsidR="00CB3520" w:rsidRPr="00606F29" w:rsidRDefault="008B141B" w:rsidP="00CB3520">
      <w:pPr>
        <w:widowControl w:val="0"/>
        <w:rPr>
          <w:b/>
          <w:sz w:val="20"/>
          <w:szCs w:val="20"/>
        </w:rPr>
      </w:pPr>
      <w:r w:rsidRPr="00606F29">
        <w:rPr>
          <w:b/>
          <w:sz w:val="20"/>
          <w:szCs w:val="20"/>
        </w:rPr>
        <w:t>MARCH 26</w:t>
      </w:r>
      <w:r w:rsidR="00CB3520" w:rsidRPr="00606F29">
        <w:rPr>
          <w:b/>
          <w:sz w:val="20"/>
          <w:szCs w:val="20"/>
        </w:rPr>
        <w:t>, 201</w:t>
      </w:r>
      <w:r w:rsidR="00195F99" w:rsidRPr="00606F29">
        <w:rPr>
          <w:b/>
          <w:sz w:val="20"/>
          <w:szCs w:val="20"/>
        </w:rPr>
        <w:t>8</w:t>
      </w:r>
      <w:r w:rsidR="00CB3520" w:rsidRPr="00606F29">
        <w:rPr>
          <w:b/>
          <w:sz w:val="20"/>
          <w:szCs w:val="20"/>
        </w:rPr>
        <w:t xml:space="preserve"> / LE </w:t>
      </w:r>
      <w:r w:rsidRPr="00606F29">
        <w:rPr>
          <w:b/>
          <w:sz w:val="20"/>
          <w:szCs w:val="20"/>
        </w:rPr>
        <w:t xml:space="preserve">26 MARS </w:t>
      </w:r>
      <w:r w:rsidR="00CB3520" w:rsidRPr="00606F29">
        <w:rPr>
          <w:b/>
          <w:sz w:val="20"/>
          <w:szCs w:val="20"/>
        </w:rPr>
        <w:t>201</w:t>
      </w:r>
      <w:r w:rsidR="00195F99" w:rsidRPr="00606F29">
        <w:rPr>
          <w:b/>
          <w:sz w:val="20"/>
          <w:szCs w:val="20"/>
        </w:rPr>
        <w:t>8</w:t>
      </w:r>
    </w:p>
    <w:p w:rsidR="00CB3520" w:rsidRPr="00606F29" w:rsidRDefault="00CB3520" w:rsidP="00CB3520">
      <w:pPr>
        <w:widowControl w:val="0"/>
        <w:rPr>
          <w:b/>
          <w:sz w:val="20"/>
          <w:szCs w:val="20"/>
        </w:rPr>
      </w:pPr>
    </w:p>
    <w:p w:rsidR="00CB3520" w:rsidRPr="00606F29" w:rsidRDefault="00CB3520" w:rsidP="00CB3520">
      <w:pPr>
        <w:widowControl w:val="0"/>
        <w:jc w:val="center"/>
        <w:rPr>
          <w:b/>
          <w:sz w:val="20"/>
          <w:szCs w:val="20"/>
        </w:rPr>
      </w:pPr>
      <w:r w:rsidRPr="00606F29">
        <w:rPr>
          <w:b/>
          <w:sz w:val="20"/>
          <w:szCs w:val="20"/>
        </w:rPr>
        <w:t xml:space="preserve">CORAM:  Chief Justice </w:t>
      </w:r>
      <w:r w:rsidR="00195F99" w:rsidRPr="00606F29">
        <w:rPr>
          <w:b/>
          <w:sz w:val="20"/>
          <w:szCs w:val="20"/>
        </w:rPr>
        <w:t>Wagner and Rowe</w:t>
      </w:r>
      <w:r w:rsidR="00253236" w:rsidRPr="00606F29">
        <w:rPr>
          <w:b/>
          <w:sz w:val="20"/>
          <w:szCs w:val="20"/>
        </w:rPr>
        <w:t xml:space="preserve"> </w:t>
      </w:r>
      <w:r w:rsidR="00195F99" w:rsidRPr="00606F29">
        <w:rPr>
          <w:b/>
          <w:sz w:val="20"/>
          <w:szCs w:val="20"/>
        </w:rPr>
        <w:t>and Martin</w:t>
      </w:r>
      <w:r w:rsidR="00FA3373" w:rsidRPr="00606F29">
        <w:rPr>
          <w:b/>
          <w:sz w:val="20"/>
          <w:szCs w:val="20"/>
        </w:rPr>
        <w:t xml:space="preserve"> </w:t>
      </w:r>
      <w:r w:rsidRPr="00606F29">
        <w:rPr>
          <w:b/>
          <w:sz w:val="20"/>
          <w:szCs w:val="20"/>
        </w:rPr>
        <w:t>JJ.</w:t>
      </w:r>
    </w:p>
    <w:p w:rsidR="00CB3520" w:rsidRPr="00606F29" w:rsidRDefault="00CB3520" w:rsidP="00CB3520">
      <w:pPr>
        <w:widowControl w:val="0"/>
        <w:jc w:val="center"/>
        <w:rPr>
          <w:sz w:val="20"/>
          <w:szCs w:val="20"/>
          <w:lang w:val="fr-CA"/>
        </w:rPr>
      </w:pPr>
      <w:r w:rsidRPr="00606F29">
        <w:rPr>
          <w:b/>
          <w:sz w:val="20"/>
          <w:szCs w:val="20"/>
          <w:lang w:val="fr-CA"/>
        </w:rPr>
        <w:t>L</w:t>
      </w:r>
      <w:r w:rsidR="00195F99" w:rsidRPr="00606F29">
        <w:rPr>
          <w:b/>
          <w:sz w:val="20"/>
          <w:szCs w:val="20"/>
          <w:lang w:val="fr-CA"/>
        </w:rPr>
        <w:t>e juge en chef Wagner</w:t>
      </w:r>
      <w:r w:rsidRPr="00606F29">
        <w:rPr>
          <w:b/>
          <w:sz w:val="20"/>
          <w:szCs w:val="20"/>
          <w:lang w:val="fr-CA"/>
        </w:rPr>
        <w:t xml:space="preserve"> et les juges</w:t>
      </w:r>
      <w:r w:rsidR="00195F99" w:rsidRPr="00606F29">
        <w:rPr>
          <w:b/>
          <w:sz w:val="20"/>
          <w:szCs w:val="20"/>
          <w:lang w:val="fr-CA"/>
        </w:rPr>
        <w:t xml:space="preserve"> Rowe et Martin</w:t>
      </w:r>
    </w:p>
    <w:p w:rsidR="00CB3520" w:rsidRPr="00606F29" w:rsidRDefault="00CB3520" w:rsidP="00CB3520">
      <w:pPr>
        <w:widowControl w:val="0"/>
        <w:rPr>
          <w:sz w:val="20"/>
          <w:szCs w:val="20"/>
          <w:lang w:val="fr-CA"/>
        </w:rPr>
      </w:pPr>
    </w:p>
    <w:p w:rsidR="00CB3520" w:rsidRPr="00606F29" w:rsidRDefault="00880238" w:rsidP="00CB3520">
      <w:pPr>
        <w:pStyle w:val="ListParagraph"/>
        <w:widowControl w:val="0"/>
        <w:numPr>
          <w:ilvl w:val="0"/>
          <w:numId w:val="1"/>
        </w:numPr>
        <w:ind w:hanging="720"/>
        <w:jc w:val="both"/>
        <w:rPr>
          <w:sz w:val="20"/>
          <w:szCs w:val="20"/>
        </w:rPr>
      </w:pPr>
      <w:proofErr w:type="spellStart"/>
      <w:r w:rsidRPr="00606F29">
        <w:rPr>
          <w:i/>
          <w:sz w:val="20"/>
          <w:szCs w:val="20"/>
          <w:lang w:val="fr-CA"/>
        </w:rPr>
        <w:t>I</w:t>
      </w:r>
      <w:r w:rsidR="00551B97" w:rsidRPr="00606F29">
        <w:rPr>
          <w:i/>
          <w:sz w:val="20"/>
          <w:szCs w:val="20"/>
          <w:lang w:val="fr-CA"/>
        </w:rPr>
        <w:t>denix</w:t>
      </w:r>
      <w:proofErr w:type="spellEnd"/>
      <w:r w:rsidR="00551B97" w:rsidRPr="00606F29">
        <w:rPr>
          <w:i/>
          <w:sz w:val="20"/>
          <w:szCs w:val="20"/>
          <w:lang w:val="fr-CA"/>
        </w:rPr>
        <w:t xml:space="preserve"> Pharmaceuticals Inc. </w:t>
      </w:r>
      <w:r w:rsidR="00CB3520" w:rsidRPr="00606F29">
        <w:rPr>
          <w:i/>
          <w:sz w:val="20"/>
          <w:szCs w:val="20"/>
          <w:lang w:val="fr-CA"/>
        </w:rPr>
        <w:t>v.</w:t>
      </w:r>
      <w:r w:rsidR="00551B97" w:rsidRPr="00606F29">
        <w:rPr>
          <w:i/>
          <w:sz w:val="20"/>
          <w:szCs w:val="20"/>
          <w:lang w:val="fr-CA"/>
        </w:rPr>
        <w:t xml:space="preserve"> </w:t>
      </w:r>
      <w:proofErr w:type="spellStart"/>
      <w:r w:rsidR="00551B97" w:rsidRPr="00606F29">
        <w:rPr>
          <w:i/>
          <w:sz w:val="20"/>
          <w:szCs w:val="20"/>
          <w:lang w:val="fr-CA"/>
        </w:rPr>
        <w:t>Gilead</w:t>
      </w:r>
      <w:proofErr w:type="spellEnd"/>
      <w:r w:rsidR="00551B97" w:rsidRPr="00606F29">
        <w:rPr>
          <w:i/>
          <w:sz w:val="20"/>
          <w:szCs w:val="20"/>
          <w:lang w:val="fr-CA"/>
        </w:rPr>
        <w:t xml:space="preserve"> </w:t>
      </w:r>
      <w:proofErr w:type="spellStart"/>
      <w:r w:rsidR="00551B97" w:rsidRPr="00606F29">
        <w:rPr>
          <w:i/>
          <w:sz w:val="20"/>
          <w:szCs w:val="20"/>
          <w:lang w:val="fr-CA"/>
        </w:rPr>
        <w:t>Pharmasset</w:t>
      </w:r>
      <w:proofErr w:type="spellEnd"/>
      <w:r w:rsidR="00551B97" w:rsidRPr="00606F29">
        <w:rPr>
          <w:i/>
          <w:sz w:val="20"/>
          <w:szCs w:val="20"/>
          <w:lang w:val="fr-CA"/>
        </w:rPr>
        <w:t xml:space="preserve"> LLC et al.</w:t>
      </w:r>
      <w:r w:rsidR="00CB3520" w:rsidRPr="00606F29">
        <w:rPr>
          <w:sz w:val="20"/>
          <w:szCs w:val="20"/>
          <w:lang w:val="fr-CA"/>
        </w:rPr>
        <w:t xml:space="preserve"> </w:t>
      </w:r>
      <w:r w:rsidR="00CB3520" w:rsidRPr="00606F29">
        <w:rPr>
          <w:sz w:val="20"/>
          <w:szCs w:val="20"/>
          <w:lang w:val="en-US"/>
        </w:rPr>
        <w:t>(</w:t>
      </w:r>
      <w:r w:rsidR="00551B97" w:rsidRPr="00606F29">
        <w:rPr>
          <w:sz w:val="20"/>
          <w:szCs w:val="20"/>
          <w:lang w:val="en-US"/>
        </w:rPr>
        <w:t>F.C.</w:t>
      </w:r>
      <w:r w:rsidR="00CB3520" w:rsidRPr="00606F29">
        <w:rPr>
          <w:sz w:val="20"/>
          <w:szCs w:val="20"/>
          <w:lang w:val="en-US"/>
        </w:rPr>
        <w:t xml:space="preserve">) </w:t>
      </w:r>
      <w:r w:rsidR="00CB3520" w:rsidRPr="00606F29">
        <w:rPr>
          <w:sz w:val="20"/>
          <w:szCs w:val="20"/>
        </w:rPr>
        <w:t>(</w:t>
      </w:r>
      <w:r w:rsidR="00551B97" w:rsidRPr="00606F29">
        <w:rPr>
          <w:sz w:val="20"/>
          <w:szCs w:val="20"/>
        </w:rPr>
        <w:t>Civil</w:t>
      </w:r>
      <w:r w:rsidR="00CB3520" w:rsidRPr="00606F29">
        <w:rPr>
          <w:sz w:val="20"/>
          <w:szCs w:val="20"/>
        </w:rPr>
        <w:t>) (By Leave) (</w:t>
      </w:r>
      <w:r w:rsidR="00551B97" w:rsidRPr="00606F29">
        <w:rPr>
          <w:sz w:val="20"/>
          <w:szCs w:val="20"/>
        </w:rPr>
        <w:t>37781</w:t>
      </w:r>
      <w:r w:rsidR="00CB3520" w:rsidRPr="00606F29">
        <w:rPr>
          <w:sz w:val="20"/>
          <w:szCs w:val="20"/>
        </w:rPr>
        <w:t>)</w:t>
      </w:r>
    </w:p>
    <w:p w:rsidR="00CB3520" w:rsidRPr="00606F29" w:rsidRDefault="00CB3520" w:rsidP="00CB3520">
      <w:pPr>
        <w:widowControl w:val="0"/>
        <w:jc w:val="both"/>
        <w:rPr>
          <w:sz w:val="20"/>
          <w:szCs w:val="20"/>
        </w:rPr>
      </w:pPr>
    </w:p>
    <w:p w:rsidR="00CB3520" w:rsidRPr="00606F29" w:rsidRDefault="00551B97" w:rsidP="00551B97">
      <w:pPr>
        <w:pStyle w:val="ListParagraph"/>
        <w:widowControl w:val="0"/>
        <w:numPr>
          <w:ilvl w:val="0"/>
          <w:numId w:val="1"/>
        </w:numPr>
        <w:ind w:hanging="720"/>
        <w:jc w:val="both"/>
        <w:rPr>
          <w:i/>
          <w:sz w:val="20"/>
          <w:szCs w:val="20"/>
          <w:lang w:val="fr-FR"/>
        </w:rPr>
      </w:pPr>
      <w:r w:rsidRPr="00606F29">
        <w:rPr>
          <w:i/>
          <w:sz w:val="20"/>
          <w:szCs w:val="20"/>
          <w:lang w:val="fr-FR"/>
        </w:rPr>
        <w:t>Procureure générale du Québec</w:t>
      </w:r>
      <w:r w:rsidRPr="00606F29">
        <w:rPr>
          <w:i/>
          <w:sz w:val="20"/>
          <w:szCs w:val="20"/>
          <w:lang w:val="fr-CA"/>
        </w:rPr>
        <w:t xml:space="preserve"> c. </w:t>
      </w:r>
      <w:r w:rsidRPr="00606F29">
        <w:rPr>
          <w:i/>
          <w:sz w:val="20"/>
          <w:szCs w:val="20"/>
          <w:lang w:val="fr-FR"/>
        </w:rPr>
        <w:t xml:space="preserve">Centrale des syndicats du Québec, et al. </w:t>
      </w:r>
      <w:r w:rsidRPr="00606F29">
        <w:rPr>
          <w:sz w:val="20"/>
          <w:szCs w:val="20"/>
          <w:lang w:val="fr-CA"/>
        </w:rPr>
        <w:t>(</w:t>
      </w:r>
      <w:proofErr w:type="spellStart"/>
      <w:r w:rsidRPr="00606F29">
        <w:rPr>
          <w:sz w:val="20"/>
          <w:szCs w:val="20"/>
          <w:lang w:val="fr-CA"/>
        </w:rPr>
        <w:t>Qc</w:t>
      </w:r>
      <w:proofErr w:type="spellEnd"/>
      <w:r w:rsidR="00CB3520" w:rsidRPr="00606F29">
        <w:rPr>
          <w:sz w:val="20"/>
          <w:szCs w:val="20"/>
          <w:lang w:val="fr-CA"/>
        </w:rPr>
        <w:t xml:space="preserve">) </w:t>
      </w:r>
      <w:r w:rsidR="00CB3520" w:rsidRPr="00606F29">
        <w:rPr>
          <w:sz w:val="20"/>
          <w:szCs w:val="20"/>
        </w:rPr>
        <w:t>(</w:t>
      </w:r>
      <w:proofErr w:type="spellStart"/>
      <w:r w:rsidR="00CB3520" w:rsidRPr="00606F29">
        <w:rPr>
          <w:sz w:val="20"/>
          <w:szCs w:val="20"/>
        </w:rPr>
        <w:t>Civil</w:t>
      </w:r>
      <w:r w:rsidRPr="00606F29">
        <w:rPr>
          <w:sz w:val="20"/>
          <w:szCs w:val="20"/>
        </w:rPr>
        <w:t>e</w:t>
      </w:r>
      <w:proofErr w:type="spellEnd"/>
      <w:r w:rsidR="00CB3520" w:rsidRPr="00606F29">
        <w:rPr>
          <w:sz w:val="20"/>
          <w:szCs w:val="20"/>
        </w:rPr>
        <w:t xml:space="preserve">) </w:t>
      </w:r>
      <w:r w:rsidRPr="00606F29">
        <w:rPr>
          <w:sz w:val="20"/>
          <w:szCs w:val="20"/>
        </w:rPr>
        <w:t>(</w:t>
      </w:r>
      <w:proofErr w:type="spellStart"/>
      <w:r w:rsidRPr="00606F29">
        <w:rPr>
          <w:sz w:val="20"/>
          <w:szCs w:val="20"/>
        </w:rPr>
        <w:t>Autorisation</w:t>
      </w:r>
      <w:proofErr w:type="spellEnd"/>
      <w:r w:rsidRPr="00606F29">
        <w:rPr>
          <w:sz w:val="20"/>
          <w:szCs w:val="20"/>
        </w:rPr>
        <w:t>)</w:t>
      </w:r>
      <w:r w:rsidR="00CB3520" w:rsidRPr="00606F29">
        <w:rPr>
          <w:sz w:val="20"/>
          <w:szCs w:val="20"/>
        </w:rPr>
        <w:t xml:space="preserve"> (</w:t>
      </w:r>
      <w:r w:rsidRPr="00606F29">
        <w:rPr>
          <w:sz w:val="20"/>
          <w:szCs w:val="20"/>
        </w:rPr>
        <w:t>37821</w:t>
      </w:r>
      <w:r w:rsidR="00CB3520" w:rsidRPr="00606F29">
        <w:rPr>
          <w:sz w:val="20"/>
          <w:szCs w:val="20"/>
        </w:rPr>
        <w:t>)</w:t>
      </w:r>
    </w:p>
    <w:p w:rsidR="00CB3520" w:rsidRPr="00606F29" w:rsidRDefault="00CB3520" w:rsidP="00CB3520">
      <w:pPr>
        <w:widowControl w:val="0"/>
        <w:jc w:val="both"/>
        <w:rPr>
          <w:sz w:val="20"/>
          <w:szCs w:val="20"/>
        </w:rPr>
      </w:pPr>
    </w:p>
    <w:p w:rsidR="00CB3520" w:rsidRPr="00606F29" w:rsidRDefault="00CB3520" w:rsidP="00CB3520">
      <w:pPr>
        <w:widowControl w:val="0"/>
        <w:rPr>
          <w:sz w:val="20"/>
          <w:szCs w:val="20"/>
        </w:rPr>
      </w:pPr>
    </w:p>
    <w:p w:rsidR="00CB3520" w:rsidRPr="00606F29" w:rsidRDefault="00CB3520" w:rsidP="00CB3520">
      <w:pPr>
        <w:widowControl w:val="0"/>
        <w:jc w:val="center"/>
        <w:rPr>
          <w:b/>
          <w:sz w:val="20"/>
          <w:szCs w:val="20"/>
          <w:lang w:val="en-US"/>
        </w:rPr>
      </w:pPr>
      <w:r w:rsidRPr="00606F29">
        <w:rPr>
          <w:b/>
          <w:sz w:val="20"/>
          <w:szCs w:val="20"/>
          <w:lang w:val="en-US"/>
        </w:rPr>
        <w:t xml:space="preserve">CORAM: </w:t>
      </w:r>
      <w:proofErr w:type="spellStart"/>
      <w:r w:rsidR="00FA3373" w:rsidRPr="00606F29">
        <w:rPr>
          <w:b/>
          <w:sz w:val="20"/>
          <w:szCs w:val="20"/>
          <w:lang w:val="en-US"/>
        </w:rPr>
        <w:t>Abella</w:t>
      </w:r>
      <w:proofErr w:type="spellEnd"/>
      <w:r w:rsidRPr="00606F29">
        <w:rPr>
          <w:b/>
          <w:sz w:val="20"/>
          <w:szCs w:val="20"/>
          <w:lang w:val="en-US"/>
        </w:rPr>
        <w:t xml:space="preserve">, </w:t>
      </w:r>
      <w:proofErr w:type="spellStart"/>
      <w:r w:rsidR="00195F99" w:rsidRPr="00606F29">
        <w:rPr>
          <w:b/>
          <w:sz w:val="20"/>
          <w:szCs w:val="20"/>
          <w:lang w:val="en-US"/>
        </w:rPr>
        <w:t>Gascon</w:t>
      </w:r>
      <w:proofErr w:type="spellEnd"/>
      <w:r w:rsidRPr="00606F29">
        <w:rPr>
          <w:b/>
          <w:sz w:val="20"/>
          <w:szCs w:val="20"/>
          <w:lang w:val="en-US"/>
        </w:rPr>
        <w:t xml:space="preserve"> and </w:t>
      </w:r>
      <w:r w:rsidR="00E942C2" w:rsidRPr="00606F29">
        <w:rPr>
          <w:b/>
          <w:sz w:val="20"/>
          <w:szCs w:val="20"/>
          <w:lang w:val="en-US"/>
        </w:rPr>
        <w:t>Brown</w:t>
      </w:r>
      <w:r w:rsidRPr="00606F29">
        <w:rPr>
          <w:b/>
          <w:sz w:val="20"/>
          <w:szCs w:val="20"/>
          <w:lang w:val="en-US"/>
        </w:rPr>
        <w:t xml:space="preserve"> JJ.</w:t>
      </w:r>
    </w:p>
    <w:p w:rsidR="00CB3520" w:rsidRPr="00606F29" w:rsidRDefault="00CB3520" w:rsidP="00CB3520">
      <w:pPr>
        <w:widowControl w:val="0"/>
        <w:jc w:val="center"/>
        <w:rPr>
          <w:b/>
          <w:sz w:val="20"/>
          <w:szCs w:val="20"/>
          <w:lang w:val="fr-CA"/>
        </w:rPr>
      </w:pPr>
      <w:r w:rsidRPr="00606F29">
        <w:rPr>
          <w:b/>
          <w:sz w:val="20"/>
          <w:szCs w:val="20"/>
          <w:lang w:val="fr-CA"/>
        </w:rPr>
        <w:t xml:space="preserve">Les juges </w:t>
      </w:r>
      <w:r w:rsidR="00FA3373" w:rsidRPr="00606F29">
        <w:rPr>
          <w:b/>
          <w:sz w:val="20"/>
          <w:szCs w:val="20"/>
          <w:lang w:val="fr-CA"/>
        </w:rPr>
        <w:t>Abella</w:t>
      </w:r>
      <w:r w:rsidRPr="00606F29">
        <w:rPr>
          <w:b/>
          <w:sz w:val="20"/>
          <w:szCs w:val="20"/>
          <w:lang w:val="fr-CA"/>
        </w:rPr>
        <w:t xml:space="preserve">, </w:t>
      </w:r>
      <w:r w:rsidR="00195F99" w:rsidRPr="00606F29">
        <w:rPr>
          <w:b/>
          <w:sz w:val="20"/>
          <w:szCs w:val="20"/>
          <w:lang w:val="fr-CA"/>
        </w:rPr>
        <w:t>Gascon</w:t>
      </w:r>
      <w:r w:rsidRPr="00606F29">
        <w:rPr>
          <w:b/>
          <w:sz w:val="20"/>
          <w:szCs w:val="20"/>
          <w:lang w:val="fr-CA"/>
        </w:rPr>
        <w:t xml:space="preserve"> et </w:t>
      </w:r>
      <w:r w:rsidR="00E942C2" w:rsidRPr="00606F29">
        <w:rPr>
          <w:b/>
          <w:sz w:val="20"/>
          <w:szCs w:val="20"/>
          <w:lang w:val="fr-CA"/>
        </w:rPr>
        <w:t>Brown</w:t>
      </w:r>
    </w:p>
    <w:p w:rsidR="00CB3520" w:rsidRPr="00606F29" w:rsidRDefault="00CB3520" w:rsidP="00CB3520">
      <w:pPr>
        <w:widowControl w:val="0"/>
        <w:jc w:val="both"/>
        <w:rPr>
          <w:sz w:val="20"/>
          <w:szCs w:val="20"/>
          <w:lang w:val="fr-CA"/>
        </w:rPr>
      </w:pPr>
    </w:p>
    <w:p w:rsidR="00CB3520" w:rsidRPr="00606F29" w:rsidRDefault="00551B97" w:rsidP="00551B97">
      <w:pPr>
        <w:pStyle w:val="ListParagraph"/>
        <w:widowControl w:val="0"/>
        <w:numPr>
          <w:ilvl w:val="0"/>
          <w:numId w:val="1"/>
        </w:numPr>
        <w:ind w:hanging="720"/>
        <w:jc w:val="both"/>
        <w:rPr>
          <w:sz w:val="20"/>
          <w:szCs w:val="20"/>
          <w:lang w:val="en-US"/>
        </w:rPr>
      </w:pPr>
      <w:r w:rsidRPr="00606F29">
        <w:rPr>
          <w:i/>
          <w:sz w:val="20"/>
          <w:szCs w:val="20"/>
        </w:rPr>
        <w:t xml:space="preserve">Raymond John </w:t>
      </w:r>
      <w:proofErr w:type="spellStart"/>
      <w:r w:rsidRPr="00606F29">
        <w:rPr>
          <w:i/>
          <w:sz w:val="20"/>
          <w:szCs w:val="20"/>
        </w:rPr>
        <w:t>Untinen</w:t>
      </w:r>
      <w:proofErr w:type="spellEnd"/>
      <w:r w:rsidRPr="00606F29">
        <w:rPr>
          <w:i/>
          <w:sz w:val="20"/>
          <w:szCs w:val="20"/>
        </w:rPr>
        <w:t xml:space="preserve"> </w:t>
      </w:r>
      <w:r w:rsidR="00CB3520" w:rsidRPr="00606F29">
        <w:rPr>
          <w:i/>
          <w:sz w:val="20"/>
          <w:szCs w:val="20"/>
        </w:rPr>
        <w:t xml:space="preserve">v. </w:t>
      </w:r>
      <w:r w:rsidRPr="00606F29">
        <w:rPr>
          <w:i/>
          <w:sz w:val="20"/>
          <w:szCs w:val="20"/>
        </w:rPr>
        <w:t xml:space="preserve">Her Majesty the Queen </w:t>
      </w:r>
      <w:r w:rsidR="00CB3520" w:rsidRPr="00606F29">
        <w:rPr>
          <w:sz w:val="20"/>
          <w:szCs w:val="20"/>
        </w:rPr>
        <w:t>(</w:t>
      </w:r>
      <w:r w:rsidRPr="00606F29">
        <w:rPr>
          <w:sz w:val="20"/>
          <w:szCs w:val="20"/>
        </w:rPr>
        <w:t>B.C.) (Criminal</w:t>
      </w:r>
      <w:r w:rsidR="00CB3520" w:rsidRPr="00606F29">
        <w:rPr>
          <w:sz w:val="20"/>
          <w:szCs w:val="20"/>
        </w:rPr>
        <w:t>) (By Leave)</w:t>
      </w:r>
      <w:r w:rsidR="00CB3520" w:rsidRPr="00606F29">
        <w:rPr>
          <w:sz w:val="20"/>
          <w:szCs w:val="20"/>
          <w:lang w:val="en-US"/>
        </w:rPr>
        <w:t xml:space="preserve"> (</w:t>
      </w:r>
      <w:r w:rsidRPr="00606F29">
        <w:rPr>
          <w:sz w:val="20"/>
          <w:szCs w:val="20"/>
          <w:lang w:val="en-US"/>
        </w:rPr>
        <w:t>37883</w:t>
      </w:r>
      <w:r w:rsidR="00CB3520" w:rsidRPr="00606F29">
        <w:rPr>
          <w:sz w:val="20"/>
          <w:szCs w:val="20"/>
          <w:lang w:val="en-US"/>
        </w:rPr>
        <w:t>)</w:t>
      </w:r>
    </w:p>
    <w:p w:rsidR="00CB3520" w:rsidRPr="00606F29" w:rsidRDefault="00CB3520" w:rsidP="00CB3520">
      <w:pPr>
        <w:widowControl w:val="0"/>
        <w:jc w:val="both"/>
        <w:rPr>
          <w:sz w:val="20"/>
          <w:szCs w:val="20"/>
          <w:lang w:val="en-US"/>
        </w:rPr>
      </w:pPr>
    </w:p>
    <w:p w:rsidR="00CB3520" w:rsidRPr="00606F29" w:rsidRDefault="00551B97" w:rsidP="00CB3520">
      <w:pPr>
        <w:pStyle w:val="ListParagraph"/>
        <w:widowControl w:val="0"/>
        <w:numPr>
          <w:ilvl w:val="0"/>
          <w:numId w:val="1"/>
        </w:numPr>
        <w:ind w:hanging="720"/>
        <w:jc w:val="both"/>
        <w:rPr>
          <w:sz w:val="20"/>
          <w:szCs w:val="20"/>
          <w:lang w:val="en-US"/>
        </w:rPr>
      </w:pPr>
      <w:r w:rsidRPr="00606F29">
        <w:rPr>
          <w:i/>
          <w:sz w:val="20"/>
          <w:szCs w:val="20"/>
          <w:lang w:val="en-US"/>
        </w:rPr>
        <w:t>Ian Angus v.</w:t>
      </w:r>
      <w:r w:rsidRPr="00606F29">
        <w:rPr>
          <w:szCs w:val="24"/>
          <w:lang w:val="en-US"/>
        </w:rPr>
        <w:t xml:space="preserve"> </w:t>
      </w:r>
      <w:r w:rsidRPr="00606F29">
        <w:rPr>
          <w:i/>
          <w:sz w:val="20"/>
          <w:szCs w:val="20"/>
          <w:lang w:val="en-US"/>
        </w:rPr>
        <w:t xml:space="preserve">Municipality of Port Hope </w:t>
      </w:r>
      <w:r w:rsidR="00CB3520" w:rsidRPr="00606F29">
        <w:rPr>
          <w:sz w:val="20"/>
          <w:szCs w:val="20"/>
          <w:lang w:val="en-US"/>
        </w:rPr>
        <w:t>(</w:t>
      </w:r>
      <w:r w:rsidRPr="00606F29">
        <w:rPr>
          <w:sz w:val="20"/>
          <w:szCs w:val="20"/>
          <w:lang w:val="en-US"/>
        </w:rPr>
        <w:t>Ont.)</w:t>
      </w:r>
      <w:r w:rsidR="00CB3520" w:rsidRPr="00606F29">
        <w:rPr>
          <w:sz w:val="20"/>
          <w:szCs w:val="20"/>
          <w:lang w:val="en-US"/>
        </w:rPr>
        <w:t xml:space="preserve"> </w:t>
      </w:r>
      <w:r w:rsidRPr="00606F29">
        <w:rPr>
          <w:sz w:val="20"/>
          <w:szCs w:val="20"/>
          <w:lang w:val="en-US"/>
        </w:rPr>
        <w:t>(Civil</w:t>
      </w:r>
      <w:r w:rsidR="00CB3520" w:rsidRPr="00606F29">
        <w:rPr>
          <w:sz w:val="20"/>
          <w:szCs w:val="20"/>
          <w:lang w:val="en-US"/>
        </w:rPr>
        <w:t>) (</w:t>
      </w:r>
      <w:r w:rsidRPr="00606F29">
        <w:rPr>
          <w:sz w:val="20"/>
          <w:szCs w:val="20"/>
          <w:lang w:val="en-US"/>
        </w:rPr>
        <w:t>By Leave)</w:t>
      </w:r>
      <w:r w:rsidR="00CB3520" w:rsidRPr="00606F29">
        <w:rPr>
          <w:sz w:val="20"/>
          <w:szCs w:val="20"/>
          <w:lang w:val="en-US"/>
        </w:rPr>
        <w:t xml:space="preserve"> (</w:t>
      </w:r>
      <w:r w:rsidRPr="00606F29">
        <w:rPr>
          <w:sz w:val="20"/>
          <w:szCs w:val="20"/>
          <w:lang w:val="en-US"/>
        </w:rPr>
        <w:t>37778</w:t>
      </w:r>
      <w:r w:rsidR="00CB3520" w:rsidRPr="00606F29">
        <w:rPr>
          <w:sz w:val="20"/>
          <w:szCs w:val="20"/>
          <w:lang w:val="en-US"/>
        </w:rPr>
        <w:t>)</w:t>
      </w:r>
    </w:p>
    <w:p w:rsidR="00CB3520" w:rsidRPr="00606F29" w:rsidRDefault="00CB3520" w:rsidP="00CB3520">
      <w:pPr>
        <w:widowControl w:val="0"/>
        <w:rPr>
          <w:sz w:val="20"/>
          <w:szCs w:val="20"/>
          <w:lang w:val="en-US"/>
        </w:rPr>
      </w:pPr>
    </w:p>
    <w:p w:rsidR="00CB3520" w:rsidRPr="00606F29" w:rsidRDefault="00551B97" w:rsidP="00CB3520">
      <w:pPr>
        <w:pStyle w:val="ListParagraph"/>
        <w:widowControl w:val="0"/>
        <w:numPr>
          <w:ilvl w:val="0"/>
          <w:numId w:val="1"/>
        </w:numPr>
        <w:ind w:hanging="720"/>
        <w:jc w:val="both"/>
        <w:rPr>
          <w:sz w:val="20"/>
          <w:szCs w:val="20"/>
          <w:lang w:val="en-US"/>
        </w:rPr>
      </w:pPr>
      <w:r w:rsidRPr="00606F29">
        <w:rPr>
          <w:i/>
          <w:sz w:val="20"/>
          <w:szCs w:val="20"/>
          <w:lang w:val="en-US"/>
        </w:rPr>
        <w:t>John Paul Abbott v.</w:t>
      </w:r>
      <w:r w:rsidRPr="00606F29">
        <w:rPr>
          <w:szCs w:val="24"/>
        </w:rPr>
        <w:t xml:space="preserve"> </w:t>
      </w:r>
      <w:r w:rsidRPr="00606F29">
        <w:rPr>
          <w:i/>
          <w:sz w:val="20"/>
          <w:szCs w:val="20"/>
        </w:rPr>
        <w:t>Law Society of Upper Canada</w:t>
      </w:r>
      <w:r w:rsidR="00CB3520" w:rsidRPr="00606F29">
        <w:rPr>
          <w:sz w:val="20"/>
          <w:szCs w:val="20"/>
          <w:lang w:val="en-US"/>
        </w:rPr>
        <w:t xml:space="preserve"> </w:t>
      </w:r>
      <w:r w:rsidRPr="00606F29">
        <w:rPr>
          <w:sz w:val="20"/>
          <w:szCs w:val="20"/>
          <w:lang w:val="en-US"/>
        </w:rPr>
        <w:t>(Ont.</w:t>
      </w:r>
      <w:r w:rsidR="00CB3520" w:rsidRPr="00606F29">
        <w:rPr>
          <w:sz w:val="20"/>
          <w:szCs w:val="20"/>
          <w:lang w:val="en-US"/>
        </w:rPr>
        <w:t>) (Civil) (</w:t>
      </w:r>
      <w:r w:rsidRPr="00606F29">
        <w:rPr>
          <w:sz w:val="20"/>
          <w:szCs w:val="20"/>
          <w:lang w:val="en-US"/>
        </w:rPr>
        <w:t>By Leave</w:t>
      </w:r>
      <w:r w:rsidR="00CB3520" w:rsidRPr="00606F29">
        <w:rPr>
          <w:sz w:val="20"/>
          <w:szCs w:val="20"/>
          <w:lang w:val="en-US"/>
        </w:rPr>
        <w:t xml:space="preserve">) </w:t>
      </w:r>
      <w:r w:rsidRPr="00606F29">
        <w:rPr>
          <w:sz w:val="20"/>
          <w:szCs w:val="20"/>
          <w:lang w:val="en-US"/>
        </w:rPr>
        <w:t>(37753</w:t>
      </w:r>
      <w:r w:rsidR="00CB3520" w:rsidRPr="00606F29">
        <w:rPr>
          <w:sz w:val="20"/>
          <w:szCs w:val="20"/>
          <w:lang w:val="en-US"/>
        </w:rPr>
        <w:t>)</w:t>
      </w:r>
    </w:p>
    <w:p w:rsidR="00CB3520" w:rsidRPr="00606F29" w:rsidRDefault="00CB3520" w:rsidP="00CB3520">
      <w:pPr>
        <w:widowControl w:val="0"/>
        <w:jc w:val="both"/>
        <w:rPr>
          <w:sz w:val="20"/>
          <w:szCs w:val="20"/>
          <w:lang w:val="en-US"/>
        </w:rPr>
      </w:pPr>
    </w:p>
    <w:p w:rsidR="00CB3520" w:rsidRPr="00606F29" w:rsidRDefault="00CB3520" w:rsidP="00CB3520">
      <w:pPr>
        <w:widowControl w:val="0"/>
        <w:jc w:val="both"/>
        <w:rPr>
          <w:sz w:val="20"/>
          <w:szCs w:val="20"/>
          <w:lang w:val="en-US"/>
        </w:rPr>
      </w:pPr>
    </w:p>
    <w:p w:rsidR="00CB3520" w:rsidRPr="00606F29" w:rsidRDefault="00CB3520" w:rsidP="00CB3520">
      <w:pPr>
        <w:widowControl w:val="0"/>
        <w:jc w:val="center"/>
        <w:rPr>
          <w:b/>
          <w:sz w:val="20"/>
          <w:szCs w:val="20"/>
          <w:lang w:val="en-US"/>
        </w:rPr>
      </w:pPr>
      <w:r w:rsidRPr="00606F29">
        <w:rPr>
          <w:b/>
          <w:sz w:val="20"/>
          <w:szCs w:val="20"/>
          <w:lang w:val="en-US"/>
        </w:rPr>
        <w:t xml:space="preserve">CORAM: </w:t>
      </w:r>
      <w:proofErr w:type="spellStart"/>
      <w:r w:rsidR="00253236" w:rsidRPr="00606F29">
        <w:rPr>
          <w:b/>
          <w:sz w:val="20"/>
          <w:szCs w:val="20"/>
          <w:lang w:val="en-US"/>
        </w:rPr>
        <w:t>Moldaver</w:t>
      </w:r>
      <w:proofErr w:type="spellEnd"/>
      <w:r w:rsidR="00E942C2" w:rsidRPr="00606F29">
        <w:rPr>
          <w:b/>
          <w:sz w:val="20"/>
          <w:szCs w:val="20"/>
          <w:lang w:val="en-US"/>
        </w:rPr>
        <w:t xml:space="preserve">, </w:t>
      </w:r>
      <w:proofErr w:type="spellStart"/>
      <w:r w:rsidR="00195F99" w:rsidRPr="00606F29">
        <w:rPr>
          <w:b/>
          <w:sz w:val="20"/>
          <w:szCs w:val="20"/>
          <w:lang w:val="en-US"/>
        </w:rPr>
        <w:t>Karakatsanis</w:t>
      </w:r>
      <w:proofErr w:type="spellEnd"/>
      <w:r w:rsidR="00195F99" w:rsidRPr="00606F29">
        <w:rPr>
          <w:b/>
          <w:sz w:val="20"/>
          <w:szCs w:val="20"/>
          <w:lang w:val="en-US"/>
        </w:rPr>
        <w:t xml:space="preserve"> and </w:t>
      </w:r>
      <w:proofErr w:type="spellStart"/>
      <w:r w:rsidR="00253236" w:rsidRPr="00606F29">
        <w:rPr>
          <w:b/>
          <w:sz w:val="20"/>
          <w:szCs w:val="20"/>
          <w:lang w:val="en-US"/>
        </w:rPr>
        <w:t>Côté</w:t>
      </w:r>
      <w:proofErr w:type="spellEnd"/>
      <w:r w:rsidR="00195F99" w:rsidRPr="00606F29">
        <w:rPr>
          <w:b/>
          <w:sz w:val="20"/>
          <w:szCs w:val="20"/>
          <w:lang w:val="en-US"/>
        </w:rPr>
        <w:t xml:space="preserve"> </w:t>
      </w:r>
      <w:r w:rsidRPr="00606F29">
        <w:rPr>
          <w:b/>
          <w:sz w:val="20"/>
          <w:szCs w:val="20"/>
          <w:lang w:val="en-US"/>
        </w:rPr>
        <w:t>JJ.</w:t>
      </w:r>
    </w:p>
    <w:p w:rsidR="00CB3520" w:rsidRPr="00606F29" w:rsidRDefault="00CB3520" w:rsidP="00CB3520">
      <w:pPr>
        <w:widowControl w:val="0"/>
        <w:jc w:val="center"/>
        <w:rPr>
          <w:b/>
          <w:sz w:val="20"/>
          <w:szCs w:val="20"/>
          <w:lang w:val="fr-CA"/>
        </w:rPr>
      </w:pPr>
      <w:r w:rsidRPr="00606F29">
        <w:rPr>
          <w:b/>
          <w:sz w:val="20"/>
          <w:szCs w:val="20"/>
          <w:lang w:val="fr-CA"/>
        </w:rPr>
        <w:t xml:space="preserve">Les juges </w:t>
      </w:r>
      <w:proofErr w:type="spellStart"/>
      <w:r w:rsidR="00253236" w:rsidRPr="00606F29">
        <w:rPr>
          <w:b/>
          <w:sz w:val="20"/>
          <w:szCs w:val="20"/>
          <w:lang w:val="fr-CA"/>
        </w:rPr>
        <w:t>Moldaver</w:t>
      </w:r>
      <w:proofErr w:type="spellEnd"/>
      <w:r w:rsidR="00E942C2" w:rsidRPr="00606F29">
        <w:rPr>
          <w:b/>
          <w:sz w:val="20"/>
          <w:szCs w:val="20"/>
          <w:lang w:val="fr-CA"/>
        </w:rPr>
        <w:t xml:space="preserve">, </w:t>
      </w:r>
      <w:proofErr w:type="spellStart"/>
      <w:r w:rsidR="00195F99" w:rsidRPr="00606F29">
        <w:rPr>
          <w:b/>
          <w:sz w:val="20"/>
          <w:szCs w:val="20"/>
          <w:lang w:val="fr-CA"/>
        </w:rPr>
        <w:t>Karakatsanis</w:t>
      </w:r>
      <w:proofErr w:type="spellEnd"/>
      <w:r w:rsidR="00195F99" w:rsidRPr="00606F29">
        <w:rPr>
          <w:b/>
          <w:sz w:val="20"/>
          <w:szCs w:val="20"/>
          <w:lang w:val="fr-CA"/>
        </w:rPr>
        <w:t xml:space="preserve"> et </w:t>
      </w:r>
      <w:r w:rsidR="00253236" w:rsidRPr="00606F29">
        <w:rPr>
          <w:b/>
          <w:sz w:val="20"/>
          <w:szCs w:val="20"/>
          <w:lang w:val="fr-CA"/>
        </w:rPr>
        <w:t>Côté</w:t>
      </w:r>
    </w:p>
    <w:p w:rsidR="00CB3520" w:rsidRPr="00606F29" w:rsidRDefault="00CB3520" w:rsidP="00CB3520">
      <w:pPr>
        <w:widowControl w:val="0"/>
        <w:jc w:val="both"/>
        <w:rPr>
          <w:sz w:val="20"/>
          <w:szCs w:val="20"/>
          <w:lang w:val="fr-CA"/>
        </w:rPr>
      </w:pPr>
    </w:p>
    <w:p w:rsidR="00CB3520" w:rsidRPr="00606F29" w:rsidRDefault="00551B97" w:rsidP="00CB3520">
      <w:pPr>
        <w:pStyle w:val="ListParagraph"/>
        <w:widowControl w:val="0"/>
        <w:numPr>
          <w:ilvl w:val="0"/>
          <w:numId w:val="1"/>
        </w:numPr>
        <w:ind w:hanging="720"/>
        <w:jc w:val="both"/>
        <w:rPr>
          <w:sz w:val="20"/>
          <w:szCs w:val="20"/>
        </w:rPr>
      </w:pPr>
      <w:r w:rsidRPr="00606F29">
        <w:rPr>
          <w:i/>
          <w:sz w:val="20"/>
          <w:szCs w:val="20"/>
          <w:lang w:val="en-US"/>
        </w:rPr>
        <w:t xml:space="preserve">David Matthew Clarke v. Her Majesty the Queen </w:t>
      </w:r>
      <w:r w:rsidR="00CB3520" w:rsidRPr="00606F29">
        <w:rPr>
          <w:sz w:val="20"/>
          <w:szCs w:val="20"/>
        </w:rPr>
        <w:t>(</w:t>
      </w:r>
      <w:r w:rsidRPr="00606F29">
        <w:rPr>
          <w:sz w:val="20"/>
          <w:szCs w:val="20"/>
        </w:rPr>
        <w:t>B.C.</w:t>
      </w:r>
      <w:r w:rsidR="00CB3520" w:rsidRPr="00606F29">
        <w:rPr>
          <w:sz w:val="20"/>
          <w:szCs w:val="20"/>
        </w:rPr>
        <w:t>) (</w:t>
      </w:r>
      <w:r w:rsidRPr="00606F29">
        <w:rPr>
          <w:sz w:val="20"/>
          <w:szCs w:val="20"/>
        </w:rPr>
        <w:t>Crimina</w:t>
      </w:r>
      <w:r w:rsidR="00CB3520" w:rsidRPr="00606F29">
        <w:rPr>
          <w:sz w:val="20"/>
          <w:szCs w:val="20"/>
        </w:rPr>
        <w:t>l) (By Leave) (</w:t>
      </w:r>
      <w:r w:rsidRPr="00606F29">
        <w:rPr>
          <w:sz w:val="20"/>
          <w:szCs w:val="20"/>
        </w:rPr>
        <w:t>37977</w:t>
      </w:r>
      <w:r w:rsidR="00CB3520" w:rsidRPr="00606F29">
        <w:rPr>
          <w:sz w:val="20"/>
          <w:szCs w:val="20"/>
        </w:rPr>
        <w:t>)</w:t>
      </w:r>
    </w:p>
    <w:p w:rsidR="00CB3520" w:rsidRPr="00606F29" w:rsidRDefault="00CB3520" w:rsidP="00CB3520">
      <w:pPr>
        <w:widowControl w:val="0"/>
        <w:jc w:val="both"/>
        <w:rPr>
          <w:sz w:val="20"/>
          <w:szCs w:val="20"/>
        </w:rPr>
      </w:pPr>
    </w:p>
    <w:p w:rsidR="00CB3520" w:rsidRPr="00606F29" w:rsidRDefault="00551B97" w:rsidP="00CB3520">
      <w:pPr>
        <w:pStyle w:val="ListParagraph"/>
        <w:widowControl w:val="0"/>
        <w:numPr>
          <w:ilvl w:val="0"/>
          <w:numId w:val="1"/>
        </w:numPr>
        <w:ind w:hanging="720"/>
        <w:jc w:val="both"/>
        <w:rPr>
          <w:sz w:val="20"/>
          <w:szCs w:val="20"/>
          <w:lang w:val="fr-CA"/>
        </w:rPr>
      </w:pPr>
      <w:r w:rsidRPr="00606F29">
        <w:rPr>
          <w:i/>
          <w:sz w:val="20"/>
          <w:szCs w:val="20"/>
          <w:lang w:val="fr-CA"/>
        </w:rPr>
        <w:t xml:space="preserve">Modern Concept d'entretien </w:t>
      </w:r>
      <w:proofErr w:type="spellStart"/>
      <w:r w:rsidRPr="00606F29">
        <w:rPr>
          <w:i/>
          <w:sz w:val="20"/>
          <w:szCs w:val="20"/>
          <w:lang w:val="fr-CA"/>
        </w:rPr>
        <w:t>inc.</w:t>
      </w:r>
      <w:proofErr w:type="spellEnd"/>
      <w:r w:rsidRPr="00606F29">
        <w:rPr>
          <w:i/>
          <w:sz w:val="20"/>
          <w:szCs w:val="20"/>
          <w:lang w:val="fr-CA"/>
        </w:rPr>
        <w:t xml:space="preserve"> c. </w:t>
      </w:r>
      <w:r w:rsidRPr="00606F29">
        <w:rPr>
          <w:i/>
          <w:sz w:val="20"/>
          <w:szCs w:val="20"/>
          <w:lang w:val="fr-FR"/>
        </w:rPr>
        <w:t>Comité paritaire de l'entretien d'édifices publics de la région de Québec</w:t>
      </w:r>
      <w:r w:rsidRPr="00606F29">
        <w:rPr>
          <w:i/>
          <w:sz w:val="20"/>
          <w:szCs w:val="20"/>
          <w:lang w:val="fr-CA"/>
        </w:rPr>
        <w:t xml:space="preserve">   </w:t>
      </w:r>
      <w:r w:rsidR="00CB3520" w:rsidRPr="00606F29">
        <w:rPr>
          <w:sz w:val="20"/>
          <w:szCs w:val="20"/>
          <w:lang w:val="fr-CA"/>
        </w:rPr>
        <w:t>(</w:t>
      </w:r>
      <w:proofErr w:type="spellStart"/>
      <w:r w:rsidRPr="00606F29">
        <w:rPr>
          <w:sz w:val="20"/>
          <w:szCs w:val="20"/>
          <w:lang w:val="fr-CA"/>
        </w:rPr>
        <w:t>Qc</w:t>
      </w:r>
      <w:proofErr w:type="spellEnd"/>
      <w:r w:rsidR="00CB3520" w:rsidRPr="00606F29">
        <w:rPr>
          <w:sz w:val="20"/>
          <w:szCs w:val="20"/>
          <w:lang w:val="fr-CA"/>
        </w:rPr>
        <w:t>) (Civil</w:t>
      </w:r>
      <w:r w:rsidRPr="00606F29">
        <w:rPr>
          <w:sz w:val="20"/>
          <w:szCs w:val="20"/>
          <w:lang w:val="fr-CA"/>
        </w:rPr>
        <w:t>e) (Autorisation</w:t>
      </w:r>
      <w:r w:rsidR="00CB3520" w:rsidRPr="00606F29">
        <w:rPr>
          <w:sz w:val="20"/>
          <w:szCs w:val="20"/>
          <w:lang w:val="fr-CA"/>
        </w:rPr>
        <w:t>) (</w:t>
      </w:r>
      <w:r w:rsidRPr="00606F29">
        <w:rPr>
          <w:sz w:val="20"/>
          <w:szCs w:val="20"/>
          <w:lang w:val="fr-CA"/>
        </w:rPr>
        <w:t>37813</w:t>
      </w:r>
      <w:r w:rsidR="00CB3520" w:rsidRPr="00606F29">
        <w:rPr>
          <w:sz w:val="20"/>
          <w:szCs w:val="20"/>
          <w:lang w:val="fr-CA"/>
        </w:rPr>
        <w:t>)</w:t>
      </w:r>
    </w:p>
    <w:p w:rsidR="00CB3520" w:rsidRPr="00606F29" w:rsidRDefault="00CB3520" w:rsidP="00CB3520">
      <w:pPr>
        <w:widowControl w:val="0"/>
        <w:rPr>
          <w:i/>
          <w:sz w:val="20"/>
          <w:szCs w:val="20"/>
          <w:lang w:val="fr-CA"/>
        </w:rPr>
      </w:pPr>
    </w:p>
    <w:p w:rsidR="00CB3520" w:rsidRPr="00606F29" w:rsidRDefault="00551B97" w:rsidP="00CB3520">
      <w:pPr>
        <w:pStyle w:val="ListParagraph"/>
        <w:widowControl w:val="0"/>
        <w:numPr>
          <w:ilvl w:val="0"/>
          <w:numId w:val="1"/>
        </w:numPr>
        <w:ind w:hanging="720"/>
        <w:jc w:val="both"/>
        <w:rPr>
          <w:sz w:val="20"/>
          <w:szCs w:val="20"/>
          <w:lang w:val="fr-CA"/>
        </w:rPr>
      </w:pPr>
      <w:r w:rsidRPr="00606F29">
        <w:rPr>
          <w:i/>
          <w:sz w:val="20"/>
          <w:szCs w:val="20"/>
          <w:lang w:val="en-US"/>
        </w:rPr>
        <w:t>Essar Steel Algoma Inc. v.</w:t>
      </w:r>
      <w:r w:rsidRPr="00606F29">
        <w:rPr>
          <w:szCs w:val="24"/>
        </w:rPr>
        <w:t xml:space="preserve"> </w:t>
      </w:r>
      <w:r w:rsidRPr="00606F29">
        <w:rPr>
          <w:i/>
          <w:sz w:val="20"/>
          <w:szCs w:val="20"/>
        </w:rPr>
        <w:t xml:space="preserve">Jindal Steel, Power Limited and Steel Authority of India Ltd. </w:t>
      </w:r>
      <w:r w:rsidRPr="00606F29">
        <w:rPr>
          <w:sz w:val="20"/>
          <w:szCs w:val="20"/>
        </w:rPr>
        <w:t>(F</w:t>
      </w:r>
      <w:r w:rsidR="00CB3520" w:rsidRPr="00606F29">
        <w:rPr>
          <w:sz w:val="20"/>
          <w:szCs w:val="20"/>
          <w:lang w:val="en-US"/>
        </w:rPr>
        <w:t xml:space="preserve">.C.) </w:t>
      </w:r>
      <w:r w:rsidRPr="00606F29">
        <w:rPr>
          <w:sz w:val="20"/>
          <w:szCs w:val="20"/>
          <w:lang w:val="fr-CA"/>
        </w:rPr>
        <w:t xml:space="preserve">(Civil) (By </w:t>
      </w:r>
      <w:proofErr w:type="spellStart"/>
      <w:r w:rsidRPr="00606F29">
        <w:rPr>
          <w:sz w:val="20"/>
          <w:szCs w:val="20"/>
          <w:lang w:val="fr-CA"/>
        </w:rPr>
        <w:t>Leave</w:t>
      </w:r>
      <w:proofErr w:type="spellEnd"/>
      <w:r w:rsidRPr="00606F29">
        <w:rPr>
          <w:sz w:val="20"/>
          <w:szCs w:val="20"/>
          <w:lang w:val="fr-CA"/>
        </w:rPr>
        <w:t>) (37798</w:t>
      </w:r>
      <w:r w:rsidR="00CB3520" w:rsidRPr="00606F29">
        <w:rPr>
          <w:sz w:val="20"/>
          <w:szCs w:val="20"/>
          <w:lang w:val="fr-CA"/>
        </w:rPr>
        <w:t>)</w:t>
      </w:r>
    </w:p>
    <w:p w:rsidR="00CB3520" w:rsidRPr="00606F29" w:rsidRDefault="00CB3520" w:rsidP="00CB3520">
      <w:pPr>
        <w:widowControl w:val="0"/>
        <w:jc w:val="both"/>
        <w:rPr>
          <w:sz w:val="20"/>
          <w:szCs w:val="20"/>
          <w:lang w:val="fr-CA"/>
        </w:rPr>
      </w:pPr>
    </w:p>
    <w:p w:rsidR="002E2327" w:rsidRPr="00606F29" w:rsidRDefault="002E2327" w:rsidP="002E2327">
      <w:pPr>
        <w:widowControl w:val="0"/>
        <w:rPr>
          <w:sz w:val="20"/>
          <w:szCs w:val="20"/>
          <w:lang w:val="fr-CA"/>
        </w:rPr>
      </w:pPr>
    </w:p>
    <w:p w:rsidR="002E2327" w:rsidRPr="00606F29" w:rsidRDefault="009813FB" w:rsidP="002E2327">
      <w:pPr>
        <w:widowControl w:val="0"/>
        <w:rPr>
          <w:sz w:val="20"/>
          <w:szCs w:val="20"/>
          <w:lang w:val="fr-CA"/>
        </w:rPr>
      </w:pPr>
      <w:r>
        <w:rPr>
          <w:sz w:val="20"/>
          <w:szCs w:val="20"/>
        </w:rPr>
        <w:pict>
          <v:rect id="_x0000_i1029" style="width:2in;height:1pt" o:hrpct="0" o:hralign="center" o:hrstd="t" o:hrnoshade="t" o:hr="t" fillcolor="black [3213]" stroked="f"/>
        </w:pict>
      </w:r>
    </w:p>
    <w:p w:rsidR="00D94028" w:rsidRPr="00606F29" w:rsidRDefault="00D94028" w:rsidP="002E2327">
      <w:pPr>
        <w:widowControl w:val="0"/>
        <w:rPr>
          <w:sz w:val="20"/>
          <w:szCs w:val="20"/>
          <w:lang w:val="fr-CA"/>
        </w:rPr>
      </w:pPr>
    </w:p>
    <w:p w:rsidR="00D94028" w:rsidRPr="00606F29" w:rsidRDefault="00D94028" w:rsidP="002E2327">
      <w:pPr>
        <w:widowControl w:val="0"/>
        <w:rPr>
          <w:sz w:val="20"/>
          <w:szCs w:val="20"/>
          <w:lang w:val="fr-CA"/>
        </w:rPr>
      </w:pPr>
    </w:p>
    <w:p w:rsidR="00D94028" w:rsidRPr="00606F29" w:rsidRDefault="00D94028" w:rsidP="002E2327">
      <w:pPr>
        <w:widowControl w:val="0"/>
        <w:rPr>
          <w:sz w:val="20"/>
          <w:szCs w:val="20"/>
          <w:lang w:val="fr-CA"/>
        </w:rPr>
      </w:pPr>
    </w:p>
    <w:p w:rsidR="0044776A" w:rsidRPr="00606F29" w:rsidRDefault="0044776A" w:rsidP="002E2327">
      <w:pPr>
        <w:widowControl w:val="0"/>
        <w:spacing w:line="0" w:lineRule="atLeast"/>
        <w:rPr>
          <w:sz w:val="20"/>
          <w:szCs w:val="20"/>
          <w:lang w:val="fr-CA"/>
        </w:rPr>
        <w:sectPr w:rsidR="0044776A" w:rsidRPr="00606F29"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813FB" w:rsidTr="00ED7E83">
        <w:tc>
          <w:tcPr>
            <w:tcW w:w="4200" w:type="dxa"/>
            <w:tcMar>
              <w:left w:w="0" w:type="dxa"/>
              <w:right w:w="0" w:type="dxa"/>
            </w:tcMar>
          </w:tcPr>
          <w:p w:rsidR="008D292F" w:rsidRPr="00606F29" w:rsidRDefault="008D292F" w:rsidP="00ED7E83">
            <w:pPr>
              <w:keepNext/>
              <w:keepLines/>
              <w:jc w:val="both"/>
              <w:rPr>
                <w:b/>
                <w:szCs w:val="24"/>
              </w:rPr>
            </w:pPr>
            <w:bookmarkStart w:id="1" w:name="QuickMark_1"/>
            <w:bookmarkEnd w:id="1"/>
            <w:r w:rsidRPr="00606F29">
              <w:rPr>
                <w:b/>
                <w:szCs w:val="24"/>
                <w:lang w:val="en-US"/>
              </w:rPr>
              <w:lastRenderedPageBreak/>
              <w:t>JU</w:t>
            </w:r>
            <w:r w:rsidRPr="00606F29">
              <w:rPr>
                <w:b/>
                <w:szCs w:val="24"/>
              </w:rPr>
              <w:t>DGMENTS ON APPLICATIONS</w:t>
            </w:r>
          </w:p>
          <w:p w:rsidR="008D292F" w:rsidRPr="00606F29" w:rsidRDefault="008D292F" w:rsidP="00ED7E83">
            <w:pPr>
              <w:keepNext/>
              <w:keepLines/>
              <w:jc w:val="both"/>
              <w:rPr>
                <w:b/>
                <w:szCs w:val="24"/>
              </w:rPr>
            </w:pPr>
            <w:r w:rsidRPr="00606F29">
              <w:rPr>
                <w:b/>
                <w:szCs w:val="24"/>
              </w:rPr>
              <w:t>FOR LEAVE</w:t>
            </w:r>
          </w:p>
        </w:tc>
        <w:tc>
          <w:tcPr>
            <w:tcW w:w="1200" w:type="dxa"/>
            <w:tcMar>
              <w:left w:w="0" w:type="dxa"/>
              <w:right w:w="0" w:type="dxa"/>
            </w:tcMar>
          </w:tcPr>
          <w:p w:rsidR="008D292F" w:rsidRPr="00606F29" w:rsidRDefault="008D292F" w:rsidP="008D292F">
            <w:pPr>
              <w:keepNext/>
              <w:keepLines/>
              <w:jc w:val="center"/>
              <w:rPr>
                <w:b/>
                <w:szCs w:val="24"/>
              </w:rPr>
            </w:pPr>
          </w:p>
          <w:p w:rsidR="008D292F" w:rsidRPr="00606F29" w:rsidRDefault="008D292F" w:rsidP="008D292F">
            <w:pPr>
              <w:keepNext/>
              <w:keepLines/>
              <w:jc w:val="center"/>
              <w:rPr>
                <w:b/>
                <w:szCs w:val="24"/>
              </w:rPr>
            </w:pPr>
          </w:p>
          <w:p w:rsidR="008D292F" w:rsidRPr="00606F29" w:rsidRDefault="008D292F" w:rsidP="008D292F">
            <w:pPr>
              <w:keepNext/>
              <w:keepLines/>
              <w:jc w:val="center"/>
              <w:rPr>
                <w:b/>
                <w:szCs w:val="24"/>
              </w:rPr>
            </w:pPr>
          </w:p>
        </w:tc>
        <w:tc>
          <w:tcPr>
            <w:tcW w:w="4080" w:type="dxa"/>
            <w:tcMar>
              <w:left w:w="0" w:type="dxa"/>
              <w:right w:w="0" w:type="dxa"/>
            </w:tcMar>
          </w:tcPr>
          <w:p w:rsidR="008D292F" w:rsidRPr="00606F29" w:rsidRDefault="008D292F" w:rsidP="00ED7E83">
            <w:pPr>
              <w:keepNext/>
              <w:keepLines/>
              <w:jc w:val="both"/>
              <w:rPr>
                <w:b/>
                <w:szCs w:val="24"/>
                <w:lang w:val="fr-CA"/>
              </w:rPr>
            </w:pPr>
            <w:r w:rsidRPr="00606F29">
              <w:rPr>
                <w:b/>
                <w:szCs w:val="24"/>
                <w:lang w:val="fr-CA"/>
              </w:rPr>
              <w:t>JUGEMENTS RENDUS SUR LES DEMANDES D’AUTORISATION</w:t>
            </w:r>
          </w:p>
        </w:tc>
      </w:tr>
    </w:tbl>
    <w:p w:rsidR="008D292F" w:rsidRPr="00606F29" w:rsidRDefault="008D292F" w:rsidP="008D292F">
      <w:pPr>
        <w:rPr>
          <w:sz w:val="20"/>
          <w:szCs w:val="20"/>
          <w:lang w:val="fr-CA"/>
        </w:rPr>
      </w:pPr>
    </w:p>
    <w:p w:rsidR="000E2959" w:rsidRPr="00606F29" w:rsidRDefault="00292C54" w:rsidP="000E2959">
      <w:pPr>
        <w:rPr>
          <w:b/>
          <w:sz w:val="20"/>
          <w:szCs w:val="20"/>
        </w:rPr>
      </w:pPr>
      <w:r w:rsidRPr="00606F29">
        <w:rPr>
          <w:b/>
          <w:sz w:val="20"/>
          <w:szCs w:val="20"/>
        </w:rPr>
        <w:t>MARCH 29</w:t>
      </w:r>
      <w:r w:rsidR="000E2959" w:rsidRPr="00606F29">
        <w:rPr>
          <w:b/>
          <w:sz w:val="20"/>
          <w:szCs w:val="20"/>
        </w:rPr>
        <w:t xml:space="preserve">, </w:t>
      </w:r>
      <w:r w:rsidR="0030050B" w:rsidRPr="00606F29">
        <w:rPr>
          <w:b/>
          <w:sz w:val="20"/>
          <w:szCs w:val="20"/>
        </w:rPr>
        <w:t>201</w:t>
      </w:r>
      <w:r w:rsidRPr="00606F29">
        <w:rPr>
          <w:b/>
          <w:sz w:val="20"/>
          <w:szCs w:val="20"/>
        </w:rPr>
        <w:t>8</w:t>
      </w:r>
      <w:r w:rsidR="000E2959" w:rsidRPr="00606F29">
        <w:rPr>
          <w:b/>
          <w:sz w:val="20"/>
          <w:szCs w:val="20"/>
        </w:rPr>
        <w:t xml:space="preserve"> / LE </w:t>
      </w:r>
      <w:r w:rsidRPr="00606F29">
        <w:rPr>
          <w:b/>
          <w:sz w:val="20"/>
          <w:szCs w:val="20"/>
        </w:rPr>
        <w:t>29 MARS 2018</w:t>
      </w:r>
    </w:p>
    <w:p w:rsidR="002B6E2D" w:rsidRPr="00606F29" w:rsidRDefault="002B6E2D"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6E2D" w:rsidRPr="00606F29" w:rsidTr="00ED1F25">
        <w:tc>
          <w:tcPr>
            <w:tcW w:w="543" w:type="pct"/>
          </w:tcPr>
          <w:p w:rsidR="002B6E2D" w:rsidRPr="00606F29" w:rsidRDefault="002B6E2D" w:rsidP="00ED1F25">
            <w:pPr>
              <w:jc w:val="both"/>
              <w:rPr>
                <w:sz w:val="20"/>
              </w:rPr>
            </w:pPr>
            <w:r w:rsidRPr="00606F29">
              <w:rPr>
                <w:rStyle w:val="SCCFileNumberChar"/>
                <w:sz w:val="20"/>
                <w:szCs w:val="20"/>
              </w:rPr>
              <w:t>37765</w:t>
            </w:r>
          </w:p>
        </w:tc>
        <w:tc>
          <w:tcPr>
            <w:tcW w:w="4457" w:type="pct"/>
            <w:gridSpan w:val="3"/>
          </w:tcPr>
          <w:p w:rsidR="002B6E2D" w:rsidRPr="00606F29" w:rsidRDefault="002B6E2D" w:rsidP="00ED1F25">
            <w:pPr>
              <w:pStyle w:val="SCCLsocParty"/>
              <w:jc w:val="both"/>
              <w:rPr>
                <w:b/>
                <w:sz w:val="20"/>
                <w:szCs w:val="20"/>
                <w:lang w:val="en-US"/>
              </w:rPr>
            </w:pPr>
            <w:r w:rsidRPr="00606F29">
              <w:rPr>
                <w:b/>
                <w:sz w:val="20"/>
                <w:szCs w:val="20"/>
                <w:lang w:val="en-US"/>
              </w:rPr>
              <w:t xml:space="preserve">Krista Leigh </w:t>
            </w:r>
            <w:proofErr w:type="spellStart"/>
            <w:r w:rsidRPr="00606F29">
              <w:rPr>
                <w:b/>
                <w:sz w:val="20"/>
                <w:szCs w:val="20"/>
                <w:lang w:val="en-US"/>
              </w:rPr>
              <w:t>Morriseau</w:t>
            </w:r>
            <w:proofErr w:type="spellEnd"/>
            <w:r w:rsidRPr="00606F29">
              <w:rPr>
                <w:b/>
                <w:sz w:val="20"/>
                <w:szCs w:val="20"/>
                <w:lang w:val="en-US"/>
              </w:rPr>
              <w:t xml:space="preserve"> v. Sun Life Assurance Company of Canada</w:t>
            </w:r>
          </w:p>
          <w:p w:rsidR="002B6E2D" w:rsidRPr="00606F29" w:rsidRDefault="002B6E2D" w:rsidP="00ED1F25">
            <w:pPr>
              <w:jc w:val="both"/>
              <w:rPr>
                <w:sz w:val="20"/>
              </w:rPr>
            </w:pPr>
            <w:r w:rsidRPr="00606F29">
              <w:rPr>
                <w:sz w:val="20"/>
              </w:rPr>
              <w:t>(Ont.) (Civil) (By Leave)</w:t>
            </w:r>
          </w:p>
        </w:tc>
      </w:tr>
      <w:tr w:rsidR="002B6E2D" w:rsidRPr="00606F29" w:rsidTr="00ED1F25">
        <w:tc>
          <w:tcPr>
            <w:tcW w:w="543" w:type="pct"/>
          </w:tcPr>
          <w:p w:rsidR="002B6E2D" w:rsidRPr="00606F29" w:rsidRDefault="002B6E2D" w:rsidP="002B6E2D">
            <w:pPr>
              <w:jc w:val="both"/>
              <w:rPr>
                <w:rStyle w:val="SCCFileNumberChar"/>
                <w:b w:val="0"/>
                <w:sz w:val="20"/>
                <w:szCs w:val="20"/>
              </w:rPr>
            </w:pPr>
            <w:r w:rsidRPr="00606F29">
              <w:rPr>
                <w:b/>
                <w:sz w:val="20"/>
                <w:lang w:val="en-US"/>
              </w:rPr>
              <w:t xml:space="preserve">Coram:  </w:t>
            </w:r>
          </w:p>
        </w:tc>
        <w:tc>
          <w:tcPr>
            <w:tcW w:w="4457" w:type="pct"/>
            <w:gridSpan w:val="3"/>
          </w:tcPr>
          <w:p w:rsidR="002B6E2D" w:rsidRPr="00606F29" w:rsidRDefault="002B6E2D" w:rsidP="002B6E2D">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Karakatsanis</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2B6E2D" w:rsidRPr="00606F29" w:rsidTr="002B6E2D">
        <w:tc>
          <w:tcPr>
            <w:tcW w:w="5000" w:type="pct"/>
            <w:gridSpan w:val="4"/>
          </w:tcPr>
          <w:p w:rsidR="002B6E2D" w:rsidRPr="00606F29" w:rsidRDefault="002B6E2D" w:rsidP="002B6E2D">
            <w:pPr>
              <w:pStyle w:val="SCCLsocParty"/>
              <w:jc w:val="both"/>
              <w:rPr>
                <w:b/>
                <w:sz w:val="20"/>
                <w:szCs w:val="20"/>
                <w:lang w:val="en-US"/>
              </w:rPr>
            </w:pPr>
            <w:r w:rsidRPr="00606F29">
              <w:rPr>
                <w:sz w:val="20"/>
                <w:lang w:val="en-US"/>
              </w:rPr>
              <w:t>The motion to adduce fresh evidence is dismissed. The application for leave to appeal from the judgment of the Court of Appeal for Ontario, Number C63365, 2017 ONCA 567, dated July 4, 2017, is dismissed with costs.</w:t>
            </w:r>
          </w:p>
        </w:tc>
      </w:tr>
      <w:tr w:rsidR="002B6E2D" w:rsidRPr="00606F29" w:rsidTr="00ED1F25">
        <w:tc>
          <w:tcPr>
            <w:tcW w:w="5000" w:type="pct"/>
            <w:gridSpan w:val="4"/>
          </w:tcPr>
          <w:p w:rsidR="002B6E2D" w:rsidRPr="00606F29" w:rsidRDefault="002B6E2D" w:rsidP="002B6E2D">
            <w:pPr>
              <w:jc w:val="both"/>
              <w:rPr>
                <w:sz w:val="20"/>
              </w:rPr>
            </w:pPr>
            <w:r w:rsidRPr="00606F29">
              <w:rPr>
                <w:sz w:val="20"/>
              </w:rPr>
              <w:t xml:space="preserve">Labour relations – Collective agreements – Long-term disability benefits – Jurisdiction – Arbitration – Whether parties can ever negotiate collective agreements to explicitly leave resolution of disputes arising out of long-term benefits entitlement to courts for determination and adjudication – If so, whether courts retain jurisdiction where parties intended such disputes be left to courts for determination and adjudication – Whether analysis in </w:t>
            </w:r>
            <w:r w:rsidRPr="00606F29">
              <w:rPr>
                <w:i/>
                <w:sz w:val="20"/>
              </w:rPr>
              <w:t>Weber v. Ontario Hydro</w:t>
            </w:r>
            <w:r w:rsidRPr="00606F29">
              <w:rPr>
                <w:sz w:val="20"/>
              </w:rPr>
              <w:t>, [1995] 2 S.C.R. 929, applies in circumstances where parties’ intentions are to leave issues of long-term disability benefit entitlement to courts for determination.</w:t>
            </w:r>
          </w:p>
        </w:tc>
      </w:tr>
      <w:tr w:rsidR="002B6E2D" w:rsidRPr="00606F29" w:rsidTr="00ED1F25">
        <w:tc>
          <w:tcPr>
            <w:tcW w:w="5000" w:type="pct"/>
            <w:gridSpan w:val="4"/>
          </w:tcPr>
          <w:p w:rsidR="002B6E2D" w:rsidRPr="00606F29" w:rsidRDefault="002B6E2D" w:rsidP="002B6E2D">
            <w:pPr>
              <w:jc w:val="both"/>
              <w:rPr>
                <w:sz w:val="20"/>
              </w:rPr>
            </w:pPr>
          </w:p>
        </w:tc>
      </w:tr>
      <w:tr w:rsidR="002B6E2D" w:rsidRPr="00606F29" w:rsidTr="00ED1F25">
        <w:tc>
          <w:tcPr>
            <w:tcW w:w="5000" w:type="pct"/>
            <w:gridSpan w:val="4"/>
          </w:tcPr>
          <w:p w:rsidR="002B6E2D" w:rsidRPr="00606F29" w:rsidRDefault="002B6E2D" w:rsidP="002B6E2D">
            <w:pPr>
              <w:jc w:val="both"/>
              <w:rPr>
                <w:sz w:val="20"/>
              </w:rPr>
            </w:pPr>
            <w:r w:rsidRPr="00606F29">
              <w:rPr>
                <w:sz w:val="20"/>
              </w:rPr>
              <w:t xml:space="preserve">Krista-Leigh </w:t>
            </w:r>
            <w:proofErr w:type="spellStart"/>
            <w:r w:rsidRPr="00606F29">
              <w:rPr>
                <w:sz w:val="20"/>
              </w:rPr>
              <w:t>Morriseau</w:t>
            </w:r>
            <w:proofErr w:type="spellEnd"/>
            <w:r w:rsidRPr="00606F29">
              <w:rPr>
                <w:sz w:val="20"/>
              </w:rPr>
              <w:t xml:space="preserve"> is a unionized employee of the Lakehead District School Board. Under the terms of the collective agreement Ms. </w:t>
            </w:r>
            <w:proofErr w:type="spellStart"/>
            <w:r w:rsidRPr="00606F29">
              <w:rPr>
                <w:sz w:val="20"/>
              </w:rPr>
              <w:t>Morriseau</w:t>
            </w:r>
            <w:proofErr w:type="spellEnd"/>
            <w:r w:rsidRPr="00606F29">
              <w:rPr>
                <w:sz w:val="20"/>
              </w:rPr>
              <w:t>, upon entitlement, was eligible for long-term disability (“LTD”) benefits. Sun Life provides administrative services, including claims administration, to the Board. Sun Life denied Ms. </w:t>
            </w:r>
            <w:proofErr w:type="spellStart"/>
            <w:r w:rsidRPr="00606F29">
              <w:rPr>
                <w:sz w:val="20"/>
              </w:rPr>
              <w:t>Morriseau’s</w:t>
            </w:r>
            <w:proofErr w:type="spellEnd"/>
            <w:r w:rsidRPr="00606F29">
              <w:rPr>
                <w:sz w:val="20"/>
              </w:rPr>
              <w:t xml:space="preserve"> claim for long-term disability benefits in respect of a motor vehicle accident she was involved in on November 2, 2015. Ms. </w:t>
            </w:r>
            <w:proofErr w:type="spellStart"/>
            <w:r w:rsidRPr="00606F29">
              <w:rPr>
                <w:sz w:val="20"/>
              </w:rPr>
              <w:t>Morriseau</w:t>
            </w:r>
            <w:proofErr w:type="spellEnd"/>
            <w:r w:rsidRPr="00606F29">
              <w:rPr>
                <w:sz w:val="20"/>
              </w:rPr>
              <w:t xml:space="preserve"> sued Sun Life, seeking an order directing Sun Life to approve payment of long-term disability benefits. The Board is not a party to the action. Sun Life brought a motion to dismiss Ms. </w:t>
            </w:r>
            <w:proofErr w:type="spellStart"/>
            <w:r w:rsidRPr="00606F29">
              <w:rPr>
                <w:sz w:val="20"/>
              </w:rPr>
              <w:t>Morriseau’s</w:t>
            </w:r>
            <w:proofErr w:type="spellEnd"/>
            <w:r w:rsidRPr="00606F29">
              <w:rPr>
                <w:sz w:val="20"/>
              </w:rPr>
              <w:t xml:space="preserve"> action on the ground that the court does not have jurisdiction over the dispute, arguing that the proper forum is arbitration under the collective agreement. Sun Life further asserted that the legal and financial liability, as well as final decision-making for payment of LTD benefits, rests with the Board.</w:t>
            </w:r>
          </w:p>
          <w:p w:rsidR="002B6E2D" w:rsidRPr="00606F29" w:rsidRDefault="002B6E2D" w:rsidP="002B6E2D">
            <w:pPr>
              <w:jc w:val="both"/>
              <w:rPr>
                <w:sz w:val="20"/>
              </w:rPr>
            </w:pPr>
          </w:p>
          <w:p w:rsidR="002B6E2D" w:rsidRPr="00606F29" w:rsidRDefault="002B6E2D" w:rsidP="002B6E2D">
            <w:pPr>
              <w:jc w:val="both"/>
              <w:rPr>
                <w:sz w:val="20"/>
              </w:rPr>
            </w:pPr>
            <w:r w:rsidRPr="00606F29">
              <w:rPr>
                <w:sz w:val="20"/>
              </w:rPr>
              <w:t>The Ontario Superior Court of Justice allowed Sun Life’s motion to dismiss the action for lack of jurisdiction, finding the proper forum for the dispute under the collective agreement was arbitration. The Ontario Court of Appeal dismissed Ms. </w:t>
            </w:r>
            <w:proofErr w:type="spellStart"/>
            <w:r w:rsidRPr="00606F29">
              <w:rPr>
                <w:sz w:val="20"/>
              </w:rPr>
              <w:t>Morriseau’s</w:t>
            </w:r>
            <w:proofErr w:type="spellEnd"/>
            <w:r w:rsidRPr="00606F29">
              <w:rPr>
                <w:sz w:val="20"/>
              </w:rPr>
              <w:t xml:space="preserve"> appeal.</w:t>
            </w:r>
          </w:p>
          <w:p w:rsidR="002B6E2D" w:rsidRPr="00606F29" w:rsidRDefault="002B6E2D" w:rsidP="002B6E2D">
            <w:pPr>
              <w:jc w:val="both"/>
              <w:rPr>
                <w:sz w:val="20"/>
              </w:rPr>
            </w:pPr>
          </w:p>
        </w:tc>
      </w:tr>
      <w:tr w:rsidR="002B6E2D" w:rsidRPr="00606F29" w:rsidTr="00ED1F25">
        <w:tc>
          <w:tcPr>
            <w:tcW w:w="2427" w:type="pct"/>
            <w:gridSpan w:val="2"/>
          </w:tcPr>
          <w:p w:rsidR="002B6E2D" w:rsidRPr="00606F29" w:rsidRDefault="002B6E2D" w:rsidP="002B6E2D">
            <w:pPr>
              <w:jc w:val="both"/>
              <w:rPr>
                <w:sz w:val="20"/>
              </w:rPr>
            </w:pPr>
            <w:r w:rsidRPr="00606F29">
              <w:rPr>
                <w:sz w:val="20"/>
              </w:rPr>
              <w:t>January 27, 2017</w:t>
            </w:r>
          </w:p>
          <w:p w:rsidR="002B6E2D" w:rsidRPr="00606F29" w:rsidRDefault="002B6E2D" w:rsidP="002B6E2D">
            <w:pPr>
              <w:jc w:val="both"/>
              <w:rPr>
                <w:sz w:val="20"/>
              </w:rPr>
            </w:pPr>
            <w:r w:rsidRPr="00606F29">
              <w:rPr>
                <w:sz w:val="20"/>
              </w:rPr>
              <w:t>Ontario Superior Court of Justice</w:t>
            </w:r>
          </w:p>
          <w:p w:rsidR="002B6E2D" w:rsidRPr="00606F29" w:rsidRDefault="002B6E2D" w:rsidP="002B6E2D">
            <w:pPr>
              <w:jc w:val="both"/>
              <w:rPr>
                <w:sz w:val="20"/>
              </w:rPr>
            </w:pPr>
            <w:r w:rsidRPr="00606F29">
              <w:rPr>
                <w:sz w:val="20"/>
              </w:rPr>
              <w:t>(Newton J.)</w:t>
            </w:r>
          </w:p>
          <w:p w:rsidR="002B6E2D" w:rsidRPr="00606F29" w:rsidRDefault="009813FB" w:rsidP="002B6E2D">
            <w:pPr>
              <w:jc w:val="both"/>
              <w:rPr>
                <w:sz w:val="20"/>
              </w:rPr>
            </w:pPr>
            <w:hyperlink r:id="rId17" w:history="1">
              <w:r w:rsidR="002B6E2D" w:rsidRPr="00606F29">
                <w:rPr>
                  <w:rStyle w:val="Hyperlink"/>
                  <w:sz w:val="20"/>
                </w:rPr>
                <w:t>2017 ONSC 686</w:t>
              </w:r>
            </w:hyperlink>
            <w:r w:rsidR="002B6E2D" w:rsidRPr="00606F29">
              <w:rPr>
                <w:sz w:val="20"/>
              </w:rPr>
              <w:t xml:space="preserve"> </w:t>
            </w:r>
          </w:p>
          <w:p w:rsidR="002B6E2D" w:rsidRPr="00606F29" w:rsidRDefault="002B6E2D" w:rsidP="002B6E2D">
            <w:pPr>
              <w:jc w:val="both"/>
              <w:rPr>
                <w:sz w:val="20"/>
              </w:rPr>
            </w:pPr>
          </w:p>
        </w:tc>
        <w:tc>
          <w:tcPr>
            <w:tcW w:w="243" w:type="pct"/>
          </w:tcPr>
          <w:p w:rsidR="002B6E2D" w:rsidRPr="00606F29" w:rsidRDefault="002B6E2D" w:rsidP="002B6E2D">
            <w:pPr>
              <w:jc w:val="both"/>
              <w:rPr>
                <w:sz w:val="20"/>
              </w:rPr>
            </w:pPr>
          </w:p>
        </w:tc>
        <w:tc>
          <w:tcPr>
            <w:tcW w:w="2330" w:type="pct"/>
          </w:tcPr>
          <w:p w:rsidR="002B6E2D" w:rsidRPr="00606F29" w:rsidRDefault="002B6E2D" w:rsidP="002B6E2D">
            <w:pPr>
              <w:jc w:val="both"/>
              <w:rPr>
                <w:sz w:val="20"/>
              </w:rPr>
            </w:pPr>
            <w:r w:rsidRPr="00606F29">
              <w:rPr>
                <w:sz w:val="20"/>
              </w:rPr>
              <w:t>Respondent’s motion to dismiss applicant’s action for lack of jurisdiction, granted; action dismissed.</w:t>
            </w:r>
          </w:p>
          <w:p w:rsidR="002B6E2D" w:rsidRPr="00606F29" w:rsidRDefault="002B6E2D" w:rsidP="002B6E2D">
            <w:pPr>
              <w:jc w:val="both"/>
              <w:rPr>
                <w:sz w:val="20"/>
              </w:rPr>
            </w:pPr>
          </w:p>
        </w:tc>
      </w:tr>
      <w:tr w:rsidR="002B6E2D" w:rsidRPr="00606F29" w:rsidTr="00ED1F25">
        <w:tc>
          <w:tcPr>
            <w:tcW w:w="2427" w:type="pct"/>
            <w:gridSpan w:val="2"/>
          </w:tcPr>
          <w:p w:rsidR="002B6E2D" w:rsidRPr="00606F29" w:rsidRDefault="002B6E2D" w:rsidP="002B6E2D">
            <w:pPr>
              <w:jc w:val="both"/>
              <w:rPr>
                <w:sz w:val="20"/>
              </w:rPr>
            </w:pPr>
            <w:r w:rsidRPr="00606F29">
              <w:rPr>
                <w:sz w:val="20"/>
              </w:rPr>
              <w:t>July 4, 2017</w:t>
            </w:r>
          </w:p>
          <w:p w:rsidR="002B6E2D" w:rsidRPr="00606F29" w:rsidRDefault="002B6E2D" w:rsidP="002B6E2D">
            <w:pPr>
              <w:jc w:val="both"/>
              <w:rPr>
                <w:sz w:val="20"/>
              </w:rPr>
            </w:pPr>
            <w:r w:rsidRPr="00606F29">
              <w:rPr>
                <w:sz w:val="20"/>
              </w:rPr>
              <w:t>Court of Appeal for Ontario</w:t>
            </w:r>
          </w:p>
          <w:p w:rsidR="002B6E2D" w:rsidRPr="00606F29" w:rsidRDefault="002B6E2D" w:rsidP="002B6E2D">
            <w:pPr>
              <w:jc w:val="both"/>
              <w:rPr>
                <w:sz w:val="20"/>
              </w:rPr>
            </w:pPr>
            <w:r w:rsidRPr="00606F29">
              <w:rPr>
                <w:sz w:val="20"/>
              </w:rPr>
              <w:t>(</w:t>
            </w:r>
            <w:proofErr w:type="spellStart"/>
            <w:r w:rsidRPr="00606F29">
              <w:rPr>
                <w:sz w:val="20"/>
              </w:rPr>
              <w:t>LaForme</w:t>
            </w:r>
            <w:proofErr w:type="spellEnd"/>
            <w:r w:rsidRPr="00606F29">
              <w:rPr>
                <w:sz w:val="20"/>
              </w:rPr>
              <w:t xml:space="preserve">, Hourigan and </w:t>
            </w:r>
            <w:proofErr w:type="spellStart"/>
            <w:r w:rsidRPr="00606F29">
              <w:rPr>
                <w:sz w:val="20"/>
              </w:rPr>
              <w:t>Paciocco</w:t>
            </w:r>
            <w:proofErr w:type="spellEnd"/>
            <w:r w:rsidRPr="00606F29">
              <w:rPr>
                <w:sz w:val="20"/>
              </w:rPr>
              <w:t xml:space="preserve"> JJ.A.)</w:t>
            </w:r>
          </w:p>
          <w:p w:rsidR="002B6E2D" w:rsidRPr="00606F29" w:rsidRDefault="009813FB" w:rsidP="002B6E2D">
            <w:pPr>
              <w:jc w:val="both"/>
              <w:rPr>
                <w:sz w:val="20"/>
              </w:rPr>
            </w:pPr>
            <w:hyperlink r:id="rId18" w:history="1">
              <w:r w:rsidR="002B6E2D" w:rsidRPr="00606F29">
                <w:rPr>
                  <w:rStyle w:val="Hyperlink"/>
                  <w:sz w:val="20"/>
                </w:rPr>
                <w:t>2017 ONCA 567</w:t>
              </w:r>
            </w:hyperlink>
          </w:p>
          <w:p w:rsidR="002B6E2D" w:rsidRPr="00606F29" w:rsidRDefault="002B6E2D" w:rsidP="002B6E2D">
            <w:pPr>
              <w:jc w:val="both"/>
              <w:rPr>
                <w:sz w:val="20"/>
              </w:rPr>
            </w:pPr>
          </w:p>
        </w:tc>
        <w:tc>
          <w:tcPr>
            <w:tcW w:w="243" w:type="pct"/>
          </w:tcPr>
          <w:p w:rsidR="002B6E2D" w:rsidRPr="00606F29" w:rsidRDefault="002B6E2D" w:rsidP="002B6E2D">
            <w:pPr>
              <w:jc w:val="both"/>
              <w:rPr>
                <w:sz w:val="20"/>
              </w:rPr>
            </w:pPr>
          </w:p>
        </w:tc>
        <w:tc>
          <w:tcPr>
            <w:tcW w:w="2330" w:type="pct"/>
          </w:tcPr>
          <w:p w:rsidR="002B6E2D" w:rsidRPr="00606F29" w:rsidRDefault="002B6E2D" w:rsidP="002B6E2D">
            <w:pPr>
              <w:jc w:val="both"/>
              <w:rPr>
                <w:sz w:val="20"/>
              </w:rPr>
            </w:pPr>
            <w:r w:rsidRPr="00606F29">
              <w:rPr>
                <w:sz w:val="20"/>
              </w:rPr>
              <w:t>Applicant’s appeal, dismissed.</w:t>
            </w:r>
          </w:p>
          <w:p w:rsidR="002B6E2D" w:rsidRPr="00606F29" w:rsidRDefault="002B6E2D" w:rsidP="002B6E2D">
            <w:pPr>
              <w:jc w:val="both"/>
              <w:rPr>
                <w:sz w:val="20"/>
              </w:rPr>
            </w:pPr>
          </w:p>
        </w:tc>
      </w:tr>
      <w:tr w:rsidR="002B6E2D" w:rsidRPr="00606F29" w:rsidTr="00ED1F25">
        <w:tc>
          <w:tcPr>
            <w:tcW w:w="2427" w:type="pct"/>
            <w:gridSpan w:val="2"/>
          </w:tcPr>
          <w:p w:rsidR="002B6E2D" w:rsidRPr="00606F29" w:rsidRDefault="002B6E2D" w:rsidP="002B6E2D">
            <w:pPr>
              <w:jc w:val="both"/>
              <w:rPr>
                <w:sz w:val="20"/>
              </w:rPr>
            </w:pPr>
            <w:r w:rsidRPr="00606F29">
              <w:rPr>
                <w:sz w:val="20"/>
              </w:rPr>
              <w:t>September 26, 2017</w:t>
            </w:r>
          </w:p>
          <w:p w:rsidR="002B6E2D" w:rsidRPr="00606F29" w:rsidRDefault="002B6E2D" w:rsidP="002B6E2D">
            <w:pPr>
              <w:jc w:val="both"/>
              <w:rPr>
                <w:sz w:val="20"/>
              </w:rPr>
            </w:pPr>
            <w:r w:rsidRPr="00606F29">
              <w:rPr>
                <w:sz w:val="20"/>
              </w:rPr>
              <w:t>Supreme Court of Canada</w:t>
            </w:r>
          </w:p>
        </w:tc>
        <w:tc>
          <w:tcPr>
            <w:tcW w:w="243" w:type="pct"/>
          </w:tcPr>
          <w:p w:rsidR="002B6E2D" w:rsidRPr="00606F29" w:rsidRDefault="002B6E2D" w:rsidP="002B6E2D">
            <w:pPr>
              <w:jc w:val="both"/>
              <w:rPr>
                <w:sz w:val="20"/>
              </w:rPr>
            </w:pPr>
          </w:p>
        </w:tc>
        <w:tc>
          <w:tcPr>
            <w:tcW w:w="2330" w:type="pct"/>
          </w:tcPr>
          <w:p w:rsidR="002B6E2D" w:rsidRPr="00606F29" w:rsidRDefault="002B6E2D" w:rsidP="002B6E2D">
            <w:pPr>
              <w:jc w:val="both"/>
              <w:rPr>
                <w:sz w:val="20"/>
              </w:rPr>
            </w:pPr>
            <w:r w:rsidRPr="00606F29">
              <w:rPr>
                <w:sz w:val="20"/>
              </w:rPr>
              <w:t>Application for leave to appeal, filed.</w:t>
            </w:r>
          </w:p>
          <w:p w:rsidR="002B6E2D" w:rsidRPr="00606F29" w:rsidRDefault="002B6E2D" w:rsidP="002B6E2D">
            <w:pPr>
              <w:jc w:val="both"/>
              <w:rPr>
                <w:sz w:val="20"/>
              </w:rPr>
            </w:pPr>
          </w:p>
        </w:tc>
      </w:tr>
    </w:tbl>
    <w:p w:rsidR="002B6E2D" w:rsidRPr="00606F29" w:rsidRDefault="002B6E2D" w:rsidP="002B6E2D">
      <w:pPr>
        <w:jc w:val="both"/>
        <w:rPr>
          <w:sz w:val="20"/>
        </w:rPr>
      </w:pPr>
    </w:p>
    <w:p w:rsidR="002B6E2D" w:rsidRPr="00606F29" w:rsidRDefault="002B6E2D">
      <w:pPr>
        <w:rPr>
          <w:sz w:val="20"/>
        </w:rPr>
      </w:pPr>
      <w:r w:rsidRPr="00606F2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6E2D" w:rsidRPr="00606F29" w:rsidTr="00ED1F25">
        <w:tc>
          <w:tcPr>
            <w:tcW w:w="543" w:type="pct"/>
          </w:tcPr>
          <w:p w:rsidR="002B6E2D" w:rsidRPr="00606F29" w:rsidRDefault="002B6E2D" w:rsidP="00ED1F25">
            <w:pPr>
              <w:jc w:val="both"/>
              <w:rPr>
                <w:sz w:val="20"/>
                <w:lang w:val="fr-CA"/>
              </w:rPr>
            </w:pPr>
            <w:r w:rsidRPr="00606F29">
              <w:rPr>
                <w:rStyle w:val="SCCFileNumberChar"/>
                <w:sz w:val="20"/>
                <w:szCs w:val="20"/>
                <w:lang w:val="fr-CA"/>
              </w:rPr>
              <w:lastRenderedPageBreak/>
              <w:t>37765</w:t>
            </w:r>
          </w:p>
        </w:tc>
        <w:tc>
          <w:tcPr>
            <w:tcW w:w="4457" w:type="pct"/>
            <w:gridSpan w:val="3"/>
          </w:tcPr>
          <w:p w:rsidR="002B6E2D" w:rsidRPr="00606F29" w:rsidRDefault="002B6E2D" w:rsidP="00ED1F25">
            <w:pPr>
              <w:pStyle w:val="SCCLsocParty"/>
              <w:jc w:val="both"/>
              <w:rPr>
                <w:b/>
                <w:sz w:val="20"/>
                <w:szCs w:val="20"/>
              </w:rPr>
            </w:pPr>
            <w:r w:rsidRPr="00606F29">
              <w:rPr>
                <w:b/>
                <w:sz w:val="20"/>
                <w:szCs w:val="20"/>
              </w:rPr>
              <w:t xml:space="preserve">Krista Leigh </w:t>
            </w:r>
            <w:proofErr w:type="spellStart"/>
            <w:r w:rsidRPr="00606F29">
              <w:rPr>
                <w:b/>
                <w:sz w:val="20"/>
                <w:szCs w:val="20"/>
              </w:rPr>
              <w:t>Morriseau</w:t>
            </w:r>
            <w:proofErr w:type="spellEnd"/>
            <w:r w:rsidRPr="00606F29">
              <w:rPr>
                <w:b/>
                <w:sz w:val="20"/>
                <w:szCs w:val="20"/>
              </w:rPr>
              <w:t xml:space="preserve"> c. Sun Life du Canada, Compagnie d’Assurance-Vie</w:t>
            </w:r>
          </w:p>
          <w:p w:rsidR="002B6E2D" w:rsidRPr="00606F29" w:rsidRDefault="002B6E2D" w:rsidP="00ED1F25">
            <w:pPr>
              <w:jc w:val="both"/>
              <w:rPr>
                <w:sz w:val="20"/>
                <w:lang w:val="fr-CA"/>
              </w:rPr>
            </w:pPr>
            <w:r w:rsidRPr="00606F29">
              <w:rPr>
                <w:sz w:val="20"/>
                <w:lang w:val="fr-CA"/>
              </w:rPr>
              <w:t>(Ont.) (Civile) (Sur autorisation)</w:t>
            </w:r>
          </w:p>
        </w:tc>
      </w:tr>
      <w:tr w:rsidR="00145314" w:rsidRPr="009813FB" w:rsidTr="00ED1F25">
        <w:tc>
          <w:tcPr>
            <w:tcW w:w="543" w:type="pct"/>
          </w:tcPr>
          <w:p w:rsidR="00145314" w:rsidRPr="00606F29" w:rsidRDefault="00145314" w:rsidP="00145314">
            <w:pPr>
              <w:jc w:val="both"/>
              <w:rPr>
                <w:rStyle w:val="SCCFileNumberChar"/>
                <w:sz w:val="20"/>
                <w:szCs w:val="20"/>
                <w:lang w:val="fr-CA"/>
              </w:rPr>
            </w:pPr>
            <w:r w:rsidRPr="00606F29">
              <w:rPr>
                <w:rStyle w:val="SCCFileNumberChar"/>
                <w:sz w:val="20"/>
                <w:szCs w:val="20"/>
                <w:lang w:val="fr-CA"/>
              </w:rPr>
              <w:t>Coram :</w:t>
            </w:r>
          </w:p>
        </w:tc>
        <w:tc>
          <w:tcPr>
            <w:tcW w:w="4457" w:type="pct"/>
            <w:gridSpan w:val="3"/>
          </w:tcPr>
          <w:p w:rsidR="00145314" w:rsidRPr="00606F29" w:rsidRDefault="00145314" w:rsidP="00145314">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xml:space="preserve">, </w:t>
            </w:r>
            <w:proofErr w:type="spellStart"/>
            <w:r w:rsidRPr="00606F29">
              <w:rPr>
                <w:sz w:val="20"/>
                <w:lang w:val="fr-FR"/>
              </w:rPr>
              <w:t>Karakatsanis</w:t>
            </w:r>
            <w:proofErr w:type="spellEnd"/>
            <w:r w:rsidRPr="00606F29">
              <w:rPr>
                <w:sz w:val="20"/>
                <w:lang w:val="fr-FR"/>
              </w:rPr>
              <w:t>, Gascon, Côté, Brown, Rowe et Martin</w:t>
            </w:r>
          </w:p>
        </w:tc>
      </w:tr>
      <w:tr w:rsidR="00145314" w:rsidRPr="009813FB" w:rsidTr="00145314">
        <w:tc>
          <w:tcPr>
            <w:tcW w:w="5000" w:type="pct"/>
            <w:gridSpan w:val="4"/>
          </w:tcPr>
          <w:p w:rsidR="00145314" w:rsidRPr="00606F29" w:rsidRDefault="00145314" w:rsidP="00145314">
            <w:pPr>
              <w:pStyle w:val="SCCLsocParty"/>
              <w:jc w:val="both"/>
              <w:rPr>
                <w:b/>
                <w:sz w:val="20"/>
                <w:szCs w:val="20"/>
              </w:rPr>
            </w:pPr>
            <w:r w:rsidRPr="00606F29">
              <w:rPr>
                <w:sz w:val="20"/>
              </w:rPr>
              <w:t xml:space="preserve">La requête sollicitant l’autorisation de présenter une nouvelle preuve est rejetée. La demande d’autorisation d’appel de l’arrêt de la </w:t>
            </w:r>
            <w:r w:rsidRPr="00606F29">
              <w:rPr>
                <w:sz w:val="20"/>
                <w:lang w:val="fr-FR"/>
              </w:rPr>
              <w:t>Cour d’appel de l’Ontario</w:t>
            </w:r>
            <w:r w:rsidRPr="00606F29">
              <w:rPr>
                <w:sz w:val="20"/>
              </w:rPr>
              <w:t xml:space="preserve">, numéro </w:t>
            </w:r>
            <w:r w:rsidRPr="00606F29">
              <w:rPr>
                <w:sz w:val="20"/>
                <w:lang w:val="fr-FR"/>
              </w:rPr>
              <w:t>C63365, 2017 ONCA 567</w:t>
            </w:r>
            <w:r w:rsidRPr="00606F29">
              <w:rPr>
                <w:sz w:val="20"/>
              </w:rPr>
              <w:t xml:space="preserve">, daté du </w:t>
            </w:r>
            <w:r w:rsidRPr="00606F29">
              <w:rPr>
                <w:sz w:val="20"/>
                <w:lang w:val="fr-FR"/>
              </w:rPr>
              <w:t>4 juillet 2017</w:t>
            </w:r>
            <w:r w:rsidRPr="00606F29">
              <w:rPr>
                <w:sz w:val="20"/>
              </w:rPr>
              <w:t>, est rejetée avec dépens.</w:t>
            </w:r>
          </w:p>
        </w:tc>
      </w:tr>
      <w:tr w:rsidR="00145314" w:rsidRPr="009813FB" w:rsidTr="00ED1F25">
        <w:tc>
          <w:tcPr>
            <w:tcW w:w="5000" w:type="pct"/>
            <w:gridSpan w:val="4"/>
          </w:tcPr>
          <w:p w:rsidR="00145314" w:rsidRPr="00606F29" w:rsidRDefault="00145314" w:rsidP="00145314">
            <w:pPr>
              <w:jc w:val="both"/>
              <w:rPr>
                <w:sz w:val="20"/>
                <w:lang w:val="fr-CA"/>
              </w:rPr>
            </w:pPr>
            <w:r w:rsidRPr="00606F29">
              <w:rPr>
                <w:sz w:val="20"/>
                <w:lang w:val="fr-CA"/>
              </w:rPr>
              <w:t xml:space="preserve">Relations du travail – Conventions collectives – Prestations d’invalidité de longue durée – Compétence – Arbitrage – Existe-t-il des situations où des parties peuvent négocier des conventions collectives qui confèrent explicitement aux tribunaux judiciaires la compétence de statuer sur le règlement des différends découlant du droit à des prestations d’invalidité de longue durée? – Dans l’affirmative, les tribunaux judiciaires conservent-ils leur compétence lorsque les parties ont voulu que soit conférée aux tribunaux judiciaires la compétence de trancher de tels différends? – L’analyse faite dans l’arrêt </w:t>
            </w:r>
            <w:r w:rsidRPr="00606F29">
              <w:rPr>
                <w:i/>
                <w:sz w:val="20"/>
                <w:lang w:val="fr-CA"/>
              </w:rPr>
              <w:t>Weber c. Ontario Hydro</w:t>
            </w:r>
            <w:r w:rsidRPr="00606F29">
              <w:rPr>
                <w:sz w:val="20"/>
                <w:lang w:val="fr-CA"/>
              </w:rPr>
              <w:t>, [1995] 2 R.C.S. 929, s’applique-t-elle aux situations où les parties entendent conférer aux tribunaux judiciaires la compétence de trancher les questions relatives au droit à des prestations d’invalidité de longue durée?</w:t>
            </w:r>
          </w:p>
        </w:tc>
      </w:tr>
      <w:tr w:rsidR="00145314" w:rsidRPr="009813FB" w:rsidTr="00ED1F25">
        <w:tc>
          <w:tcPr>
            <w:tcW w:w="5000" w:type="pct"/>
            <w:gridSpan w:val="4"/>
          </w:tcPr>
          <w:p w:rsidR="00145314" w:rsidRPr="00606F29" w:rsidRDefault="00145314" w:rsidP="00145314">
            <w:pPr>
              <w:jc w:val="both"/>
              <w:rPr>
                <w:sz w:val="20"/>
                <w:lang w:val="fr-CA"/>
              </w:rPr>
            </w:pPr>
          </w:p>
        </w:tc>
      </w:tr>
      <w:tr w:rsidR="00145314" w:rsidRPr="009813FB" w:rsidTr="00ED1F25">
        <w:tc>
          <w:tcPr>
            <w:tcW w:w="5000" w:type="pct"/>
            <w:gridSpan w:val="4"/>
          </w:tcPr>
          <w:p w:rsidR="00145314" w:rsidRPr="00606F29" w:rsidRDefault="00145314" w:rsidP="00145314">
            <w:pPr>
              <w:jc w:val="both"/>
              <w:rPr>
                <w:sz w:val="20"/>
                <w:lang w:val="fr-CA"/>
              </w:rPr>
            </w:pPr>
            <w:r w:rsidRPr="00606F29">
              <w:rPr>
                <w:sz w:val="20"/>
                <w:lang w:val="fr-CA"/>
              </w:rPr>
              <w:t xml:space="preserve">Krista-Leigh </w:t>
            </w:r>
            <w:proofErr w:type="spellStart"/>
            <w:r w:rsidRPr="00606F29">
              <w:rPr>
                <w:sz w:val="20"/>
                <w:lang w:val="fr-CA"/>
              </w:rPr>
              <w:t>Morriseau</w:t>
            </w:r>
            <w:proofErr w:type="spellEnd"/>
            <w:r w:rsidRPr="00606F29">
              <w:rPr>
                <w:sz w:val="20"/>
                <w:lang w:val="fr-CA"/>
              </w:rPr>
              <w:t xml:space="preserve"> est une employée syndiquée du Conseil scolaire de district de </w:t>
            </w:r>
            <w:proofErr w:type="spellStart"/>
            <w:r w:rsidRPr="00606F29">
              <w:rPr>
                <w:sz w:val="20"/>
                <w:lang w:val="fr-CA"/>
              </w:rPr>
              <w:t>Lakehead</w:t>
            </w:r>
            <w:proofErr w:type="spellEnd"/>
            <w:r w:rsidRPr="00606F29">
              <w:rPr>
                <w:sz w:val="20"/>
                <w:lang w:val="fr-CA"/>
              </w:rPr>
              <w:t>. Suivant les dispositions de la convention collective, Mme </w:t>
            </w:r>
            <w:proofErr w:type="spellStart"/>
            <w:r w:rsidRPr="00606F29">
              <w:rPr>
                <w:sz w:val="20"/>
                <w:lang w:val="fr-CA"/>
              </w:rPr>
              <w:t>Morriseau</w:t>
            </w:r>
            <w:proofErr w:type="spellEnd"/>
            <w:r w:rsidRPr="00606F29">
              <w:rPr>
                <w:sz w:val="20"/>
                <w:lang w:val="fr-CA"/>
              </w:rPr>
              <w:t>, dès qu’elle y était admissible, avait droit à des prestations d’invalidité de longue-durée (« ILD »). Sun Life fournit des services administratifs, y compris l’administration des demandes d’indemnisation, au Conseil. Sun Life a rejeté la demande de prestations d’invalidité de longue-durée qu’avait présentée Mme </w:t>
            </w:r>
            <w:proofErr w:type="spellStart"/>
            <w:r w:rsidRPr="00606F29">
              <w:rPr>
                <w:sz w:val="20"/>
                <w:lang w:val="fr-CA"/>
              </w:rPr>
              <w:t>Morriseau</w:t>
            </w:r>
            <w:proofErr w:type="spellEnd"/>
            <w:r w:rsidRPr="00606F29">
              <w:rPr>
                <w:sz w:val="20"/>
                <w:lang w:val="fr-CA"/>
              </w:rPr>
              <w:t xml:space="preserve"> à l’égard d’un accident de la route dans lequel elle avait été impliquée le 2 novembre 2015. Madame </w:t>
            </w:r>
            <w:proofErr w:type="spellStart"/>
            <w:r w:rsidRPr="00606F29">
              <w:rPr>
                <w:sz w:val="20"/>
                <w:lang w:val="fr-CA"/>
              </w:rPr>
              <w:t>Morriseau</w:t>
            </w:r>
            <w:proofErr w:type="spellEnd"/>
            <w:r w:rsidRPr="00606F29">
              <w:rPr>
                <w:sz w:val="20"/>
                <w:lang w:val="fr-CA"/>
              </w:rPr>
              <w:t xml:space="preserve"> a poursuivi Sun Life, sollicitant une ordonnance enjoignant à Sun Life d’approuver le versement de prestations d’invalidité de longue durée. Le Conseil n’est pas partie à l’action. Sun Life a présenté une motion en rejet de l’action de Mme </w:t>
            </w:r>
            <w:proofErr w:type="spellStart"/>
            <w:r w:rsidRPr="00606F29">
              <w:rPr>
                <w:sz w:val="20"/>
                <w:lang w:val="fr-CA"/>
              </w:rPr>
              <w:t>Morriseau</w:t>
            </w:r>
            <w:proofErr w:type="spellEnd"/>
            <w:r w:rsidRPr="00606F29">
              <w:rPr>
                <w:sz w:val="20"/>
                <w:lang w:val="fr-CA"/>
              </w:rPr>
              <w:t xml:space="preserve"> au motif que la cour n’a pas compétence à l’égard du différend, plaidant que l’arbitrage était le cadre indiqué pour trancher l’affaire en application de la convention collective. Sun Life a fait valoir en outre que la responsabilité juridique et financière, ainsi que la décision finale de verser ou non des prestations d’ILD, appartenaient au Conseil.</w:t>
            </w:r>
          </w:p>
          <w:p w:rsidR="00145314" w:rsidRPr="00606F29" w:rsidRDefault="00145314" w:rsidP="00145314">
            <w:pPr>
              <w:jc w:val="both"/>
              <w:rPr>
                <w:sz w:val="20"/>
                <w:lang w:val="fr-CA"/>
              </w:rPr>
            </w:pPr>
          </w:p>
          <w:p w:rsidR="00145314" w:rsidRPr="00606F29" w:rsidRDefault="00145314" w:rsidP="00145314">
            <w:pPr>
              <w:jc w:val="both"/>
              <w:rPr>
                <w:sz w:val="20"/>
                <w:lang w:val="fr-CA"/>
              </w:rPr>
            </w:pPr>
            <w:r w:rsidRPr="00606F29">
              <w:rPr>
                <w:sz w:val="20"/>
                <w:lang w:val="fr-CA"/>
              </w:rPr>
              <w:t>La Cour supérieure de justice de l’Ontario a accueilli la motion de Sun Life en rejet de l’action pour cause d’absence de compétence, concluant que le cadre indiqué pour trancher le différend en application de la convention collective était l’arbitrage. La Cour d’appel de l’Ontario a rejeté l’appel de Mme </w:t>
            </w:r>
            <w:proofErr w:type="spellStart"/>
            <w:r w:rsidRPr="00606F29">
              <w:rPr>
                <w:sz w:val="20"/>
                <w:lang w:val="fr-CA"/>
              </w:rPr>
              <w:t>Morriseau</w:t>
            </w:r>
            <w:proofErr w:type="spellEnd"/>
            <w:r w:rsidRPr="00606F29">
              <w:rPr>
                <w:sz w:val="20"/>
                <w:lang w:val="fr-CA"/>
              </w:rPr>
              <w:t>.</w:t>
            </w:r>
          </w:p>
          <w:p w:rsidR="00145314" w:rsidRPr="00606F29" w:rsidRDefault="00145314" w:rsidP="00145314">
            <w:pPr>
              <w:jc w:val="both"/>
              <w:rPr>
                <w:sz w:val="20"/>
                <w:lang w:val="fr-CA"/>
              </w:rPr>
            </w:pPr>
          </w:p>
        </w:tc>
      </w:tr>
      <w:tr w:rsidR="00145314" w:rsidRPr="009813FB" w:rsidTr="00ED1F25">
        <w:tc>
          <w:tcPr>
            <w:tcW w:w="2427" w:type="pct"/>
            <w:gridSpan w:val="2"/>
          </w:tcPr>
          <w:p w:rsidR="00145314" w:rsidRPr="00606F29" w:rsidRDefault="00145314" w:rsidP="00145314">
            <w:pPr>
              <w:jc w:val="both"/>
              <w:rPr>
                <w:sz w:val="20"/>
                <w:lang w:val="fr-CA"/>
              </w:rPr>
            </w:pPr>
            <w:r w:rsidRPr="00606F29">
              <w:rPr>
                <w:sz w:val="20"/>
                <w:lang w:val="fr-CA"/>
              </w:rPr>
              <w:t>27 janvier 2017</w:t>
            </w:r>
          </w:p>
          <w:p w:rsidR="00145314" w:rsidRPr="00606F29" w:rsidRDefault="00145314" w:rsidP="00145314">
            <w:pPr>
              <w:jc w:val="both"/>
              <w:rPr>
                <w:sz w:val="20"/>
                <w:lang w:val="fr-CA"/>
              </w:rPr>
            </w:pPr>
            <w:r w:rsidRPr="00606F29">
              <w:rPr>
                <w:sz w:val="20"/>
                <w:lang w:val="fr-CA"/>
              </w:rPr>
              <w:t>Cour supérieure de justice de l’Ontario</w:t>
            </w:r>
          </w:p>
          <w:p w:rsidR="00145314" w:rsidRPr="00606F29" w:rsidRDefault="00145314" w:rsidP="00145314">
            <w:pPr>
              <w:jc w:val="both"/>
              <w:rPr>
                <w:sz w:val="20"/>
                <w:lang w:val="fr-CA"/>
              </w:rPr>
            </w:pPr>
            <w:r w:rsidRPr="00606F29">
              <w:rPr>
                <w:sz w:val="20"/>
                <w:lang w:val="fr-CA"/>
              </w:rPr>
              <w:t>(Juge Newton)</w:t>
            </w:r>
          </w:p>
          <w:p w:rsidR="00145314" w:rsidRPr="00606F29" w:rsidRDefault="009813FB" w:rsidP="00145314">
            <w:pPr>
              <w:jc w:val="both"/>
              <w:rPr>
                <w:sz w:val="20"/>
                <w:lang w:val="fr-CA"/>
              </w:rPr>
            </w:pPr>
            <w:hyperlink r:id="rId19" w:history="1">
              <w:r w:rsidR="00145314" w:rsidRPr="00606F29">
                <w:rPr>
                  <w:rStyle w:val="Hyperlink"/>
                  <w:sz w:val="20"/>
                  <w:lang w:val="fr-CA"/>
                </w:rPr>
                <w:t>2017 ONSC 686</w:t>
              </w:r>
            </w:hyperlink>
            <w:r w:rsidR="00145314" w:rsidRPr="00606F29">
              <w:rPr>
                <w:sz w:val="20"/>
                <w:lang w:val="fr-CA"/>
              </w:rPr>
              <w:t xml:space="preserve"> </w:t>
            </w:r>
          </w:p>
          <w:p w:rsidR="00145314" w:rsidRPr="00606F29" w:rsidRDefault="00145314" w:rsidP="00145314">
            <w:pPr>
              <w:jc w:val="both"/>
              <w:rPr>
                <w:sz w:val="20"/>
                <w:lang w:val="fr-CA"/>
              </w:rPr>
            </w:pPr>
          </w:p>
        </w:tc>
        <w:tc>
          <w:tcPr>
            <w:tcW w:w="243" w:type="pct"/>
          </w:tcPr>
          <w:p w:rsidR="00145314" w:rsidRPr="00606F29" w:rsidRDefault="00145314" w:rsidP="00145314">
            <w:pPr>
              <w:jc w:val="both"/>
              <w:rPr>
                <w:sz w:val="20"/>
                <w:lang w:val="fr-CA"/>
              </w:rPr>
            </w:pPr>
          </w:p>
        </w:tc>
        <w:tc>
          <w:tcPr>
            <w:tcW w:w="2330" w:type="pct"/>
          </w:tcPr>
          <w:p w:rsidR="00145314" w:rsidRPr="00606F29" w:rsidRDefault="00145314" w:rsidP="00145314">
            <w:pPr>
              <w:jc w:val="both"/>
              <w:rPr>
                <w:sz w:val="20"/>
                <w:lang w:val="fr-CA"/>
              </w:rPr>
            </w:pPr>
            <w:r w:rsidRPr="00606F29">
              <w:rPr>
                <w:sz w:val="20"/>
                <w:lang w:val="fr-CA"/>
              </w:rPr>
              <w:t>Jugement accueillant la motion de l’intimée en rejet de l’action de la demanderesse pour cause d’absence de compétence; rejet de l’action.</w:t>
            </w:r>
          </w:p>
          <w:p w:rsidR="00145314" w:rsidRPr="00606F29" w:rsidRDefault="00145314" w:rsidP="00145314">
            <w:pPr>
              <w:jc w:val="both"/>
              <w:rPr>
                <w:sz w:val="20"/>
                <w:lang w:val="fr-CA"/>
              </w:rPr>
            </w:pPr>
          </w:p>
        </w:tc>
      </w:tr>
      <w:tr w:rsidR="00145314" w:rsidRPr="009813FB" w:rsidTr="00ED1F25">
        <w:tc>
          <w:tcPr>
            <w:tcW w:w="2427" w:type="pct"/>
            <w:gridSpan w:val="2"/>
          </w:tcPr>
          <w:p w:rsidR="00145314" w:rsidRPr="00606F29" w:rsidRDefault="00145314" w:rsidP="00145314">
            <w:pPr>
              <w:jc w:val="both"/>
              <w:rPr>
                <w:sz w:val="20"/>
                <w:lang w:val="fr-CA"/>
              </w:rPr>
            </w:pPr>
            <w:r w:rsidRPr="00606F29">
              <w:rPr>
                <w:sz w:val="20"/>
                <w:lang w:val="fr-CA"/>
              </w:rPr>
              <w:t>4 juillet 2017</w:t>
            </w:r>
          </w:p>
          <w:p w:rsidR="00145314" w:rsidRPr="00606F29" w:rsidRDefault="00145314" w:rsidP="00145314">
            <w:pPr>
              <w:jc w:val="both"/>
              <w:rPr>
                <w:sz w:val="20"/>
                <w:lang w:val="fr-CA"/>
              </w:rPr>
            </w:pPr>
            <w:r w:rsidRPr="00606F29">
              <w:rPr>
                <w:sz w:val="20"/>
                <w:lang w:val="fr-CA"/>
              </w:rPr>
              <w:t>Cour d’appel de l’Ontario</w:t>
            </w:r>
          </w:p>
          <w:p w:rsidR="00145314" w:rsidRPr="00606F29" w:rsidRDefault="00145314" w:rsidP="00145314">
            <w:pPr>
              <w:jc w:val="both"/>
              <w:rPr>
                <w:sz w:val="20"/>
                <w:lang w:val="fr-CA"/>
              </w:rPr>
            </w:pPr>
            <w:r w:rsidRPr="00606F29">
              <w:rPr>
                <w:sz w:val="20"/>
                <w:lang w:val="fr-CA"/>
              </w:rPr>
              <w:t xml:space="preserve">(Juges </w:t>
            </w:r>
            <w:proofErr w:type="spellStart"/>
            <w:r w:rsidRPr="00606F29">
              <w:rPr>
                <w:sz w:val="20"/>
                <w:lang w:val="fr-CA"/>
              </w:rPr>
              <w:t>LaForme</w:t>
            </w:r>
            <w:proofErr w:type="spellEnd"/>
            <w:r w:rsidRPr="00606F29">
              <w:rPr>
                <w:sz w:val="20"/>
                <w:lang w:val="fr-CA"/>
              </w:rPr>
              <w:t xml:space="preserve">, </w:t>
            </w:r>
            <w:proofErr w:type="spellStart"/>
            <w:r w:rsidRPr="00606F29">
              <w:rPr>
                <w:sz w:val="20"/>
                <w:lang w:val="fr-CA"/>
              </w:rPr>
              <w:t>Hourigan</w:t>
            </w:r>
            <w:proofErr w:type="spellEnd"/>
            <w:r w:rsidRPr="00606F29">
              <w:rPr>
                <w:sz w:val="20"/>
                <w:lang w:val="fr-CA"/>
              </w:rPr>
              <w:t xml:space="preserve"> et </w:t>
            </w:r>
            <w:proofErr w:type="spellStart"/>
            <w:r w:rsidRPr="00606F29">
              <w:rPr>
                <w:sz w:val="20"/>
                <w:lang w:val="fr-CA"/>
              </w:rPr>
              <w:t>Paciocco</w:t>
            </w:r>
            <w:proofErr w:type="spellEnd"/>
            <w:r w:rsidRPr="00606F29">
              <w:rPr>
                <w:sz w:val="20"/>
                <w:lang w:val="fr-CA"/>
              </w:rPr>
              <w:t>)</w:t>
            </w:r>
          </w:p>
          <w:p w:rsidR="00145314" w:rsidRPr="00606F29" w:rsidRDefault="009813FB" w:rsidP="00145314">
            <w:pPr>
              <w:jc w:val="both"/>
              <w:rPr>
                <w:sz w:val="20"/>
                <w:lang w:val="fr-CA"/>
              </w:rPr>
            </w:pPr>
            <w:hyperlink r:id="rId20" w:history="1">
              <w:r w:rsidR="00145314" w:rsidRPr="00606F29">
                <w:rPr>
                  <w:rStyle w:val="Hyperlink"/>
                  <w:sz w:val="20"/>
                  <w:lang w:val="fr-CA"/>
                </w:rPr>
                <w:t>2017 ONCA 567</w:t>
              </w:r>
            </w:hyperlink>
          </w:p>
          <w:p w:rsidR="00145314" w:rsidRPr="00606F29" w:rsidRDefault="00145314" w:rsidP="00145314">
            <w:pPr>
              <w:jc w:val="both"/>
              <w:rPr>
                <w:sz w:val="20"/>
                <w:lang w:val="fr-CA"/>
              </w:rPr>
            </w:pPr>
          </w:p>
        </w:tc>
        <w:tc>
          <w:tcPr>
            <w:tcW w:w="243" w:type="pct"/>
          </w:tcPr>
          <w:p w:rsidR="00145314" w:rsidRPr="00606F29" w:rsidRDefault="00145314" w:rsidP="00145314">
            <w:pPr>
              <w:jc w:val="both"/>
              <w:rPr>
                <w:sz w:val="20"/>
                <w:lang w:val="fr-CA"/>
              </w:rPr>
            </w:pPr>
          </w:p>
        </w:tc>
        <w:tc>
          <w:tcPr>
            <w:tcW w:w="2330" w:type="pct"/>
          </w:tcPr>
          <w:p w:rsidR="00145314" w:rsidRPr="00606F29" w:rsidRDefault="00145314" w:rsidP="00145314">
            <w:pPr>
              <w:jc w:val="both"/>
              <w:rPr>
                <w:sz w:val="20"/>
                <w:lang w:val="fr-CA"/>
              </w:rPr>
            </w:pPr>
            <w:r w:rsidRPr="00606F29">
              <w:rPr>
                <w:sz w:val="20"/>
                <w:lang w:val="fr-CA"/>
              </w:rPr>
              <w:t>Rejet de l’appel de la demanderesse.</w:t>
            </w:r>
          </w:p>
          <w:p w:rsidR="00145314" w:rsidRPr="00606F29" w:rsidRDefault="00145314" w:rsidP="00145314">
            <w:pPr>
              <w:jc w:val="both"/>
              <w:rPr>
                <w:sz w:val="20"/>
                <w:lang w:val="fr-CA"/>
              </w:rPr>
            </w:pPr>
          </w:p>
        </w:tc>
      </w:tr>
      <w:tr w:rsidR="00145314" w:rsidRPr="009813FB" w:rsidTr="00ED1F25">
        <w:tc>
          <w:tcPr>
            <w:tcW w:w="2427" w:type="pct"/>
            <w:gridSpan w:val="2"/>
          </w:tcPr>
          <w:p w:rsidR="00145314" w:rsidRPr="00606F29" w:rsidRDefault="00145314" w:rsidP="00145314">
            <w:pPr>
              <w:jc w:val="both"/>
              <w:rPr>
                <w:sz w:val="20"/>
                <w:lang w:val="fr-CA"/>
              </w:rPr>
            </w:pPr>
            <w:r w:rsidRPr="00606F29">
              <w:rPr>
                <w:sz w:val="20"/>
                <w:lang w:val="fr-CA"/>
              </w:rPr>
              <w:t>26 septembre 2017</w:t>
            </w:r>
          </w:p>
          <w:p w:rsidR="00145314" w:rsidRPr="00606F29" w:rsidRDefault="00145314" w:rsidP="00145314">
            <w:pPr>
              <w:jc w:val="both"/>
              <w:rPr>
                <w:sz w:val="20"/>
                <w:lang w:val="fr-CA"/>
              </w:rPr>
            </w:pPr>
            <w:r w:rsidRPr="00606F29">
              <w:rPr>
                <w:sz w:val="20"/>
                <w:lang w:val="fr-CA"/>
              </w:rPr>
              <w:t>Cour suprême du Canada</w:t>
            </w:r>
          </w:p>
        </w:tc>
        <w:tc>
          <w:tcPr>
            <w:tcW w:w="243" w:type="pct"/>
          </w:tcPr>
          <w:p w:rsidR="00145314" w:rsidRPr="00606F29" w:rsidRDefault="00145314" w:rsidP="00145314">
            <w:pPr>
              <w:jc w:val="both"/>
              <w:rPr>
                <w:sz w:val="20"/>
                <w:lang w:val="fr-CA"/>
              </w:rPr>
            </w:pPr>
          </w:p>
        </w:tc>
        <w:tc>
          <w:tcPr>
            <w:tcW w:w="2330" w:type="pct"/>
          </w:tcPr>
          <w:p w:rsidR="00145314" w:rsidRPr="00606F29" w:rsidRDefault="00145314" w:rsidP="00145314">
            <w:pPr>
              <w:jc w:val="both"/>
              <w:rPr>
                <w:sz w:val="20"/>
                <w:lang w:val="fr-CA"/>
              </w:rPr>
            </w:pPr>
            <w:r w:rsidRPr="00606F29">
              <w:rPr>
                <w:sz w:val="20"/>
                <w:lang w:val="fr-CA"/>
              </w:rPr>
              <w:t>Dépôt de la demande d’autorisation d’appel.</w:t>
            </w:r>
          </w:p>
          <w:p w:rsidR="00145314" w:rsidRPr="00606F29" w:rsidRDefault="00145314" w:rsidP="00145314">
            <w:pPr>
              <w:jc w:val="both"/>
              <w:rPr>
                <w:sz w:val="20"/>
                <w:lang w:val="fr-CA"/>
              </w:rPr>
            </w:pPr>
          </w:p>
        </w:tc>
      </w:tr>
    </w:tbl>
    <w:p w:rsidR="002B6E2D" w:rsidRPr="00606F29" w:rsidRDefault="002B6E2D">
      <w:pPr>
        <w:rPr>
          <w:sz w:val="20"/>
          <w:szCs w:val="20"/>
          <w:lang w:val="fr-CA"/>
        </w:rPr>
      </w:pPr>
      <w:r w:rsidRPr="00606F29">
        <w:rPr>
          <w:sz w:val="20"/>
          <w:szCs w:val="20"/>
          <w:lang w:val="fr-CA"/>
        </w:rPr>
        <w:br w:type="page"/>
      </w:r>
    </w:p>
    <w:p w:rsidR="00E8544A" w:rsidRPr="00606F29" w:rsidRDefault="00E8544A" w:rsidP="00E8544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92C54" w:rsidRPr="00606F29" w:rsidTr="006358B9">
        <w:tc>
          <w:tcPr>
            <w:tcW w:w="543" w:type="pct"/>
          </w:tcPr>
          <w:p w:rsidR="00292C54" w:rsidRPr="00606F29" w:rsidRDefault="00292C54" w:rsidP="006358B9">
            <w:pPr>
              <w:jc w:val="both"/>
              <w:rPr>
                <w:sz w:val="20"/>
              </w:rPr>
            </w:pPr>
            <w:r w:rsidRPr="00606F29">
              <w:rPr>
                <w:rStyle w:val="SCCFileNumberChar"/>
                <w:sz w:val="20"/>
                <w:szCs w:val="20"/>
              </w:rPr>
              <w:t>37848</w:t>
            </w:r>
          </w:p>
        </w:tc>
        <w:tc>
          <w:tcPr>
            <w:tcW w:w="4457" w:type="pct"/>
            <w:gridSpan w:val="3"/>
          </w:tcPr>
          <w:p w:rsidR="00292C54" w:rsidRPr="00606F29" w:rsidRDefault="00292C54" w:rsidP="006358B9">
            <w:pPr>
              <w:pStyle w:val="SCCLsocParty"/>
              <w:jc w:val="both"/>
              <w:rPr>
                <w:b/>
                <w:sz w:val="20"/>
                <w:szCs w:val="20"/>
                <w:lang w:val="en-US"/>
              </w:rPr>
            </w:pPr>
            <w:proofErr w:type="spellStart"/>
            <w:r w:rsidRPr="00606F29">
              <w:rPr>
                <w:b/>
                <w:sz w:val="20"/>
                <w:szCs w:val="20"/>
                <w:lang w:val="en-US"/>
              </w:rPr>
              <w:t>Delizia</w:t>
            </w:r>
            <w:proofErr w:type="spellEnd"/>
            <w:r w:rsidRPr="00606F29">
              <w:rPr>
                <w:b/>
                <w:sz w:val="20"/>
                <w:szCs w:val="20"/>
                <w:lang w:val="en-US"/>
              </w:rPr>
              <w:t xml:space="preserve"> Limited v. </w:t>
            </w:r>
            <w:proofErr w:type="spellStart"/>
            <w:r w:rsidRPr="00606F29">
              <w:rPr>
                <w:b/>
                <w:sz w:val="20"/>
                <w:szCs w:val="20"/>
                <w:lang w:val="en-US"/>
              </w:rPr>
              <w:t>Nevsun</w:t>
            </w:r>
            <w:proofErr w:type="spellEnd"/>
            <w:r w:rsidRPr="00606F29">
              <w:rPr>
                <w:b/>
                <w:sz w:val="20"/>
                <w:szCs w:val="20"/>
                <w:lang w:val="en-US"/>
              </w:rPr>
              <w:t xml:space="preserve"> Resources Ltd.</w:t>
            </w:r>
          </w:p>
          <w:p w:rsidR="00292C54" w:rsidRPr="00606F29" w:rsidRDefault="00292C54" w:rsidP="006358B9">
            <w:pPr>
              <w:jc w:val="both"/>
              <w:rPr>
                <w:sz w:val="20"/>
              </w:rPr>
            </w:pPr>
            <w:r w:rsidRPr="00606F29">
              <w:rPr>
                <w:sz w:val="20"/>
              </w:rPr>
              <w:t>(F.C.) (Civil) (By Leave)</w:t>
            </w:r>
          </w:p>
        </w:tc>
      </w:tr>
      <w:tr w:rsidR="00292C54" w:rsidRPr="00606F29" w:rsidTr="006358B9">
        <w:tc>
          <w:tcPr>
            <w:tcW w:w="543" w:type="pct"/>
          </w:tcPr>
          <w:p w:rsidR="00292C54" w:rsidRPr="00606F29" w:rsidRDefault="00292C54" w:rsidP="006358B9">
            <w:pPr>
              <w:jc w:val="both"/>
              <w:rPr>
                <w:rStyle w:val="SCCFileNumberChar"/>
                <w:b w:val="0"/>
                <w:sz w:val="20"/>
                <w:szCs w:val="20"/>
              </w:rPr>
            </w:pPr>
            <w:r w:rsidRPr="00606F29">
              <w:rPr>
                <w:b/>
                <w:sz w:val="20"/>
                <w:lang w:val="en-US"/>
              </w:rPr>
              <w:t xml:space="preserve">Coram:  </w:t>
            </w:r>
          </w:p>
        </w:tc>
        <w:tc>
          <w:tcPr>
            <w:tcW w:w="4457" w:type="pct"/>
            <w:gridSpan w:val="3"/>
          </w:tcPr>
          <w:p w:rsidR="00292C54" w:rsidRPr="00606F29" w:rsidRDefault="00292C54" w:rsidP="006358B9">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Karakatsanis</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292C54" w:rsidRPr="00606F29" w:rsidTr="00292C54">
        <w:tc>
          <w:tcPr>
            <w:tcW w:w="5000" w:type="pct"/>
            <w:gridSpan w:val="4"/>
          </w:tcPr>
          <w:p w:rsidR="00292C54" w:rsidRPr="00606F29" w:rsidRDefault="00292C54" w:rsidP="006358B9">
            <w:pPr>
              <w:pStyle w:val="SCCLsocParty"/>
              <w:jc w:val="both"/>
              <w:rPr>
                <w:b/>
                <w:sz w:val="20"/>
                <w:szCs w:val="20"/>
                <w:lang w:val="en-US"/>
              </w:rPr>
            </w:pPr>
            <w:r w:rsidRPr="00606F29">
              <w:rPr>
                <w:sz w:val="20"/>
                <w:lang w:val="en-US"/>
              </w:rPr>
              <w:t>The application for leave to appeal from the judgment of the</w:t>
            </w:r>
            <w:bookmarkStart w:id="2" w:name="BM_1_"/>
            <w:bookmarkEnd w:id="2"/>
            <w:r w:rsidRPr="00606F29">
              <w:rPr>
                <w:sz w:val="20"/>
                <w:lang w:val="en-US"/>
              </w:rPr>
              <w:t xml:space="preserve"> Federal Court of Appeal, Number A-118-16, 2017 FCA 187, dated September 15, 2017, is dismissed with costs.</w:t>
            </w:r>
          </w:p>
        </w:tc>
      </w:tr>
      <w:tr w:rsidR="00292C54" w:rsidRPr="00606F29" w:rsidTr="006358B9">
        <w:tc>
          <w:tcPr>
            <w:tcW w:w="5000" w:type="pct"/>
            <w:gridSpan w:val="4"/>
          </w:tcPr>
          <w:p w:rsidR="00292C54" w:rsidRPr="00606F29" w:rsidRDefault="00292C54" w:rsidP="006358B9">
            <w:pPr>
              <w:jc w:val="both"/>
              <w:rPr>
                <w:sz w:val="20"/>
              </w:rPr>
            </w:pPr>
            <w:r w:rsidRPr="00606F29">
              <w:rPr>
                <w:sz w:val="20"/>
              </w:rPr>
              <w:t xml:space="preserve">Private International Law – Arbitration – Foreign Judgments– Enforcement – Execution – Garnishment – Commercial law – Corporations – What is the legal test to lift the corporate veil of a group of corporations forming a single unit so as to attribute to the parent company the garnishment obligations of a controlled foreign entity or even of an incorporated subsidiary – What is the basis at common law to pierce the corporate veil as between </w:t>
            </w:r>
            <w:proofErr w:type="spellStart"/>
            <w:r w:rsidRPr="00606F29">
              <w:rPr>
                <w:sz w:val="20"/>
              </w:rPr>
              <w:t>Nevsun</w:t>
            </w:r>
            <w:proofErr w:type="spellEnd"/>
            <w:r w:rsidRPr="00606F29">
              <w:rPr>
                <w:sz w:val="20"/>
              </w:rPr>
              <w:t xml:space="preserve"> and BMSC, so as to make all debts owning and accruing from BMSC to Eritrea the proper subject matter of a garnishment order duly issued against </w:t>
            </w:r>
            <w:proofErr w:type="spellStart"/>
            <w:r w:rsidRPr="00606F29">
              <w:rPr>
                <w:sz w:val="20"/>
              </w:rPr>
              <w:t>Nevsun</w:t>
            </w:r>
            <w:proofErr w:type="spellEnd"/>
            <w:r w:rsidRPr="00606F29">
              <w:rPr>
                <w:sz w:val="20"/>
              </w:rPr>
              <w:t xml:space="preserve"> – Is the Recognition Order invalid or a nullity due to the absence of service on the State of Eritrea pursuant to section 9 of the </w:t>
            </w:r>
            <w:r w:rsidRPr="00606F29">
              <w:rPr>
                <w:i/>
                <w:sz w:val="20"/>
              </w:rPr>
              <w:t>State Immunity Act</w:t>
            </w:r>
            <w:r w:rsidRPr="00606F29">
              <w:rPr>
                <w:sz w:val="20"/>
              </w:rPr>
              <w:t>, R.S.C. 1985, c. S-18 (“</w:t>
            </w:r>
            <w:r w:rsidRPr="00606F29">
              <w:rPr>
                <w:i/>
                <w:sz w:val="20"/>
              </w:rPr>
              <w:t>SIA</w:t>
            </w:r>
            <w:r w:rsidRPr="00606F29">
              <w:rPr>
                <w:sz w:val="20"/>
              </w:rPr>
              <w:t xml:space="preserve">”), notwithstanding that a) Eritrea did not enjoy immunity because the foreign arbitral award subject to the Recognition Order fell within the exception of commercial activity in both the </w:t>
            </w:r>
            <w:r w:rsidRPr="00606F29">
              <w:rPr>
                <w:i/>
                <w:sz w:val="20"/>
              </w:rPr>
              <w:t>SIA</w:t>
            </w:r>
            <w:r w:rsidRPr="00606F29">
              <w:rPr>
                <w:sz w:val="20"/>
              </w:rPr>
              <w:t xml:space="preserve"> and the New York Convention and b) that service was expressly waived on valid grounds under Rule 334 of the </w:t>
            </w:r>
            <w:r w:rsidRPr="00606F29">
              <w:rPr>
                <w:i/>
                <w:sz w:val="20"/>
              </w:rPr>
              <w:t>Federal Court Rules</w:t>
            </w:r>
            <w:r w:rsidRPr="00606F29">
              <w:rPr>
                <w:sz w:val="20"/>
              </w:rPr>
              <w:t xml:space="preserve">, SOR/98-106. </w:t>
            </w:r>
          </w:p>
          <w:p w:rsidR="00292C54" w:rsidRPr="00606F29" w:rsidRDefault="00292C54" w:rsidP="006358B9">
            <w:pPr>
              <w:jc w:val="both"/>
              <w:rPr>
                <w:sz w:val="20"/>
              </w:rPr>
            </w:pPr>
          </w:p>
        </w:tc>
      </w:tr>
      <w:tr w:rsidR="00292C54" w:rsidRPr="00606F29" w:rsidTr="006358B9">
        <w:tc>
          <w:tcPr>
            <w:tcW w:w="5000" w:type="pct"/>
            <w:gridSpan w:val="4"/>
          </w:tcPr>
          <w:p w:rsidR="00292C54" w:rsidRPr="00606F29" w:rsidRDefault="00292C54" w:rsidP="006358B9">
            <w:pPr>
              <w:jc w:val="both"/>
              <w:rPr>
                <w:sz w:val="20"/>
              </w:rPr>
            </w:pPr>
            <w:r w:rsidRPr="00606F29">
              <w:rPr>
                <w:sz w:val="20"/>
              </w:rPr>
              <w:t xml:space="preserve">The applicant obtained an arbitration award for an outstanding debt from its sale of military aircraft to Eritrea. After successfully moving </w:t>
            </w:r>
            <w:r w:rsidRPr="00606F29">
              <w:rPr>
                <w:i/>
                <w:sz w:val="20"/>
              </w:rPr>
              <w:t>ex parte</w:t>
            </w:r>
            <w:r w:rsidRPr="00606F29">
              <w:rPr>
                <w:sz w:val="20"/>
              </w:rPr>
              <w:t xml:space="preserve"> to register the award in the Federal Court for purposes of enforcement, the applicant brought an </w:t>
            </w:r>
            <w:r w:rsidRPr="00606F29">
              <w:rPr>
                <w:i/>
                <w:sz w:val="20"/>
              </w:rPr>
              <w:t>ex parte</w:t>
            </w:r>
            <w:r w:rsidRPr="00606F29">
              <w:rPr>
                <w:sz w:val="20"/>
              </w:rPr>
              <w:t xml:space="preserve"> motion against the respondent for a provisional order of garnishment. The applicant was subsequently granted a final order of garnishment ordering the attachment of all debts owing an accruing by the respondent to Eritrea, including those owed to </w:t>
            </w:r>
            <w:proofErr w:type="spellStart"/>
            <w:r w:rsidRPr="00606F29">
              <w:rPr>
                <w:sz w:val="20"/>
              </w:rPr>
              <w:t>ENAMCo</w:t>
            </w:r>
            <w:proofErr w:type="spellEnd"/>
            <w:r w:rsidRPr="00606F29">
              <w:rPr>
                <w:sz w:val="20"/>
              </w:rPr>
              <w:t xml:space="preserve">, a state-controlled Eritrean company. Through a joint venture (“BMSC”), </w:t>
            </w:r>
            <w:proofErr w:type="spellStart"/>
            <w:r w:rsidRPr="00606F29">
              <w:rPr>
                <w:sz w:val="20"/>
              </w:rPr>
              <w:t>ENAMCo</w:t>
            </w:r>
            <w:proofErr w:type="spellEnd"/>
            <w:r w:rsidRPr="00606F29">
              <w:rPr>
                <w:sz w:val="20"/>
              </w:rPr>
              <w:t xml:space="preserve"> and a third-level, indirect subsidiary of the respondent own 40% and 60% respectively of a mine in Eritrea. The respondent argued that BMSC, not </w:t>
            </w:r>
            <w:proofErr w:type="spellStart"/>
            <w:r w:rsidRPr="00606F29">
              <w:rPr>
                <w:sz w:val="20"/>
              </w:rPr>
              <w:t>Nevsun</w:t>
            </w:r>
            <w:proofErr w:type="spellEnd"/>
            <w:r w:rsidRPr="00606F29">
              <w:rPr>
                <w:sz w:val="20"/>
              </w:rPr>
              <w:t xml:space="preserve">, owed debts to Eritrea. The Federal Court allowed the appeal, holding that since there was no basis upon which to pierce the corporate veil, there were no debts owing by the respondent to which a garnishment order could attach. It also held that the garnishment orders were nullities because Eritrea had not been served in accordance with the </w:t>
            </w:r>
            <w:r w:rsidRPr="00606F29">
              <w:rPr>
                <w:i/>
                <w:sz w:val="20"/>
              </w:rPr>
              <w:t>SIA</w:t>
            </w:r>
            <w:r w:rsidRPr="00606F29">
              <w:rPr>
                <w:sz w:val="20"/>
              </w:rPr>
              <w:t>. The Federal Court of Appeal dismissed the appeal.</w:t>
            </w:r>
          </w:p>
        </w:tc>
      </w:tr>
      <w:tr w:rsidR="00292C54" w:rsidRPr="00606F29" w:rsidTr="006358B9">
        <w:tc>
          <w:tcPr>
            <w:tcW w:w="5000" w:type="pct"/>
            <w:gridSpan w:val="4"/>
          </w:tcPr>
          <w:p w:rsidR="00292C54" w:rsidRPr="00606F29" w:rsidRDefault="00292C54" w:rsidP="006358B9">
            <w:pPr>
              <w:jc w:val="both"/>
              <w:rPr>
                <w:sz w:val="20"/>
              </w:rPr>
            </w:pPr>
          </w:p>
        </w:tc>
      </w:tr>
      <w:tr w:rsidR="00292C54" w:rsidRPr="00606F29" w:rsidTr="006358B9">
        <w:tc>
          <w:tcPr>
            <w:tcW w:w="2427" w:type="pct"/>
            <w:gridSpan w:val="2"/>
          </w:tcPr>
          <w:p w:rsidR="00292C54" w:rsidRPr="00606F29" w:rsidRDefault="00292C54" w:rsidP="006358B9">
            <w:pPr>
              <w:jc w:val="both"/>
              <w:rPr>
                <w:sz w:val="20"/>
              </w:rPr>
            </w:pPr>
            <w:r w:rsidRPr="00606F29">
              <w:rPr>
                <w:sz w:val="20"/>
              </w:rPr>
              <w:t>April 8, 2016</w:t>
            </w:r>
          </w:p>
          <w:p w:rsidR="00292C54" w:rsidRPr="00606F29" w:rsidRDefault="00292C54" w:rsidP="006358B9">
            <w:pPr>
              <w:jc w:val="both"/>
              <w:rPr>
                <w:sz w:val="20"/>
              </w:rPr>
            </w:pPr>
            <w:r w:rsidRPr="00606F29">
              <w:rPr>
                <w:sz w:val="20"/>
              </w:rPr>
              <w:t>Federal Court</w:t>
            </w:r>
          </w:p>
          <w:p w:rsidR="00292C54" w:rsidRPr="00606F29" w:rsidRDefault="00292C54" w:rsidP="006358B9">
            <w:pPr>
              <w:jc w:val="both"/>
              <w:rPr>
                <w:sz w:val="20"/>
              </w:rPr>
            </w:pPr>
            <w:r w:rsidRPr="00606F29">
              <w:rPr>
                <w:sz w:val="20"/>
              </w:rPr>
              <w:t>(Brown J.)</w:t>
            </w:r>
          </w:p>
          <w:p w:rsidR="00292C54" w:rsidRPr="00606F29" w:rsidRDefault="009813FB" w:rsidP="006358B9">
            <w:pPr>
              <w:jc w:val="both"/>
              <w:rPr>
                <w:sz w:val="20"/>
              </w:rPr>
            </w:pPr>
            <w:hyperlink r:id="rId21" w:history="1">
              <w:r w:rsidR="00292C54" w:rsidRPr="00606F29">
                <w:rPr>
                  <w:rStyle w:val="Hyperlink"/>
                  <w:sz w:val="20"/>
                </w:rPr>
                <w:t>2016 FC 393</w:t>
              </w:r>
            </w:hyperlink>
            <w:r w:rsidR="00292C54" w:rsidRPr="00606F29">
              <w:rPr>
                <w:sz w:val="20"/>
              </w:rPr>
              <w:t>; T-1157-13</w:t>
            </w:r>
          </w:p>
          <w:p w:rsidR="00292C54" w:rsidRPr="00606F29" w:rsidRDefault="00292C54" w:rsidP="006358B9">
            <w:pPr>
              <w:jc w:val="both"/>
              <w:rPr>
                <w:sz w:val="20"/>
              </w:rPr>
            </w:pPr>
          </w:p>
        </w:tc>
        <w:tc>
          <w:tcPr>
            <w:tcW w:w="243" w:type="pct"/>
          </w:tcPr>
          <w:p w:rsidR="00292C54" w:rsidRPr="00606F29" w:rsidRDefault="00292C54" w:rsidP="006358B9">
            <w:pPr>
              <w:jc w:val="both"/>
              <w:rPr>
                <w:sz w:val="20"/>
              </w:rPr>
            </w:pPr>
          </w:p>
        </w:tc>
        <w:tc>
          <w:tcPr>
            <w:tcW w:w="2330" w:type="pct"/>
          </w:tcPr>
          <w:p w:rsidR="00292C54" w:rsidRPr="00606F29" w:rsidRDefault="00292C54" w:rsidP="006358B9">
            <w:pPr>
              <w:jc w:val="both"/>
              <w:rPr>
                <w:sz w:val="20"/>
              </w:rPr>
            </w:pPr>
            <w:r w:rsidRPr="00606F29">
              <w:rPr>
                <w:sz w:val="20"/>
              </w:rPr>
              <w:t xml:space="preserve">Appeal allowed; </w:t>
            </w:r>
            <w:proofErr w:type="spellStart"/>
            <w:r w:rsidRPr="00606F29">
              <w:rPr>
                <w:sz w:val="20"/>
              </w:rPr>
              <w:t>prothonotary’s</w:t>
            </w:r>
            <w:proofErr w:type="spellEnd"/>
            <w:r w:rsidRPr="00606F29">
              <w:rPr>
                <w:sz w:val="20"/>
              </w:rPr>
              <w:t xml:space="preserve"> provisional and final orders of garnishment set aside as nullities</w:t>
            </w:r>
          </w:p>
          <w:p w:rsidR="00292C54" w:rsidRPr="00606F29" w:rsidRDefault="00292C54" w:rsidP="006358B9">
            <w:pPr>
              <w:jc w:val="both"/>
              <w:rPr>
                <w:sz w:val="20"/>
              </w:rPr>
            </w:pPr>
          </w:p>
        </w:tc>
      </w:tr>
      <w:tr w:rsidR="00292C54" w:rsidRPr="00606F29" w:rsidTr="006358B9">
        <w:tc>
          <w:tcPr>
            <w:tcW w:w="2427" w:type="pct"/>
            <w:gridSpan w:val="2"/>
          </w:tcPr>
          <w:p w:rsidR="00292C54" w:rsidRPr="00606F29" w:rsidRDefault="00292C54" w:rsidP="006358B9">
            <w:pPr>
              <w:jc w:val="both"/>
              <w:rPr>
                <w:sz w:val="20"/>
              </w:rPr>
            </w:pPr>
            <w:r w:rsidRPr="00606F29">
              <w:rPr>
                <w:sz w:val="20"/>
              </w:rPr>
              <w:t>September 15, 2017</w:t>
            </w:r>
          </w:p>
          <w:p w:rsidR="00292C54" w:rsidRPr="00606F29" w:rsidRDefault="00292C54" w:rsidP="006358B9">
            <w:pPr>
              <w:jc w:val="both"/>
              <w:rPr>
                <w:sz w:val="20"/>
              </w:rPr>
            </w:pPr>
            <w:r w:rsidRPr="00606F29">
              <w:rPr>
                <w:sz w:val="20"/>
              </w:rPr>
              <w:t>Federal Court of Appeal</w:t>
            </w:r>
          </w:p>
          <w:p w:rsidR="00292C54" w:rsidRPr="00606F29" w:rsidRDefault="00292C54" w:rsidP="006358B9">
            <w:pPr>
              <w:jc w:val="both"/>
              <w:rPr>
                <w:sz w:val="20"/>
              </w:rPr>
            </w:pPr>
            <w:r w:rsidRPr="00606F29">
              <w:rPr>
                <w:sz w:val="20"/>
              </w:rPr>
              <w:t>(Webb, Near and Woods JJ.A.)</w:t>
            </w:r>
          </w:p>
          <w:p w:rsidR="00292C54" w:rsidRPr="00606F29" w:rsidRDefault="009813FB" w:rsidP="006358B9">
            <w:pPr>
              <w:jc w:val="both"/>
              <w:rPr>
                <w:sz w:val="20"/>
              </w:rPr>
            </w:pPr>
            <w:hyperlink r:id="rId22" w:history="1">
              <w:r w:rsidR="00292C54" w:rsidRPr="00606F29">
                <w:rPr>
                  <w:rStyle w:val="Hyperlink"/>
                  <w:sz w:val="20"/>
                </w:rPr>
                <w:t>2017 FC 187</w:t>
              </w:r>
            </w:hyperlink>
            <w:r w:rsidR="00292C54" w:rsidRPr="00606F29">
              <w:rPr>
                <w:sz w:val="20"/>
              </w:rPr>
              <w:t>; A-118-16</w:t>
            </w:r>
          </w:p>
          <w:p w:rsidR="00292C54" w:rsidRPr="00606F29" w:rsidRDefault="00292C54" w:rsidP="006358B9">
            <w:pPr>
              <w:jc w:val="both"/>
              <w:rPr>
                <w:sz w:val="20"/>
              </w:rPr>
            </w:pPr>
          </w:p>
        </w:tc>
        <w:tc>
          <w:tcPr>
            <w:tcW w:w="243" w:type="pct"/>
          </w:tcPr>
          <w:p w:rsidR="00292C54" w:rsidRPr="00606F29" w:rsidRDefault="00292C54" w:rsidP="006358B9">
            <w:pPr>
              <w:jc w:val="both"/>
              <w:rPr>
                <w:sz w:val="20"/>
              </w:rPr>
            </w:pPr>
          </w:p>
        </w:tc>
        <w:tc>
          <w:tcPr>
            <w:tcW w:w="2330" w:type="pct"/>
          </w:tcPr>
          <w:p w:rsidR="00292C54" w:rsidRPr="00606F29" w:rsidRDefault="00292C54" w:rsidP="006358B9">
            <w:pPr>
              <w:jc w:val="both"/>
              <w:rPr>
                <w:sz w:val="20"/>
              </w:rPr>
            </w:pPr>
            <w:r w:rsidRPr="00606F29">
              <w:rPr>
                <w:sz w:val="20"/>
              </w:rPr>
              <w:t>Appeal dismissed</w:t>
            </w:r>
          </w:p>
          <w:p w:rsidR="00292C54" w:rsidRPr="00606F29" w:rsidRDefault="00292C54" w:rsidP="006358B9">
            <w:pPr>
              <w:jc w:val="both"/>
              <w:rPr>
                <w:sz w:val="20"/>
              </w:rPr>
            </w:pPr>
          </w:p>
        </w:tc>
      </w:tr>
      <w:tr w:rsidR="00292C54" w:rsidRPr="00606F29" w:rsidTr="006358B9">
        <w:tc>
          <w:tcPr>
            <w:tcW w:w="2427" w:type="pct"/>
            <w:gridSpan w:val="2"/>
          </w:tcPr>
          <w:p w:rsidR="00292C54" w:rsidRPr="00606F29" w:rsidRDefault="00292C54" w:rsidP="006358B9">
            <w:pPr>
              <w:jc w:val="both"/>
              <w:rPr>
                <w:sz w:val="20"/>
              </w:rPr>
            </w:pPr>
            <w:r w:rsidRPr="00606F29">
              <w:rPr>
                <w:sz w:val="20"/>
              </w:rPr>
              <w:t>November 15, 2017</w:t>
            </w:r>
          </w:p>
          <w:p w:rsidR="00292C54" w:rsidRPr="00606F29" w:rsidRDefault="00292C54" w:rsidP="006358B9">
            <w:pPr>
              <w:jc w:val="both"/>
              <w:rPr>
                <w:sz w:val="20"/>
              </w:rPr>
            </w:pPr>
            <w:r w:rsidRPr="00606F29">
              <w:rPr>
                <w:sz w:val="20"/>
              </w:rPr>
              <w:t>Supreme Court of Canada</w:t>
            </w:r>
          </w:p>
        </w:tc>
        <w:tc>
          <w:tcPr>
            <w:tcW w:w="243" w:type="pct"/>
          </w:tcPr>
          <w:p w:rsidR="00292C54" w:rsidRPr="00606F29" w:rsidRDefault="00292C54" w:rsidP="006358B9">
            <w:pPr>
              <w:jc w:val="both"/>
              <w:rPr>
                <w:sz w:val="20"/>
              </w:rPr>
            </w:pPr>
          </w:p>
        </w:tc>
        <w:tc>
          <w:tcPr>
            <w:tcW w:w="2330" w:type="pct"/>
          </w:tcPr>
          <w:p w:rsidR="00292C54" w:rsidRPr="00606F29" w:rsidRDefault="00292C54" w:rsidP="006358B9">
            <w:pPr>
              <w:jc w:val="both"/>
              <w:rPr>
                <w:sz w:val="20"/>
              </w:rPr>
            </w:pPr>
            <w:r w:rsidRPr="00606F29">
              <w:rPr>
                <w:sz w:val="20"/>
              </w:rPr>
              <w:t>Application for leave to appeal filed</w:t>
            </w:r>
          </w:p>
        </w:tc>
      </w:tr>
    </w:tbl>
    <w:p w:rsidR="00292C54" w:rsidRPr="00606F29" w:rsidRDefault="00292C54" w:rsidP="00292C54">
      <w:pPr>
        <w:jc w:val="both"/>
        <w:rPr>
          <w:sz w:val="20"/>
        </w:rPr>
      </w:pPr>
    </w:p>
    <w:p w:rsidR="00292C54" w:rsidRPr="00606F29" w:rsidRDefault="00292C54">
      <w:pPr>
        <w:rPr>
          <w:sz w:val="20"/>
        </w:rPr>
      </w:pPr>
      <w:r w:rsidRPr="00606F2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292C54" w:rsidRPr="009813FB" w:rsidTr="006358B9">
        <w:tc>
          <w:tcPr>
            <w:tcW w:w="542" w:type="pct"/>
          </w:tcPr>
          <w:p w:rsidR="00292C54" w:rsidRPr="00606F29" w:rsidRDefault="00292C54" w:rsidP="006358B9">
            <w:pPr>
              <w:jc w:val="both"/>
              <w:rPr>
                <w:sz w:val="20"/>
                <w:lang w:val="fr-CA"/>
              </w:rPr>
            </w:pPr>
            <w:r w:rsidRPr="00606F29">
              <w:rPr>
                <w:rStyle w:val="SCCFileNumberChar"/>
                <w:sz w:val="20"/>
                <w:szCs w:val="20"/>
                <w:lang w:val="fr-CA"/>
              </w:rPr>
              <w:lastRenderedPageBreak/>
              <w:t>37848</w:t>
            </w:r>
          </w:p>
        </w:tc>
        <w:tc>
          <w:tcPr>
            <w:tcW w:w="4458" w:type="pct"/>
            <w:gridSpan w:val="3"/>
          </w:tcPr>
          <w:p w:rsidR="00292C54" w:rsidRPr="00606F29" w:rsidRDefault="00292C54" w:rsidP="006358B9">
            <w:pPr>
              <w:pStyle w:val="SCCLsocParty"/>
              <w:jc w:val="both"/>
              <w:rPr>
                <w:b/>
                <w:sz w:val="20"/>
                <w:szCs w:val="20"/>
                <w:lang w:val="en-US"/>
              </w:rPr>
            </w:pPr>
            <w:proofErr w:type="spellStart"/>
            <w:r w:rsidRPr="00606F29">
              <w:rPr>
                <w:b/>
                <w:sz w:val="20"/>
                <w:szCs w:val="20"/>
                <w:lang w:val="en-US"/>
              </w:rPr>
              <w:t>Delizia</w:t>
            </w:r>
            <w:proofErr w:type="spellEnd"/>
            <w:r w:rsidRPr="00606F29">
              <w:rPr>
                <w:b/>
                <w:sz w:val="20"/>
                <w:szCs w:val="20"/>
                <w:lang w:val="en-US"/>
              </w:rPr>
              <w:t xml:space="preserve"> Limited c. </w:t>
            </w:r>
            <w:proofErr w:type="spellStart"/>
            <w:r w:rsidRPr="00606F29">
              <w:rPr>
                <w:b/>
                <w:sz w:val="20"/>
                <w:szCs w:val="20"/>
                <w:lang w:val="en-US"/>
              </w:rPr>
              <w:t>Nevsum</w:t>
            </w:r>
            <w:proofErr w:type="spellEnd"/>
            <w:r w:rsidRPr="00606F29">
              <w:rPr>
                <w:b/>
                <w:sz w:val="20"/>
                <w:szCs w:val="20"/>
                <w:lang w:val="en-US"/>
              </w:rPr>
              <w:t xml:space="preserve"> Resources Ltd.</w:t>
            </w:r>
          </w:p>
          <w:p w:rsidR="00292C54" w:rsidRPr="00606F29" w:rsidRDefault="00292C54" w:rsidP="006358B9">
            <w:pPr>
              <w:jc w:val="both"/>
              <w:rPr>
                <w:sz w:val="20"/>
                <w:lang w:val="fr-CA"/>
              </w:rPr>
            </w:pPr>
            <w:r w:rsidRPr="00606F29">
              <w:rPr>
                <w:sz w:val="20"/>
                <w:lang w:val="fr-CA"/>
              </w:rPr>
              <w:t>(C.F.) (Civile) (Sur autorisation)</w:t>
            </w:r>
          </w:p>
        </w:tc>
      </w:tr>
      <w:tr w:rsidR="00292C54" w:rsidRPr="009813FB" w:rsidTr="006358B9">
        <w:tc>
          <w:tcPr>
            <w:tcW w:w="542" w:type="pct"/>
          </w:tcPr>
          <w:p w:rsidR="00292C54" w:rsidRPr="00606F29" w:rsidRDefault="0004137A" w:rsidP="006358B9">
            <w:pPr>
              <w:jc w:val="both"/>
              <w:rPr>
                <w:rStyle w:val="SCCFileNumberChar"/>
                <w:sz w:val="20"/>
                <w:szCs w:val="20"/>
                <w:lang w:val="fr-CA"/>
              </w:rPr>
            </w:pPr>
            <w:r w:rsidRPr="00606F29">
              <w:rPr>
                <w:rStyle w:val="SCCFileNumberChar"/>
                <w:sz w:val="20"/>
                <w:szCs w:val="20"/>
                <w:lang w:val="fr-CA"/>
              </w:rPr>
              <w:t>Coram :</w:t>
            </w:r>
          </w:p>
        </w:tc>
        <w:tc>
          <w:tcPr>
            <w:tcW w:w="4458" w:type="pct"/>
            <w:gridSpan w:val="3"/>
          </w:tcPr>
          <w:p w:rsidR="00292C54" w:rsidRPr="00606F29" w:rsidRDefault="0004137A" w:rsidP="006358B9">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xml:space="preserve">, </w:t>
            </w:r>
            <w:proofErr w:type="spellStart"/>
            <w:r w:rsidRPr="00606F29">
              <w:rPr>
                <w:sz w:val="20"/>
                <w:lang w:val="fr-FR"/>
              </w:rPr>
              <w:t>Karakatsanis</w:t>
            </w:r>
            <w:proofErr w:type="spellEnd"/>
            <w:r w:rsidRPr="00606F29">
              <w:rPr>
                <w:sz w:val="20"/>
                <w:lang w:val="fr-FR"/>
              </w:rPr>
              <w:t>, Gascon, Côté, Brown, Rowe et Martin</w:t>
            </w:r>
          </w:p>
        </w:tc>
      </w:tr>
      <w:tr w:rsidR="0004137A" w:rsidRPr="009813FB" w:rsidTr="0004137A">
        <w:tc>
          <w:tcPr>
            <w:tcW w:w="5000" w:type="pct"/>
            <w:gridSpan w:val="4"/>
          </w:tcPr>
          <w:p w:rsidR="0004137A" w:rsidRPr="00606F29" w:rsidRDefault="0004137A" w:rsidP="006358B9">
            <w:pPr>
              <w:pStyle w:val="SCCLsocParty"/>
              <w:jc w:val="both"/>
              <w:rPr>
                <w:b/>
                <w:sz w:val="20"/>
                <w:szCs w:val="20"/>
              </w:rPr>
            </w:pPr>
            <w:r w:rsidRPr="00606F29">
              <w:rPr>
                <w:sz w:val="20"/>
              </w:rPr>
              <w:t xml:space="preserve">La demande d’autorisation d’appel de l’arrêt de la </w:t>
            </w:r>
            <w:r w:rsidRPr="00606F29">
              <w:rPr>
                <w:sz w:val="20"/>
                <w:lang w:val="fr-FR"/>
              </w:rPr>
              <w:t>Cour d’appel fédérale</w:t>
            </w:r>
            <w:r w:rsidRPr="00606F29">
              <w:rPr>
                <w:sz w:val="20"/>
              </w:rPr>
              <w:t xml:space="preserve">, numéro </w:t>
            </w:r>
            <w:r w:rsidRPr="00606F29">
              <w:rPr>
                <w:sz w:val="20"/>
                <w:lang w:val="fr-FR"/>
              </w:rPr>
              <w:t>A-118-16, 2017 FCA 187</w:t>
            </w:r>
            <w:r w:rsidRPr="00606F29">
              <w:rPr>
                <w:sz w:val="20"/>
              </w:rPr>
              <w:t xml:space="preserve">, daté du </w:t>
            </w:r>
            <w:r w:rsidRPr="00606F29">
              <w:rPr>
                <w:sz w:val="20"/>
                <w:lang w:val="fr-FR"/>
              </w:rPr>
              <w:t>15 septembre 2017</w:t>
            </w:r>
            <w:r w:rsidRPr="00606F29">
              <w:rPr>
                <w:sz w:val="20"/>
              </w:rPr>
              <w:t>, est rejetée avec dépens.</w:t>
            </w:r>
          </w:p>
        </w:tc>
      </w:tr>
      <w:tr w:rsidR="00292C54" w:rsidRPr="009813FB" w:rsidTr="006358B9">
        <w:tc>
          <w:tcPr>
            <w:tcW w:w="5000" w:type="pct"/>
            <w:gridSpan w:val="4"/>
          </w:tcPr>
          <w:p w:rsidR="00292C54" w:rsidRPr="00606F29" w:rsidRDefault="00292C54" w:rsidP="006358B9">
            <w:pPr>
              <w:jc w:val="both"/>
              <w:rPr>
                <w:sz w:val="20"/>
                <w:lang w:val="fr-CA"/>
              </w:rPr>
            </w:pPr>
            <w:r w:rsidRPr="00606F29">
              <w:rPr>
                <w:sz w:val="20"/>
                <w:lang w:val="fr-CA"/>
              </w:rPr>
              <w:t xml:space="preserve">Droit international privé – Arbitrage – Jugements étrangers – Exécution – Saisie-arrêt – Droit commercial – Sociétés par actions – Quel est le critère juridique pour lever le voile social d’un groupe de personnes morales formant une seule unité de manière à attribuer à la société mère les obligations relatives à la saisie-arrêt d’une entité étrangère contrôlée ou même d’une filiale dotée de la personnalité morale? – Quel fondement de </w:t>
            </w:r>
            <w:proofErr w:type="spellStart"/>
            <w:r w:rsidRPr="00606F29">
              <w:rPr>
                <w:sz w:val="20"/>
                <w:lang w:val="fr-CA"/>
              </w:rPr>
              <w:t>common</w:t>
            </w:r>
            <w:proofErr w:type="spellEnd"/>
            <w:r w:rsidRPr="00606F29">
              <w:rPr>
                <w:sz w:val="20"/>
                <w:lang w:val="fr-CA"/>
              </w:rPr>
              <w:t xml:space="preserve"> </w:t>
            </w:r>
            <w:proofErr w:type="spellStart"/>
            <w:r w:rsidRPr="00606F29">
              <w:rPr>
                <w:sz w:val="20"/>
                <w:lang w:val="fr-CA"/>
              </w:rPr>
              <w:t>law</w:t>
            </w:r>
            <w:proofErr w:type="spellEnd"/>
            <w:r w:rsidRPr="00606F29">
              <w:rPr>
                <w:sz w:val="20"/>
                <w:lang w:val="fr-CA"/>
              </w:rPr>
              <w:t xml:space="preserve"> permet de percer le voile social entre </w:t>
            </w:r>
            <w:proofErr w:type="spellStart"/>
            <w:r w:rsidRPr="00606F29">
              <w:rPr>
                <w:sz w:val="20"/>
                <w:lang w:val="fr-CA"/>
              </w:rPr>
              <w:t>Nevsun</w:t>
            </w:r>
            <w:proofErr w:type="spellEnd"/>
            <w:r w:rsidRPr="00606F29">
              <w:rPr>
                <w:sz w:val="20"/>
                <w:lang w:val="fr-CA"/>
              </w:rPr>
              <w:t xml:space="preserve"> et BMSC de manière à faire en sorte que toutes les créances dont BMSC est redevable à l’Érythrée puissent valablement faire l’objet d’une ordonnance de saisie-arrêt dûment délivrée contre </w:t>
            </w:r>
            <w:proofErr w:type="spellStart"/>
            <w:r w:rsidRPr="00606F29">
              <w:rPr>
                <w:sz w:val="20"/>
                <w:lang w:val="fr-CA"/>
              </w:rPr>
              <w:t>Nevsun</w:t>
            </w:r>
            <w:proofErr w:type="spellEnd"/>
            <w:r w:rsidRPr="00606F29">
              <w:rPr>
                <w:sz w:val="20"/>
                <w:lang w:val="fr-CA"/>
              </w:rPr>
              <w:t xml:space="preserve">? – L’ordonnance de reconnaissance est-elle invalide ou nulle du fait qu’elle n’a pas été signifiée à l’État de l’Érythrée conformément à l’article 9 de la </w:t>
            </w:r>
            <w:r w:rsidRPr="00606F29">
              <w:rPr>
                <w:i/>
                <w:sz w:val="20"/>
                <w:lang w:val="fr-CA"/>
              </w:rPr>
              <w:t>Loi sur l’immunité des États</w:t>
            </w:r>
            <w:r w:rsidRPr="00606F29">
              <w:rPr>
                <w:sz w:val="20"/>
                <w:lang w:val="fr-CA"/>
              </w:rPr>
              <w:t>, L.R.C. 1985, ch. S-18 (« </w:t>
            </w:r>
            <w:r w:rsidRPr="00606F29">
              <w:rPr>
                <w:i/>
                <w:sz w:val="20"/>
                <w:lang w:val="fr-CA"/>
              </w:rPr>
              <w:t>LIÉ</w:t>
            </w:r>
            <w:r w:rsidRPr="00606F29">
              <w:rPr>
                <w:sz w:val="20"/>
                <w:lang w:val="fr-CA"/>
              </w:rPr>
              <w:t xml:space="preserve"> ») même si a) l’Érythrée ne jouissait pas de l’immunité parce que la sentence arbitrale étrangère faisant l’objet de l’ordonnance de reconnaissance tombait sous le coup de l’exception d’activité commerciale à la fois dans la LIÉ et dans la Convention de New York et b) il y avait eu renonciation expresse à la signification pour des motifs valables en application de la règle 334 des </w:t>
            </w:r>
            <w:r w:rsidRPr="00606F29">
              <w:rPr>
                <w:i/>
                <w:sz w:val="20"/>
                <w:lang w:val="fr-CA"/>
              </w:rPr>
              <w:t>Règles des Cours fédérales</w:t>
            </w:r>
            <w:r w:rsidRPr="00606F29">
              <w:rPr>
                <w:sz w:val="20"/>
                <w:lang w:val="fr-CA"/>
              </w:rPr>
              <w:t>, DORS/98-106?</w:t>
            </w:r>
          </w:p>
          <w:p w:rsidR="00292C54" w:rsidRPr="00606F29" w:rsidRDefault="00292C54" w:rsidP="006358B9">
            <w:pPr>
              <w:jc w:val="both"/>
              <w:rPr>
                <w:sz w:val="20"/>
                <w:lang w:val="fr-CA"/>
              </w:rPr>
            </w:pPr>
          </w:p>
        </w:tc>
      </w:tr>
      <w:tr w:rsidR="00292C54" w:rsidRPr="00606F29" w:rsidTr="006358B9">
        <w:tc>
          <w:tcPr>
            <w:tcW w:w="5000" w:type="pct"/>
            <w:gridSpan w:val="4"/>
          </w:tcPr>
          <w:p w:rsidR="00292C54" w:rsidRPr="00606F29" w:rsidRDefault="00292C54" w:rsidP="006358B9">
            <w:pPr>
              <w:jc w:val="both"/>
              <w:rPr>
                <w:sz w:val="20"/>
                <w:lang w:val="fr-CA"/>
              </w:rPr>
            </w:pPr>
            <w:r w:rsidRPr="00606F29">
              <w:rPr>
                <w:sz w:val="20"/>
                <w:lang w:val="fr-CA"/>
              </w:rPr>
              <w:t xml:space="preserve">La demanderesse a obtenu une sentence arbitrale relativement à une créance impayée, au titre de la vente d’aéronefs militaires qu’elle avait faite à l’Érythrée. Après avoir présenté avec succès une requête </w:t>
            </w:r>
            <w:r w:rsidRPr="00606F29">
              <w:rPr>
                <w:i/>
                <w:sz w:val="20"/>
                <w:lang w:val="fr-CA"/>
              </w:rPr>
              <w:t>ex parte</w:t>
            </w:r>
            <w:r w:rsidRPr="00606F29">
              <w:rPr>
                <w:sz w:val="20"/>
                <w:lang w:val="fr-CA"/>
              </w:rPr>
              <w:t xml:space="preserve"> pour enregistrer la sentence en Cour fédérale aux fins d’exécution, la demanderesse a présenté une requête </w:t>
            </w:r>
            <w:r w:rsidRPr="00606F29">
              <w:rPr>
                <w:i/>
                <w:sz w:val="20"/>
                <w:lang w:val="fr-CA"/>
              </w:rPr>
              <w:t>ex parte</w:t>
            </w:r>
            <w:r w:rsidRPr="00606F29">
              <w:rPr>
                <w:sz w:val="20"/>
                <w:lang w:val="fr-CA"/>
              </w:rPr>
              <w:t xml:space="preserve"> contre l’intimée en vue d’obtenir une ordonnance provisoire de saisie-arrêt. La demanderesse s’est subséquemment vu accorder une ordonnance définitive de saisie-arrêt portant sur toutes les créances échues ou à échoir dont l’intimée est redevable à l’Érythrée, y compris celles dont elle est redevable à </w:t>
            </w:r>
            <w:proofErr w:type="spellStart"/>
            <w:r w:rsidRPr="00606F29">
              <w:rPr>
                <w:sz w:val="20"/>
                <w:lang w:val="fr-CA"/>
              </w:rPr>
              <w:t>ENAMCo</w:t>
            </w:r>
            <w:proofErr w:type="spellEnd"/>
            <w:r w:rsidRPr="00606F29">
              <w:rPr>
                <w:sz w:val="20"/>
                <w:lang w:val="fr-CA"/>
              </w:rPr>
              <w:t xml:space="preserve">, une entreprise d’État de l’Érythrée. Par la voie d’une coentreprise, </w:t>
            </w:r>
            <w:proofErr w:type="spellStart"/>
            <w:r w:rsidRPr="00606F29">
              <w:rPr>
                <w:sz w:val="20"/>
                <w:lang w:val="fr-CA"/>
              </w:rPr>
              <w:t>ENAMCo</w:t>
            </w:r>
            <w:proofErr w:type="spellEnd"/>
            <w:r w:rsidRPr="00606F29">
              <w:rPr>
                <w:sz w:val="20"/>
                <w:lang w:val="fr-CA"/>
              </w:rPr>
              <w:t xml:space="preserve"> et une filiale indirecte de troisième niveau de l’intimée sont respectivement propriétaires de 40 % et 60 % d’une mine en Érythrée. L’intimée a fait valoir que BMSC, et non </w:t>
            </w:r>
            <w:proofErr w:type="spellStart"/>
            <w:r w:rsidRPr="00606F29">
              <w:rPr>
                <w:sz w:val="20"/>
                <w:lang w:val="fr-CA"/>
              </w:rPr>
              <w:t>Nevsun</w:t>
            </w:r>
            <w:proofErr w:type="spellEnd"/>
            <w:r w:rsidRPr="00606F29">
              <w:rPr>
                <w:sz w:val="20"/>
                <w:lang w:val="fr-CA"/>
              </w:rPr>
              <w:t xml:space="preserve">, était redevable de créances à l’Érythrée. La Cour fédérale a accueilli l’appel, statuant que parce qu’il n’existe aucun fondement lui permettant de percer le voile social, il n’y avait aucune créance dont était redevable l’intimée susceptible de faire l’objet d’une saisie-arrêt. La Cour a également statué que les ordonnances de saisie-arrêt étaient nulles, puisqu’elles n’avaient pas été signifiées à l’Érythrée conformément à la </w:t>
            </w:r>
            <w:r w:rsidRPr="00606F29">
              <w:rPr>
                <w:i/>
                <w:sz w:val="20"/>
                <w:lang w:val="fr-CA"/>
              </w:rPr>
              <w:t>LIÉ</w:t>
            </w:r>
            <w:r w:rsidRPr="00606F29">
              <w:rPr>
                <w:sz w:val="20"/>
                <w:lang w:val="fr-CA"/>
              </w:rPr>
              <w:t>. La Cour d’appel fédérale a rejeté l’appel.</w:t>
            </w:r>
          </w:p>
        </w:tc>
      </w:tr>
      <w:tr w:rsidR="00292C54" w:rsidRPr="00606F29" w:rsidTr="006358B9">
        <w:tc>
          <w:tcPr>
            <w:tcW w:w="5000" w:type="pct"/>
            <w:gridSpan w:val="4"/>
          </w:tcPr>
          <w:p w:rsidR="00292C54" w:rsidRPr="00606F29" w:rsidRDefault="00292C54" w:rsidP="006358B9">
            <w:pPr>
              <w:jc w:val="both"/>
              <w:rPr>
                <w:sz w:val="20"/>
                <w:lang w:val="fr-CA"/>
              </w:rPr>
            </w:pPr>
          </w:p>
        </w:tc>
      </w:tr>
      <w:tr w:rsidR="00292C54" w:rsidRPr="009813FB" w:rsidTr="006358B9">
        <w:tc>
          <w:tcPr>
            <w:tcW w:w="2426" w:type="pct"/>
            <w:gridSpan w:val="2"/>
          </w:tcPr>
          <w:p w:rsidR="00292C54" w:rsidRPr="00606F29" w:rsidRDefault="00292C54" w:rsidP="006358B9">
            <w:pPr>
              <w:jc w:val="both"/>
              <w:rPr>
                <w:sz w:val="20"/>
                <w:lang w:val="fr-CA"/>
              </w:rPr>
            </w:pPr>
            <w:r w:rsidRPr="00606F29">
              <w:rPr>
                <w:sz w:val="20"/>
                <w:lang w:val="fr-CA"/>
              </w:rPr>
              <w:t>8 avril 2016</w:t>
            </w:r>
          </w:p>
          <w:p w:rsidR="00292C54" w:rsidRPr="00606F29" w:rsidRDefault="00292C54" w:rsidP="006358B9">
            <w:pPr>
              <w:jc w:val="both"/>
              <w:rPr>
                <w:sz w:val="20"/>
                <w:lang w:val="fr-CA"/>
              </w:rPr>
            </w:pPr>
            <w:r w:rsidRPr="00606F29">
              <w:rPr>
                <w:sz w:val="20"/>
                <w:lang w:val="fr-CA"/>
              </w:rPr>
              <w:t>Cour fédérale</w:t>
            </w:r>
          </w:p>
          <w:p w:rsidR="00292C54" w:rsidRPr="00606F29" w:rsidRDefault="00292C54" w:rsidP="006358B9">
            <w:pPr>
              <w:jc w:val="both"/>
              <w:rPr>
                <w:sz w:val="20"/>
                <w:lang w:val="fr-CA"/>
              </w:rPr>
            </w:pPr>
            <w:r w:rsidRPr="00606F29">
              <w:rPr>
                <w:sz w:val="20"/>
                <w:lang w:val="fr-CA"/>
              </w:rPr>
              <w:t>(Juge Brown)</w:t>
            </w:r>
          </w:p>
          <w:p w:rsidR="00292C54" w:rsidRPr="00606F29" w:rsidRDefault="009813FB" w:rsidP="006358B9">
            <w:pPr>
              <w:jc w:val="both"/>
              <w:rPr>
                <w:sz w:val="20"/>
                <w:lang w:val="fr-CA"/>
              </w:rPr>
            </w:pPr>
            <w:hyperlink r:id="rId23" w:history="1">
              <w:r w:rsidR="00292C54" w:rsidRPr="00606F29">
                <w:rPr>
                  <w:rStyle w:val="Hyperlink"/>
                  <w:sz w:val="20"/>
                  <w:lang w:val="fr-CA"/>
                </w:rPr>
                <w:t>2016 CF 393</w:t>
              </w:r>
            </w:hyperlink>
            <w:r w:rsidR="00292C54" w:rsidRPr="00606F29">
              <w:rPr>
                <w:sz w:val="20"/>
                <w:lang w:val="fr-CA"/>
              </w:rPr>
              <w:t>; T-1157-13</w:t>
            </w:r>
          </w:p>
          <w:p w:rsidR="00292C54" w:rsidRPr="00606F29" w:rsidRDefault="00292C54" w:rsidP="006358B9">
            <w:pPr>
              <w:jc w:val="both"/>
              <w:rPr>
                <w:sz w:val="20"/>
                <w:lang w:val="fr-CA"/>
              </w:rPr>
            </w:pPr>
          </w:p>
        </w:tc>
        <w:tc>
          <w:tcPr>
            <w:tcW w:w="243" w:type="pct"/>
          </w:tcPr>
          <w:p w:rsidR="00292C54" w:rsidRPr="00606F29" w:rsidRDefault="00292C54" w:rsidP="006358B9">
            <w:pPr>
              <w:jc w:val="both"/>
              <w:rPr>
                <w:sz w:val="20"/>
                <w:lang w:val="fr-CA"/>
              </w:rPr>
            </w:pPr>
          </w:p>
        </w:tc>
        <w:tc>
          <w:tcPr>
            <w:tcW w:w="2331" w:type="pct"/>
          </w:tcPr>
          <w:p w:rsidR="00292C54" w:rsidRPr="00606F29" w:rsidRDefault="00292C54" w:rsidP="006358B9">
            <w:pPr>
              <w:jc w:val="both"/>
              <w:rPr>
                <w:sz w:val="20"/>
                <w:lang w:val="fr-CA"/>
              </w:rPr>
            </w:pPr>
            <w:r w:rsidRPr="00606F29">
              <w:rPr>
                <w:sz w:val="20"/>
                <w:lang w:val="fr-CA"/>
              </w:rPr>
              <w:t>Jugement accueillant l’appel et annulant les ordonnances provisoire et définitive de saisie-arrêt du protonotaire</w:t>
            </w:r>
          </w:p>
          <w:p w:rsidR="00292C54" w:rsidRPr="00606F29" w:rsidRDefault="00292C54" w:rsidP="006358B9">
            <w:pPr>
              <w:jc w:val="both"/>
              <w:rPr>
                <w:sz w:val="20"/>
                <w:lang w:val="fr-CA"/>
              </w:rPr>
            </w:pPr>
          </w:p>
        </w:tc>
      </w:tr>
      <w:tr w:rsidR="00292C54" w:rsidRPr="00606F29" w:rsidTr="006358B9">
        <w:tc>
          <w:tcPr>
            <w:tcW w:w="2426" w:type="pct"/>
            <w:gridSpan w:val="2"/>
          </w:tcPr>
          <w:p w:rsidR="00292C54" w:rsidRPr="00606F29" w:rsidRDefault="00292C54" w:rsidP="006358B9">
            <w:pPr>
              <w:jc w:val="both"/>
              <w:rPr>
                <w:sz w:val="20"/>
                <w:lang w:val="fr-CA"/>
              </w:rPr>
            </w:pPr>
            <w:r w:rsidRPr="00606F29">
              <w:rPr>
                <w:sz w:val="20"/>
                <w:lang w:val="fr-CA"/>
              </w:rPr>
              <w:t>15 septembre 2017</w:t>
            </w:r>
          </w:p>
          <w:p w:rsidR="00292C54" w:rsidRPr="00606F29" w:rsidRDefault="00292C54" w:rsidP="006358B9">
            <w:pPr>
              <w:jc w:val="both"/>
              <w:rPr>
                <w:sz w:val="20"/>
                <w:lang w:val="fr-CA"/>
              </w:rPr>
            </w:pPr>
            <w:r w:rsidRPr="00606F29">
              <w:rPr>
                <w:sz w:val="20"/>
                <w:lang w:val="fr-CA"/>
              </w:rPr>
              <w:t>Cour d’appel fédérale</w:t>
            </w:r>
          </w:p>
          <w:p w:rsidR="00292C54" w:rsidRPr="00606F29" w:rsidRDefault="00292C54" w:rsidP="006358B9">
            <w:pPr>
              <w:jc w:val="both"/>
              <w:rPr>
                <w:sz w:val="20"/>
                <w:lang w:val="fr-CA"/>
              </w:rPr>
            </w:pPr>
            <w:r w:rsidRPr="00606F29">
              <w:rPr>
                <w:sz w:val="20"/>
                <w:lang w:val="fr-CA"/>
              </w:rPr>
              <w:t>(Juges Webb, Near et Woods)</w:t>
            </w:r>
          </w:p>
          <w:p w:rsidR="00292C54" w:rsidRPr="00606F29" w:rsidRDefault="009813FB" w:rsidP="006358B9">
            <w:pPr>
              <w:jc w:val="both"/>
              <w:rPr>
                <w:sz w:val="20"/>
                <w:lang w:val="fr-CA"/>
              </w:rPr>
            </w:pPr>
            <w:hyperlink r:id="rId24" w:history="1">
              <w:r w:rsidR="00292C54" w:rsidRPr="00606F29">
                <w:rPr>
                  <w:rStyle w:val="Hyperlink"/>
                  <w:sz w:val="20"/>
                  <w:lang w:val="fr-CA"/>
                </w:rPr>
                <w:t>2017 FCA 187</w:t>
              </w:r>
            </w:hyperlink>
            <w:r w:rsidR="00292C54" w:rsidRPr="00606F29">
              <w:rPr>
                <w:sz w:val="20"/>
                <w:lang w:val="fr-CA"/>
              </w:rPr>
              <w:t>; A-119-16</w:t>
            </w:r>
          </w:p>
          <w:p w:rsidR="00292C54" w:rsidRPr="00606F29" w:rsidRDefault="00292C54" w:rsidP="006358B9">
            <w:pPr>
              <w:jc w:val="both"/>
              <w:rPr>
                <w:sz w:val="20"/>
                <w:lang w:val="fr-CA"/>
              </w:rPr>
            </w:pPr>
          </w:p>
        </w:tc>
        <w:tc>
          <w:tcPr>
            <w:tcW w:w="243" w:type="pct"/>
          </w:tcPr>
          <w:p w:rsidR="00292C54" w:rsidRPr="00606F29" w:rsidRDefault="00292C54" w:rsidP="006358B9">
            <w:pPr>
              <w:jc w:val="both"/>
              <w:rPr>
                <w:sz w:val="20"/>
                <w:lang w:val="fr-CA"/>
              </w:rPr>
            </w:pPr>
          </w:p>
        </w:tc>
        <w:tc>
          <w:tcPr>
            <w:tcW w:w="2331" w:type="pct"/>
          </w:tcPr>
          <w:p w:rsidR="00292C54" w:rsidRPr="00606F29" w:rsidRDefault="00292C54" w:rsidP="006358B9">
            <w:pPr>
              <w:jc w:val="both"/>
              <w:rPr>
                <w:sz w:val="20"/>
                <w:lang w:val="fr-CA"/>
              </w:rPr>
            </w:pPr>
            <w:r w:rsidRPr="00606F29">
              <w:rPr>
                <w:sz w:val="20"/>
                <w:lang w:val="fr-CA"/>
              </w:rPr>
              <w:t>Rejet de l’appel</w:t>
            </w:r>
          </w:p>
          <w:p w:rsidR="00292C54" w:rsidRPr="00606F29" w:rsidRDefault="00292C54" w:rsidP="006358B9">
            <w:pPr>
              <w:jc w:val="both"/>
              <w:rPr>
                <w:sz w:val="20"/>
                <w:lang w:val="fr-CA"/>
              </w:rPr>
            </w:pPr>
          </w:p>
        </w:tc>
      </w:tr>
      <w:tr w:rsidR="00292C54" w:rsidRPr="009813FB" w:rsidTr="006358B9">
        <w:tc>
          <w:tcPr>
            <w:tcW w:w="2426" w:type="pct"/>
            <w:gridSpan w:val="2"/>
          </w:tcPr>
          <w:p w:rsidR="00292C54" w:rsidRPr="00606F29" w:rsidRDefault="00292C54" w:rsidP="006358B9">
            <w:pPr>
              <w:jc w:val="both"/>
              <w:rPr>
                <w:sz w:val="20"/>
                <w:lang w:val="fr-CA"/>
              </w:rPr>
            </w:pPr>
            <w:r w:rsidRPr="00606F29">
              <w:rPr>
                <w:sz w:val="20"/>
                <w:lang w:val="fr-CA"/>
              </w:rPr>
              <w:t>15 novembre 2017</w:t>
            </w:r>
          </w:p>
          <w:p w:rsidR="00292C54" w:rsidRPr="00606F29" w:rsidRDefault="00292C54" w:rsidP="006358B9">
            <w:pPr>
              <w:jc w:val="both"/>
              <w:rPr>
                <w:sz w:val="20"/>
                <w:lang w:val="fr-CA"/>
              </w:rPr>
            </w:pPr>
            <w:r w:rsidRPr="00606F29">
              <w:rPr>
                <w:sz w:val="20"/>
                <w:lang w:val="fr-CA"/>
              </w:rPr>
              <w:t>Cour suprême du Canada</w:t>
            </w:r>
          </w:p>
        </w:tc>
        <w:tc>
          <w:tcPr>
            <w:tcW w:w="243" w:type="pct"/>
          </w:tcPr>
          <w:p w:rsidR="00292C54" w:rsidRPr="00606F29" w:rsidRDefault="00292C54" w:rsidP="006358B9">
            <w:pPr>
              <w:jc w:val="both"/>
              <w:rPr>
                <w:sz w:val="20"/>
                <w:lang w:val="fr-CA"/>
              </w:rPr>
            </w:pPr>
          </w:p>
        </w:tc>
        <w:tc>
          <w:tcPr>
            <w:tcW w:w="2331" w:type="pct"/>
          </w:tcPr>
          <w:p w:rsidR="00292C54" w:rsidRPr="00606F29" w:rsidRDefault="00292C54" w:rsidP="006358B9">
            <w:pPr>
              <w:jc w:val="both"/>
              <w:rPr>
                <w:sz w:val="20"/>
                <w:lang w:val="fr-CA"/>
              </w:rPr>
            </w:pPr>
            <w:r w:rsidRPr="00606F29">
              <w:rPr>
                <w:sz w:val="20"/>
                <w:lang w:val="fr-CA"/>
              </w:rPr>
              <w:t>Dépôt de la demande d’autorisation d’appel</w:t>
            </w:r>
          </w:p>
        </w:tc>
      </w:tr>
    </w:tbl>
    <w:p w:rsidR="00292C54" w:rsidRPr="00606F29" w:rsidRDefault="00292C54" w:rsidP="00292C54">
      <w:pPr>
        <w:jc w:val="both"/>
        <w:rPr>
          <w:sz w:val="20"/>
          <w:lang w:val="fr-CA"/>
        </w:rPr>
      </w:pPr>
    </w:p>
    <w:p w:rsidR="00E2298F" w:rsidRPr="00606F29" w:rsidRDefault="00E2298F">
      <w:pPr>
        <w:rPr>
          <w:sz w:val="20"/>
          <w:lang w:val="fr-CA"/>
        </w:rPr>
      </w:pPr>
      <w:r w:rsidRPr="00606F29">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292C54" w:rsidRPr="00606F29" w:rsidTr="006358B9">
        <w:tc>
          <w:tcPr>
            <w:tcW w:w="542" w:type="pct"/>
          </w:tcPr>
          <w:p w:rsidR="00292C54" w:rsidRPr="00606F29" w:rsidRDefault="00292C54" w:rsidP="006358B9">
            <w:pPr>
              <w:jc w:val="both"/>
              <w:rPr>
                <w:sz w:val="20"/>
              </w:rPr>
            </w:pPr>
            <w:r w:rsidRPr="00606F29">
              <w:rPr>
                <w:rStyle w:val="SCCFileNumberChar"/>
                <w:sz w:val="20"/>
                <w:szCs w:val="20"/>
              </w:rPr>
              <w:lastRenderedPageBreak/>
              <w:t>37849</w:t>
            </w:r>
          </w:p>
        </w:tc>
        <w:tc>
          <w:tcPr>
            <w:tcW w:w="4458" w:type="pct"/>
            <w:gridSpan w:val="3"/>
          </w:tcPr>
          <w:p w:rsidR="00292C54" w:rsidRPr="00606F29" w:rsidRDefault="00292C54" w:rsidP="006358B9">
            <w:pPr>
              <w:pStyle w:val="SCCLsocParty"/>
              <w:jc w:val="both"/>
              <w:rPr>
                <w:b/>
                <w:sz w:val="20"/>
                <w:szCs w:val="20"/>
                <w:lang w:val="en-US"/>
              </w:rPr>
            </w:pPr>
            <w:proofErr w:type="spellStart"/>
            <w:r w:rsidRPr="00606F29">
              <w:rPr>
                <w:b/>
                <w:sz w:val="20"/>
                <w:szCs w:val="20"/>
                <w:lang w:val="en-US"/>
              </w:rPr>
              <w:t>Delizia</w:t>
            </w:r>
            <w:proofErr w:type="spellEnd"/>
            <w:r w:rsidRPr="00606F29">
              <w:rPr>
                <w:b/>
                <w:sz w:val="20"/>
                <w:szCs w:val="20"/>
                <w:lang w:val="en-US"/>
              </w:rPr>
              <w:t xml:space="preserve"> Limited v. </w:t>
            </w:r>
            <w:proofErr w:type="spellStart"/>
            <w:r w:rsidRPr="00606F29">
              <w:rPr>
                <w:b/>
                <w:sz w:val="20"/>
                <w:szCs w:val="20"/>
                <w:lang w:val="en-US"/>
              </w:rPr>
              <w:t>Sunridge</w:t>
            </w:r>
            <w:proofErr w:type="spellEnd"/>
            <w:r w:rsidRPr="00606F29">
              <w:rPr>
                <w:b/>
                <w:sz w:val="20"/>
                <w:szCs w:val="20"/>
                <w:lang w:val="en-US"/>
              </w:rPr>
              <w:t xml:space="preserve"> Gold Corp.</w:t>
            </w:r>
          </w:p>
          <w:p w:rsidR="00292C54" w:rsidRPr="00606F29" w:rsidRDefault="00292C54" w:rsidP="006358B9">
            <w:pPr>
              <w:jc w:val="both"/>
              <w:rPr>
                <w:sz w:val="20"/>
              </w:rPr>
            </w:pPr>
            <w:r w:rsidRPr="00606F29">
              <w:rPr>
                <w:sz w:val="20"/>
              </w:rPr>
              <w:t>(F.C.) (Civil) (By Leave)</w:t>
            </w:r>
          </w:p>
        </w:tc>
      </w:tr>
      <w:tr w:rsidR="00E2298F" w:rsidRPr="00606F29" w:rsidTr="006358B9">
        <w:tc>
          <w:tcPr>
            <w:tcW w:w="542" w:type="pct"/>
          </w:tcPr>
          <w:p w:rsidR="00E2298F" w:rsidRPr="00606F29" w:rsidRDefault="00E2298F" w:rsidP="006358B9">
            <w:pPr>
              <w:jc w:val="both"/>
              <w:rPr>
                <w:rStyle w:val="SCCFileNumberChar"/>
                <w:sz w:val="20"/>
                <w:szCs w:val="20"/>
              </w:rPr>
            </w:pPr>
            <w:r w:rsidRPr="00606F29">
              <w:rPr>
                <w:rStyle w:val="SCCFileNumberChar"/>
                <w:sz w:val="20"/>
                <w:szCs w:val="20"/>
              </w:rPr>
              <w:t>Coram:</w:t>
            </w:r>
          </w:p>
        </w:tc>
        <w:tc>
          <w:tcPr>
            <w:tcW w:w="4458" w:type="pct"/>
            <w:gridSpan w:val="3"/>
          </w:tcPr>
          <w:p w:rsidR="00E2298F" w:rsidRPr="00606F29" w:rsidRDefault="00E2298F" w:rsidP="006358B9">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Karakatsanis</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E2298F" w:rsidRPr="00606F29" w:rsidTr="00E2298F">
        <w:tc>
          <w:tcPr>
            <w:tcW w:w="5000" w:type="pct"/>
            <w:gridSpan w:val="4"/>
          </w:tcPr>
          <w:p w:rsidR="00E2298F" w:rsidRPr="00606F29" w:rsidRDefault="00E2298F" w:rsidP="006358B9">
            <w:pPr>
              <w:pStyle w:val="SCCLsocParty"/>
              <w:jc w:val="both"/>
              <w:rPr>
                <w:b/>
                <w:sz w:val="20"/>
                <w:szCs w:val="20"/>
                <w:lang w:val="en-US"/>
              </w:rPr>
            </w:pPr>
            <w:r w:rsidRPr="00606F29">
              <w:rPr>
                <w:sz w:val="20"/>
                <w:lang w:val="en-US"/>
              </w:rPr>
              <w:t>The application for leave to appeal from the judgment of the Federal Court of Appeal, Number A-119-16, 2017 FCA 188, dated September 15, 2017, is dismissed with costs.</w:t>
            </w:r>
          </w:p>
        </w:tc>
      </w:tr>
      <w:tr w:rsidR="00292C54" w:rsidRPr="00606F29" w:rsidTr="006358B9">
        <w:tc>
          <w:tcPr>
            <w:tcW w:w="5000" w:type="pct"/>
            <w:gridSpan w:val="4"/>
          </w:tcPr>
          <w:p w:rsidR="00292C54" w:rsidRPr="00606F29" w:rsidRDefault="00292C54" w:rsidP="006358B9">
            <w:pPr>
              <w:jc w:val="both"/>
              <w:rPr>
                <w:sz w:val="20"/>
              </w:rPr>
            </w:pPr>
            <w:r w:rsidRPr="00606F29">
              <w:rPr>
                <w:sz w:val="20"/>
              </w:rPr>
              <w:t xml:space="preserve">Private International Law – Arbitration – Foreign Judgments– Enforcement – Execution – Garnishment – Commercial law – Corporations – Were the garnishment Orders issued against </w:t>
            </w:r>
            <w:proofErr w:type="spellStart"/>
            <w:r w:rsidRPr="00606F29">
              <w:rPr>
                <w:sz w:val="20"/>
              </w:rPr>
              <w:t>Sunridge</w:t>
            </w:r>
            <w:proofErr w:type="spellEnd"/>
            <w:r w:rsidRPr="00606F29">
              <w:rPr>
                <w:sz w:val="20"/>
              </w:rPr>
              <w:t xml:space="preserve"> to cover a debt owing or accruing to Eritrea within the meaning of Rule 449(1) of the </w:t>
            </w:r>
            <w:r w:rsidRPr="00606F29">
              <w:rPr>
                <w:i/>
                <w:sz w:val="20"/>
              </w:rPr>
              <w:t>Federal Court Rules</w:t>
            </w:r>
            <w:r w:rsidRPr="00606F29">
              <w:rPr>
                <w:sz w:val="20"/>
              </w:rPr>
              <w:t xml:space="preserve">, SOR/98-106 – Did the action of </w:t>
            </w:r>
            <w:proofErr w:type="spellStart"/>
            <w:r w:rsidRPr="00606F29">
              <w:rPr>
                <w:sz w:val="20"/>
              </w:rPr>
              <w:t>Sunridge</w:t>
            </w:r>
            <w:proofErr w:type="spellEnd"/>
            <w:r w:rsidRPr="00606F29">
              <w:rPr>
                <w:sz w:val="20"/>
              </w:rPr>
              <w:t xml:space="preserve"> to divest its ownership of the mine to a subsidiary and then cause that subsidiary to issue 40% of its share capital to Eritrea at a discounted price, based on a pre-existing contractual arrangement, constitute payment of a debt owed by </w:t>
            </w:r>
            <w:proofErr w:type="spellStart"/>
            <w:r w:rsidRPr="00606F29">
              <w:rPr>
                <w:sz w:val="20"/>
              </w:rPr>
              <w:t>Sunridge</w:t>
            </w:r>
            <w:proofErr w:type="spellEnd"/>
            <w:r w:rsidRPr="00606F29">
              <w:rPr>
                <w:sz w:val="20"/>
              </w:rPr>
              <w:t xml:space="preserve"> to Eritrea – Did the FCA’s interpretation that only a sum of money can be a debt defeat the remedial purpose of garnishment as a procedure aimed at securing the enforcement of a judgment – Are there sufficient grounds militating in favour of piercing the corporate veil of </w:t>
            </w:r>
            <w:proofErr w:type="spellStart"/>
            <w:r w:rsidRPr="00606F29">
              <w:rPr>
                <w:sz w:val="20"/>
              </w:rPr>
              <w:t>Sunridge</w:t>
            </w:r>
            <w:proofErr w:type="spellEnd"/>
            <w:r w:rsidRPr="00606F29">
              <w:rPr>
                <w:sz w:val="20"/>
              </w:rPr>
              <w:t xml:space="preserve"> and its subsidiary AMSC, to establish that the debts of AMSC owed and paid to Eritrea ought to be considered debts owing by </w:t>
            </w:r>
            <w:proofErr w:type="spellStart"/>
            <w:r w:rsidRPr="00606F29">
              <w:rPr>
                <w:sz w:val="20"/>
              </w:rPr>
              <w:t>Sunridge</w:t>
            </w:r>
            <w:proofErr w:type="spellEnd"/>
            <w:r w:rsidRPr="00606F29">
              <w:rPr>
                <w:sz w:val="20"/>
              </w:rPr>
              <w:t xml:space="preserve"> and covered by the Garnishment Orders – Is the Recognition Order issued by the Federal Court for the final arbitral award of the Stockholm Chamber of Commerce valid or is it a nullity as a result of the failure to serve Eritrea in conformity with the </w:t>
            </w:r>
            <w:r w:rsidRPr="00606F29">
              <w:rPr>
                <w:i/>
                <w:sz w:val="20"/>
              </w:rPr>
              <w:t>State Immunity Act</w:t>
            </w:r>
            <w:r w:rsidRPr="00606F29">
              <w:rPr>
                <w:sz w:val="20"/>
              </w:rPr>
              <w:t>, R.S.C. 1985, c. S-18 (“</w:t>
            </w:r>
            <w:r w:rsidRPr="00606F29">
              <w:rPr>
                <w:i/>
                <w:sz w:val="20"/>
              </w:rPr>
              <w:t>SIA</w:t>
            </w:r>
            <w:r w:rsidRPr="00606F29">
              <w:rPr>
                <w:sz w:val="20"/>
              </w:rPr>
              <w:t>”).</w:t>
            </w:r>
          </w:p>
          <w:p w:rsidR="00292C54" w:rsidRPr="00606F29" w:rsidRDefault="00292C54" w:rsidP="006358B9">
            <w:pPr>
              <w:jc w:val="both"/>
              <w:rPr>
                <w:sz w:val="20"/>
              </w:rPr>
            </w:pPr>
          </w:p>
        </w:tc>
      </w:tr>
      <w:tr w:rsidR="00292C54" w:rsidRPr="00606F29" w:rsidTr="006358B9">
        <w:tc>
          <w:tcPr>
            <w:tcW w:w="5000" w:type="pct"/>
            <w:gridSpan w:val="4"/>
          </w:tcPr>
          <w:p w:rsidR="00292C54" w:rsidRPr="00606F29" w:rsidRDefault="00292C54" w:rsidP="006358B9">
            <w:pPr>
              <w:jc w:val="both"/>
              <w:rPr>
                <w:sz w:val="20"/>
              </w:rPr>
            </w:pPr>
            <w:r w:rsidRPr="00606F29">
              <w:rPr>
                <w:sz w:val="20"/>
              </w:rPr>
              <w:t xml:space="preserve">The applicant obtained an arbitration award for an outstanding debt from its sale of military aircraft to Eritrea. After successfully moving </w:t>
            </w:r>
            <w:r w:rsidRPr="00606F29">
              <w:rPr>
                <w:i/>
                <w:sz w:val="20"/>
              </w:rPr>
              <w:t>ex parte</w:t>
            </w:r>
            <w:r w:rsidRPr="00606F29">
              <w:rPr>
                <w:sz w:val="20"/>
              </w:rPr>
              <w:t xml:space="preserve"> to register the award in the Federal Court for purposes of enforcement, the applicant brought an </w:t>
            </w:r>
            <w:r w:rsidRPr="00606F29">
              <w:rPr>
                <w:i/>
                <w:sz w:val="20"/>
              </w:rPr>
              <w:t>ex parte</w:t>
            </w:r>
            <w:r w:rsidRPr="00606F29">
              <w:rPr>
                <w:sz w:val="20"/>
              </w:rPr>
              <w:t xml:space="preserve"> motion against the respondent for a provisional order of garnishment (“POG”). The applicant was subsequently granted a final order of garnishment ordering the attachment of all debts owing and accruing by the respondent to Eritrea, including those owed to </w:t>
            </w:r>
            <w:proofErr w:type="spellStart"/>
            <w:r w:rsidRPr="00606F29">
              <w:rPr>
                <w:sz w:val="20"/>
              </w:rPr>
              <w:t>ENAMCo</w:t>
            </w:r>
            <w:proofErr w:type="spellEnd"/>
            <w:r w:rsidRPr="00606F29">
              <w:rPr>
                <w:sz w:val="20"/>
              </w:rPr>
              <w:t xml:space="preserve">, a state-controlled Eritrean company. </w:t>
            </w:r>
            <w:proofErr w:type="spellStart"/>
            <w:r w:rsidRPr="00606F29">
              <w:rPr>
                <w:sz w:val="20"/>
              </w:rPr>
              <w:t>ENAMCo</w:t>
            </w:r>
            <w:proofErr w:type="spellEnd"/>
            <w:r w:rsidRPr="00606F29">
              <w:rPr>
                <w:sz w:val="20"/>
              </w:rPr>
              <w:t xml:space="preserve"> and a second-level indirect subsidiary of the respondent own 40% and 60% respectively of the shares of Asmara Mining Share Company (Eritrea), which owns a mine in Eritrea. The </w:t>
            </w:r>
            <w:proofErr w:type="spellStart"/>
            <w:r w:rsidRPr="00606F29">
              <w:rPr>
                <w:sz w:val="20"/>
              </w:rPr>
              <w:t>prothonotary</w:t>
            </w:r>
            <w:proofErr w:type="spellEnd"/>
            <w:r w:rsidRPr="00606F29">
              <w:rPr>
                <w:sz w:val="20"/>
              </w:rPr>
              <w:t xml:space="preserve"> found the issuance of shares of that entity had effectively been a sale by the respondent to Eritrea, contrary to the POG.  The Federal Court allowed the appeal, holding that since there was no basis upon which to pierce the corporate veil, there were no debts owing by the respondent to which a garnishment order could attach. It also held that the garnishment orders were nullities because Eritrea had not been served in accordance with the </w:t>
            </w:r>
            <w:r w:rsidRPr="00606F29">
              <w:rPr>
                <w:i/>
                <w:sz w:val="20"/>
              </w:rPr>
              <w:t>SIA</w:t>
            </w:r>
            <w:r w:rsidRPr="00606F29">
              <w:rPr>
                <w:sz w:val="20"/>
              </w:rPr>
              <w:t>. The Federal Court of Appeal dismissed the applicant’s appeal.</w:t>
            </w:r>
          </w:p>
        </w:tc>
      </w:tr>
      <w:tr w:rsidR="00292C54" w:rsidRPr="00606F29" w:rsidTr="006358B9">
        <w:tc>
          <w:tcPr>
            <w:tcW w:w="5000" w:type="pct"/>
            <w:gridSpan w:val="4"/>
          </w:tcPr>
          <w:p w:rsidR="00292C54" w:rsidRPr="00606F29" w:rsidRDefault="00292C54" w:rsidP="006358B9">
            <w:pPr>
              <w:jc w:val="both"/>
              <w:rPr>
                <w:sz w:val="20"/>
              </w:rPr>
            </w:pPr>
          </w:p>
        </w:tc>
      </w:tr>
      <w:tr w:rsidR="00292C54" w:rsidRPr="00606F29" w:rsidTr="006358B9">
        <w:tc>
          <w:tcPr>
            <w:tcW w:w="2426" w:type="pct"/>
            <w:gridSpan w:val="2"/>
          </w:tcPr>
          <w:p w:rsidR="00292C54" w:rsidRPr="00606F29" w:rsidRDefault="00292C54" w:rsidP="006358B9">
            <w:pPr>
              <w:jc w:val="both"/>
              <w:rPr>
                <w:sz w:val="20"/>
              </w:rPr>
            </w:pPr>
            <w:r w:rsidRPr="00606F29">
              <w:rPr>
                <w:sz w:val="20"/>
              </w:rPr>
              <w:t>April 8, 2016</w:t>
            </w:r>
          </w:p>
          <w:p w:rsidR="00292C54" w:rsidRPr="00606F29" w:rsidRDefault="00292C54" w:rsidP="006358B9">
            <w:pPr>
              <w:jc w:val="both"/>
              <w:rPr>
                <w:sz w:val="20"/>
              </w:rPr>
            </w:pPr>
            <w:r w:rsidRPr="00606F29">
              <w:rPr>
                <w:sz w:val="20"/>
              </w:rPr>
              <w:t>Federal Court</w:t>
            </w:r>
          </w:p>
          <w:p w:rsidR="00292C54" w:rsidRPr="00606F29" w:rsidRDefault="00292C54" w:rsidP="006358B9">
            <w:pPr>
              <w:jc w:val="both"/>
              <w:rPr>
                <w:sz w:val="20"/>
              </w:rPr>
            </w:pPr>
            <w:r w:rsidRPr="00606F29">
              <w:rPr>
                <w:sz w:val="20"/>
              </w:rPr>
              <w:t>(Brown J.)</w:t>
            </w:r>
          </w:p>
          <w:p w:rsidR="00292C54" w:rsidRPr="00606F29" w:rsidRDefault="009813FB" w:rsidP="006358B9">
            <w:pPr>
              <w:jc w:val="both"/>
              <w:rPr>
                <w:sz w:val="20"/>
              </w:rPr>
            </w:pPr>
            <w:hyperlink r:id="rId25" w:history="1">
              <w:r w:rsidR="00292C54" w:rsidRPr="00606F29">
                <w:rPr>
                  <w:rStyle w:val="Hyperlink"/>
                  <w:sz w:val="20"/>
                </w:rPr>
                <w:t>2016 FC 392</w:t>
              </w:r>
            </w:hyperlink>
            <w:r w:rsidR="00292C54" w:rsidRPr="00606F29">
              <w:rPr>
                <w:sz w:val="20"/>
              </w:rPr>
              <w:t>; T-1157-13</w:t>
            </w:r>
          </w:p>
          <w:p w:rsidR="00292C54" w:rsidRPr="00606F29" w:rsidRDefault="00292C54" w:rsidP="006358B9">
            <w:pPr>
              <w:jc w:val="both"/>
              <w:rPr>
                <w:sz w:val="20"/>
              </w:rPr>
            </w:pPr>
          </w:p>
        </w:tc>
        <w:tc>
          <w:tcPr>
            <w:tcW w:w="243" w:type="pct"/>
          </w:tcPr>
          <w:p w:rsidR="00292C54" w:rsidRPr="00606F29" w:rsidRDefault="00292C54" w:rsidP="006358B9">
            <w:pPr>
              <w:jc w:val="both"/>
              <w:rPr>
                <w:sz w:val="20"/>
              </w:rPr>
            </w:pPr>
          </w:p>
        </w:tc>
        <w:tc>
          <w:tcPr>
            <w:tcW w:w="2331" w:type="pct"/>
          </w:tcPr>
          <w:p w:rsidR="00292C54" w:rsidRPr="00606F29" w:rsidRDefault="00292C54" w:rsidP="006358B9">
            <w:pPr>
              <w:jc w:val="both"/>
              <w:rPr>
                <w:sz w:val="20"/>
              </w:rPr>
            </w:pPr>
            <w:r w:rsidRPr="00606F29">
              <w:rPr>
                <w:sz w:val="20"/>
              </w:rPr>
              <w:t xml:space="preserve">Appeal allowed; </w:t>
            </w:r>
            <w:proofErr w:type="spellStart"/>
            <w:r w:rsidRPr="00606F29">
              <w:rPr>
                <w:sz w:val="20"/>
              </w:rPr>
              <w:t>prothonotary’s</w:t>
            </w:r>
            <w:proofErr w:type="spellEnd"/>
            <w:r w:rsidRPr="00606F29">
              <w:rPr>
                <w:sz w:val="20"/>
              </w:rPr>
              <w:t xml:space="preserve"> provisional and final orders of garnishment set aside</w:t>
            </w:r>
          </w:p>
          <w:p w:rsidR="00292C54" w:rsidRPr="00606F29" w:rsidRDefault="00292C54" w:rsidP="006358B9">
            <w:pPr>
              <w:jc w:val="both"/>
              <w:rPr>
                <w:sz w:val="20"/>
              </w:rPr>
            </w:pPr>
          </w:p>
        </w:tc>
      </w:tr>
      <w:tr w:rsidR="00292C54" w:rsidRPr="00606F29" w:rsidTr="006358B9">
        <w:tc>
          <w:tcPr>
            <w:tcW w:w="2426" w:type="pct"/>
            <w:gridSpan w:val="2"/>
          </w:tcPr>
          <w:p w:rsidR="00292C54" w:rsidRPr="00606F29" w:rsidRDefault="00292C54" w:rsidP="006358B9">
            <w:pPr>
              <w:jc w:val="both"/>
              <w:rPr>
                <w:sz w:val="20"/>
              </w:rPr>
            </w:pPr>
            <w:r w:rsidRPr="00606F29">
              <w:rPr>
                <w:sz w:val="20"/>
              </w:rPr>
              <w:t>September 15, 2017</w:t>
            </w:r>
          </w:p>
          <w:p w:rsidR="00292C54" w:rsidRPr="00606F29" w:rsidRDefault="00292C54" w:rsidP="006358B9">
            <w:pPr>
              <w:jc w:val="both"/>
              <w:rPr>
                <w:sz w:val="20"/>
              </w:rPr>
            </w:pPr>
            <w:r w:rsidRPr="00606F29">
              <w:rPr>
                <w:sz w:val="20"/>
              </w:rPr>
              <w:t>Federal Court of Appeal</w:t>
            </w:r>
          </w:p>
          <w:p w:rsidR="00292C54" w:rsidRPr="00606F29" w:rsidRDefault="00292C54" w:rsidP="006358B9">
            <w:pPr>
              <w:jc w:val="both"/>
              <w:rPr>
                <w:sz w:val="20"/>
              </w:rPr>
            </w:pPr>
            <w:r w:rsidRPr="00606F29">
              <w:rPr>
                <w:sz w:val="20"/>
              </w:rPr>
              <w:t>(Webb, Near and Woods JJ.A.)</w:t>
            </w:r>
          </w:p>
          <w:p w:rsidR="00292C54" w:rsidRPr="00606F29" w:rsidRDefault="009813FB" w:rsidP="006358B9">
            <w:pPr>
              <w:jc w:val="both"/>
              <w:rPr>
                <w:sz w:val="20"/>
              </w:rPr>
            </w:pPr>
            <w:hyperlink r:id="rId26" w:history="1">
              <w:r w:rsidR="00292C54" w:rsidRPr="00606F29">
                <w:rPr>
                  <w:rStyle w:val="Hyperlink"/>
                  <w:sz w:val="20"/>
                </w:rPr>
                <w:t>2017 FCA 188</w:t>
              </w:r>
            </w:hyperlink>
            <w:r w:rsidR="00292C54" w:rsidRPr="00606F29">
              <w:rPr>
                <w:sz w:val="20"/>
              </w:rPr>
              <w:t>; A-119-16</w:t>
            </w:r>
          </w:p>
          <w:p w:rsidR="00292C54" w:rsidRPr="00606F29" w:rsidRDefault="00292C54" w:rsidP="006358B9">
            <w:pPr>
              <w:jc w:val="both"/>
              <w:rPr>
                <w:sz w:val="20"/>
              </w:rPr>
            </w:pPr>
          </w:p>
        </w:tc>
        <w:tc>
          <w:tcPr>
            <w:tcW w:w="243" w:type="pct"/>
          </w:tcPr>
          <w:p w:rsidR="00292C54" w:rsidRPr="00606F29" w:rsidRDefault="00292C54" w:rsidP="006358B9">
            <w:pPr>
              <w:jc w:val="both"/>
              <w:rPr>
                <w:sz w:val="20"/>
              </w:rPr>
            </w:pPr>
          </w:p>
        </w:tc>
        <w:tc>
          <w:tcPr>
            <w:tcW w:w="2331" w:type="pct"/>
          </w:tcPr>
          <w:p w:rsidR="00292C54" w:rsidRPr="00606F29" w:rsidRDefault="00292C54" w:rsidP="006358B9">
            <w:pPr>
              <w:jc w:val="both"/>
              <w:rPr>
                <w:sz w:val="20"/>
              </w:rPr>
            </w:pPr>
            <w:r w:rsidRPr="00606F29">
              <w:rPr>
                <w:sz w:val="20"/>
              </w:rPr>
              <w:t>Appeal dismissed</w:t>
            </w:r>
          </w:p>
          <w:p w:rsidR="00292C54" w:rsidRPr="00606F29" w:rsidRDefault="00292C54" w:rsidP="006358B9">
            <w:pPr>
              <w:jc w:val="both"/>
              <w:rPr>
                <w:sz w:val="20"/>
              </w:rPr>
            </w:pPr>
          </w:p>
        </w:tc>
      </w:tr>
      <w:tr w:rsidR="00292C54" w:rsidRPr="00606F29" w:rsidTr="006358B9">
        <w:tc>
          <w:tcPr>
            <w:tcW w:w="2426" w:type="pct"/>
            <w:gridSpan w:val="2"/>
          </w:tcPr>
          <w:p w:rsidR="00292C54" w:rsidRPr="00606F29" w:rsidRDefault="00292C54" w:rsidP="006358B9">
            <w:pPr>
              <w:jc w:val="both"/>
              <w:rPr>
                <w:sz w:val="20"/>
              </w:rPr>
            </w:pPr>
            <w:r w:rsidRPr="00606F29">
              <w:rPr>
                <w:sz w:val="20"/>
              </w:rPr>
              <w:t>November 15, 2017</w:t>
            </w:r>
          </w:p>
          <w:p w:rsidR="00292C54" w:rsidRPr="00606F29" w:rsidRDefault="00292C54" w:rsidP="006358B9">
            <w:pPr>
              <w:jc w:val="both"/>
              <w:rPr>
                <w:sz w:val="20"/>
              </w:rPr>
            </w:pPr>
            <w:r w:rsidRPr="00606F29">
              <w:rPr>
                <w:sz w:val="20"/>
              </w:rPr>
              <w:t>Supreme Court of Canada</w:t>
            </w:r>
          </w:p>
        </w:tc>
        <w:tc>
          <w:tcPr>
            <w:tcW w:w="243" w:type="pct"/>
          </w:tcPr>
          <w:p w:rsidR="00292C54" w:rsidRPr="00606F29" w:rsidRDefault="00292C54" w:rsidP="006358B9">
            <w:pPr>
              <w:jc w:val="both"/>
              <w:rPr>
                <w:sz w:val="20"/>
              </w:rPr>
            </w:pPr>
          </w:p>
        </w:tc>
        <w:tc>
          <w:tcPr>
            <w:tcW w:w="2331" w:type="pct"/>
          </w:tcPr>
          <w:p w:rsidR="00292C54" w:rsidRPr="00606F29" w:rsidRDefault="00292C54" w:rsidP="006358B9">
            <w:pPr>
              <w:jc w:val="both"/>
              <w:rPr>
                <w:sz w:val="20"/>
              </w:rPr>
            </w:pPr>
            <w:r w:rsidRPr="00606F29">
              <w:rPr>
                <w:sz w:val="20"/>
              </w:rPr>
              <w:t>Application for leave to appeal filed</w:t>
            </w:r>
          </w:p>
        </w:tc>
      </w:tr>
    </w:tbl>
    <w:p w:rsidR="00292C54" w:rsidRPr="00606F29" w:rsidRDefault="00292C54" w:rsidP="00292C54">
      <w:pPr>
        <w:jc w:val="both"/>
        <w:rPr>
          <w:sz w:val="20"/>
        </w:rPr>
      </w:pPr>
    </w:p>
    <w:p w:rsidR="00E2298F" w:rsidRPr="00606F29" w:rsidRDefault="00E2298F">
      <w:pPr>
        <w:rPr>
          <w:sz w:val="20"/>
        </w:rPr>
      </w:pPr>
      <w:r w:rsidRPr="00606F2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90"/>
        <w:gridCol w:w="463"/>
        <w:gridCol w:w="4441"/>
      </w:tblGrid>
      <w:tr w:rsidR="00292C54" w:rsidRPr="009813FB" w:rsidTr="006358B9">
        <w:tc>
          <w:tcPr>
            <w:tcW w:w="542" w:type="pct"/>
          </w:tcPr>
          <w:p w:rsidR="00292C54" w:rsidRPr="00606F29" w:rsidRDefault="00292C54" w:rsidP="006358B9">
            <w:pPr>
              <w:jc w:val="both"/>
              <w:rPr>
                <w:sz w:val="20"/>
                <w:lang w:val="fr-CA"/>
              </w:rPr>
            </w:pPr>
            <w:r w:rsidRPr="00606F29">
              <w:rPr>
                <w:rStyle w:val="SCCFileNumberChar"/>
                <w:sz w:val="20"/>
                <w:szCs w:val="20"/>
                <w:lang w:val="fr-CA"/>
              </w:rPr>
              <w:lastRenderedPageBreak/>
              <w:t>37849</w:t>
            </w:r>
          </w:p>
        </w:tc>
        <w:tc>
          <w:tcPr>
            <w:tcW w:w="4458" w:type="pct"/>
            <w:gridSpan w:val="3"/>
          </w:tcPr>
          <w:p w:rsidR="00292C54" w:rsidRPr="00606F29" w:rsidRDefault="00292C54" w:rsidP="006358B9">
            <w:pPr>
              <w:pStyle w:val="SCCLsocParty"/>
              <w:jc w:val="both"/>
              <w:rPr>
                <w:b/>
                <w:sz w:val="20"/>
                <w:szCs w:val="20"/>
                <w:lang w:val="en-US"/>
              </w:rPr>
            </w:pPr>
            <w:proofErr w:type="spellStart"/>
            <w:r w:rsidRPr="00606F29">
              <w:rPr>
                <w:b/>
                <w:sz w:val="20"/>
                <w:szCs w:val="20"/>
                <w:lang w:val="en-US"/>
              </w:rPr>
              <w:t>Delizia</w:t>
            </w:r>
            <w:proofErr w:type="spellEnd"/>
            <w:r w:rsidRPr="00606F29">
              <w:rPr>
                <w:b/>
                <w:sz w:val="20"/>
                <w:szCs w:val="20"/>
                <w:lang w:val="en-US"/>
              </w:rPr>
              <w:t xml:space="preserve"> Limited c. </w:t>
            </w:r>
            <w:proofErr w:type="spellStart"/>
            <w:r w:rsidRPr="00606F29">
              <w:rPr>
                <w:b/>
                <w:sz w:val="20"/>
                <w:szCs w:val="20"/>
                <w:lang w:val="en-US"/>
              </w:rPr>
              <w:t>Sunridge</w:t>
            </w:r>
            <w:proofErr w:type="spellEnd"/>
            <w:r w:rsidRPr="00606F29">
              <w:rPr>
                <w:b/>
                <w:sz w:val="20"/>
                <w:szCs w:val="20"/>
                <w:lang w:val="en-US"/>
              </w:rPr>
              <w:t xml:space="preserve"> Gold Corp.</w:t>
            </w:r>
          </w:p>
          <w:p w:rsidR="00292C54" w:rsidRPr="00606F29" w:rsidRDefault="00292C54" w:rsidP="006358B9">
            <w:pPr>
              <w:jc w:val="both"/>
              <w:rPr>
                <w:sz w:val="20"/>
                <w:lang w:val="fr-CA"/>
              </w:rPr>
            </w:pPr>
            <w:r w:rsidRPr="00606F29">
              <w:rPr>
                <w:sz w:val="20"/>
                <w:lang w:val="fr-CA"/>
              </w:rPr>
              <w:t>(C.F.) (Civile) (Sur autorisation)</w:t>
            </w:r>
          </w:p>
        </w:tc>
      </w:tr>
      <w:tr w:rsidR="00E2298F" w:rsidRPr="009813FB" w:rsidTr="006358B9">
        <w:tc>
          <w:tcPr>
            <w:tcW w:w="542" w:type="pct"/>
          </w:tcPr>
          <w:p w:rsidR="00E2298F" w:rsidRPr="00606F29" w:rsidRDefault="00E2298F" w:rsidP="006358B9">
            <w:pPr>
              <w:jc w:val="both"/>
              <w:rPr>
                <w:rStyle w:val="SCCFileNumberChar"/>
                <w:sz w:val="20"/>
                <w:szCs w:val="20"/>
                <w:lang w:val="fr-CA"/>
              </w:rPr>
            </w:pPr>
            <w:r w:rsidRPr="00606F29">
              <w:rPr>
                <w:rStyle w:val="SCCFileNumberChar"/>
                <w:sz w:val="20"/>
                <w:szCs w:val="20"/>
                <w:lang w:val="fr-CA"/>
              </w:rPr>
              <w:t>Coram :</w:t>
            </w:r>
          </w:p>
        </w:tc>
        <w:tc>
          <w:tcPr>
            <w:tcW w:w="4458" w:type="pct"/>
            <w:gridSpan w:val="3"/>
          </w:tcPr>
          <w:p w:rsidR="00E2298F" w:rsidRPr="00606F29" w:rsidRDefault="00E2298F" w:rsidP="006358B9">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xml:space="preserve">, </w:t>
            </w:r>
            <w:proofErr w:type="spellStart"/>
            <w:r w:rsidRPr="00606F29">
              <w:rPr>
                <w:sz w:val="20"/>
                <w:lang w:val="fr-FR"/>
              </w:rPr>
              <w:t>Karakatsanis</w:t>
            </w:r>
            <w:proofErr w:type="spellEnd"/>
            <w:r w:rsidRPr="00606F29">
              <w:rPr>
                <w:sz w:val="20"/>
                <w:lang w:val="fr-FR"/>
              </w:rPr>
              <w:t>, Gascon, Côté, Brown, Rowe et Martin</w:t>
            </w:r>
          </w:p>
        </w:tc>
      </w:tr>
      <w:tr w:rsidR="00E2298F" w:rsidRPr="009813FB" w:rsidTr="00E2298F">
        <w:tc>
          <w:tcPr>
            <w:tcW w:w="5000" w:type="pct"/>
            <w:gridSpan w:val="4"/>
          </w:tcPr>
          <w:p w:rsidR="00E2298F" w:rsidRPr="00606F29" w:rsidRDefault="00E2298F" w:rsidP="006358B9">
            <w:pPr>
              <w:pStyle w:val="SCCLsocParty"/>
              <w:jc w:val="both"/>
              <w:rPr>
                <w:b/>
                <w:sz w:val="20"/>
                <w:szCs w:val="20"/>
              </w:rPr>
            </w:pPr>
            <w:r w:rsidRPr="00606F29">
              <w:rPr>
                <w:sz w:val="20"/>
              </w:rPr>
              <w:t xml:space="preserve">La demande d’autorisation d’appel de l’arrêt de la </w:t>
            </w:r>
            <w:r w:rsidRPr="00606F29">
              <w:rPr>
                <w:sz w:val="20"/>
                <w:lang w:val="fr-FR"/>
              </w:rPr>
              <w:t>Cour d’appel fédérale</w:t>
            </w:r>
            <w:r w:rsidRPr="00606F29">
              <w:rPr>
                <w:sz w:val="20"/>
              </w:rPr>
              <w:t xml:space="preserve">, numéro </w:t>
            </w:r>
            <w:r w:rsidRPr="00606F29">
              <w:rPr>
                <w:sz w:val="20"/>
                <w:lang w:val="fr-FR"/>
              </w:rPr>
              <w:t>A-119-16, 2017 FCA 188</w:t>
            </w:r>
            <w:r w:rsidRPr="00606F29">
              <w:rPr>
                <w:sz w:val="20"/>
              </w:rPr>
              <w:t xml:space="preserve">, daté du </w:t>
            </w:r>
            <w:r w:rsidRPr="00606F29">
              <w:rPr>
                <w:sz w:val="20"/>
                <w:lang w:val="fr-FR"/>
              </w:rPr>
              <w:t>15 septembre 2017</w:t>
            </w:r>
            <w:r w:rsidRPr="00606F29">
              <w:rPr>
                <w:sz w:val="20"/>
              </w:rPr>
              <w:t>, est rejetée avec dépens.</w:t>
            </w:r>
          </w:p>
        </w:tc>
      </w:tr>
      <w:tr w:rsidR="00292C54" w:rsidRPr="00606F29" w:rsidTr="006358B9">
        <w:tc>
          <w:tcPr>
            <w:tcW w:w="5000" w:type="pct"/>
            <w:gridSpan w:val="4"/>
          </w:tcPr>
          <w:p w:rsidR="00292C54" w:rsidRPr="00606F29" w:rsidRDefault="00292C54" w:rsidP="006358B9">
            <w:pPr>
              <w:jc w:val="both"/>
              <w:rPr>
                <w:sz w:val="20"/>
                <w:lang w:val="fr-CA"/>
              </w:rPr>
            </w:pPr>
            <w:r w:rsidRPr="00606F29">
              <w:rPr>
                <w:sz w:val="20"/>
                <w:lang w:val="fr-CA"/>
              </w:rPr>
              <w:t xml:space="preserve">Droit international privé – Arbitrage – Jugements étrangers – Exécution – Saisie-arrêt – Droit commercial – Sociétés par actions – Les ordonnances de saisie-arrêt délivrées contre </w:t>
            </w:r>
            <w:proofErr w:type="spellStart"/>
            <w:r w:rsidRPr="00606F29">
              <w:rPr>
                <w:sz w:val="20"/>
                <w:lang w:val="fr-CA"/>
              </w:rPr>
              <w:t>Sunridge</w:t>
            </w:r>
            <w:proofErr w:type="spellEnd"/>
            <w:r w:rsidRPr="00606F29">
              <w:rPr>
                <w:sz w:val="20"/>
                <w:lang w:val="fr-CA"/>
              </w:rPr>
              <w:t xml:space="preserve"> peuvent-elles viser une créance échue ou à échoir dont cette dernière est redevable à l’Érythrée au sens du par. 449(1) des </w:t>
            </w:r>
            <w:r w:rsidRPr="00606F29">
              <w:rPr>
                <w:i/>
                <w:sz w:val="20"/>
                <w:lang w:val="fr-CA"/>
              </w:rPr>
              <w:t>Règles de la Cour fédérale</w:t>
            </w:r>
            <w:r w:rsidRPr="00606F29">
              <w:rPr>
                <w:sz w:val="20"/>
                <w:lang w:val="fr-CA"/>
              </w:rPr>
              <w:t xml:space="preserve">, DORS/98-106? – Les opérations effectuées par </w:t>
            </w:r>
            <w:proofErr w:type="spellStart"/>
            <w:r w:rsidRPr="00606F29">
              <w:rPr>
                <w:sz w:val="20"/>
                <w:lang w:val="fr-CA"/>
              </w:rPr>
              <w:t>Sunridge</w:t>
            </w:r>
            <w:proofErr w:type="spellEnd"/>
            <w:r w:rsidRPr="00606F29">
              <w:rPr>
                <w:sz w:val="20"/>
                <w:lang w:val="fr-CA"/>
              </w:rPr>
              <w:t xml:space="preserve">, qui s’est dessaisie de son droit de propriété de la mine à une filiale pour ensuite faire en sorte que cette filiale émette 40 % de son capital-actions à l’Érythrée à un prix réduit, sur le fondement d’une entente contractuelle préexistante, constituent-elles l’acquittement d’une créance dont </w:t>
            </w:r>
            <w:proofErr w:type="spellStart"/>
            <w:r w:rsidRPr="00606F29">
              <w:rPr>
                <w:sz w:val="20"/>
                <w:lang w:val="fr-CA"/>
              </w:rPr>
              <w:t>Sunridge</w:t>
            </w:r>
            <w:proofErr w:type="spellEnd"/>
            <w:r w:rsidRPr="00606F29">
              <w:rPr>
                <w:sz w:val="20"/>
                <w:lang w:val="fr-CA"/>
              </w:rPr>
              <w:t xml:space="preserve"> est redevable à l’Érythrée? – L’interprétation de la CAF selon laquelle seule une somme d’argent peut constituer une créance fait-elle échec à l’objectif réparateur de la saisie-arrêt comme procédure qui a pour but d’assurer l’exécution d’un jugement? – Existe-t-il des motifs suffisants qui justifient de percer le voile social de </w:t>
            </w:r>
            <w:proofErr w:type="spellStart"/>
            <w:r w:rsidRPr="00606F29">
              <w:rPr>
                <w:sz w:val="20"/>
                <w:lang w:val="fr-CA"/>
              </w:rPr>
              <w:t>Sunbridge</w:t>
            </w:r>
            <w:proofErr w:type="spellEnd"/>
            <w:r w:rsidRPr="00606F29">
              <w:rPr>
                <w:sz w:val="20"/>
                <w:lang w:val="fr-CA"/>
              </w:rPr>
              <w:t xml:space="preserve"> et de sa filiale AMSC, pour établir que les créances d’AMSC dues et payées à l’Érythrée devraient être considérées comme de créances dont est redevable </w:t>
            </w:r>
            <w:proofErr w:type="spellStart"/>
            <w:r w:rsidRPr="00606F29">
              <w:rPr>
                <w:sz w:val="20"/>
                <w:lang w:val="fr-CA"/>
              </w:rPr>
              <w:t>Sunridge</w:t>
            </w:r>
            <w:proofErr w:type="spellEnd"/>
            <w:r w:rsidRPr="00606F29">
              <w:rPr>
                <w:sz w:val="20"/>
                <w:lang w:val="fr-CA"/>
              </w:rPr>
              <w:t xml:space="preserve">, et qui sont donc visées par les ordonnances de saisie-arrêt? – L’ordonnance de reconnaissance prononcée par la Cour fédérale  relativement à la sentence arbitrale définitive de la Chambre de commerce de Stockholm est-elle valide ou constitue-t-elle une nullité du fait qu’elle n’a pas été signifiée à l’Érythrée conformément à la </w:t>
            </w:r>
            <w:r w:rsidRPr="00606F29">
              <w:rPr>
                <w:i/>
                <w:sz w:val="20"/>
                <w:lang w:val="fr-CA"/>
              </w:rPr>
              <w:t>Loi sur l’immunité des États</w:t>
            </w:r>
            <w:r w:rsidRPr="00606F29">
              <w:rPr>
                <w:sz w:val="20"/>
                <w:lang w:val="fr-CA"/>
              </w:rPr>
              <w:t>, L.R.C. 1985, ch. S-18 (« </w:t>
            </w:r>
            <w:r w:rsidRPr="00606F29">
              <w:rPr>
                <w:i/>
                <w:sz w:val="20"/>
                <w:lang w:val="fr-CA"/>
              </w:rPr>
              <w:t>LIÉ</w:t>
            </w:r>
            <w:r w:rsidRPr="00606F29">
              <w:rPr>
                <w:sz w:val="20"/>
                <w:lang w:val="fr-CA"/>
              </w:rPr>
              <w:t> »)?</w:t>
            </w:r>
          </w:p>
          <w:p w:rsidR="00292C54" w:rsidRPr="00606F29" w:rsidRDefault="00292C54" w:rsidP="006358B9">
            <w:pPr>
              <w:jc w:val="both"/>
              <w:rPr>
                <w:sz w:val="20"/>
                <w:lang w:val="fr-CA"/>
              </w:rPr>
            </w:pPr>
          </w:p>
        </w:tc>
      </w:tr>
      <w:tr w:rsidR="00292C54" w:rsidRPr="009813FB" w:rsidTr="006358B9">
        <w:tc>
          <w:tcPr>
            <w:tcW w:w="5000" w:type="pct"/>
            <w:gridSpan w:val="4"/>
          </w:tcPr>
          <w:p w:rsidR="00292C54" w:rsidRPr="00606F29" w:rsidRDefault="00292C54" w:rsidP="006358B9">
            <w:pPr>
              <w:jc w:val="both"/>
              <w:rPr>
                <w:sz w:val="20"/>
                <w:lang w:val="fr-CA"/>
              </w:rPr>
            </w:pPr>
            <w:r w:rsidRPr="00606F29">
              <w:rPr>
                <w:sz w:val="20"/>
                <w:lang w:val="fr-CA"/>
              </w:rPr>
              <w:t xml:space="preserve">La demanderesse a obtenu une sentence arbitrale relativement à une créance impayée, au titre de la vente d’aéronefs militaires qu’elle avait faite à l’Érythrée. Après avoir présenté avec succès une requête </w:t>
            </w:r>
            <w:r w:rsidRPr="00606F29">
              <w:rPr>
                <w:i/>
                <w:sz w:val="20"/>
                <w:lang w:val="fr-CA"/>
              </w:rPr>
              <w:t>ex parte</w:t>
            </w:r>
            <w:r w:rsidRPr="00606F29">
              <w:rPr>
                <w:sz w:val="20"/>
                <w:lang w:val="fr-CA"/>
              </w:rPr>
              <w:t xml:space="preserve"> pour enregistrer la sentence en Cour fédérale aux fins d’exécution, la demanderesse a présenté une requête </w:t>
            </w:r>
            <w:r w:rsidRPr="00606F29">
              <w:rPr>
                <w:i/>
                <w:sz w:val="20"/>
                <w:lang w:val="fr-CA"/>
              </w:rPr>
              <w:t>ex parte</w:t>
            </w:r>
            <w:r w:rsidRPr="00606F29">
              <w:rPr>
                <w:sz w:val="20"/>
                <w:lang w:val="fr-CA"/>
              </w:rPr>
              <w:t xml:space="preserve"> contre l’intimée en vue d’obtenir une ordonnance provisoire de saisie-arrêt (« OPSA »). La demanderesse s’est subséquemment vu accorder une ordonnance définitive de saisie-arrêt portant sur toutes les créances échues ou à échoir dont l’intimée est redevable à l’Érythrée, y compris celles dont elle est redevable à </w:t>
            </w:r>
            <w:proofErr w:type="spellStart"/>
            <w:r w:rsidRPr="00606F29">
              <w:rPr>
                <w:sz w:val="20"/>
                <w:lang w:val="fr-CA"/>
              </w:rPr>
              <w:t>ENAMCo</w:t>
            </w:r>
            <w:proofErr w:type="spellEnd"/>
            <w:r w:rsidRPr="00606F29">
              <w:rPr>
                <w:sz w:val="20"/>
                <w:lang w:val="fr-CA"/>
              </w:rPr>
              <w:t xml:space="preserve">, une entreprise d’État de l’Érythrée. </w:t>
            </w:r>
            <w:proofErr w:type="spellStart"/>
            <w:r w:rsidRPr="00606F29">
              <w:rPr>
                <w:sz w:val="20"/>
                <w:lang w:val="fr-CA"/>
              </w:rPr>
              <w:t>ENAMCo</w:t>
            </w:r>
            <w:proofErr w:type="spellEnd"/>
            <w:r w:rsidRPr="00606F29">
              <w:rPr>
                <w:sz w:val="20"/>
                <w:lang w:val="fr-CA"/>
              </w:rPr>
              <w:t xml:space="preserve"> et une filiale indirecte de deuxième niveau de l’intimée sont respectivement propriétaires de 40 % et 60 % des actions d’Asmara Mining Share </w:t>
            </w:r>
            <w:proofErr w:type="spellStart"/>
            <w:r w:rsidRPr="00606F29">
              <w:rPr>
                <w:sz w:val="20"/>
                <w:lang w:val="fr-CA"/>
              </w:rPr>
              <w:t>Company</w:t>
            </w:r>
            <w:proofErr w:type="spellEnd"/>
            <w:r w:rsidRPr="00606F29">
              <w:rPr>
                <w:sz w:val="20"/>
                <w:lang w:val="fr-CA"/>
              </w:rPr>
              <w:t xml:space="preserve"> (</w:t>
            </w:r>
            <w:proofErr w:type="spellStart"/>
            <w:r w:rsidRPr="00606F29">
              <w:rPr>
                <w:sz w:val="20"/>
                <w:lang w:val="fr-CA"/>
              </w:rPr>
              <w:t>Eritrea</w:t>
            </w:r>
            <w:proofErr w:type="spellEnd"/>
            <w:r w:rsidRPr="00606F29">
              <w:rPr>
                <w:sz w:val="20"/>
                <w:lang w:val="fr-CA"/>
              </w:rPr>
              <w:t xml:space="preserve">), qui est propriétaire d’une mine en Érythrée. Le protonotaire a conclu que la délivrance d’actions de cette personne morale équivalait à une vente par l’intimée à l’Érythrée, en contravention de l’OPSA. La Cour fédérale a accueilli l’appel, statuant que parce qu’il n’existe aucun fondement lui permettant de percer le voile social, il n’y avait aucune créance dont était redevable l’intimée susceptible de faire l’objet d’une saisie-arrêt. La Cour a également statué que les ordonnances de saisie-arrêt étaient nulles, puisqu’elles n’avaient pas été signifiées à l’Érythrée conformément à la </w:t>
            </w:r>
            <w:r w:rsidRPr="00606F29">
              <w:rPr>
                <w:i/>
                <w:sz w:val="20"/>
                <w:lang w:val="fr-CA"/>
              </w:rPr>
              <w:t>LIÉ</w:t>
            </w:r>
            <w:r w:rsidRPr="00606F29">
              <w:rPr>
                <w:sz w:val="20"/>
                <w:lang w:val="fr-CA"/>
              </w:rPr>
              <w:t>. La Cour d’appel fédérale a rejeté l’appel de la demanderesse.</w:t>
            </w:r>
          </w:p>
        </w:tc>
      </w:tr>
      <w:tr w:rsidR="00292C54" w:rsidRPr="009813FB" w:rsidTr="006358B9">
        <w:tc>
          <w:tcPr>
            <w:tcW w:w="5000" w:type="pct"/>
            <w:gridSpan w:val="4"/>
          </w:tcPr>
          <w:p w:rsidR="00292C54" w:rsidRPr="00606F29" w:rsidRDefault="00292C54" w:rsidP="006358B9">
            <w:pPr>
              <w:jc w:val="both"/>
              <w:rPr>
                <w:sz w:val="20"/>
                <w:lang w:val="fr-CA"/>
              </w:rPr>
            </w:pPr>
          </w:p>
        </w:tc>
      </w:tr>
      <w:tr w:rsidR="00292C54" w:rsidRPr="009813FB" w:rsidTr="006358B9">
        <w:tc>
          <w:tcPr>
            <w:tcW w:w="2426" w:type="pct"/>
            <w:gridSpan w:val="2"/>
          </w:tcPr>
          <w:p w:rsidR="00292C54" w:rsidRPr="00606F29" w:rsidRDefault="00292C54" w:rsidP="006358B9">
            <w:pPr>
              <w:jc w:val="both"/>
              <w:rPr>
                <w:sz w:val="20"/>
                <w:lang w:val="fr-CA"/>
              </w:rPr>
            </w:pPr>
            <w:r w:rsidRPr="00606F29">
              <w:rPr>
                <w:sz w:val="20"/>
                <w:lang w:val="fr-CA"/>
              </w:rPr>
              <w:t>8 avril 2016</w:t>
            </w:r>
          </w:p>
          <w:p w:rsidR="00292C54" w:rsidRPr="00606F29" w:rsidRDefault="00292C54" w:rsidP="006358B9">
            <w:pPr>
              <w:jc w:val="both"/>
              <w:rPr>
                <w:sz w:val="20"/>
                <w:lang w:val="fr-CA"/>
              </w:rPr>
            </w:pPr>
            <w:r w:rsidRPr="00606F29">
              <w:rPr>
                <w:sz w:val="20"/>
                <w:lang w:val="fr-CA"/>
              </w:rPr>
              <w:t>Cour fédérale</w:t>
            </w:r>
          </w:p>
          <w:p w:rsidR="00292C54" w:rsidRPr="00606F29" w:rsidRDefault="00292C54" w:rsidP="006358B9">
            <w:pPr>
              <w:jc w:val="both"/>
              <w:rPr>
                <w:sz w:val="20"/>
                <w:lang w:val="fr-CA"/>
              </w:rPr>
            </w:pPr>
            <w:r w:rsidRPr="00606F29">
              <w:rPr>
                <w:sz w:val="20"/>
                <w:lang w:val="fr-CA"/>
              </w:rPr>
              <w:t>(Juge Brown)</w:t>
            </w:r>
          </w:p>
          <w:p w:rsidR="00292C54" w:rsidRPr="00606F29" w:rsidRDefault="009813FB" w:rsidP="006358B9">
            <w:pPr>
              <w:jc w:val="both"/>
              <w:rPr>
                <w:sz w:val="20"/>
                <w:lang w:val="fr-CA"/>
              </w:rPr>
            </w:pPr>
            <w:hyperlink r:id="rId27" w:history="1">
              <w:r w:rsidR="00292C54" w:rsidRPr="00606F29">
                <w:rPr>
                  <w:rStyle w:val="Hyperlink"/>
                  <w:sz w:val="20"/>
                  <w:lang w:val="fr-CA"/>
                </w:rPr>
                <w:t>2016 CF 392</w:t>
              </w:r>
            </w:hyperlink>
            <w:r w:rsidR="00292C54" w:rsidRPr="00606F29">
              <w:rPr>
                <w:sz w:val="20"/>
                <w:lang w:val="fr-CA"/>
              </w:rPr>
              <w:t>; T-1157-13</w:t>
            </w:r>
          </w:p>
          <w:p w:rsidR="00292C54" w:rsidRPr="00606F29" w:rsidRDefault="00292C54" w:rsidP="006358B9">
            <w:pPr>
              <w:jc w:val="both"/>
              <w:rPr>
                <w:sz w:val="20"/>
                <w:lang w:val="fr-CA"/>
              </w:rPr>
            </w:pPr>
          </w:p>
        </w:tc>
        <w:tc>
          <w:tcPr>
            <w:tcW w:w="243" w:type="pct"/>
          </w:tcPr>
          <w:p w:rsidR="00292C54" w:rsidRPr="00606F29" w:rsidRDefault="00292C54" w:rsidP="006358B9">
            <w:pPr>
              <w:jc w:val="both"/>
              <w:rPr>
                <w:sz w:val="20"/>
                <w:lang w:val="fr-CA"/>
              </w:rPr>
            </w:pPr>
          </w:p>
        </w:tc>
        <w:tc>
          <w:tcPr>
            <w:tcW w:w="2331" w:type="pct"/>
          </w:tcPr>
          <w:p w:rsidR="00292C54" w:rsidRPr="00606F29" w:rsidRDefault="00292C54" w:rsidP="006358B9">
            <w:pPr>
              <w:jc w:val="both"/>
              <w:rPr>
                <w:sz w:val="20"/>
                <w:lang w:val="fr-CA"/>
              </w:rPr>
            </w:pPr>
            <w:r w:rsidRPr="00606F29">
              <w:rPr>
                <w:sz w:val="20"/>
                <w:lang w:val="fr-CA"/>
              </w:rPr>
              <w:t>Jugement accueillant l’appel et annulant les ordonnances provisoire et définitive de saisie-arrêt du protonotaire</w:t>
            </w:r>
          </w:p>
          <w:p w:rsidR="00292C54" w:rsidRPr="00606F29" w:rsidRDefault="00292C54" w:rsidP="006358B9">
            <w:pPr>
              <w:jc w:val="both"/>
              <w:rPr>
                <w:sz w:val="20"/>
                <w:lang w:val="fr-CA"/>
              </w:rPr>
            </w:pPr>
          </w:p>
        </w:tc>
      </w:tr>
      <w:tr w:rsidR="00292C54" w:rsidRPr="00606F29" w:rsidTr="006358B9">
        <w:tc>
          <w:tcPr>
            <w:tcW w:w="2426" w:type="pct"/>
            <w:gridSpan w:val="2"/>
          </w:tcPr>
          <w:p w:rsidR="00292C54" w:rsidRPr="00606F29" w:rsidRDefault="00292C54" w:rsidP="006358B9">
            <w:pPr>
              <w:jc w:val="both"/>
              <w:rPr>
                <w:sz w:val="20"/>
                <w:lang w:val="fr-CA"/>
              </w:rPr>
            </w:pPr>
            <w:r w:rsidRPr="00606F29">
              <w:rPr>
                <w:sz w:val="20"/>
                <w:lang w:val="fr-CA"/>
              </w:rPr>
              <w:t>15 septembre 2017</w:t>
            </w:r>
          </w:p>
          <w:p w:rsidR="00292C54" w:rsidRPr="00606F29" w:rsidRDefault="00292C54" w:rsidP="006358B9">
            <w:pPr>
              <w:jc w:val="both"/>
              <w:rPr>
                <w:sz w:val="20"/>
                <w:lang w:val="fr-CA"/>
              </w:rPr>
            </w:pPr>
            <w:r w:rsidRPr="00606F29">
              <w:rPr>
                <w:sz w:val="20"/>
                <w:lang w:val="fr-CA"/>
              </w:rPr>
              <w:t>Cour d’appel fédérale</w:t>
            </w:r>
          </w:p>
          <w:p w:rsidR="00292C54" w:rsidRPr="00606F29" w:rsidRDefault="00292C54" w:rsidP="006358B9">
            <w:pPr>
              <w:jc w:val="both"/>
              <w:rPr>
                <w:sz w:val="20"/>
                <w:lang w:val="fr-CA"/>
              </w:rPr>
            </w:pPr>
            <w:r w:rsidRPr="00606F29">
              <w:rPr>
                <w:sz w:val="20"/>
                <w:lang w:val="fr-CA"/>
              </w:rPr>
              <w:t>(Juges Webb, Near et Woods)</w:t>
            </w:r>
          </w:p>
          <w:p w:rsidR="00292C54" w:rsidRPr="00606F29" w:rsidRDefault="009813FB" w:rsidP="006358B9">
            <w:pPr>
              <w:jc w:val="both"/>
              <w:rPr>
                <w:sz w:val="20"/>
                <w:lang w:val="fr-CA"/>
              </w:rPr>
            </w:pPr>
            <w:hyperlink r:id="rId28" w:history="1">
              <w:r w:rsidR="00292C54" w:rsidRPr="00606F29">
                <w:rPr>
                  <w:rStyle w:val="Hyperlink"/>
                  <w:sz w:val="20"/>
                  <w:lang w:val="fr-CA"/>
                </w:rPr>
                <w:t>2017 FCA 188</w:t>
              </w:r>
            </w:hyperlink>
            <w:r w:rsidR="00292C54" w:rsidRPr="00606F29">
              <w:rPr>
                <w:sz w:val="20"/>
                <w:lang w:val="fr-CA"/>
              </w:rPr>
              <w:t>; A-119-16</w:t>
            </w:r>
          </w:p>
          <w:p w:rsidR="00292C54" w:rsidRPr="00606F29" w:rsidRDefault="00292C54" w:rsidP="006358B9">
            <w:pPr>
              <w:jc w:val="both"/>
              <w:rPr>
                <w:sz w:val="20"/>
                <w:lang w:val="fr-CA"/>
              </w:rPr>
            </w:pPr>
          </w:p>
        </w:tc>
        <w:tc>
          <w:tcPr>
            <w:tcW w:w="243" w:type="pct"/>
          </w:tcPr>
          <w:p w:rsidR="00292C54" w:rsidRPr="00606F29" w:rsidRDefault="00292C54" w:rsidP="006358B9">
            <w:pPr>
              <w:jc w:val="both"/>
              <w:rPr>
                <w:sz w:val="20"/>
                <w:lang w:val="fr-CA"/>
              </w:rPr>
            </w:pPr>
          </w:p>
        </w:tc>
        <w:tc>
          <w:tcPr>
            <w:tcW w:w="2331" w:type="pct"/>
          </w:tcPr>
          <w:p w:rsidR="00292C54" w:rsidRPr="00606F29" w:rsidRDefault="00292C54" w:rsidP="006358B9">
            <w:pPr>
              <w:jc w:val="both"/>
              <w:rPr>
                <w:sz w:val="20"/>
                <w:lang w:val="fr-CA"/>
              </w:rPr>
            </w:pPr>
            <w:r w:rsidRPr="00606F29">
              <w:rPr>
                <w:sz w:val="20"/>
                <w:lang w:val="fr-CA"/>
              </w:rPr>
              <w:t>Rejet de l’appel</w:t>
            </w:r>
          </w:p>
          <w:p w:rsidR="00292C54" w:rsidRPr="00606F29" w:rsidRDefault="00292C54" w:rsidP="006358B9">
            <w:pPr>
              <w:jc w:val="both"/>
              <w:rPr>
                <w:sz w:val="20"/>
                <w:lang w:val="fr-CA"/>
              </w:rPr>
            </w:pPr>
          </w:p>
        </w:tc>
      </w:tr>
      <w:tr w:rsidR="00292C54" w:rsidRPr="009813FB" w:rsidTr="006358B9">
        <w:tc>
          <w:tcPr>
            <w:tcW w:w="2426" w:type="pct"/>
            <w:gridSpan w:val="2"/>
          </w:tcPr>
          <w:p w:rsidR="00292C54" w:rsidRPr="00606F29" w:rsidRDefault="00292C54" w:rsidP="006358B9">
            <w:pPr>
              <w:jc w:val="both"/>
              <w:rPr>
                <w:sz w:val="20"/>
                <w:lang w:val="fr-CA"/>
              </w:rPr>
            </w:pPr>
            <w:r w:rsidRPr="00606F29">
              <w:rPr>
                <w:sz w:val="20"/>
                <w:lang w:val="fr-CA"/>
              </w:rPr>
              <w:t>15 novembre 2017</w:t>
            </w:r>
          </w:p>
          <w:p w:rsidR="00292C54" w:rsidRPr="00606F29" w:rsidRDefault="00292C54" w:rsidP="006358B9">
            <w:pPr>
              <w:jc w:val="both"/>
              <w:rPr>
                <w:sz w:val="20"/>
                <w:lang w:val="fr-CA"/>
              </w:rPr>
            </w:pPr>
            <w:r w:rsidRPr="00606F29">
              <w:rPr>
                <w:sz w:val="20"/>
                <w:lang w:val="fr-CA"/>
              </w:rPr>
              <w:t>Cour suprême du Canada</w:t>
            </w:r>
          </w:p>
        </w:tc>
        <w:tc>
          <w:tcPr>
            <w:tcW w:w="243" w:type="pct"/>
          </w:tcPr>
          <w:p w:rsidR="00292C54" w:rsidRPr="00606F29" w:rsidRDefault="00292C54" w:rsidP="006358B9">
            <w:pPr>
              <w:jc w:val="both"/>
              <w:rPr>
                <w:sz w:val="20"/>
                <w:lang w:val="fr-CA"/>
              </w:rPr>
            </w:pPr>
          </w:p>
        </w:tc>
        <w:tc>
          <w:tcPr>
            <w:tcW w:w="2331" w:type="pct"/>
          </w:tcPr>
          <w:p w:rsidR="00292C54" w:rsidRPr="00606F29" w:rsidRDefault="00292C54" w:rsidP="006358B9">
            <w:pPr>
              <w:jc w:val="both"/>
              <w:rPr>
                <w:sz w:val="20"/>
                <w:lang w:val="fr-CA"/>
              </w:rPr>
            </w:pPr>
            <w:r w:rsidRPr="00606F29">
              <w:rPr>
                <w:sz w:val="20"/>
                <w:lang w:val="fr-CA"/>
              </w:rPr>
              <w:t>Dépôt de la demande d’autorisation d’appel</w:t>
            </w:r>
          </w:p>
        </w:tc>
      </w:tr>
    </w:tbl>
    <w:p w:rsidR="00292C54" w:rsidRPr="00606F29" w:rsidRDefault="00292C54" w:rsidP="00292C54">
      <w:pPr>
        <w:jc w:val="both"/>
        <w:rPr>
          <w:sz w:val="20"/>
          <w:lang w:val="fr-CA"/>
        </w:rPr>
      </w:pPr>
    </w:p>
    <w:p w:rsidR="00E2298F" w:rsidRPr="00606F29" w:rsidRDefault="00E2298F">
      <w:pPr>
        <w:rPr>
          <w:sz w:val="20"/>
          <w:lang w:val="fr-CA"/>
        </w:rPr>
      </w:pPr>
      <w:r w:rsidRPr="00606F29">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92C54" w:rsidRPr="00606F29" w:rsidTr="006358B9">
        <w:tc>
          <w:tcPr>
            <w:tcW w:w="543" w:type="pct"/>
          </w:tcPr>
          <w:p w:rsidR="00292C54" w:rsidRPr="00606F29" w:rsidRDefault="00292C54" w:rsidP="006358B9">
            <w:pPr>
              <w:jc w:val="both"/>
              <w:rPr>
                <w:sz w:val="20"/>
              </w:rPr>
            </w:pPr>
            <w:r w:rsidRPr="00606F29">
              <w:rPr>
                <w:rStyle w:val="SCCFileNumberChar"/>
                <w:sz w:val="20"/>
                <w:szCs w:val="20"/>
              </w:rPr>
              <w:lastRenderedPageBreak/>
              <w:t>37764</w:t>
            </w:r>
          </w:p>
        </w:tc>
        <w:tc>
          <w:tcPr>
            <w:tcW w:w="4457" w:type="pct"/>
            <w:gridSpan w:val="3"/>
          </w:tcPr>
          <w:p w:rsidR="00292C54" w:rsidRPr="00606F29" w:rsidRDefault="00292C54" w:rsidP="006358B9">
            <w:pPr>
              <w:pStyle w:val="SCCLsocParty"/>
              <w:jc w:val="both"/>
              <w:rPr>
                <w:b/>
                <w:sz w:val="20"/>
                <w:szCs w:val="20"/>
              </w:rPr>
            </w:pPr>
            <w:r w:rsidRPr="00606F29">
              <w:rPr>
                <w:b/>
                <w:sz w:val="20"/>
                <w:szCs w:val="20"/>
                <w:lang w:val="en-US"/>
              </w:rPr>
              <w:t xml:space="preserve">Todd Henry </w:t>
            </w:r>
            <w:proofErr w:type="spellStart"/>
            <w:r w:rsidRPr="00606F29">
              <w:rPr>
                <w:b/>
                <w:sz w:val="20"/>
                <w:szCs w:val="20"/>
                <w:lang w:val="en-US"/>
              </w:rPr>
              <w:t>McAuley</w:t>
            </w:r>
            <w:proofErr w:type="spellEnd"/>
            <w:r w:rsidRPr="00606F29">
              <w:rPr>
                <w:b/>
                <w:sz w:val="20"/>
                <w:szCs w:val="20"/>
                <w:lang w:val="en-US"/>
              </w:rPr>
              <w:t xml:space="preserve"> v. Craig </w:t>
            </w:r>
            <w:proofErr w:type="spellStart"/>
            <w:r w:rsidRPr="00606F29">
              <w:rPr>
                <w:b/>
                <w:sz w:val="20"/>
                <w:szCs w:val="20"/>
                <w:lang w:val="en-US"/>
              </w:rPr>
              <w:t>Genaille</w:t>
            </w:r>
            <w:proofErr w:type="spellEnd"/>
            <w:r w:rsidRPr="00606F29">
              <w:rPr>
                <w:b/>
                <w:sz w:val="20"/>
                <w:szCs w:val="20"/>
                <w:lang w:val="en-US"/>
              </w:rPr>
              <w:t xml:space="preserve">, as the executor of the Estate of Lori Ellen Sinclair, The Public Guardian &amp; Trustee as </w:t>
            </w:r>
            <w:r w:rsidR="00A768FC" w:rsidRPr="00606F29">
              <w:rPr>
                <w:b/>
                <w:sz w:val="20"/>
                <w:szCs w:val="20"/>
                <w:lang w:val="en-US"/>
              </w:rPr>
              <w:t>Litigation</w:t>
            </w:r>
            <w:r w:rsidRPr="00606F29">
              <w:rPr>
                <w:b/>
                <w:sz w:val="20"/>
                <w:szCs w:val="20"/>
                <w:lang w:val="en-US"/>
              </w:rPr>
              <w:t xml:space="preserve"> Guardian for Todd Jr. </w:t>
            </w:r>
            <w:proofErr w:type="spellStart"/>
            <w:r w:rsidRPr="00606F29">
              <w:rPr>
                <w:b/>
                <w:sz w:val="20"/>
                <w:szCs w:val="20"/>
              </w:rPr>
              <w:t>Rhyse</w:t>
            </w:r>
            <w:proofErr w:type="spellEnd"/>
            <w:r w:rsidRPr="00606F29">
              <w:rPr>
                <w:b/>
                <w:sz w:val="20"/>
                <w:szCs w:val="20"/>
              </w:rPr>
              <w:t xml:space="preserve"> </w:t>
            </w:r>
            <w:proofErr w:type="spellStart"/>
            <w:r w:rsidRPr="00606F29">
              <w:rPr>
                <w:b/>
                <w:sz w:val="20"/>
                <w:szCs w:val="20"/>
              </w:rPr>
              <w:t>McAuley</w:t>
            </w:r>
            <w:proofErr w:type="spellEnd"/>
            <w:r w:rsidRPr="00606F29">
              <w:rPr>
                <w:b/>
                <w:sz w:val="20"/>
                <w:szCs w:val="20"/>
              </w:rPr>
              <w:t xml:space="preserve"> (an infant)</w:t>
            </w:r>
          </w:p>
          <w:p w:rsidR="00292C54" w:rsidRPr="00606F29" w:rsidRDefault="00292C54" w:rsidP="006358B9">
            <w:pPr>
              <w:jc w:val="both"/>
              <w:rPr>
                <w:sz w:val="20"/>
              </w:rPr>
            </w:pPr>
            <w:r w:rsidRPr="00606F29">
              <w:rPr>
                <w:sz w:val="20"/>
              </w:rPr>
              <w:t>(Man.) (Civil) (By Leave)</w:t>
            </w:r>
          </w:p>
        </w:tc>
      </w:tr>
      <w:tr w:rsidR="00E2298F" w:rsidRPr="00606F29" w:rsidTr="006358B9">
        <w:tc>
          <w:tcPr>
            <w:tcW w:w="543" w:type="pct"/>
          </w:tcPr>
          <w:p w:rsidR="00E2298F" w:rsidRPr="00606F29" w:rsidRDefault="00E2298F" w:rsidP="00E2298F">
            <w:pPr>
              <w:jc w:val="both"/>
              <w:rPr>
                <w:rStyle w:val="SCCFileNumberChar"/>
                <w:sz w:val="20"/>
                <w:szCs w:val="20"/>
              </w:rPr>
            </w:pPr>
            <w:r w:rsidRPr="00606F29">
              <w:rPr>
                <w:rStyle w:val="SCCFileNumberChar"/>
                <w:sz w:val="20"/>
                <w:szCs w:val="20"/>
              </w:rPr>
              <w:t>Coram:</w:t>
            </w:r>
          </w:p>
        </w:tc>
        <w:tc>
          <w:tcPr>
            <w:tcW w:w="4457" w:type="pct"/>
            <w:gridSpan w:val="3"/>
          </w:tcPr>
          <w:p w:rsidR="00E2298F" w:rsidRPr="00606F29" w:rsidRDefault="00E2298F" w:rsidP="00E2298F">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Karakatsanis</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E2298F" w:rsidRPr="00606F29" w:rsidTr="00E2298F">
        <w:tc>
          <w:tcPr>
            <w:tcW w:w="5000" w:type="pct"/>
            <w:gridSpan w:val="4"/>
          </w:tcPr>
          <w:p w:rsidR="00E2298F" w:rsidRPr="00606F29" w:rsidRDefault="00E2298F" w:rsidP="006358B9">
            <w:pPr>
              <w:pStyle w:val="SCCLsocParty"/>
              <w:jc w:val="both"/>
              <w:rPr>
                <w:b/>
                <w:sz w:val="20"/>
                <w:szCs w:val="20"/>
                <w:lang w:val="en-US"/>
              </w:rPr>
            </w:pPr>
            <w:r w:rsidRPr="00606F29">
              <w:rPr>
                <w:sz w:val="20"/>
                <w:lang w:val="en-US"/>
              </w:rPr>
              <w:t>The motion for an extension of time to serve and file the response to the application for leave to appeal is granted.  The application for leave to appeal from the judgment of the Court of Appeal of Manitoba, Number AI16-30-08565, 2017 MBCA 69, dated July 17, 2017, is dismissed.</w:t>
            </w:r>
          </w:p>
        </w:tc>
      </w:tr>
      <w:tr w:rsidR="00292C54" w:rsidRPr="00606F29" w:rsidTr="006358B9">
        <w:tc>
          <w:tcPr>
            <w:tcW w:w="5000" w:type="pct"/>
            <w:gridSpan w:val="4"/>
          </w:tcPr>
          <w:p w:rsidR="00292C54" w:rsidRPr="00606F29" w:rsidRDefault="00292C54" w:rsidP="006358B9">
            <w:pPr>
              <w:jc w:val="both"/>
              <w:rPr>
                <w:sz w:val="20"/>
              </w:rPr>
            </w:pPr>
            <w:r w:rsidRPr="00606F29">
              <w:rPr>
                <w:sz w:val="20"/>
              </w:rPr>
              <w:t xml:space="preserve">Constitutional law – Charter of Rights – Wills and estates – Dependants’ relief – Whether family support obligations survived death of </w:t>
            </w:r>
            <w:proofErr w:type="spellStart"/>
            <w:r w:rsidRPr="00606F29">
              <w:rPr>
                <w:sz w:val="20"/>
              </w:rPr>
              <w:t>payor</w:t>
            </w:r>
            <w:proofErr w:type="spellEnd"/>
            <w:r w:rsidRPr="00606F29">
              <w:rPr>
                <w:sz w:val="20"/>
              </w:rPr>
              <w:t xml:space="preserve"> when </w:t>
            </w:r>
            <w:proofErr w:type="spellStart"/>
            <w:r w:rsidRPr="00606F29">
              <w:rPr>
                <w:sz w:val="20"/>
              </w:rPr>
              <w:t>payor</w:t>
            </w:r>
            <w:proofErr w:type="spellEnd"/>
            <w:r w:rsidRPr="00606F29">
              <w:rPr>
                <w:sz w:val="20"/>
              </w:rPr>
              <w:t xml:space="preserve"> took affirmative steps to avoid those obligations – Whether family support obligations protected by </w:t>
            </w:r>
            <w:r w:rsidRPr="00606F29">
              <w:rPr>
                <w:i/>
                <w:sz w:val="20"/>
              </w:rPr>
              <w:t>Charter</w:t>
            </w:r>
            <w:r w:rsidRPr="00606F29">
              <w:rPr>
                <w:sz w:val="20"/>
              </w:rPr>
              <w:t xml:space="preserve"> – If so, whether standard of entitlement pursuant to </w:t>
            </w:r>
            <w:r w:rsidRPr="00606F29">
              <w:rPr>
                <w:i/>
                <w:sz w:val="20"/>
              </w:rPr>
              <w:t>The Dependants Relief Act</w:t>
            </w:r>
            <w:r w:rsidRPr="00606F29">
              <w:rPr>
                <w:sz w:val="20"/>
              </w:rPr>
              <w:t>, C.C.S.M. c. D37, discriminates against impoverished single parents, their children, Indigenous people and other visible minorities, who are unlikely to have budget of needs to redress by legislation.</w:t>
            </w:r>
          </w:p>
          <w:p w:rsidR="00292C54" w:rsidRPr="00606F29" w:rsidRDefault="00292C54" w:rsidP="006358B9">
            <w:pPr>
              <w:jc w:val="both"/>
              <w:rPr>
                <w:sz w:val="20"/>
              </w:rPr>
            </w:pPr>
          </w:p>
        </w:tc>
      </w:tr>
      <w:tr w:rsidR="00292C54" w:rsidRPr="00606F29" w:rsidTr="006358B9">
        <w:tc>
          <w:tcPr>
            <w:tcW w:w="5000" w:type="pct"/>
            <w:gridSpan w:val="4"/>
          </w:tcPr>
          <w:p w:rsidR="00292C54" w:rsidRPr="00606F29" w:rsidRDefault="00292C54" w:rsidP="006358B9">
            <w:pPr>
              <w:jc w:val="both"/>
              <w:rPr>
                <w:sz w:val="20"/>
              </w:rPr>
            </w:pPr>
            <w:r w:rsidRPr="00606F29">
              <w:rPr>
                <w:sz w:val="20"/>
              </w:rPr>
              <w:t xml:space="preserve">In January 2013, Todd Henry </w:t>
            </w:r>
            <w:proofErr w:type="spellStart"/>
            <w:r w:rsidRPr="00606F29">
              <w:rPr>
                <w:sz w:val="20"/>
              </w:rPr>
              <w:t>McAuley</w:t>
            </w:r>
            <w:proofErr w:type="spellEnd"/>
            <w:r w:rsidRPr="00606F29">
              <w:rPr>
                <w:sz w:val="20"/>
              </w:rPr>
              <w:t xml:space="preserve"> (“Todd Sr.”) applied for dependants’ relief against the estate of Lori Ellen Sinclair under the </w:t>
            </w:r>
            <w:r w:rsidRPr="00606F29">
              <w:rPr>
                <w:i/>
                <w:sz w:val="20"/>
              </w:rPr>
              <w:t>Dependants Relief Act</w:t>
            </w:r>
            <w:r w:rsidRPr="00606F29">
              <w:rPr>
                <w:sz w:val="20"/>
              </w:rPr>
              <w:t xml:space="preserve">, C.C.S.M. c. D37, as litigation guardian of his and Ms. Sinclair’s 14 year-old son, Todd Jr. </w:t>
            </w:r>
            <w:proofErr w:type="spellStart"/>
            <w:r w:rsidRPr="00606F29">
              <w:rPr>
                <w:sz w:val="20"/>
              </w:rPr>
              <w:t>Rhyse</w:t>
            </w:r>
            <w:proofErr w:type="spellEnd"/>
            <w:r w:rsidRPr="00606F29">
              <w:rPr>
                <w:sz w:val="20"/>
              </w:rPr>
              <w:t xml:space="preserve"> </w:t>
            </w:r>
            <w:proofErr w:type="spellStart"/>
            <w:r w:rsidRPr="00606F29">
              <w:rPr>
                <w:sz w:val="20"/>
              </w:rPr>
              <w:t>McAuley</w:t>
            </w:r>
            <w:proofErr w:type="spellEnd"/>
            <w:r w:rsidRPr="00606F29">
              <w:rPr>
                <w:sz w:val="20"/>
              </w:rPr>
              <w:t xml:space="preserve"> (“Todd Jr.”), and in his own right as Ms. Sinclair’s former common law spouse. The Public Guardian and Trustee (“PGT”) subsequently replaced Todd Sr. as litigation guardian for Todd Jr. In his capacity as executor of Ms. Sinclair’s estate, Craig </w:t>
            </w:r>
            <w:proofErr w:type="spellStart"/>
            <w:r w:rsidRPr="00606F29">
              <w:rPr>
                <w:sz w:val="20"/>
              </w:rPr>
              <w:t>Genaille</w:t>
            </w:r>
            <w:proofErr w:type="spellEnd"/>
            <w:r w:rsidRPr="00606F29">
              <w:rPr>
                <w:sz w:val="20"/>
              </w:rPr>
              <w:t xml:space="preserve"> opposed both applications, submitting that no evidence had been adduced to show that either Todd Jr. or Todd Sr. were in financial need, but nevertheless agreed that $20,000 would be made available from the estate for Todd Jr.</w:t>
            </w:r>
          </w:p>
          <w:p w:rsidR="00292C54" w:rsidRPr="00606F29" w:rsidRDefault="00292C54" w:rsidP="006358B9">
            <w:pPr>
              <w:jc w:val="both"/>
              <w:rPr>
                <w:sz w:val="20"/>
              </w:rPr>
            </w:pPr>
          </w:p>
          <w:p w:rsidR="00292C54" w:rsidRPr="00606F29" w:rsidRDefault="00292C54" w:rsidP="006358B9">
            <w:pPr>
              <w:jc w:val="both"/>
              <w:rPr>
                <w:sz w:val="20"/>
              </w:rPr>
            </w:pPr>
            <w:r w:rsidRPr="00606F29">
              <w:rPr>
                <w:sz w:val="20"/>
              </w:rPr>
              <w:t>The Court for Queen’s Bench of Manitoba granted the application in respect of Todd Jr., ordering monthly payments be paid from the estate until his 18th birthday and $50,000 be paid to the PGT to be held in trust. The court dismissed Todd Sr.’s application on the basis that he had not made out a case for dependants’ relief. The Manitoba Court of Appeal allowed Mr. </w:t>
            </w:r>
            <w:proofErr w:type="spellStart"/>
            <w:r w:rsidRPr="00606F29">
              <w:rPr>
                <w:sz w:val="20"/>
              </w:rPr>
              <w:t>Genaille’s</w:t>
            </w:r>
            <w:proofErr w:type="spellEnd"/>
            <w:r w:rsidRPr="00606F29">
              <w:rPr>
                <w:sz w:val="20"/>
              </w:rPr>
              <w:t xml:space="preserve"> appeal and the PGT’s cross-appeal in part, setting aside the monthly support order and substituting an award of $20,000 for the original $50,000 award. The Court dismissed Todd Sr.’s cross-</w:t>
            </w:r>
            <w:proofErr w:type="gramStart"/>
            <w:r w:rsidRPr="00606F29">
              <w:rPr>
                <w:sz w:val="20"/>
              </w:rPr>
              <w:t>appeal  in</w:t>
            </w:r>
            <w:proofErr w:type="gramEnd"/>
            <w:r w:rsidRPr="00606F29">
              <w:rPr>
                <w:sz w:val="20"/>
              </w:rPr>
              <w:t xml:space="preserve"> respect of his own application for dependant’s relief.</w:t>
            </w:r>
          </w:p>
          <w:p w:rsidR="00292C54" w:rsidRPr="00606F29" w:rsidRDefault="00292C54" w:rsidP="006358B9">
            <w:pPr>
              <w:jc w:val="both"/>
              <w:rPr>
                <w:sz w:val="20"/>
              </w:rPr>
            </w:pPr>
          </w:p>
        </w:tc>
      </w:tr>
      <w:tr w:rsidR="00292C54" w:rsidRPr="00606F29" w:rsidTr="006358B9">
        <w:tc>
          <w:tcPr>
            <w:tcW w:w="2427" w:type="pct"/>
            <w:gridSpan w:val="2"/>
          </w:tcPr>
          <w:p w:rsidR="00292C54" w:rsidRPr="00606F29" w:rsidRDefault="00292C54" w:rsidP="006358B9">
            <w:pPr>
              <w:jc w:val="both"/>
              <w:rPr>
                <w:sz w:val="20"/>
              </w:rPr>
            </w:pPr>
            <w:r w:rsidRPr="00606F29">
              <w:rPr>
                <w:sz w:val="20"/>
              </w:rPr>
              <w:t>December 14, 2015</w:t>
            </w:r>
          </w:p>
          <w:p w:rsidR="00292C54" w:rsidRPr="00606F29" w:rsidRDefault="00292C54" w:rsidP="006358B9">
            <w:pPr>
              <w:jc w:val="both"/>
              <w:rPr>
                <w:sz w:val="20"/>
              </w:rPr>
            </w:pPr>
            <w:r w:rsidRPr="00606F29">
              <w:rPr>
                <w:sz w:val="20"/>
              </w:rPr>
              <w:t>Court of Queen’s Bench of Manitoba</w:t>
            </w:r>
          </w:p>
          <w:p w:rsidR="00292C54" w:rsidRPr="00606F29" w:rsidRDefault="00292C54" w:rsidP="006358B9">
            <w:pPr>
              <w:jc w:val="both"/>
              <w:rPr>
                <w:sz w:val="20"/>
              </w:rPr>
            </w:pPr>
            <w:r w:rsidRPr="00606F29">
              <w:rPr>
                <w:sz w:val="20"/>
              </w:rPr>
              <w:t>(Schulman J.)</w:t>
            </w:r>
          </w:p>
          <w:p w:rsidR="00292C54" w:rsidRPr="00606F29" w:rsidRDefault="009813FB" w:rsidP="006358B9">
            <w:pPr>
              <w:jc w:val="both"/>
              <w:rPr>
                <w:sz w:val="20"/>
              </w:rPr>
            </w:pPr>
            <w:hyperlink r:id="rId29" w:history="1">
              <w:r w:rsidR="00292C54" w:rsidRPr="00606F29">
                <w:rPr>
                  <w:rStyle w:val="Hyperlink"/>
                  <w:sz w:val="20"/>
                </w:rPr>
                <w:t>2015 MBQB 197</w:t>
              </w:r>
            </w:hyperlink>
            <w:r w:rsidR="00292C54" w:rsidRPr="00606F29">
              <w:rPr>
                <w:sz w:val="20"/>
              </w:rPr>
              <w:t xml:space="preserve"> </w:t>
            </w:r>
          </w:p>
          <w:p w:rsidR="00292C54" w:rsidRPr="00606F29" w:rsidRDefault="00292C54" w:rsidP="006358B9">
            <w:pPr>
              <w:jc w:val="both"/>
              <w:rPr>
                <w:sz w:val="20"/>
              </w:rPr>
            </w:pPr>
          </w:p>
        </w:tc>
        <w:tc>
          <w:tcPr>
            <w:tcW w:w="243" w:type="pct"/>
          </w:tcPr>
          <w:p w:rsidR="00292C54" w:rsidRPr="00606F29" w:rsidRDefault="00292C54" w:rsidP="006358B9">
            <w:pPr>
              <w:jc w:val="both"/>
              <w:rPr>
                <w:sz w:val="20"/>
              </w:rPr>
            </w:pPr>
          </w:p>
        </w:tc>
        <w:tc>
          <w:tcPr>
            <w:tcW w:w="2330" w:type="pct"/>
          </w:tcPr>
          <w:p w:rsidR="00292C54" w:rsidRPr="00606F29" w:rsidRDefault="00292C54" w:rsidP="006358B9">
            <w:pPr>
              <w:jc w:val="both"/>
              <w:rPr>
                <w:sz w:val="20"/>
              </w:rPr>
            </w:pPr>
            <w:r w:rsidRPr="00606F29">
              <w:rPr>
                <w:sz w:val="20"/>
              </w:rPr>
              <w:t xml:space="preserve">Application on behalf of Todd Jr. </w:t>
            </w:r>
            <w:proofErr w:type="spellStart"/>
            <w:r w:rsidRPr="00606F29">
              <w:rPr>
                <w:sz w:val="20"/>
              </w:rPr>
              <w:t>Rhyse</w:t>
            </w:r>
            <w:proofErr w:type="spellEnd"/>
            <w:r w:rsidRPr="00606F29">
              <w:rPr>
                <w:sz w:val="20"/>
              </w:rPr>
              <w:t xml:space="preserve"> </w:t>
            </w:r>
            <w:proofErr w:type="spellStart"/>
            <w:r w:rsidRPr="00606F29">
              <w:rPr>
                <w:sz w:val="20"/>
              </w:rPr>
              <w:t>McAuley</w:t>
            </w:r>
            <w:proofErr w:type="spellEnd"/>
            <w:r w:rsidRPr="00606F29">
              <w:rPr>
                <w:sz w:val="20"/>
              </w:rPr>
              <w:t xml:space="preserve"> for dependants’ relief under </w:t>
            </w:r>
            <w:r w:rsidRPr="00606F29">
              <w:rPr>
                <w:i/>
                <w:sz w:val="20"/>
              </w:rPr>
              <w:t>The Dependants Relief Act</w:t>
            </w:r>
            <w:r w:rsidRPr="00606F29">
              <w:rPr>
                <w:sz w:val="20"/>
              </w:rPr>
              <w:t xml:space="preserve">, C.C.S.M. c. D37, granted; application by Todd Henry </w:t>
            </w:r>
            <w:proofErr w:type="spellStart"/>
            <w:r w:rsidRPr="00606F29">
              <w:rPr>
                <w:sz w:val="20"/>
              </w:rPr>
              <w:t>McAuley</w:t>
            </w:r>
            <w:proofErr w:type="spellEnd"/>
            <w:r w:rsidRPr="00606F29">
              <w:rPr>
                <w:sz w:val="20"/>
              </w:rPr>
              <w:t xml:space="preserve"> for dependants’ relief on his own behalf, dismissed.</w:t>
            </w:r>
          </w:p>
          <w:p w:rsidR="00292C54" w:rsidRPr="00606F29" w:rsidRDefault="00292C54" w:rsidP="006358B9">
            <w:pPr>
              <w:jc w:val="both"/>
              <w:rPr>
                <w:sz w:val="20"/>
              </w:rPr>
            </w:pPr>
          </w:p>
        </w:tc>
      </w:tr>
      <w:tr w:rsidR="00292C54" w:rsidRPr="00606F29" w:rsidTr="006358B9">
        <w:tc>
          <w:tcPr>
            <w:tcW w:w="2427" w:type="pct"/>
            <w:gridSpan w:val="2"/>
          </w:tcPr>
          <w:p w:rsidR="00292C54" w:rsidRPr="00606F29" w:rsidRDefault="00292C54" w:rsidP="006358B9">
            <w:pPr>
              <w:jc w:val="both"/>
              <w:rPr>
                <w:sz w:val="20"/>
              </w:rPr>
            </w:pPr>
            <w:r w:rsidRPr="00606F29">
              <w:rPr>
                <w:sz w:val="20"/>
              </w:rPr>
              <w:t>July 17, 2017</w:t>
            </w:r>
          </w:p>
          <w:p w:rsidR="00292C54" w:rsidRPr="00606F29" w:rsidRDefault="00292C54" w:rsidP="006358B9">
            <w:pPr>
              <w:jc w:val="both"/>
              <w:rPr>
                <w:sz w:val="20"/>
              </w:rPr>
            </w:pPr>
            <w:r w:rsidRPr="00606F29">
              <w:rPr>
                <w:sz w:val="20"/>
              </w:rPr>
              <w:t>Court of Appeal of Manitoba</w:t>
            </w:r>
          </w:p>
          <w:p w:rsidR="00292C54" w:rsidRPr="00606F29" w:rsidRDefault="00292C54" w:rsidP="006358B9">
            <w:pPr>
              <w:jc w:val="both"/>
              <w:rPr>
                <w:sz w:val="20"/>
              </w:rPr>
            </w:pPr>
            <w:r w:rsidRPr="00606F29">
              <w:rPr>
                <w:sz w:val="20"/>
              </w:rPr>
              <w:t xml:space="preserve">(Steel, Cameron and </w:t>
            </w:r>
            <w:proofErr w:type="spellStart"/>
            <w:r w:rsidRPr="00606F29">
              <w:rPr>
                <w:sz w:val="20"/>
              </w:rPr>
              <w:t>Pfuetzner</w:t>
            </w:r>
            <w:proofErr w:type="spellEnd"/>
            <w:r w:rsidRPr="00606F29">
              <w:rPr>
                <w:sz w:val="20"/>
              </w:rPr>
              <w:t xml:space="preserve"> JJ. A.)</w:t>
            </w:r>
          </w:p>
          <w:p w:rsidR="00292C54" w:rsidRPr="00606F29" w:rsidRDefault="009813FB" w:rsidP="006358B9">
            <w:pPr>
              <w:jc w:val="both"/>
              <w:rPr>
                <w:sz w:val="20"/>
              </w:rPr>
            </w:pPr>
            <w:hyperlink r:id="rId30" w:history="1">
              <w:r w:rsidR="00292C54" w:rsidRPr="00606F29">
                <w:rPr>
                  <w:rStyle w:val="Hyperlink"/>
                  <w:sz w:val="20"/>
                </w:rPr>
                <w:t>2017 MBCA 69</w:t>
              </w:r>
            </w:hyperlink>
            <w:r w:rsidR="00292C54" w:rsidRPr="00606F29">
              <w:rPr>
                <w:sz w:val="20"/>
              </w:rPr>
              <w:t xml:space="preserve"> </w:t>
            </w:r>
          </w:p>
          <w:p w:rsidR="00292C54" w:rsidRPr="00606F29" w:rsidRDefault="00292C54" w:rsidP="006358B9">
            <w:pPr>
              <w:jc w:val="both"/>
              <w:rPr>
                <w:sz w:val="20"/>
              </w:rPr>
            </w:pPr>
          </w:p>
        </w:tc>
        <w:tc>
          <w:tcPr>
            <w:tcW w:w="243" w:type="pct"/>
          </w:tcPr>
          <w:p w:rsidR="00292C54" w:rsidRPr="00606F29" w:rsidRDefault="00292C54" w:rsidP="006358B9">
            <w:pPr>
              <w:jc w:val="both"/>
              <w:rPr>
                <w:sz w:val="20"/>
              </w:rPr>
            </w:pPr>
          </w:p>
        </w:tc>
        <w:tc>
          <w:tcPr>
            <w:tcW w:w="2330" w:type="pct"/>
          </w:tcPr>
          <w:p w:rsidR="00292C54" w:rsidRPr="00606F29" w:rsidRDefault="00292C54" w:rsidP="006358B9">
            <w:pPr>
              <w:jc w:val="both"/>
              <w:rPr>
                <w:sz w:val="20"/>
              </w:rPr>
            </w:pPr>
            <w:r w:rsidRPr="00606F29">
              <w:rPr>
                <w:sz w:val="20"/>
              </w:rPr>
              <w:t xml:space="preserve">Craig </w:t>
            </w:r>
            <w:proofErr w:type="spellStart"/>
            <w:r w:rsidRPr="00606F29">
              <w:rPr>
                <w:sz w:val="20"/>
              </w:rPr>
              <w:t>Genaille’s</w:t>
            </w:r>
            <w:proofErr w:type="spellEnd"/>
            <w:r w:rsidRPr="00606F29">
              <w:rPr>
                <w:sz w:val="20"/>
              </w:rPr>
              <w:t xml:space="preserve"> appeal allowed in part; Public Guardian and Trustee’s cross-appeal allowed in part; Todd Henry </w:t>
            </w:r>
            <w:proofErr w:type="spellStart"/>
            <w:r w:rsidRPr="00606F29">
              <w:rPr>
                <w:sz w:val="20"/>
              </w:rPr>
              <w:t>McAuley’s</w:t>
            </w:r>
            <w:proofErr w:type="spellEnd"/>
            <w:r w:rsidRPr="00606F29">
              <w:rPr>
                <w:sz w:val="20"/>
              </w:rPr>
              <w:t xml:space="preserve"> cross-appeal in respect of his own application for dependants’ relief, dismissed.</w:t>
            </w:r>
          </w:p>
          <w:p w:rsidR="00292C54" w:rsidRPr="00606F29" w:rsidRDefault="00292C54" w:rsidP="006358B9">
            <w:pPr>
              <w:jc w:val="both"/>
              <w:rPr>
                <w:sz w:val="20"/>
              </w:rPr>
            </w:pPr>
          </w:p>
        </w:tc>
      </w:tr>
      <w:tr w:rsidR="00292C54" w:rsidRPr="00606F29" w:rsidTr="006358B9">
        <w:tc>
          <w:tcPr>
            <w:tcW w:w="2427" w:type="pct"/>
            <w:gridSpan w:val="2"/>
          </w:tcPr>
          <w:p w:rsidR="00292C54" w:rsidRPr="00606F29" w:rsidRDefault="00292C54" w:rsidP="006358B9">
            <w:pPr>
              <w:jc w:val="both"/>
              <w:rPr>
                <w:sz w:val="20"/>
              </w:rPr>
            </w:pPr>
            <w:r w:rsidRPr="00606F29">
              <w:rPr>
                <w:sz w:val="20"/>
              </w:rPr>
              <w:t>September 27, 2017 / October 30, 2017</w:t>
            </w:r>
          </w:p>
          <w:p w:rsidR="00292C54" w:rsidRPr="00606F29" w:rsidRDefault="00292C54" w:rsidP="006358B9">
            <w:pPr>
              <w:jc w:val="both"/>
              <w:rPr>
                <w:sz w:val="20"/>
              </w:rPr>
            </w:pPr>
            <w:r w:rsidRPr="00606F29">
              <w:rPr>
                <w:sz w:val="20"/>
              </w:rPr>
              <w:t>Supreme Court of Canada</w:t>
            </w:r>
          </w:p>
        </w:tc>
        <w:tc>
          <w:tcPr>
            <w:tcW w:w="243" w:type="pct"/>
          </w:tcPr>
          <w:p w:rsidR="00292C54" w:rsidRPr="00606F29" w:rsidRDefault="00292C54" w:rsidP="006358B9">
            <w:pPr>
              <w:jc w:val="both"/>
              <w:rPr>
                <w:sz w:val="20"/>
              </w:rPr>
            </w:pPr>
          </w:p>
        </w:tc>
        <w:tc>
          <w:tcPr>
            <w:tcW w:w="2330" w:type="pct"/>
          </w:tcPr>
          <w:p w:rsidR="00292C54" w:rsidRPr="00606F29" w:rsidRDefault="00292C54" w:rsidP="006358B9">
            <w:pPr>
              <w:jc w:val="both"/>
              <w:rPr>
                <w:sz w:val="20"/>
              </w:rPr>
            </w:pPr>
            <w:r w:rsidRPr="00606F29">
              <w:rPr>
                <w:sz w:val="20"/>
              </w:rPr>
              <w:t>Application for leave to appeal, filed / Motion for extension of time to serve and file response to application for leave, filed.</w:t>
            </w:r>
          </w:p>
        </w:tc>
      </w:tr>
    </w:tbl>
    <w:p w:rsidR="00292C54" w:rsidRPr="00606F29" w:rsidRDefault="00292C54" w:rsidP="00292C54">
      <w:pPr>
        <w:jc w:val="both"/>
        <w:rPr>
          <w:sz w:val="20"/>
        </w:rPr>
      </w:pPr>
    </w:p>
    <w:p w:rsidR="00E2298F" w:rsidRPr="00606F29" w:rsidRDefault="00E2298F">
      <w:pPr>
        <w:rPr>
          <w:sz w:val="20"/>
        </w:rPr>
      </w:pPr>
      <w:r w:rsidRPr="00606F2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92C54" w:rsidRPr="00606F29" w:rsidTr="006358B9">
        <w:tc>
          <w:tcPr>
            <w:tcW w:w="543" w:type="pct"/>
          </w:tcPr>
          <w:p w:rsidR="00292C54" w:rsidRPr="00606F29" w:rsidRDefault="00292C54" w:rsidP="006358B9">
            <w:pPr>
              <w:jc w:val="both"/>
              <w:rPr>
                <w:sz w:val="20"/>
                <w:lang w:val="fr-CA"/>
              </w:rPr>
            </w:pPr>
            <w:r w:rsidRPr="00606F29">
              <w:rPr>
                <w:rStyle w:val="SCCFileNumberChar"/>
                <w:sz w:val="20"/>
                <w:szCs w:val="20"/>
                <w:lang w:val="fr-CA"/>
              </w:rPr>
              <w:lastRenderedPageBreak/>
              <w:t>37764</w:t>
            </w:r>
          </w:p>
        </w:tc>
        <w:tc>
          <w:tcPr>
            <w:tcW w:w="4457" w:type="pct"/>
            <w:gridSpan w:val="3"/>
          </w:tcPr>
          <w:p w:rsidR="00292C54" w:rsidRPr="00606F29" w:rsidRDefault="00292C54" w:rsidP="006358B9">
            <w:pPr>
              <w:pStyle w:val="SCCLsocParty"/>
              <w:jc w:val="both"/>
              <w:rPr>
                <w:b/>
                <w:sz w:val="20"/>
                <w:szCs w:val="20"/>
              </w:rPr>
            </w:pPr>
            <w:r w:rsidRPr="00606F29">
              <w:rPr>
                <w:b/>
                <w:sz w:val="20"/>
                <w:szCs w:val="20"/>
              </w:rPr>
              <w:t xml:space="preserve">Todd Henry </w:t>
            </w:r>
            <w:proofErr w:type="spellStart"/>
            <w:r w:rsidRPr="00606F29">
              <w:rPr>
                <w:b/>
                <w:sz w:val="20"/>
                <w:szCs w:val="20"/>
              </w:rPr>
              <w:t>McAuley</w:t>
            </w:r>
            <w:proofErr w:type="spellEnd"/>
            <w:r w:rsidRPr="00606F29">
              <w:rPr>
                <w:b/>
                <w:sz w:val="20"/>
                <w:szCs w:val="20"/>
              </w:rPr>
              <w:t xml:space="preserve"> c. Craig </w:t>
            </w:r>
            <w:proofErr w:type="spellStart"/>
            <w:r w:rsidRPr="00606F29">
              <w:rPr>
                <w:b/>
                <w:sz w:val="20"/>
                <w:szCs w:val="20"/>
              </w:rPr>
              <w:t>Genaille</w:t>
            </w:r>
            <w:proofErr w:type="spellEnd"/>
            <w:r w:rsidRPr="00606F29">
              <w:rPr>
                <w:b/>
                <w:sz w:val="20"/>
                <w:szCs w:val="20"/>
              </w:rPr>
              <w:t xml:space="preserve">, en qualité d’exécuteur de la succession de Lori Ellen Sinclair, le tuteur et curateur public en qualité de tuteur à l’instance de Todd Jr. </w:t>
            </w:r>
            <w:proofErr w:type="spellStart"/>
            <w:r w:rsidRPr="00606F29">
              <w:rPr>
                <w:b/>
                <w:sz w:val="20"/>
                <w:szCs w:val="20"/>
              </w:rPr>
              <w:t>Rhyse</w:t>
            </w:r>
            <w:proofErr w:type="spellEnd"/>
            <w:r w:rsidRPr="00606F29">
              <w:rPr>
                <w:b/>
                <w:sz w:val="20"/>
                <w:szCs w:val="20"/>
              </w:rPr>
              <w:t xml:space="preserve"> </w:t>
            </w:r>
            <w:proofErr w:type="spellStart"/>
            <w:r w:rsidRPr="00606F29">
              <w:rPr>
                <w:b/>
                <w:sz w:val="20"/>
                <w:szCs w:val="20"/>
              </w:rPr>
              <w:t>McAuley</w:t>
            </w:r>
            <w:proofErr w:type="spellEnd"/>
            <w:r w:rsidRPr="00606F29">
              <w:rPr>
                <w:b/>
                <w:sz w:val="20"/>
                <w:szCs w:val="20"/>
              </w:rPr>
              <w:t xml:space="preserve"> (un mineur)</w:t>
            </w:r>
          </w:p>
          <w:p w:rsidR="00292C54" w:rsidRPr="00606F29" w:rsidRDefault="00292C54" w:rsidP="006358B9">
            <w:pPr>
              <w:jc w:val="both"/>
              <w:rPr>
                <w:sz w:val="20"/>
                <w:lang w:val="fr-CA"/>
              </w:rPr>
            </w:pPr>
            <w:r w:rsidRPr="00606F29">
              <w:rPr>
                <w:sz w:val="20"/>
                <w:lang w:val="fr-CA"/>
              </w:rPr>
              <w:t>(Man.) (Civile) (Sur autorisation)</w:t>
            </w:r>
          </w:p>
        </w:tc>
      </w:tr>
      <w:tr w:rsidR="00E2298F" w:rsidRPr="009813FB" w:rsidTr="006358B9">
        <w:tc>
          <w:tcPr>
            <w:tcW w:w="543" w:type="pct"/>
          </w:tcPr>
          <w:p w:rsidR="00E2298F" w:rsidRPr="00606F29" w:rsidRDefault="00E2298F" w:rsidP="00E2298F">
            <w:pPr>
              <w:jc w:val="both"/>
              <w:rPr>
                <w:rStyle w:val="SCCFileNumberChar"/>
                <w:sz w:val="20"/>
                <w:szCs w:val="20"/>
                <w:lang w:val="fr-CA"/>
              </w:rPr>
            </w:pPr>
            <w:r w:rsidRPr="00606F29">
              <w:rPr>
                <w:rStyle w:val="SCCFileNumberChar"/>
                <w:sz w:val="20"/>
                <w:szCs w:val="20"/>
                <w:lang w:val="fr-CA"/>
              </w:rPr>
              <w:t>Coram :</w:t>
            </w:r>
          </w:p>
        </w:tc>
        <w:tc>
          <w:tcPr>
            <w:tcW w:w="4457" w:type="pct"/>
            <w:gridSpan w:val="3"/>
          </w:tcPr>
          <w:p w:rsidR="00E2298F" w:rsidRPr="00606F29" w:rsidRDefault="00E2298F" w:rsidP="00E2298F">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xml:space="preserve">, </w:t>
            </w:r>
            <w:proofErr w:type="spellStart"/>
            <w:r w:rsidRPr="00606F29">
              <w:rPr>
                <w:sz w:val="20"/>
                <w:lang w:val="fr-FR"/>
              </w:rPr>
              <w:t>Karakatsanis</w:t>
            </w:r>
            <w:proofErr w:type="spellEnd"/>
            <w:r w:rsidRPr="00606F29">
              <w:rPr>
                <w:sz w:val="20"/>
                <w:lang w:val="fr-FR"/>
              </w:rPr>
              <w:t>, Gascon, Côté, Brown, Rowe et Martin</w:t>
            </w:r>
          </w:p>
        </w:tc>
      </w:tr>
      <w:tr w:rsidR="00E2298F" w:rsidRPr="009813FB" w:rsidTr="00E2298F">
        <w:tc>
          <w:tcPr>
            <w:tcW w:w="5000" w:type="pct"/>
            <w:gridSpan w:val="4"/>
          </w:tcPr>
          <w:p w:rsidR="00E2298F" w:rsidRPr="00606F29" w:rsidRDefault="00E2298F" w:rsidP="00E2298F">
            <w:pPr>
              <w:pStyle w:val="SCCLsocParty"/>
              <w:jc w:val="both"/>
              <w:rPr>
                <w:b/>
                <w:sz w:val="20"/>
                <w:szCs w:val="20"/>
              </w:rPr>
            </w:pPr>
            <w:r w:rsidRPr="00606F29">
              <w:rPr>
                <w:sz w:val="20"/>
              </w:rPr>
              <w:t>L</w:t>
            </w:r>
            <w:r w:rsidRPr="00606F29">
              <w:rPr>
                <w:sz w:val="20"/>
                <w:lang w:val="fr-FR"/>
              </w:rPr>
              <w:t xml:space="preserve">a requête en prorogation du délai de signification et de dépôt de la réponse à la demande d’autorisation d’appel est accueillie. La demande d’autorisation </w:t>
            </w:r>
            <w:proofErr w:type="spellStart"/>
            <w:r w:rsidRPr="00606F29">
              <w:rPr>
                <w:sz w:val="20"/>
                <w:lang w:val="fr-FR"/>
              </w:rPr>
              <w:t>d’ap</w:t>
            </w:r>
            <w:r w:rsidRPr="00606F29">
              <w:rPr>
                <w:sz w:val="20"/>
              </w:rPr>
              <w:t>pel</w:t>
            </w:r>
            <w:proofErr w:type="spellEnd"/>
            <w:r w:rsidRPr="00606F29">
              <w:rPr>
                <w:sz w:val="20"/>
              </w:rPr>
              <w:t xml:space="preserve"> de l’arrêt de la </w:t>
            </w:r>
            <w:r w:rsidRPr="00606F29">
              <w:rPr>
                <w:sz w:val="20"/>
                <w:lang w:val="fr-FR"/>
              </w:rPr>
              <w:t>Cour d’appel du Manitoba</w:t>
            </w:r>
            <w:r w:rsidRPr="00606F29">
              <w:rPr>
                <w:sz w:val="20"/>
              </w:rPr>
              <w:t xml:space="preserve">, numéro </w:t>
            </w:r>
            <w:r w:rsidRPr="00606F29">
              <w:rPr>
                <w:sz w:val="20"/>
                <w:lang w:val="fr-FR"/>
              </w:rPr>
              <w:t>AI16-30-08565, 2017 MBCA 69</w:t>
            </w:r>
            <w:r w:rsidRPr="00606F29">
              <w:rPr>
                <w:sz w:val="20"/>
              </w:rPr>
              <w:t xml:space="preserve">, daté du </w:t>
            </w:r>
            <w:r w:rsidRPr="00606F29">
              <w:rPr>
                <w:sz w:val="20"/>
                <w:lang w:val="fr-FR"/>
              </w:rPr>
              <w:t>17 juillet 2017</w:t>
            </w:r>
            <w:r w:rsidRPr="00606F29">
              <w:rPr>
                <w:sz w:val="20"/>
              </w:rPr>
              <w:t>, est rejetée.</w:t>
            </w:r>
          </w:p>
        </w:tc>
      </w:tr>
      <w:tr w:rsidR="00E2298F" w:rsidRPr="009813FB" w:rsidTr="006358B9">
        <w:tc>
          <w:tcPr>
            <w:tcW w:w="5000" w:type="pct"/>
            <w:gridSpan w:val="4"/>
          </w:tcPr>
          <w:p w:rsidR="00E2298F" w:rsidRPr="00606F29" w:rsidRDefault="00E2298F" w:rsidP="00E2298F">
            <w:pPr>
              <w:jc w:val="both"/>
              <w:rPr>
                <w:sz w:val="20"/>
                <w:lang w:val="fr-CA"/>
              </w:rPr>
            </w:pPr>
            <w:r w:rsidRPr="00606F29">
              <w:rPr>
                <w:sz w:val="20"/>
                <w:lang w:val="fr-CA"/>
              </w:rPr>
              <w:t xml:space="preserve">Droit constitutionnel – Charte des droits – Successions – Aide aux personnes à charge – Les obligations alimentaires familiales </w:t>
            </w:r>
            <w:proofErr w:type="spellStart"/>
            <w:r w:rsidRPr="00606F29">
              <w:rPr>
                <w:sz w:val="20"/>
                <w:lang w:val="fr-CA"/>
              </w:rPr>
              <w:t>ont-elles</w:t>
            </w:r>
            <w:proofErr w:type="spellEnd"/>
            <w:r w:rsidRPr="00606F29">
              <w:rPr>
                <w:sz w:val="20"/>
                <w:lang w:val="fr-CA"/>
              </w:rPr>
              <w:t xml:space="preserve"> subsisté après le décès du débiteur dans le cas où le débiteur a pris des mesures concrètes pour se soustraire à ces obligations? – Les obligations alimentaires familiales sont-elles protégées par la </w:t>
            </w:r>
            <w:r w:rsidRPr="00606F29">
              <w:rPr>
                <w:i/>
                <w:sz w:val="20"/>
                <w:lang w:val="fr-CA"/>
              </w:rPr>
              <w:t>Charte</w:t>
            </w:r>
            <w:r w:rsidRPr="00606F29">
              <w:rPr>
                <w:sz w:val="20"/>
                <w:lang w:val="fr-CA"/>
              </w:rPr>
              <w:t xml:space="preserve">? – Dans l’affirmative, la norme d’admissibilité sous le régime de la </w:t>
            </w:r>
            <w:r w:rsidRPr="00606F29">
              <w:rPr>
                <w:i/>
                <w:sz w:val="20"/>
                <w:lang w:val="fr-CA"/>
              </w:rPr>
              <w:t>Loi sur l’aide aux personnes à charge</w:t>
            </w:r>
            <w:r w:rsidRPr="00606F29">
              <w:rPr>
                <w:sz w:val="20"/>
                <w:lang w:val="fr-CA"/>
              </w:rPr>
              <w:t>, C.P.L.M. ch. D37, est-elle discriminatoire à l’égard des parents seuls défavorisés, de leurs enfants, des Autochtones et d’autres minorités visibles qui n’ont vraisemblablement pas de besoins financiers devant être comblés par la loi?</w:t>
            </w:r>
          </w:p>
          <w:p w:rsidR="00E2298F" w:rsidRPr="00606F29" w:rsidRDefault="00E2298F" w:rsidP="00E2298F">
            <w:pPr>
              <w:jc w:val="both"/>
              <w:rPr>
                <w:sz w:val="20"/>
                <w:lang w:val="fr-CA"/>
              </w:rPr>
            </w:pPr>
          </w:p>
        </w:tc>
      </w:tr>
      <w:tr w:rsidR="00E2298F" w:rsidRPr="009813FB" w:rsidTr="006358B9">
        <w:tc>
          <w:tcPr>
            <w:tcW w:w="5000" w:type="pct"/>
            <w:gridSpan w:val="4"/>
          </w:tcPr>
          <w:p w:rsidR="00E2298F" w:rsidRPr="00606F29" w:rsidRDefault="00E2298F" w:rsidP="00E2298F">
            <w:pPr>
              <w:jc w:val="both"/>
              <w:rPr>
                <w:sz w:val="20"/>
                <w:lang w:val="fr-CA"/>
              </w:rPr>
            </w:pPr>
            <w:r w:rsidRPr="00606F29">
              <w:rPr>
                <w:sz w:val="20"/>
                <w:lang w:val="fr-CA"/>
              </w:rPr>
              <w:t xml:space="preserve">En janvier 2013, Todd Henry </w:t>
            </w:r>
            <w:proofErr w:type="spellStart"/>
            <w:r w:rsidRPr="00606F29">
              <w:rPr>
                <w:sz w:val="20"/>
                <w:lang w:val="fr-CA"/>
              </w:rPr>
              <w:t>McAuley</w:t>
            </w:r>
            <w:proofErr w:type="spellEnd"/>
            <w:r w:rsidRPr="00606F29">
              <w:rPr>
                <w:sz w:val="20"/>
                <w:lang w:val="fr-CA"/>
              </w:rPr>
              <w:t xml:space="preserve"> (« Todd père ») a présenté une demande d’aide aux personnes à charge contre la succession de Lori Ellen Sinclair en vertu de la </w:t>
            </w:r>
            <w:r w:rsidRPr="00606F29">
              <w:rPr>
                <w:i/>
                <w:sz w:val="20"/>
                <w:lang w:val="fr-CA"/>
              </w:rPr>
              <w:t>Loi sur l’aide aux personnes à charge</w:t>
            </w:r>
            <w:r w:rsidRPr="00606F29">
              <w:rPr>
                <w:sz w:val="20"/>
                <w:lang w:val="fr-CA"/>
              </w:rPr>
              <w:t>, C.P.L.M. ch. D37, en qualité de tuteur à l’instance de son fils, âgé de quatorze ans, Todd Jr. </w:t>
            </w:r>
            <w:proofErr w:type="spellStart"/>
            <w:r w:rsidRPr="00606F29">
              <w:rPr>
                <w:sz w:val="20"/>
                <w:lang w:val="fr-CA"/>
              </w:rPr>
              <w:t>Rhyse</w:t>
            </w:r>
            <w:proofErr w:type="spellEnd"/>
            <w:r w:rsidRPr="00606F29">
              <w:rPr>
                <w:sz w:val="20"/>
                <w:lang w:val="fr-CA"/>
              </w:rPr>
              <w:t xml:space="preserve"> </w:t>
            </w:r>
            <w:proofErr w:type="spellStart"/>
            <w:r w:rsidRPr="00606F29">
              <w:rPr>
                <w:sz w:val="20"/>
                <w:lang w:val="fr-CA"/>
              </w:rPr>
              <w:t>McAuley</w:t>
            </w:r>
            <w:proofErr w:type="spellEnd"/>
            <w:r w:rsidRPr="00606F29">
              <w:rPr>
                <w:sz w:val="20"/>
                <w:lang w:val="fr-CA"/>
              </w:rPr>
              <w:t xml:space="preserve"> (« Todd fils »), issu de son union avec Mme Sinclair, et en son  propre nom en qualité d’ex-conjoint de fait de Mme Sinclair. Le tuteur et curateur public (« TCP ») a subséquemment remplacé Todd père en qualité de tuteur de Todd fils. En sa qualité d’exécuteur de la succession de Mme Sinclair, Craig </w:t>
            </w:r>
            <w:proofErr w:type="spellStart"/>
            <w:r w:rsidRPr="00606F29">
              <w:rPr>
                <w:sz w:val="20"/>
                <w:lang w:val="fr-CA"/>
              </w:rPr>
              <w:t>Genaille</w:t>
            </w:r>
            <w:proofErr w:type="spellEnd"/>
            <w:r w:rsidRPr="00606F29">
              <w:rPr>
                <w:sz w:val="20"/>
                <w:lang w:val="fr-CA"/>
              </w:rPr>
              <w:t xml:space="preserve"> s’est opposé aux deux demandes, plaidant l’absence de preuve établissant que Todd fils ou Todd père étaient financièrement dans le besoin, mais il a néanmoins accepté de mettre la somme de 20 000 $ de la succession à la disposition de Todd fils.</w:t>
            </w:r>
          </w:p>
          <w:p w:rsidR="00E2298F" w:rsidRPr="00606F29" w:rsidRDefault="00E2298F" w:rsidP="00E2298F">
            <w:pPr>
              <w:jc w:val="both"/>
              <w:rPr>
                <w:sz w:val="20"/>
                <w:lang w:val="fr-CA"/>
              </w:rPr>
            </w:pPr>
          </w:p>
          <w:p w:rsidR="00E2298F" w:rsidRPr="00606F29" w:rsidRDefault="00E2298F" w:rsidP="00E2298F">
            <w:pPr>
              <w:jc w:val="both"/>
              <w:rPr>
                <w:sz w:val="20"/>
                <w:lang w:val="fr-CA"/>
              </w:rPr>
            </w:pPr>
            <w:r w:rsidRPr="00606F29">
              <w:rPr>
                <w:sz w:val="20"/>
                <w:lang w:val="fr-CA"/>
              </w:rPr>
              <w:t>La Cour du Banc de la Reine du Manitoba a accueilli la demande à l’égard de Todd fils, ordonnant à la succession de lui verser une pension alimentaire mensuelle jusqu’à ce qu’il atteigne l’âge de dix-huit ans et de verser au TCP la somme de 50 000 $, à être détenue en fiducie. Le tribunal a rejeté la demande de Todd père, concluant que ce dernier n’avait pas fait la preuve de son droit à l’aide comme personne à charge. La Cour d’appel a accueilli l’appel de M. </w:t>
            </w:r>
            <w:proofErr w:type="spellStart"/>
            <w:r w:rsidRPr="00606F29">
              <w:rPr>
                <w:sz w:val="20"/>
                <w:lang w:val="fr-CA"/>
              </w:rPr>
              <w:t>Genaille</w:t>
            </w:r>
            <w:proofErr w:type="spellEnd"/>
            <w:r w:rsidRPr="00606F29">
              <w:rPr>
                <w:sz w:val="20"/>
                <w:lang w:val="fr-CA"/>
              </w:rPr>
              <w:t xml:space="preserve"> et accueilli en partie l’appel incident du TCP, annulant l’ordonnance de pension alimentaire mensuelle et substituant la somme de 20 000 $ à la somme initiale de 50 000 $. La Cour a rejeté l’appel incident de Todd père en ce qui a trait à sa propre demande d’aide comme personne à charge.</w:t>
            </w:r>
          </w:p>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14 décembre 2015</w:t>
            </w:r>
          </w:p>
          <w:p w:rsidR="00E2298F" w:rsidRPr="00606F29" w:rsidRDefault="00E2298F" w:rsidP="00E2298F">
            <w:pPr>
              <w:jc w:val="both"/>
              <w:rPr>
                <w:sz w:val="20"/>
                <w:lang w:val="fr-CA"/>
              </w:rPr>
            </w:pPr>
            <w:r w:rsidRPr="00606F29">
              <w:rPr>
                <w:sz w:val="20"/>
                <w:lang w:val="fr-CA"/>
              </w:rPr>
              <w:t>Cour du Banc de la Reine du Manitoba</w:t>
            </w:r>
          </w:p>
          <w:p w:rsidR="00E2298F" w:rsidRPr="00606F29" w:rsidRDefault="00E2298F" w:rsidP="00E2298F">
            <w:pPr>
              <w:jc w:val="both"/>
              <w:rPr>
                <w:sz w:val="20"/>
                <w:lang w:val="fr-CA"/>
              </w:rPr>
            </w:pPr>
            <w:r w:rsidRPr="00606F29">
              <w:rPr>
                <w:sz w:val="20"/>
                <w:lang w:val="fr-CA"/>
              </w:rPr>
              <w:t xml:space="preserve">(Juge </w:t>
            </w:r>
            <w:proofErr w:type="spellStart"/>
            <w:r w:rsidRPr="00606F29">
              <w:rPr>
                <w:sz w:val="20"/>
                <w:lang w:val="fr-CA"/>
              </w:rPr>
              <w:t>Schulman</w:t>
            </w:r>
            <w:proofErr w:type="spellEnd"/>
            <w:r w:rsidRPr="00606F29">
              <w:rPr>
                <w:sz w:val="20"/>
                <w:lang w:val="fr-CA"/>
              </w:rPr>
              <w:t>)</w:t>
            </w:r>
          </w:p>
          <w:p w:rsidR="00E2298F" w:rsidRPr="00606F29" w:rsidRDefault="009813FB" w:rsidP="00E2298F">
            <w:pPr>
              <w:jc w:val="both"/>
              <w:rPr>
                <w:sz w:val="20"/>
                <w:lang w:val="fr-CA"/>
              </w:rPr>
            </w:pPr>
            <w:hyperlink r:id="rId31" w:history="1">
              <w:r w:rsidR="00E2298F" w:rsidRPr="00606F29">
                <w:rPr>
                  <w:rStyle w:val="Hyperlink"/>
                  <w:sz w:val="20"/>
                  <w:lang w:val="fr-CA"/>
                </w:rPr>
                <w:t>2015 MBQB 197</w:t>
              </w:r>
            </w:hyperlink>
            <w:r w:rsidR="00E2298F" w:rsidRPr="00606F29">
              <w:rPr>
                <w:sz w:val="20"/>
                <w:lang w:val="fr-CA"/>
              </w:rPr>
              <w:t xml:space="preserve"> </w:t>
            </w:r>
          </w:p>
          <w:p w:rsidR="00E2298F" w:rsidRPr="00606F29" w:rsidRDefault="00E2298F" w:rsidP="00E2298F">
            <w:pPr>
              <w:jc w:val="both"/>
              <w:rPr>
                <w:sz w:val="20"/>
                <w:lang w:val="fr-CA"/>
              </w:rPr>
            </w:pPr>
          </w:p>
        </w:tc>
        <w:tc>
          <w:tcPr>
            <w:tcW w:w="243" w:type="pct"/>
          </w:tcPr>
          <w:p w:rsidR="00E2298F" w:rsidRPr="00606F29" w:rsidRDefault="00E2298F" w:rsidP="00E2298F">
            <w:pPr>
              <w:jc w:val="both"/>
              <w:rPr>
                <w:sz w:val="20"/>
                <w:lang w:val="fr-CA"/>
              </w:rPr>
            </w:pPr>
          </w:p>
        </w:tc>
        <w:tc>
          <w:tcPr>
            <w:tcW w:w="2330" w:type="pct"/>
          </w:tcPr>
          <w:p w:rsidR="00E2298F" w:rsidRPr="00606F29" w:rsidRDefault="00E2298F" w:rsidP="00E2298F">
            <w:pPr>
              <w:jc w:val="both"/>
              <w:rPr>
                <w:sz w:val="20"/>
                <w:lang w:val="fr-CA"/>
              </w:rPr>
            </w:pPr>
            <w:r w:rsidRPr="00606F29">
              <w:rPr>
                <w:sz w:val="20"/>
                <w:lang w:val="fr-CA"/>
              </w:rPr>
              <w:t xml:space="preserve">Jugement accueillant la demande présentée au nom de Todd fils </w:t>
            </w:r>
            <w:proofErr w:type="spellStart"/>
            <w:r w:rsidRPr="00606F29">
              <w:rPr>
                <w:sz w:val="20"/>
                <w:lang w:val="fr-CA"/>
              </w:rPr>
              <w:t>Rhyse</w:t>
            </w:r>
            <w:proofErr w:type="spellEnd"/>
            <w:r w:rsidRPr="00606F29">
              <w:rPr>
                <w:sz w:val="20"/>
                <w:lang w:val="fr-CA"/>
              </w:rPr>
              <w:t xml:space="preserve"> </w:t>
            </w:r>
            <w:proofErr w:type="spellStart"/>
            <w:r w:rsidRPr="00606F29">
              <w:rPr>
                <w:sz w:val="20"/>
                <w:lang w:val="fr-CA"/>
              </w:rPr>
              <w:t>McAuley</w:t>
            </w:r>
            <w:proofErr w:type="spellEnd"/>
            <w:r w:rsidRPr="00606F29">
              <w:rPr>
                <w:sz w:val="20"/>
                <w:lang w:val="fr-CA"/>
              </w:rPr>
              <w:t xml:space="preserve"> pour de l’aide comme personne à charge en vertu de la </w:t>
            </w:r>
            <w:r w:rsidRPr="00606F29">
              <w:rPr>
                <w:i/>
                <w:sz w:val="20"/>
                <w:lang w:val="fr-CA"/>
              </w:rPr>
              <w:t>Loi sur l’aide aux personnes à charge</w:t>
            </w:r>
            <w:r w:rsidRPr="00606F29">
              <w:rPr>
                <w:sz w:val="20"/>
                <w:lang w:val="fr-CA"/>
              </w:rPr>
              <w:t xml:space="preserve">, C.P.L.M. ch. D37 et rejetant la demande de Todd Henry </w:t>
            </w:r>
            <w:proofErr w:type="spellStart"/>
            <w:r w:rsidRPr="00606F29">
              <w:rPr>
                <w:sz w:val="20"/>
                <w:lang w:val="fr-CA"/>
              </w:rPr>
              <w:t>McAuley</w:t>
            </w:r>
            <w:proofErr w:type="spellEnd"/>
            <w:r w:rsidRPr="00606F29">
              <w:rPr>
                <w:sz w:val="20"/>
                <w:lang w:val="fr-CA"/>
              </w:rPr>
              <w:t xml:space="preserve"> pour de l’aide comme personne à charge présentée en son propre nom.</w:t>
            </w:r>
          </w:p>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17 juillet 2017</w:t>
            </w:r>
          </w:p>
          <w:p w:rsidR="00E2298F" w:rsidRPr="00606F29" w:rsidRDefault="00E2298F" w:rsidP="00E2298F">
            <w:pPr>
              <w:jc w:val="both"/>
              <w:rPr>
                <w:sz w:val="20"/>
                <w:lang w:val="fr-CA"/>
              </w:rPr>
            </w:pPr>
            <w:r w:rsidRPr="00606F29">
              <w:rPr>
                <w:sz w:val="20"/>
                <w:lang w:val="fr-CA"/>
              </w:rPr>
              <w:t>Cour d’appel du Manitoba</w:t>
            </w:r>
          </w:p>
          <w:p w:rsidR="00E2298F" w:rsidRPr="00606F29" w:rsidRDefault="00E2298F" w:rsidP="00E2298F">
            <w:pPr>
              <w:jc w:val="both"/>
              <w:rPr>
                <w:sz w:val="20"/>
                <w:lang w:val="fr-CA"/>
              </w:rPr>
            </w:pPr>
            <w:r w:rsidRPr="00606F29">
              <w:rPr>
                <w:sz w:val="20"/>
                <w:lang w:val="fr-CA"/>
              </w:rPr>
              <w:t xml:space="preserve">(Juges </w:t>
            </w:r>
            <w:proofErr w:type="spellStart"/>
            <w:r w:rsidRPr="00606F29">
              <w:rPr>
                <w:sz w:val="20"/>
                <w:lang w:val="fr-CA"/>
              </w:rPr>
              <w:t>Steel</w:t>
            </w:r>
            <w:proofErr w:type="spellEnd"/>
            <w:r w:rsidRPr="00606F29">
              <w:rPr>
                <w:sz w:val="20"/>
                <w:lang w:val="fr-CA"/>
              </w:rPr>
              <w:t xml:space="preserve">, Cameron et </w:t>
            </w:r>
            <w:proofErr w:type="spellStart"/>
            <w:r w:rsidRPr="00606F29">
              <w:rPr>
                <w:sz w:val="20"/>
                <w:lang w:val="fr-CA"/>
              </w:rPr>
              <w:t>Pfuetzner</w:t>
            </w:r>
            <w:proofErr w:type="spellEnd"/>
            <w:r w:rsidRPr="00606F29">
              <w:rPr>
                <w:sz w:val="20"/>
                <w:lang w:val="fr-CA"/>
              </w:rPr>
              <w:t>)</w:t>
            </w:r>
          </w:p>
          <w:p w:rsidR="00E2298F" w:rsidRPr="00606F29" w:rsidRDefault="009813FB" w:rsidP="00E2298F">
            <w:pPr>
              <w:jc w:val="both"/>
              <w:rPr>
                <w:sz w:val="20"/>
                <w:lang w:val="fr-CA"/>
              </w:rPr>
            </w:pPr>
            <w:hyperlink r:id="rId32" w:history="1">
              <w:r w:rsidR="00E2298F" w:rsidRPr="00606F29">
                <w:rPr>
                  <w:rStyle w:val="Hyperlink"/>
                  <w:sz w:val="20"/>
                  <w:lang w:val="fr-CA"/>
                </w:rPr>
                <w:t>2017 MBCA 69</w:t>
              </w:r>
            </w:hyperlink>
            <w:r w:rsidR="00E2298F" w:rsidRPr="00606F29">
              <w:rPr>
                <w:sz w:val="20"/>
                <w:lang w:val="fr-CA"/>
              </w:rPr>
              <w:t xml:space="preserve"> </w:t>
            </w:r>
          </w:p>
          <w:p w:rsidR="00E2298F" w:rsidRPr="00606F29" w:rsidRDefault="00E2298F" w:rsidP="00E2298F">
            <w:pPr>
              <w:jc w:val="both"/>
              <w:rPr>
                <w:sz w:val="20"/>
                <w:lang w:val="fr-CA"/>
              </w:rPr>
            </w:pPr>
          </w:p>
        </w:tc>
        <w:tc>
          <w:tcPr>
            <w:tcW w:w="243" w:type="pct"/>
          </w:tcPr>
          <w:p w:rsidR="00E2298F" w:rsidRPr="00606F29" w:rsidRDefault="00E2298F" w:rsidP="00E2298F">
            <w:pPr>
              <w:jc w:val="both"/>
              <w:rPr>
                <w:sz w:val="20"/>
                <w:lang w:val="fr-CA"/>
              </w:rPr>
            </w:pPr>
          </w:p>
        </w:tc>
        <w:tc>
          <w:tcPr>
            <w:tcW w:w="2330" w:type="pct"/>
          </w:tcPr>
          <w:p w:rsidR="00E2298F" w:rsidRPr="00606F29" w:rsidRDefault="00E2298F" w:rsidP="00E2298F">
            <w:pPr>
              <w:jc w:val="both"/>
              <w:rPr>
                <w:sz w:val="20"/>
                <w:lang w:val="fr-CA"/>
              </w:rPr>
            </w:pPr>
            <w:r w:rsidRPr="00606F29">
              <w:rPr>
                <w:sz w:val="20"/>
                <w:lang w:val="fr-CA"/>
              </w:rPr>
              <w:t xml:space="preserve">Arrêt accueillant en partie l’appel de Craig </w:t>
            </w:r>
            <w:proofErr w:type="spellStart"/>
            <w:r w:rsidRPr="00606F29">
              <w:rPr>
                <w:sz w:val="20"/>
                <w:lang w:val="fr-CA"/>
              </w:rPr>
              <w:t>Genaille</w:t>
            </w:r>
            <w:proofErr w:type="spellEnd"/>
            <w:r w:rsidRPr="00606F29">
              <w:rPr>
                <w:sz w:val="20"/>
                <w:lang w:val="fr-CA"/>
              </w:rPr>
              <w:t xml:space="preserve">, accueillant en partie l’appel incident du tuteur et curateur public et rejetant l’appel incident de Todd Henry </w:t>
            </w:r>
            <w:proofErr w:type="spellStart"/>
            <w:r w:rsidRPr="00606F29">
              <w:rPr>
                <w:sz w:val="20"/>
                <w:lang w:val="fr-CA"/>
              </w:rPr>
              <w:t>McAuley</w:t>
            </w:r>
            <w:proofErr w:type="spellEnd"/>
            <w:r w:rsidRPr="00606F29">
              <w:rPr>
                <w:sz w:val="20"/>
                <w:lang w:val="fr-CA"/>
              </w:rPr>
              <w:t xml:space="preserve"> à l’égard de sa propre demande d’aide comme personne à charge.</w:t>
            </w:r>
          </w:p>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27 septembre 2017 / 30 octobre 2017</w:t>
            </w:r>
          </w:p>
          <w:p w:rsidR="00E2298F" w:rsidRPr="00606F29" w:rsidRDefault="00E2298F" w:rsidP="00E2298F">
            <w:pPr>
              <w:jc w:val="both"/>
              <w:rPr>
                <w:sz w:val="20"/>
                <w:lang w:val="fr-CA"/>
              </w:rPr>
            </w:pPr>
            <w:r w:rsidRPr="00606F29">
              <w:rPr>
                <w:sz w:val="20"/>
                <w:lang w:val="fr-CA"/>
              </w:rPr>
              <w:t>Cour suprême du Canada</w:t>
            </w:r>
          </w:p>
        </w:tc>
        <w:tc>
          <w:tcPr>
            <w:tcW w:w="243" w:type="pct"/>
          </w:tcPr>
          <w:p w:rsidR="00E2298F" w:rsidRPr="00606F29" w:rsidRDefault="00E2298F" w:rsidP="00E2298F">
            <w:pPr>
              <w:jc w:val="both"/>
              <w:rPr>
                <w:sz w:val="20"/>
                <w:lang w:val="fr-CA"/>
              </w:rPr>
            </w:pPr>
          </w:p>
        </w:tc>
        <w:tc>
          <w:tcPr>
            <w:tcW w:w="2330" w:type="pct"/>
          </w:tcPr>
          <w:p w:rsidR="00E2298F" w:rsidRPr="00606F29" w:rsidRDefault="00E2298F" w:rsidP="00E2298F">
            <w:pPr>
              <w:jc w:val="both"/>
              <w:rPr>
                <w:sz w:val="20"/>
                <w:lang w:val="fr-CA"/>
              </w:rPr>
            </w:pPr>
            <w:r w:rsidRPr="00606F29">
              <w:rPr>
                <w:sz w:val="20"/>
                <w:lang w:val="fr-CA"/>
              </w:rPr>
              <w:t>Dépôt de la demande d’autorisation d’appel / Dépôt de la requête en prorogation du délai de signification et de dépôt de la demande d’autorisation.</w:t>
            </w:r>
          </w:p>
        </w:tc>
      </w:tr>
    </w:tbl>
    <w:p w:rsidR="00292C54" w:rsidRPr="00606F29" w:rsidRDefault="00292C54" w:rsidP="00292C54">
      <w:pPr>
        <w:jc w:val="both"/>
        <w:rPr>
          <w:sz w:val="20"/>
          <w:lang w:val="fr-CA"/>
        </w:rPr>
      </w:pPr>
    </w:p>
    <w:p w:rsidR="00292C54" w:rsidRPr="00606F29" w:rsidRDefault="00292C54" w:rsidP="00292C5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92C54" w:rsidRPr="00606F29" w:rsidTr="006358B9">
        <w:tc>
          <w:tcPr>
            <w:tcW w:w="543" w:type="pct"/>
          </w:tcPr>
          <w:p w:rsidR="00292C54" w:rsidRPr="00606F29" w:rsidRDefault="00292C54" w:rsidP="006358B9">
            <w:pPr>
              <w:jc w:val="both"/>
              <w:rPr>
                <w:sz w:val="20"/>
              </w:rPr>
            </w:pPr>
            <w:r w:rsidRPr="00606F29">
              <w:rPr>
                <w:rStyle w:val="SCCFileNumberChar"/>
                <w:sz w:val="20"/>
                <w:szCs w:val="20"/>
              </w:rPr>
              <w:lastRenderedPageBreak/>
              <w:t>37855</w:t>
            </w:r>
          </w:p>
        </w:tc>
        <w:tc>
          <w:tcPr>
            <w:tcW w:w="4457" w:type="pct"/>
            <w:gridSpan w:val="3"/>
          </w:tcPr>
          <w:p w:rsidR="00292C54" w:rsidRPr="00606F29" w:rsidRDefault="00292C54" w:rsidP="006358B9">
            <w:pPr>
              <w:pStyle w:val="SCCLsocParty"/>
              <w:jc w:val="both"/>
              <w:rPr>
                <w:b/>
                <w:sz w:val="20"/>
                <w:szCs w:val="20"/>
              </w:rPr>
            </w:pPr>
            <w:r w:rsidRPr="00606F29">
              <w:rPr>
                <w:b/>
                <w:sz w:val="20"/>
                <w:szCs w:val="20"/>
              </w:rPr>
              <w:t>L’Oratoire Saint-Joseph du Mont-Royal v. J. J.</w:t>
            </w:r>
          </w:p>
          <w:p w:rsidR="00292C54" w:rsidRPr="00606F29" w:rsidRDefault="00292C54" w:rsidP="006358B9">
            <w:pPr>
              <w:pStyle w:val="SCCLsocOtherPartySeparator"/>
              <w:rPr>
                <w:sz w:val="20"/>
                <w:szCs w:val="20"/>
                <w:lang w:val="fr-CA"/>
              </w:rPr>
            </w:pPr>
            <w:r w:rsidRPr="00606F29">
              <w:rPr>
                <w:sz w:val="20"/>
                <w:szCs w:val="20"/>
                <w:lang w:val="fr-CA"/>
              </w:rPr>
              <w:t>- and -</w:t>
            </w:r>
          </w:p>
          <w:p w:rsidR="00292C54" w:rsidRPr="00606F29" w:rsidRDefault="00292C54" w:rsidP="006358B9">
            <w:pPr>
              <w:jc w:val="both"/>
              <w:rPr>
                <w:b/>
                <w:sz w:val="20"/>
                <w:lang w:val="fr-CA"/>
              </w:rPr>
            </w:pPr>
            <w:r w:rsidRPr="00606F29">
              <w:rPr>
                <w:b/>
                <w:sz w:val="20"/>
                <w:lang w:val="fr-CA"/>
              </w:rPr>
              <w:t>La Province canadienne de la Congrégation de Sainte-Croix</w:t>
            </w:r>
          </w:p>
          <w:p w:rsidR="00292C54" w:rsidRPr="00606F29" w:rsidRDefault="00292C54" w:rsidP="006358B9">
            <w:pPr>
              <w:pStyle w:val="SCCLsocSubfileSeparator"/>
              <w:rPr>
                <w:sz w:val="20"/>
                <w:szCs w:val="20"/>
              </w:rPr>
            </w:pPr>
            <w:r w:rsidRPr="00606F29">
              <w:rPr>
                <w:sz w:val="20"/>
                <w:szCs w:val="20"/>
              </w:rPr>
              <w:t xml:space="preserve">- and </w:t>
            </w:r>
            <w:proofErr w:type="spellStart"/>
            <w:r w:rsidRPr="00606F29">
              <w:rPr>
                <w:sz w:val="20"/>
                <w:szCs w:val="20"/>
              </w:rPr>
              <w:t>between</w:t>
            </w:r>
            <w:proofErr w:type="spellEnd"/>
            <w:r w:rsidRPr="00606F29">
              <w:rPr>
                <w:sz w:val="20"/>
                <w:szCs w:val="20"/>
              </w:rPr>
              <w:t xml:space="preserve"> -</w:t>
            </w:r>
          </w:p>
          <w:p w:rsidR="00292C54" w:rsidRPr="00606F29" w:rsidRDefault="00292C54" w:rsidP="006358B9">
            <w:pPr>
              <w:pStyle w:val="SCCLsocParty"/>
              <w:jc w:val="both"/>
              <w:rPr>
                <w:b/>
                <w:sz w:val="20"/>
                <w:szCs w:val="20"/>
              </w:rPr>
            </w:pPr>
            <w:r w:rsidRPr="00606F29">
              <w:rPr>
                <w:b/>
                <w:sz w:val="20"/>
                <w:szCs w:val="20"/>
              </w:rPr>
              <w:t>La Province canadienne de la Congrégation de Sainte-Croix v. J. J.</w:t>
            </w:r>
          </w:p>
          <w:p w:rsidR="00292C54" w:rsidRPr="00606F29" w:rsidRDefault="00292C54" w:rsidP="006358B9">
            <w:pPr>
              <w:pStyle w:val="SCCLsocOtherPartySeparator"/>
              <w:rPr>
                <w:sz w:val="20"/>
                <w:szCs w:val="20"/>
                <w:lang w:val="fr-CA"/>
              </w:rPr>
            </w:pPr>
            <w:r w:rsidRPr="00606F29">
              <w:rPr>
                <w:sz w:val="20"/>
                <w:szCs w:val="20"/>
                <w:lang w:val="fr-CA"/>
              </w:rPr>
              <w:t>- and -</w:t>
            </w:r>
          </w:p>
          <w:p w:rsidR="00292C54" w:rsidRPr="00606F29" w:rsidRDefault="00292C54" w:rsidP="006358B9">
            <w:pPr>
              <w:jc w:val="both"/>
              <w:rPr>
                <w:b/>
                <w:sz w:val="20"/>
                <w:lang w:val="fr-CA"/>
              </w:rPr>
            </w:pPr>
            <w:r w:rsidRPr="00606F29">
              <w:rPr>
                <w:b/>
                <w:sz w:val="20"/>
                <w:lang w:val="fr-CA"/>
              </w:rPr>
              <w:t>L’Oratoire Saint-Joseph du Mont-Royal</w:t>
            </w:r>
          </w:p>
          <w:p w:rsidR="00292C54" w:rsidRPr="00606F29" w:rsidRDefault="00292C54" w:rsidP="006358B9">
            <w:pPr>
              <w:jc w:val="both"/>
              <w:rPr>
                <w:sz w:val="20"/>
              </w:rPr>
            </w:pPr>
            <w:r w:rsidRPr="00606F29">
              <w:rPr>
                <w:sz w:val="20"/>
              </w:rPr>
              <w:t>(Que.) (Civil) (By Leave)</w:t>
            </w:r>
          </w:p>
        </w:tc>
      </w:tr>
      <w:tr w:rsidR="00E2298F" w:rsidRPr="00606F29" w:rsidTr="006358B9">
        <w:tc>
          <w:tcPr>
            <w:tcW w:w="543" w:type="pct"/>
          </w:tcPr>
          <w:p w:rsidR="00E2298F" w:rsidRPr="00606F29" w:rsidRDefault="00E2298F" w:rsidP="00E2298F">
            <w:pPr>
              <w:jc w:val="both"/>
              <w:rPr>
                <w:rStyle w:val="SCCFileNumberChar"/>
                <w:sz w:val="20"/>
                <w:szCs w:val="20"/>
              </w:rPr>
            </w:pPr>
            <w:r w:rsidRPr="00606F29">
              <w:rPr>
                <w:rStyle w:val="SCCFileNumberChar"/>
                <w:sz w:val="20"/>
                <w:szCs w:val="20"/>
              </w:rPr>
              <w:t>Coram:</w:t>
            </w:r>
          </w:p>
        </w:tc>
        <w:tc>
          <w:tcPr>
            <w:tcW w:w="4457" w:type="pct"/>
            <w:gridSpan w:val="3"/>
          </w:tcPr>
          <w:p w:rsidR="00E2298F" w:rsidRPr="00606F29" w:rsidRDefault="00E2298F" w:rsidP="00E2298F">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Karakatsanis</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E2298F" w:rsidRPr="00606F29" w:rsidTr="00E2298F">
        <w:tc>
          <w:tcPr>
            <w:tcW w:w="5000" w:type="pct"/>
            <w:gridSpan w:val="4"/>
          </w:tcPr>
          <w:p w:rsidR="00E2298F" w:rsidRPr="00606F29" w:rsidRDefault="00E2298F" w:rsidP="00E2298F">
            <w:pPr>
              <w:pStyle w:val="SCCLsocParty"/>
              <w:jc w:val="both"/>
              <w:rPr>
                <w:b/>
                <w:sz w:val="20"/>
                <w:szCs w:val="20"/>
                <w:lang w:val="en-US"/>
              </w:rPr>
            </w:pPr>
            <w:r w:rsidRPr="00606F29">
              <w:rPr>
                <w:sz w:val="20"/>
                <w:lang w:val="en-US"/>
              </w:rPr>
              <w:t xml:space="preserve">The motion for directions and for an order to expedite the application for leave to appeal and to abridge the time limits applicable to the appeal of La Province </w:t>
            </w:r>
            <w:proofErr w:type="spellStart"/>
            <w:r w:rsidRPr="00606F29">
              <w:rPr>
                <w:sz w:val="20"/>
                <w:lang w:val="en-US"/>
              </w:rPr>
              <w:t>canadienne</w:t>
            </w:r>
            <w:proofErr w:type="spellEnd"/>
            <w:r w:rsidRPr="00606F29">
              <w:rPr>
                <w:sz w:val="20"/>
                <w:lang w:val="en-US"/>
              </w:rPr>
              <w:t xml:space="preserve"> de la </w:t>
            </w:r>
            <w:proofErr w:type="spellStart"/>
            <w:r w:rsidRPr="00606F29">
              <w:rPr>
                <w:sz w:val="20"/>
                <w:lang w:val="en-US"/>
              </w:rPr>
              <w:t>Congrégation</w:t>
            </w:r>
            <w:proofErr w:type="spellEnd"/>
            <w:r w:rsidRPr="00606F29">
              <w:rPr>
                <w:sz w:val="20"/>
                <w:lang w:val="en-US"/>
              </w:rPr>
              <w:t xml:space="preserve"> de Sainte-Croix is dismissed. The applications for leave to appeal from the judgment of the Court of Appeal of Quebec (Montréal), Number 500-09-025575-150, 2017 QCCA 1460, dated September 26, 2017, are granted without costs.</w:t>
            </w:r>
          </w:p>
        </w:tc>
      </w:tr>
      <w:tr w:rsidR="00E2298F" w:rsidRPr="00606F29" w:rsidTr="006358B9">
        <w:tc>
          <w:tcPr>
            <w:tcW w:w="5000" w:type="pct"/>
            <w:gridSpan w:val="4"/>
          </w:tcPr>
          <w:p w:rsidR="00E2298F" w:rsidRPr="00606F29" w:rsidRDefault="00E2298F" w:rsidP="00E2298F">
            <w:pPr>
              <w:jc w:val="both"/>
              <w:rPr>
                <w:sz w:val="20"/>
              </w:rPr>
            </w:pPr>
            <w:r w:rsidRPr="00606F29">
              <w:rPr>
                <w:sz w:val="20"/>
              </w:rPr>
              <w:t xml:space="preserve">Civil procedure ‒ Class action ‒ Action for damages for sexual assault ‒ Whether art. 2926.1, para. 2 C.C.Q. establishes time limit applicable to any </w:t>
            </w:r>
            <w:r w:rsidRPr="00606F29">
              <w:rPr>
                <w:sz w:val="20"/>
                <w:lang w:val="en"/>
              </w:rPr>
              <w:t>action for damages for bodily injury resulting from act which could constitute criminal offence</w:t>
            </w:r>
            <w:r w:rsidRPr="00606F29">
              <w:rPr>
                <w:sz w:val="20"/>
              </w:rPr>
              <w:t xml:space="preserve"> ‒ If so, whether application to institute class action must be dismissed where right of applicant seeking to be appointed as representative plaintiff has been forfeited, on basis that criteria in art. 575(2) and (4) C.C.P. not met ‒ Whether Court of Appeal should have considered issue of nature of time period in art. 2926.1, para. 2 C.C.Q. on its own initiative ‒ Whether class action may be authorized against entity formed after commission of alleged offences in absence of allegations involving tangible facts, based solely on context and nature of class action contemplated by applicant ‒ Whether Quebec Court of Appeal erred in interpreting and applying criterion in art. 575(1) C.C.P. by finding that issues submitted by respondent as issues to be dealt with collectively were, under law, </w:t>
            </w:r>
            <w:r w:rsidRPr="00606F29">
              <w:rPr>
                <w:sz w:val="20"/>
                <w:lang w:val="en"/>
              </w:rPr>
              <w:t xml:space="preserve">identical, similar or related for all members, including those concerned by conclusion seeking damages specifically against </w:t>
            </w:r>
            <w:proofErr w:type="spellStart"/>
            <w:r w:rsidRPr="00606F29">
              <w:rPr>
                <w:sz w:val="20"/>
              </w:rPr>
              <w:t>Oratoire</w:t>
            </w:r>
            <w:proofErr w:type="spellEnd"/>
            <w:r w:rsidRPr="00606F29">
              <w:rPr>
                <w:sz w:val="20"/>
              </w:rPr>
              <w:t xml:space="preserve"> ‒ Whether Quebec Court of Appeal erred in interpreting and applying criterion in art. 575(2) C.C.P., including by relying essentially on context of respondent’s claim to find that his mere allegation that abuse had been committed on premises owned by </w:t>
            </w:r>
            <w:proofErr w:type="spellStart"/>
            <w:r w:rsidRPr="00606F29">
              <w:rPr>
                <w:sz w:val="20"/>
              </w:rPr>
              <w:t>Oratoire</w:t>
            </w:r>
            <w:proofErr w:type="spellEnd"/>
            <w:r w:rsidRPr="00606F29">
              <w:rPr>
                <w:sz w:val="20"/>
              </w:rPr>
              <w:t xml:space="preserve"> was enough to establish sufficient cause of action against </w:t>
            </w:r>
            <w:proofErr w:type="spellStart"/>
            <w:r w:rsidRPr="00606F29">
              <w:rPr>
                <w:sz w:val="20"/>
              </w:rPr>
              <w:t>Oratoire</w:t>
            </w:r>
            <w:proofErr w:type="spellEnd"/>
            <w:r w:rsidRPr="00606F29">
              <w:rPr>
                <w:sz w:val="20"/>
              </w:rPr>
              <w:t xml:space="preserve"> ‒ Whether Quebec Court of Appeal erred in declining to express view on interpretation, scope and application of art. 2926.1, para. 2 C.C.Q. and, if so, whether right of action that respondent is proposing to exercise in this case was extinguished by expiry of time limit of </w:t>
            </w:r>
            <w:r w:rsidRPr="00606F29">
              <w:rPr>
                <w:sz w:val="20"/>
                <w:lang w:val="en"/>
              </w:rPr>
              <w:t>three years from death</w:t>
            </w:r>
            <w:r w:rsidRPr="00606F29">
              <w:rPr>
                <w:sz w:val="20"/>
              </w:rPr>
              <w:t xml:space="preserve"> of Father Bernard on January 16, 2001 ‒ </w:t>
            </w:r>
            <w:r w:rsidRPr="00606F29">
              <w:rPr>
                <w:i/>
                <w:sz w:val="20"/>
              </w:rPr>
              <w:t>Code of Civil Procedure</w:t>
            </w:r>
            <w:r w:rsidRPr="00606F29">
              <w:rPr>
                <w:sz w:val="20"/>
              </w:rPr>
              <w:t>, CQLR, c. C</w:t>
            </w:r>
            <w:r w:rsidRPr="00606F29">
              <w:rPr>
                <w:sz w:val="20"/>
              </w:rPr>
              <w:noBreakHyphen/>
              <w:t xml:space="preserve">25 (repealed), art. 1003 ‒ </w:t>
            </w:r>
            <w:r w:rsidRPr="00606F29">
              <w:rPr>
                <w:i/>
                <w:sz w:val="20"/>
              </w:rPr>
              <w:t>Code of Civil Procedure</w:t>
            </w:r>
            <w:r w:rsidRPr="00606F29">
              <w:rPr>
                <w:sz w:val="20"/>
              </w:rPr>
              <w:t>, CQLR, c. C</w:t>
            </w:r>
            <w:r w:rsidRPr="00606F29">
              <w:rPr>
                <w:sz w:val="20"/>
              </w:rPr>
              <w:noBreakHyphen/>
              <w:t xml:space="preserve">25.01, art. 575 ‒ </w:t>
            </w:r>
            <w:r w:rsidRPr="00606F29">
              <w:rPr>
                <w:i/>
                <w:sz w:val="20"/>
              </w:rPr>
              <w:t>Civil Code of Québec</w:t>
            </w:r>
            <w:r w:rsidRPr="00606F29">
              <w:rPr>
                <w:sz w:val="20"/>
              </w:rPr>
              <w:t>, arts. 2878, 2904 and 2926.1.</w:t>
            </w:r>
            <w:r w:rsidRPr="00606F29">
              <w:rPr>
                <w:i/>
                <w:sz w:val="20"/>
              </w:rPr>
              <w:t> </w:t>
            </w:r>
          </w:p>
        </w:tc>
      </w:tr>
      <w:tr w:rsidR="00E2298F" w:rsidRPr="00606F29" w:rsidTr="006358B9">
        <w:tc>
          <w:tcPr>
            <w:tcW w:w="5000" w:type="pct"/>
            <w:gridSpan w:val="4"/>
          </w:tcPr>
          <w:p w:rsidR="00E2298F" w:rsidRPr="00606F29" w:rsidRDefault="00E2298F" w:rsidP="00E2298F">
            <w:pPr>
              <w:jc w:val="both"/>
              <w:rPr>
                <w:sz w:val="20"/>
              </w:rPr>
            </w:pPr>
          </w:p>
        </w:tc>
      </w:tr>
      <w:tr w:rsidR="00E2298F" w:rsidRPr="00606F29" w:rsidTr="006358B9">
        <w:tc>
          <w:tcPr>
            <w:tcW w:w="5000" w:type="pct"/>
            <w:gridSpan w:val="4"/>
          </w:tcPr>
          <w:p w:rsidR="00E2298F" w:rsidRPr="00606F29" w:rsidRDefault="00E2298F" w:rsidP="00E2298F">
            <w:pPr>
              <w:jc w:val="both"/>
              <w:rPr>
                <w:sz w:val="20"/>
              </w:rPr>
            </w:pPr>
            <w:r w:rsidRPr="00606F29">
              <w:rPr>
                <w:sz w:val="20"/>
              </w:rPr>
              <w:t xml:space="preserve">The respondent J.J. attended the Notre-Dame-des-Neiges elementary school for four years, from 1951 to 1955, when he and his family were living in a dwelling owned by the applicant and intervener La Province </w:t>
            </w:r>
            <w:proofErr w:type="spellStart"/>
            <w:r w:rsidRPr="00606F29">
              <w:rPr>
                <w:sz w:val="20"/>
              </w:rPr>
              <w:t>canadienne</w:t>
            </w:r>
            <w:proofErr w:type="spellEnd"/>
            <w:r w:rsidRPr="00606F29">
              <w:rPr>
                <w:sz w:val="20"/>
              </w:rPr>
              <w:t xml:space="preserve"> de la </w:t>
            </w:r>
            <w:proofErr w:type="spellStart"/>
            <w:r w:rsidRPr="00606F29">
              <w:rPr>
                <w:sz w:val="20"/>
              </w:rPr>
              <w:t>Congrégation</w:t>
            </w:r>
            <w:proofErr w:type="spellEnd"/>
            <w:r w:rsidRPr="00606F29">
              <w:rPr>
                <w:sz w:val="20"/>
              </w:rPr>
              <w:t xml:space="preserve"> de Sainte-Croix that was near the applicant and intervener </w:t>
            </w:r>
            <w:proofErr w:type="spellStart"/>
            <w:r w:rsidRPr="00606F29">
              <w:rPr>
                <w:sz w:val="20"/>
              </w:rPr>
              <w:t>L’Oratoire</w:t>
            </w:r>
            <w:proofErr w:type="spellEnd"/>
            <w:r w:rsidRPr="00606F29">
              <w:rPr>
                <w:sz w:val="20"/>
              </w:rPr>
              <w:t xml:space="preserve"> Saint-Joseph du Mont-Royal. He alleges that he was sexually assaulted by members of the </w:t>
            </w:r>
            <w:proofErr w:type="spellStart"/>
            <w:r w:rsidRPr="00606F29">
              <w:rPr>
                <w:sz w:val="20"/>
              </w:rPr>
              <w:t>Congrégation</w:t>
            </w:r>
            <w:proofErr w:type="spellEnd"/>
            <w:r w:rsidRPr="00606F29">
              <w:rPr>
                <w:sz w:val="20"/>
              </w:rPr>
              <w:t xml:space="preserve"> de Sainte-Croix during that time, both at the elementary school and at the </w:t>
            </w:r>
            <w:proofErr w:type="spellStart"/>
            <w:r w:rsidRPr="00606F29">
              <w:rPr>
                <w:sz w:val="20"/>
              </w:rPr>
              <w:t>Oratoire</w:t>
            </w:r>
            <w:proofErr w:type="spellEnd"/>
            <w:r w:rsidRPr="00606F29">
              <w:rPr>
                <w:sz w:val="20"/>
              </w:rPr>
              <w:t xml:space="preserve">. The respondent allegedly kept silent about the sexual assault until he saw a report in 2011 on the sexual assaults committed by members of the </w:t>
            </w:r>
            <w:proofErr w:type="spellStart"/>
            <w:r w:rsidRPr="00606F29">
              <w:rPr>
                <w:sz w:val="20"/>
              </w:rPr>
              <w:t>Congrégation</w:t>
            </w:r>
            <w:proofErr w:type="spellEnd"/>
            <w:r w:rsidRPr="00606F29">
              <w:rPr>
                <w:sz w:val="20"/>
              </w:rPr>
              <w:t xml:space="preserve"> de Sainte-Croix that had been prepared by the public affairs show </w:t>
            </w:r>
            <w:proofErr w:type="spellStart"/>
            <w:r w:rsidRPr="00606F29">
              <w:rPr>
                <w:sz w:val="20"/>
              </w:rPr>
              <w:t>Enquête</w:t>
            </w:r>
            <w:proofErr w:type="spellEnd"/>
            <w:r w:rsidRPr="00606F29">
              <w:rPr>
                <w:sz w:val="20"/>
              </w:rPr>
              <w:t xml:space="preserve"> and broadcast on Radio</w:t>
            </w:r>
            <w:r w:rsidRPr="00606F29">
              <w:rPr>
                <w:sz w:val="20"/>
              </w:rPr>
              <w:noBreakHyphen/>
              <w:t xml:space="preserve">Canada. Convinced that hundreds of people had also been sexually assaulted by members of the </w:t>
            </w:r>
            <w:proofErr w:type="spellStart"/>
            <w:r w:rsidRPr="00606F29">
              <w:rPr>
                <w:sz w:val="20"/>
              </w:rPr>
              <w:t>Congrégation</w:t>
            </w:r>
            <w:proofErr w:type="spellEnd"/>
            <w:r w:rsidRPr="00606F29">
              <w:rPr>
                <w:sz w:val="20"/>
              </w:rPr>
              <w:t xml:space="preserve"> de Sainte-Croix, the respondent asked a court to authorize a class action against the applicants and interveners and to appoint him as representative plaintiff. </w:t>
            </w:r>
          </w:p>
          <w:p w:rsidR="00E2298F" w:rsidRPr="00606F29" w:rsidRDefault="00E2298F" w:rsidP="00E2298F">
            <w:pPr>
              <w:jc w:val="both"/>
              <w:rPr>
                <w:sz w:val="20"/>
              </w:rPr>
            </w:pPr>
          </w:p>
        </w:tc>
      </w:tr>
      <w:tr w:rsidR="00E2298F" w:rsidRPr="00606F29" w:rsidTr="006358B9">
        <w:tc>
          <w:tcPr>
            <w:tcW w:w="2427" w:type="pct"/>
            <w:gridSpan w:val="2"/>
          </w:tcPr>
          <w:p w:rsidR="00E2298F" w:rsidRPr="00606F29" w:rsidRDefault="00E2298F" w:rsidP="00E2298F">
            <w:pPr>
              <w:jc w:val="both"/>
              <w:rPr>
                <w:sz w:val="20"/>
              </w:rPr>
            </w:pPr>
            <w:r w:rsidRPr="00606F29">
              <w:rPr>
                <w:sz w:val="20"/>
              </w:rPr>
              <w:t>August 4, 2015</w:t>
            </w:r>
          </w:p>
          <w:p w:rsidR="00E2298F" w:rsidRPr="00606F29" w:rsidRDefault="00E2298F" w:rsidP="00E2298F">
            <w:pPr>
              <w:jc w:val="both"/>
              <w:rPr>
                <w:sz w:val="20"/>
              </w:rPr>
            </w:pPr>
            <w:r w:rsidRPr="00606F29">
              <w:rPr>
                <w:sz w:val="20"/>
              </w:rPr>
              <w:t>Quebec Superior Court</w:t>
            </w:r>
          </w:p>
          <w:p w:rsidR="00E2298F" w:rsidRPr="00606F29" w:rsidRDefault="00E2298F" w:rsidP="00E2298F">
            <w:pPr>
              <w:jc w:val="both"/>
              <w:rPr>
                <w:sz w:val="20"/>
              </w:rPr>
            </w:pPr>
            <w:r w:rsidRPr="00606F29">
              <w:rPr>
                <w:sz w:val="20"/>
              </w:rPr>
              <w:t>(</w:t>
            </w:r>
            <w:proofErr w:type="spellStart"/>
            <w:r w:rsidRPr="00606F29">
              <w:rPr>
                <w:sz w:val="20"/>
              </w:rPr>
              <w:t>Lanctôt</w:t>
            </w:r>
            <w:proofErr w:type="spellEnd"/>
            <w:r w:rsidRPr="00606F29">
              <w:rPr>
                <w:sz w:val="20"/>
              </w:rPr>
              <w:t xml:space="preserve"> J.)</w:t>
            </w:r>
          </w:p>
          <w:p w:rsidR="00E2298F" w:rsidRPr="00606F29" w:rsidRDefault="009813FB" w:rsidP="00E2298F">
            <w:pPr>
              <w:jc w:val="both"/>
              <w:rPr>
                <w:sz w:val="20"/>
              </w:rPr>
            </w:pPr>
            <w:hyperlink r:id="rId33" w:history="1">
              <w:r w:rsidR="00E2298F" w:rsidRPr="00606F29">
                <w:rPr>
                  <w:rStyle w:val="Hyperlink"/>
                  <w:sz w:val="20"/>
                </w:rPr>
                <w:t>2015 QCCS 3583</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proofErr w:type="spellStart"/>
            <w:r w:rsidRPr="00606F29">
              <w:rPr>
                <w:sz w:val="20"/>
              </w:rPr>
              <w:t>Reamended</w:t>
            </w:r>
            <w:proofErr w:type="spellEnd"/>
            <w:r w:rsidRPr="00606F29">
              <w:rPr>
                <w:sz w:val="20"/>
              </w:rPr>
              <w:t xml:space="preserve"> motion for authorization to institute class action and to be appointed representative plaintiff dismissed</w:t>
            </w:r>
          </w:p>
          <w:p w:rsidR="00E2298F" w:rsidRPr="00606F29" w:rsidRDefault="00E2298F" w:rsidP="00E2298F">
            <w:pPr>
              <w:jc w:val="both"/>
              <w:rPr>
                <w:sz w:val="20"/>
              </w:rPr>
            </w:pPr>
          </w:p>
        </w:tc>
      </w:tr>
      <w:tr w:rsidR="00E2298F" w:rsidRPr="00606F29" w:rsidTr="006358B9">
        <w:tc>
          <w:tcPr>
            <w:tcW w:w="2427" w:type="pct"/>
            <w:gridSpan w:val="2"/>
          </w:tcPr>
          <w:p w:rsidR="00E2298F" w:rsidRPr="00606F29" w:rsidRDefault="00E2298F" w:rsidP="00E2298F">
            <w:pPr>
              <w:jc w:val="both"/>
              <w:rPr>
                <w:sz w:val="20"/>
              </w:rPr>
            </w:pPr>
            <w:r w:rsidRPr="00606F29">
              <w:rPr>
                <w:sz w:val="20"/>
              </w:rPr>
              <w:t>September 26, 2017</w:t>
            </w:r>
          </w:p>
          <w:p w:rsidR="00E2298F" w:rsidRPr="00606F29" w:rsidRDefault="00E2298F" w:rsidP="00E2298F">
            <w:pPr>
              <w:jc w:val="both"/>
              <w:rPr>
                <w:sz w:val="20"/>
              </w:rPr>
            </w:pPr>
            <w:r w:rsidRPr="00606F29">
              <w:rPr>
                <w:sz w:val="20"/>
              </w:rPr>
              <w:t>Quebec Court of Appeal (Montréal)</w:t>
            </w:r>
          </w:p>
          <w:p w:rsidR="00E2298F" w:rsidRPr="00606F29" w:rsidRDefault="00E2298F" w:rsidP="00E2298F">
            <w:pPr>
              <w:jc w:val="both"/>
              <w:rPr>
                <w:sz w:val="20"/>
              </w:rPr>
            </w:pPr>
            <w:r w:rsidRPr="00606F29">
              <w:rPr>
                <w:sz w:val="20"/>
              </w:rPr>
              <w:t>(Gagnon, Marcotte [dissenting in part] and Healy JJ.A.)</w:t>
            </w:r>
          </w:p>
          <w:p w:rsidR="00E2298F" w:rsidRPr="00606F29" w:rsidRDefault="009813FB" w:rsidP="00E2298F">
            <w:pPr>
              <w:jc w:val="both"/>
              <w:rPr>
                <w:sz w:val="20"/>
              </w:rPr>
            </w:pPr>
            <w:hyperlink r:id="rId34" w:history="1">
              <w:r w:rsidR="00E2298F" w:rsidRPr="00606F29">
                <w:rPr>
                  <w:rStyle w:val="Hyperlink"/>
                  <w:sz w:val="20"/>
                </w:rPr>
                <w:t>2017 QCCA 1460</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r w:rsidRPr="00606F29">
              <w:rPr>
                <w:sz w:val="20"/>
              </w:rPr>
              <w:t>Appeal allowed; class action authorized and representative plaintiff appointed for purposes of instituting class action</w:t>
            </w:r>
          </w:p>
          <w:p w:rsidR="00E2298F" w:rsidRPr="00606F29" w:rsidRDefault="00E2298F" w:rsidP="00E2298F">
            <w:pPr>
              <w:jc w:val="both"/>
              <w:rPr>
                <w:sz w:val="20"/>
              </w:rPr>
            </w:pPr>
          </w:p>
        </w:tc>
      </w:tr>
      <w:tr w:rsidR="00E2298F" w:rsidRPr="00606F29" w:rsidTr="006358B9">
        <w:tc>
          <w:tcPr>
            <w:tcW w:w="2427" w:type="pct"/>
            <w:gridSpan w:val="2"/>
          </w:tcPr>
          <w:p w:rsidR="00E2298F" w:rsidRPr="00606F29" w:rsidRDefault="00E2298F" w:rsidP="00E2298F">
            <w:pPr>
              <w:jc w:val="both"/>
              <w:rPr>
                <w:sz w:val="20"/>
              </w:rPr>
            </w:pPr>
            <w:r w:rsidRPr="00606F29">
              <w:rPr>
                <w:sz w:val="20"/>
              </w:rPr>
              <w:lastRenderedPageBreak/>
              <w:t>November 24, 2017</w:t>
            </w:r>
          </w:p>
          <w:p w:rsidR="00E2298F" w:rsidRPr="00606F29" w:rsidRDefault="00E2298F" w:rsidP="00E2298F">
            <w:pPr>
              <w:jc w:val="both"/>
              <w:rPr>
                <w:sz w:val="20"/>
              </w:rPr>
            </w:pPr>
            <w:r w:rsidRPr="00606F29">
              <w:rPr>
                <w:sz w:val="20"/>
              </w:rPr>
              <w:t>Supreme Court of Canada</w:t>
            </w: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r w:rsidRPr="00606F29">
              <w:rPr>
                <w:sz w:val="20"/>
              </w:rPr>
              <w:t>Applications for leave to appeal filed</w:t>
            </w:r>
          </w:p>
        </w:tc>
      </w:tr>
    </w:tbl>
    <w:p w:rsidR="00292C54" w:rsidRPr="00606F29" w:rsidRDefault="00292C54" w:rsidP="00292C5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92C54" w:rsidRPr="00606F29" w:rsidTr="006358B9">
        <w:tc>
          <w:tcPr>
            <w:tcW w:w="543" w:type="pct"/>
          </w:tcPr>
          <w:p w:rsidR="00292C54" w:rsidRPr="00606F29" w:rsidRDefault="00292C54" w:rsidP="006358B9">
            <w:pPr>
              <w:jc w:val="both"/>
              <w:rPr>
                <w:sz w:val="20"/>
              </w:rPr>
            </w:pPr>
            <w:r w:rsidRPr="00606F29">
              <w:rPr>
                <w:rStyle w:val="SCCFileNumberChar"/>
                <w:sz w:val="20"/>
                <w:szCs w:val="20"/>
              </w:rPr>
              <w:t>37855</w:t>
            </w:r>
          </w:p>
        </w:tc>
        <w:tc>
          <w:tcPr>
            <w:tcW w:w="4457" w:type="pct"/>
            <w:gridSpan w:val="3"/>
          </w:tcPr>
          <w:p w:rsidR="00292C54" w:rsidRPr="00606F29" w:rsidRDefault="00292C54" w:rsidP="006358B9">
            <w:pPr>
              <w:pStyle w:val="SCCLsocParty"/>
              <w:jc w:val="both"/>
              <w:rPr>
                <w:b/>
                <w:sz w:val="20"/>
                <w:szCs w:val="20"/>
              </w:rPr>
            </w:pPr>
            <w:r w:rsidRPr="00606F29">
              <w:rPr>
                <w:b/>
                <w:sz w:val="20"/>
                <w:szCs w:val="20"/>
              </w:rPr>
              <w:t>L’Oratoire Saint-Joseph du Mont-Royal c. J. J.</w:t>
            </w:r>
          </w:p>
          <w:p w:rsidR="00292C54" w:rsidRPr="00606F29" w:rsidRDefault="00292C54" w:rsidP="006358B9">
            <w:pPr>
              <w:pStyle w:val="SCCLsocOtherPartySeparator"/>
              <w:rPr>
                <w:sz w:val="20"/>
                <w:szCs w:val="20"/>
                <w:lang w:val="fr-CA"/>
              </w:rPr>
            </w:pPr>
            <w:r w:rsidRPr="00606F29">
              <w:rPr>
                <w:sz w:val="20"/>
                <w:szCs w:val="20"/>
                <w:lang w:val="fr-CA"/>
              </w:rPr>
              <w:t>- et -</w:t>
            </w:r>
          </w:p>
          <w:p w:rsidR="00292C54" w:rsidRPr="00606F29" w:rsidRDefault="00292C54" w:rsidP="006358B9">
            <w:pPr>
              <w:jc w:val="both"/>
              <w:rPr>
                <w:b/>
                <w:sz w:val="20"/>
                <w:lang w:val="fr-CA"/>
              </w:rPr>
            </w:pPr>
            <w:r w:rsidRPr="00606F29">
              <w:rPr>
                <w:b/>
                <w:sz w:val="20"/>
                <w:lang w:val="fr-CA"/>
              </w:rPr>
              <w:t>La Province canadienne de la Congrégation de Sainte-Croix</w:t>
            </w:r>
          </w:p>
          <w:p w:rsidR="00292C54" w:rsidRPr="00606F29" w:rsidRDefault="00292C54" w:rsidP="006358B9">
            <w:pPr>
              <w:pStyle w:val="SCCLsocSubfileSeparator"/>
              <w:rPr>
                <w:sz w:val="20"/>
                <w:szCs w:val="20"/>
              </w:rPr>
            </w:pPr>
            <w:r w:rsidRPr="00606F29">
              <w:rPr>
                <w:sz w:val="20"/>
                <w:szCs w:val="20"/>
              </w:rPr>
              <w:t>- et entre -</w:t>
            </w:r>
          </w:p>
          <w:p w:rsidR="00292C54" w:rsidRPr="00606F29" w:rsidRDefault="00292C54" w:rsidP="006358B9">
            <w:pPr>
              <w:pStyle w:val="SCCLsocParty"/>
              <w:jc w:val="both"/>
              <w:rPr>
                <w:b/>
                <w:sz w:val="20"/>
                <w:szCs w:val="20"/>
              </w:rPr>
            </w:pPr>
            <w:r w:rsidRPr="00606F29">
              <w:rPr>
                <w:b/>
                <w:sz w:val="20"/>
                <w:szCs w:val="20"/>
              </w:rPr>
              <w:t>La Province canadienne de la Congrégation de Sainte-Croix c. J. J.</w:t>
            </w:r>
          </w:p>
          <w:p w:rsidR="00292C54" w:rsidRPr="00606F29" w:rsidRDefault="00292C54" w:rsidP="006358B9">
            <w:pPr>
              <w:pStyle w:val="SCCLsocOtherPartySeparator"/>
              <w:rPr>
                <w:sz w:val="20"/>
                <w:szCs w:val="20"/>
                <w:lang w:val="fr-CA"/>
              </w:rPr>
            </w:pPr>
            <w:r w:rsidRPr="00606F29">
              <w:rPr>
                <w:sz w:val="20"/>
                <w:szCs w:val="20"/>
                <w:lang w:val="fr-CA"/>
              </w:rPr>
              <w:t>- et -</w:t>
            </w:r>
          </w:p>
          <w:p w:rsidR="00292C54" w:rsidRPr="00606F29" w:rsidRDefault="00292C54" w:rsidP="006358B9">
            <w:pPr>
              <w:jc w:val="both"/>
              <w:rPr>
                <w:b/>
                <w:sz w:val="20"/>
                <w:lang w:val="fr-CA"/>
              </w:rPr>
            </w:pPr>
            <w:r w:rsidRPr="00606F29">
              <w:rPr>
                <w:b/>
                <w:sz w:val="20"/>
                <w:lang w:val="fr-CA"/>
              </w:rPr>
              <w:t>L’Oratoire Saint-Joseph du Mont-Royal</w:t>
            </w:r>
          </w:p>
          <w:p w:rsidR="00292C54" w:rsidRPr="00606F29" w:rsidRDefault="00292C54" w:rsidP="006358B9">
            <w:pPr>
              <w:jc w:val="both"/>
              <w:rPr>
                <w:sz w:val="20"/>
              </w:rPr>
            </w:pPr>
            <w:r w:rsidRPr="00606F29">
              <w:rPr>
                <w:sz w:val="20"/>
              </w:rPr>
              <w:t>(Qc) (</w:t>
            </w:r>
            <w:proofErr w:type="spellStart"/>
            <w:r w:rsidRPr="00606F29">
              <w:rPr>
                <w:sz w:val="20"/>
              </w:rPr>
              <w:t>Civile</w:t>
            </w:r>
            <w:proofErr w:type="spellEnd"/>
            <w:r w:rsidRPr="00606F29">
              <w:rPr>
                <w:sz w:val="20"/>
              </w:rPr>
              <w:t>) (</w:t>
            </w:r>
            <w:proofErr w:type="spellStart"/>
            <w:r w:rsidRPr="00606F29">
              <w:rPr>
                <w:sz w:val="20"/>
              </w:rPr>
              <w:t>Autorisation</w:t>
            </w:r>
            <w:proofErr w:type="spellEnd"/>
            <w:r w:rsidRPr="00606F29">
              <w:rPr>
                <w:sz w:val="20"/>
              </w:rPr>
              <w:t>)</w:t>
            </w:r>
          </w:p>
        </w:tc>
      </w:tr>
      <w:tr w:rsidR="00E2298F" w:rsidRPr="009813FB" w:rsidTr="006358B9">
        <w:tc>
          <w:tcPr>
            <w:tcW w:w="543" w:type="pct"/>
          </w:tcPr>
          <w:p w:rsidR="00E2298F" w:rsidRPr="00606F29" w:rsidRDefault="00E2298F" w:rsidP="00E2298F">
            <w:pPr>
              <w:jc w:val="both"/>
              <w:rPr>
                <w:rStyle w:val="SCCFileNumberChar"/>
                <w:sz w:val="20"/>
                <w:szCs w:val="20"/>
                <w:lang w:val="fr-CA"/>
              </w:rPr>
            </w:pPr>
            <w:r w:rsidRPr="00606F29">
              <w:rPr>
                <w:rStyle w:val="SCCFileNumberChar"/>
                <w:sz w:val="20"/>
                <w:szCs w:val="20"/>
                <w:lang w:val="fr-CA"/>
              </w:rPr>
              <w:t>Coram :</w:t>
            </w:r>
          </w:p>
        </w:tc>
        <w:tc>
          <w:tcPr>
            <w:tcW w:w="4457" w:type="pct"/>
            <w:gridSpan w:val="3"/>
          </w:tcPr>
          <w:p w:rsidR="00E2298F" w:rsidRPr="00606F29" w:rsidRDefault="00E2298F" w:rsidP="00E2298F">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xml:space="preserve">, </w:t>
            </w:r>
            <w:proofErr w:type="spellStart"/>
            <w:r w:rsidRPr="00606F29">
              <w:rPr>
                <w:sz w:val="20"/>
                <w:lang w:val="fr-FR"/>
              </w:rPr>
              <w:t>Karakatsanis</w:t>
            </w:r>
            <w:proofErr w:type="spellEnd"/>
            <w:r w:rsidRPr="00606F29">
              <w:rPr>
                <w:sz w:val="20"/>
                <w:lang w:val="fr-FR"/>
              </w:rPr>
              <w:t>, Gascon, Côté, Brown, Rowe et Martin</w:t>
            </w:r>
          </w:p>
        </w:tc>
      </w:tr>
      <w:tr w:rsidR="00E2298F" w:rsidRPr="009813FB" w:rsidTr="00E2298F">
        <w:tc>
          <w:tcPr>
            <w:tcW w:w="5000" w:type="pct"/>
            <w:gridSpan w:val="4"/>
          </w:tcPr>
          <w:p w:rsidR="00E2298F" w:rsidRPr="00606F29" w:rsidRDefault="00E2298F" w:rsidP="00E2298F">
            <w:pPr>
              <w:pStyle w:val="SCCLsocParty"/>
              <w:jc w:val="both"/>
              <w:rPr>
                <w:b/>
                <w:sz w:val="20"/>
                <w:szCs w:val="20"/>
              </w:rPr>
            </w:pPr>
            <w:r w:rsidRPr="00606F29">
              <w:rPr>
                <w:sz w:val="20"/>
              </w:rPr>
              <w:t>La requête pour directives et pour accélérer le traitement de la demande d’autorisation de l’appel et en vue d’abréger les délais applicables à l’appel déposée par La Province canadienne de la Congrégation de Sainte-Croix est rejetée.  Les demandes d’autorisation d’appel de l’arrêt de la Cour d’appel du Québec (Montréal), numéro 500-09-025575-150, 2017 QCCA 1460,  daté du 26 septembre 2017, sont accueillies sans dépens.</w:t>
            </w:r>
          </w:p>
        </w:tc>
      </w:tr>
      <w:tr w:rsidR="00E2298F" w:rsidRPr="009813FB" w:rsidTr="006358B9">
        <w:tc>
          <w:tcPr>
            <w:tcW w:w="5000" w:type="pct"/>
            <w:gridSpan w:val="4"/>
          </w:tcPr>
          <w:p w:rsidR="00E2298F" w:rsidRPr="00606F29" w:rsidRDefault="00E2298F" w:rsidP="00E2298F">
            <w:pPr>
              <w:jc w:val="both"/>
              <w:rPr>
                <w:sz w:val="20"/>
                <w:lang w:val="fr-CA"/>
              </w:rPr>
            </w:pPr>
            <w:r w:rsidRPr="00606F29">
              <w:rPr>
                <w:sz w:val="20"/>
                <w:lang w:val="fr-CA"/>
              </w:rPr>
              <w:t xml:space="preserve">Procédure civile ‒ Recours collectif ‒ Action en réparation pour agressions sexuelles ‒ L’al. 2926.1(2) </w:t>
            </w:r>
            <w:proofErr w:type="spellStart"/>
            <w:r w:rsidRPr="00606F29">
              <w:rPr>
                <w:sz w:val="20"/>
                <w:lang w:val="fr-CA"/>
              </w:rPr>
              <w:t>C.c.Q</w:t>
            </w:r>
            <w:proofErr w:type="spellEnd"/>
            <w:r w:rsidRPr="00606F29">
              <w:rPr>
                <w:sz w:val="20"/>
                <w:lang w:val="fr-CA"/>
              </w:rPr>
              <w:t xml:space="preserve">. est-il un délai de déchéance applicable à toute action en réparation du préjudice corporel résultant d’un acte pouvant constituer une infraction criminelle? Dans l’affirmative, une demande d’exercer une action collective </w:t>
            </w:r>
            <w:proofErr w:type="spellStart"/>
            <w:r w:rsidRPr="00606F29">
              <w:rPr>
                <w:sz w:val="20"/>
                <w:lang w:val="fr-CA"/>
              </w:rPr>
              <w:t>doit-elle</w:t>
            </w:r>
            <w:proofErr w:type="spellEnd"/>
            <w:r w:rsidRPr="00606F29">
              <w:rPr>
                <w:sz w:val="20"/>
                <w:lang w:val="fr-CA"/>
              </w:rPr>
              <w:t xml:space="preserve"> être refusée lorsque le droit du requérant voulant obtenir le statut de représentant est déchu, le tout considérant que les critères des </w:t>
            </w:r>
            <w:proofErr w:type="spellStart"/>
            <w:r w:rsidRPr="00606F29">
              <w:rPr>
                <w:sz w:val="20"/>
                <w:lang w:val="fr-CA"/>
              </w:rPr>
              <w:t>par</w:t>
            </w:r>
            <w:proofErr w:type="spellEnd"/>
            <w:r w:rsidRPr="00606F29">
              <w:rPr>
                <w:sz w:val="20"/>
                <w:lang w:val="fr-CA"/>
              </w:rPr>
              <w:t xml:space="preserve">. 575(2) et 575(4) </w:t>
            </w:r>
            <w:proofErr w:type="spellStart"/>
            <w:r w:rsidRPr="00606F29">
              <w:rPr>
                <w:sz w:val="20"/>
                <w:lang w:val="fr-CA"/>
              </w:rPr>
              <w:t>C.p.c</w:t>
            </w:r>
            <w:proofErr w:type="spellEnd"/>
            <w:r w:rsidRPr="00606F29">
              <w:rPr>
                <w:sz w:val="20"/>
                <w:lang w:val="fr-CA"/>
              </w:rPr>
              <w:t xml:space="preserve">. ne sont pas remplis? ‒ La Cour d’appel devrait-elle se saisir d’office de la question de la nature du délai prévu à l’al. 2926.1(2) </w:t>
            </w:r>
            <w:proofErr w:type="spellStart"/>
            <w:r w:rsidRPr="00606F29">
              <w:rPr>
                <w:sz w:val="20"/>
                <w:lang w:val="fr-CA"/>
              </w:rPr>
              <w:t>C.c.Q</w:t>
            </w:r>
            <w:proofErr w:type="spellEnd"/>
            <w:r w:rsidRPr="00606F29">
              <w:rPr>
                <w:sz w:val="20"/>
                <w:lang w:val="fr-CA"/>
              </w:rPr>
              <w:t xml:space="preserve">? ‒ Une action collective peut-elle être autorisée à l’encontre d’une entité constituée après la commission des prétendus délits allégués en l’absence d’allégations de faits palpables en raison du seul contexte et de la nature de l’action collective envisagée par le requérant? ‒ La Cour d’appel du Québec a-t-elle erré dans son interprétation et dans son application du critère prévu à l’art. 575(1) </w:t>
            </w:r>
            <w:proofErr w:type="spellStart"/>
            <w:r w:rsidRPr="00606F29">
              <w:rPr>
                <w:sz w:val="20"/>
                <w:lang w:val="fr-CA"/>
              </w:rPr>
              <w:t>C.p.c</w:t>
            </w:r>
            <w:proofErr w:type="spellEnd"/>
            <w:r w:rsidRPr="00606F29">
              <w:rPr>
                <w:sz w:val="20"/>
                <w:lang w:val="fr-CA"/>
              </w:rPr>
              <w:t xml:space="preserve">. en concluant que les questions soumises par l’intimé comme devant être traitées collectivement constituaient en vertu de la loi des questions identiques, similaires ou connexes à tous les membres, incluant ceux visés par la conclusion en dommages visant spécifiquement l’Oratoire? ‒ La Cour d’appel du Québec a-t-elle erré dans son interprétation et dans son application du critère prévu à l’art. 575(2) </w:t>
            </w:r>
            <w:proofErr w:type="spellStart"/>
            <w:r w:rsidRPr="00606F29">
              <w:rPr>
                <w:sz w:val="20"/>
                <w:lang w:val="fr-CA"/>
              </w:rPr>
              <w:t>C.p.c</w:t>
            </w:r>
            <w:proofErr w:type="spellEnd"/>
            <w:r w:rsidRPr="00606F29">
              <w:rPr>
                <w:sz w:val="20"/>
                <w:lang w:val="fr-CA"/>
              </w:rPr>
              <w:t xml:space="preserve">., notamment en se justifiant essentiellement du contexte de la réclamation de l’intimé pour conclure que le seul fait pour celui-ci d’alléguer que des sévices ont été commis sur les lieux propriété de l’Oratoire était suffisant pour démontrer l’existence d’une cause d’action suffisante contre celui-ci? ‒ La Cour d’appel du Québec a-t-elle erré en refusant de se prononcer sur l’interprétation, la portée et l’application du l’art. 2926.1 al. 2 </w:t>
            </w:r>
            <w:proofErr w:type="spellStart"/>
            <w:r w:rsidRPr="00606F29">
              <w:rPr>
                <w:sz w:val="20"/>
                <w:lang w:val="fr-CA"/>
              </w:rPr>
              <w:t>C.c.Q</w:t>
            </w:r>
            <w:proofErr w:type="spellEnd"/>
            <w:r w:rsidRPr="00606F29">
              <w:rPr>
                <w:sz w:val="20"/>
                <w:lang w:val="fr-CA"/>
              </w:rPr>
              <w:t xml:space="preserve">. et dans l’affirmative, est-ce que le droit d’action que se propose d’instituer l’intimé en l’instance est éteint par l’expiration du délai de 3 ans à compter du décès du père Bernard le 16 janvier 2001? ‒ </w:t>
            </w:r>
            <w:r w:rsidRPr="00606F29">
              <w:rPr>
                <w:i/>
                <w:sz w:val="20"/>
                <w:lang w:val="fr-FR"/>
              </w:rPr>
              <w:t>Code de procédure civile</w:t>
            </w:r>
            <w:r w:rsidRPr="00606F29">
              <w:rPr>
                <w:sz w:val="20"/>
                <w:lang w:val="fr-FR"/>
              </w:rPr>
              <w:t>, RLRQ c. C-25 (abrogé), art. 1003</w:t>
            </w:r>
            <w:r w:rsidRPr="00606F29">
              <w:rPr>
                <w:sz w:val="20"/>
                <w:lang w:val="fr-CA"/>
              </w:rPr>
              <w:t xml:space="preserve"> ‒ </w:t>
            </w:r>
            <w:r w:rsidRPr="00606F29">
              <w:rPr>
                <w:i/>
                <w:sz w:val="20"/>
                <w:lang w:val="fr-FR"/>
              </w:rPr>
              <w:t>Code de procédure civile</w:t>
            </w:r>
            <w:r w:rsidRPr="00606F29">
              <w:rPr>
                <w:sz w:val="20"/>
                <w:lang w:val="fr-FR"/>
              </w:rPr>
              <w:t>, RLRQ c. C-25.01, art. 575</w:t>
            </w:r>
            <w:r w:rsidRPr="00606F29">
              <w:rPr>
                <w:sz w:val="20"/>
                <w:lang w:val="fr-CA"/>
              </w:rPr>
              <w:t xml:space="preserve"> ‒ </w:t>
            </w:r>
            <w:r w:rsidRPr="00606F29">
              <w:rPr>
                <w:i/>
                <w:sz w:val="20"/>
                <w:lang w:val="fr-CA"/>
              </w:rPr>
              <w:t>Code civil du Québec</w:t>
            </w:r>
            <w:r w:rsidRPr="00606F29">
              <w:rPr>
                <w:sz w:val="20"/>
                <w:lang w:val="fr-CA"/>
              </w:rPr>
              <w:t>, art. 2878, 2904 et 2926.1.</w:t>
            </w:r>
            <w:r w:rsidRPr="00606F29">
              <w:rPr>
                <w:i/>
                <w:sz w:val="20"/>
                <w:lang w:val="fr-CA"/>
              </w:rPr>
              <w:t> </w:t>
            </w:r>
          </w:p>
        </w:tc>
      </w:tr>
      <w:tr w:rsidR="00E2298F" w:rsidRPr="009813FB" w:rsidTr="006358B9">
        <w:tc>
          <w:tcPr>
            <w:tcW w:w="5000" w:type="pct"/>
            <w:gridSpan w:val="4"/>
          </w:tcPr>
          <w:p w:rsidR="00E2298F" w:rsidRPr="00606F29" w:rsidRDefault="00E2298F" w:rsidP="00E2298F">
            <w:pPr>
              <w:jc w:val="both"/>
              <w:rPr>
                <w:sz w:val="20"/>
                <w:lang w:val="fr-CA"/>
              </w:rPr>
            </w:pPr>
          </w:p>
        </w:tc>
      </w:tr>
      <w:tr w:rsidR="00E2298F" w:rsidRPr="009813FB" w:rsidTr="006358B9">
        <w:tc>
          <w:tcPr>
            <w:tcW w:w="5000" w:type="pct"/>
            <w:gridSpan w:val="4"/>
          </w:tcPr>
          <w:p w:rsidR="00E2298F" w:rsidRPr="00606F29" w:rsidRDefault="00E2298F" w:rsidP="00E2298F">
            <w:pPr>
              <w:jc w:val="both"/>
              <w:rPr>
                <w:sz w:val="20"/>
                <w:lang w:val="fr-CA"/>
              </w:rPr>
            </w:pPr>
            <w:r w:rsidRPr="00606F29">
              <w:rPr>
                <w:sz w:val="20"/>
                <w:lang w:val="fr-CA"/>
              </w:rPr>
              <w:t xml:space="preserve">L’intimé, J.J., a fréquenté l’école primaire Notre-Dame-des-Neiges durant quatre ans, de 1951 à 1955, alors que sa famille et lui résidaient dans un logement appartenant à la demanderesse et intervenante, la Province canadienne de la Congrégation de Sainte-Croix, près de l’Oratoire Saint-Joseph du Mont-Royal également demandeur et intervenant. Au cours de cette période, il affirme avoir été victime d’agressions sexuelles de la part de membres de la Congrégation Sainte-Croix tant à l’école primaire qu’à l’Oratoire. L’intimé aurait gardé sous silence ces agressions sexuelles jusqu’au visionnement, en 2011, d’un reportage portant sur des agressions sexuelles commises par des membres de la Congrégation de Sainte-Croix préparé par l’émission d’affaires publiques Enquête et télédiffusé à Radio-Canada. Convaincu que plusieurs centaines de personnes auraient été également victimes d’agressions sexuelles de la part des membres de la Congrégation de Sainte-Croix, l’intimé a demandé au tribunal d’autoriser une action collective contre les demandeurs et intervenants et de lui attribuer le statut de représentant. </w:t>
            </w:r>
          </w:p>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Le 4 août 2015</w:t>
            </w:r>
          </w:p>
          <w:p w:rsidR="00E2298F" w:rsidRPr="00606F29" w:rsidRDefault="00E2298F" w:rsidP="00E2298F">
            <w:pPr>
              <w:jc w:val="both"/>
              <w:rPr>
                <w:sz w:val="20"/>
                <w:lang w:val="fr-CA"/>
              </w:rPr>
            </w:pPr>
            <w:r w:rsidRPr="00606F29">
              <w:rPr>
                <w:sz w:val="20"/>
                <w:lang w:val="fr-CA"/>
              </w:rPr>
              <w:t>Cour supérieure du Québec</w:t>
            </w:r>
          </w:p>
          <w:p w:rsidR="00E2298F" w:rsidRPr="00606F29" w:rsidRDefault="00E2298F" w:rsidP="00E2298F">
            <w:pPr>
              <w:jc w:val="both"/>
              <w:rPr>
                <w:sz w:val="20"/>
              </w:rPr>
            </w:pPr>
            <w:r w:rsidRPr="00606F29">
              <w:rPr>
                <w:sz w:val="20"/>
              </w:rPr>
              <w:t xml:space="preserve">(Le </w:t>
            </w:r>
            <w:proofErr w:type="spellStart"/>
            <w:r w:rsidRPr="00606F29">
              <w:rPr>
                <w:sz w:val="20"/>
              </w:rPr>
              <w:t>juge</w:t>
            </w:r>
            <w:proofErr w:type="spellEnd"/>
            <w:r w:rsidRPr="00606F29">
              <w:rPr>
                <w:sz w:val="20"/>
              </w:rPr>
              <w:t xml:space="preserve"> </w:t>
            </w:r>
            <w:proofErr w:type="spellStart"/>
            <w:r w:rsidRPr="00606F29">
              <w:rPr>
                <w:sz w:val="20"/>
              </w:rPr>
              <w:t>Lanctôt</w:t>
            </w:r>
            <w:proofErr w:type="spellEnd"/>
            <w:r w:rsidRPr="00606F29">
              <w:rPr>
                <w:sz w:val="20"/>
              </w:rPr>
              <w:t>)</w:t>
            </w:r>
          </w:p>
          <w:p w:rsidR="00E2298F" w:rsidRPr="00606F29" w:rsidRDefault="009813FB" w:rsidP="00E2298F">
            <w:pPr>
              <w:jc w:val="both"/>
              <w:rPr>
                <w:sz w:val="20"/>
              </w:rPr>
            </w:pPr>
            <w:hyperlink r:id="rId35" w:history="1">
              <w:r w:rsidR="00E2298F" w:rsidRPr="00606F29">
                <w:rPr>
                  <w:rStyle w:val="Hyperlink"/>
                  <w:sz w:val="20"/>
                </w:rPr>
                <w:t>2015 QCCS 3583</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lang w:val="fr-CA"/>
              </w:rPr>
            </w:pPr>
            <w:r w:rsidRPr="00606F29">
              <w:rPr>
                <w:sz w:val="20"/>
                <w:lang w:val="fr-CA"/>
              </w:rPr>
              <w:t xml:space="preserve">Requête </w:t>
            </w:r>
            <w:proofErr w:type="spellStart"/>
            <w:r w:rsidRPr="00606F29">
              <w:rPr>
                <w:sz w:val="20"/>
                <w:lang w:val="fr-CA"/>
              </w:rPr>
              <w:t>réamendée</w:t>
            </w:r>
            <w:proofErr w:type="spellEnd"/>
            <w:r w:rsidRPr="00606F29">
              <w:rPr>
                <w:sz w:val="20"/>
                <w:lang w:val="fr-CA"/>
              </w:rPr>
              <w:t xml:space="preserve"> pour autorisation d’exercer un recours collectif et pour être représentant rejetée.</w:t>
            </w:r>
          </w:p>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Le 26 septembre 2017</w:t>
            </w:r>
          </w:p>
          <w:p w:rsidR="00E2298F" w:rsidRPr="00606F29" w:rsidRDefault="00E2298F" w:rsidP="00E2298F">
            <w:pPr>
              <w:jc w:val="both"/>
              <w:rPr>
                <w:sz w:val="20"/>
                <w:lang w:val="fr-CA"/>
              </w:rPr>
            </w:pPr>
            <w:r w:rsidRPr="00606F29">
              <w:rPr>
                <w:sz w:val="20"/>
                <w:lang w:val="fr-CA"/>
              </w:rPr>
              <w:t>Cour d’appel du Québec (Montréal)</w:t>
            </w:r>
          </w:p>
          <w:p w:rsidR="00E2298F" w:rsidRPr="00606F29" w:rsidRDefault="00E2298F" w:rsidP="00E2298F">
            <w:pPr>
              <w:jc w:val="both"/>
              <w:rPr>
                <w:sz w:val="20"/>
                <w:lang w:val="fr-CA"/>
              </w:rPr>
            </w:pPr>
            <w:r w:rsidRPr="00606F29">
              <w:rPr>
                <w:sz w:val="20"/>
                <w:lang w:val="fr-CA"/>
              </w:rPr>
              <w:t xml:space="preserve">(Les juges Gagnon, Marcotte [dissidente en partie] et </w:t>
            </w:r>
            <w:proofErr w:type="spellStart"/>
            <w:r w:rsidRPr="00606F29">
              <w:rPr>
                <w:sz w:val="20"/>
                <w:lang w:val="fr-CA"/>
              </w:rPr>
              <w:t>Healy</w:t>
            </w:r>
            <w:proofErr w:type="spellEnd"/>
            <w:r w:rsidRPr="00606F29">
              <w:rPr>
                <w:sz w:val="20"/>
                <w:lang w:val="fr-CA"/>
              </w:rPr>
              <w:t>)</w:t>
            </w:r>
          </w:p>
          <w:p w:rsidR="00E2298F" w:rsidRPr="00606F29" w:rsidRDefault="009813FB" w:rsidP="00E2298F">
            <w:pPr>
              <w:jc w:val="both"/>
              <w:rPr>
                <w:sz w:val="20"/>
              </w:rPr>
            </w:pPr>
            <w:hyperlink r:id="rId36" w:history="1">
              <w:r w:rsidR="00E2298F" w:rsidRPr="00606F29">
                <w:rPr>
                  <w:rStyle w:val="Hyperlink"/>
                  <w:sz w:val="20"/>
                </w:rPr>
                <w:t>2017 QCCA 1460</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lang w:val="fr-CA"/>
              </w:rPr>
            </w:pPr>
            <w:r w:rsidRPr="00606F29">
              <w:rPr>
                <w:sz w:val="20"/>
                <w:lang w:val="fr-CA"/>
              </w:rPr>
              <w:t>Appel accueilli; exercice de l’action collective autorisé et statut de représentant aux fins d’exercer l’action collective accordé.</w:t>
            </w:r>
          </w:p>
          <w:p w:rsidR="00E2298F" w:rsidRPr="00606F29" w:rsidRDefault="00E2298F" w:rsidP="00E2298F">
            <w:pPr>
              <w:jc w:val="both"/>
              <w:rPr>
                <w:sz w:val="20"/>
                <w:lang w:val="fr-CA"/>
              </w:rPr>
            </w:pPr>
          </w:p>
        </w:tc>
      </w:tr>
      <w:tr w:rsidR="00E2298F" w:rsidRPr="00606F29" w:rsidTr="006358B9">
        <w:tc>
          <w:tcPr>
            <w:tcW w:w="2427" w:type="pct"/>
            <w:gridSpan w:val="2"/>
          </w:tcPr>
          <w:p w:rsidR="00E2298F" w:rsidRPr="00606F29" w:rsidRDefault="00E2298F" w:rsidP="00E2298F">
            <w:pPr>
              <w:jc w:val="both"/>
              <w:rPr>
                <w:sz w:val="20"/>
                <w:lang w:val="fr-CA"/>
              </w:rPr>
            </w:pPr>
            <w:r w:rsidRPr="00606F29">
              <w:rPr>
                <w:sz w:val="20"/>
                <w:lang w:val="fr-CA"/>
              </w:rPr>
              <w:t>Le 24 novembre 2017</w:t>
            </w:r>
          </w:p>
          <w:p w:rsidR="00E2298F" w:rsidRPr="00606F29" w:rsidRDefault="00E2298F" w:rsidP="00E2298F">
            <w:pPr>
              <w:jc w:val="both"/>
              <w:rPr>
                <w:sz w:val="20"/>
                <w:lang w:val="fr-CA"/>
              </w:rPr>
            </w:pPr>
            <w:r w:rsidRPr="00606F29">
              <w:rPr>
                <w:sz w:val="20"/>
                <w:lang w:val="fr-CA"/>
              </w:rPr>
              <w:t>Cour suprême du Canada</w:t>
            </w:r>
          </w:p>
        </w:tc>
        <w:tc>
          <w:tcPr>
            <w:tcW w:w="243" w:type="pct"/>
          </w:tcPr>
          <w:p w:rsidR="00E2298F" w:rsidRPr="00606F29" w:rsidRDefault="00E2298F" w:rsidP="00E2298F">
            <w:pPr>
              <w:jc w:val="both"/>
              <w:rPr>
                <w:sz w:val="20"/>
                <w:lang w:val="fr-CA"/>
              </w:rPr>
            </w:pPr>
          </w:p>
        </w:tc>
        <w:tc>
          <w:tcPr>
            <w:tcW w:w="2330" w:type="pct"/>
          </w:tcPr>
          <w:p w:rsidR="00E2298F" w:rsidRPr="00606F29" w:rsidRDefault="00E2298F" w:rsidP="00E2298F">
            <w:pPr>
              <w:jc w:val="both"/>
              <w:rPr>
                <w:sz w:val="20"/>
              </w:rPr>
            </w:pPr>
            <w:proofErr w:type="spellStart"/>
            <w:r w:rsidRPr="00606F29">
              <w:rPr>
                <w:sz w:val="20"/>
              </w:rPr>
              <w:t>Demandes</w:t>
            </w:r>
            <w:proofErr w:type="spellEnd"/>
            <w:r w:rsidRPr="00606F29">
              <w:rPr>
                <w:sz w:val="20"/>
              </w:rPr>
              <w:t xml:space="preserve"> </w:t>
            </w:r>
            <w:proofErr w:type="spellStart"/>
            <w:r w:rsidRPr="00606F29">
              <w:rPr>
                <w:sz w:val="20"/>
              </w:rPr>
              <w:t>d’autorisation</w:t>
            </w:r>
            <w:proofErr w:type="spellEnd"/>
            <w:r w:rsidRPr="00606F29">
              <w:rPr>
                <w:sz w:val="20"/>
              </w:rPr>
              <w:t xml:space="preserve"> </w:t>
            </w:r>
            <w:proofErr w:type="spellStart"/>
            <w:r w:rsidRPr="00606F29">
              <w:rPr>
                <w:sz w:val="20"/>
              </w:rPr>
              <w:t>d’appel</w:t>
            </w:r>
            <w:proofErr w:type="spellEnd"/>
            <w:r w:rsidRPr="00606F29">
              <w:rPr>
                <w:sz w:val="20"/>
              </w:rPr>
              <w:t xml:space="preserve"> </w:t>
            </w:r>
            <w:proofErr w:type="spellStart"/>
            <w:r w:rsidRPr="00606F29">
              <w:rPr>
                <w:sz w:val="20"/>
              </w:rPr>
              <w:t>déposées</w:t>
            </w:r>
            <w:proofErr w:type="spellEnd"/>
            <w:r w:rsidRPr="00606F29">
              <w:rPr>
                <w:sz w:val="20"/>
              </w:rPr>
              <w:t>.</w:t>
            </w:r>
          </w:p>
        </w:tc>
      </w:tr>
    </w:tbl>
    <w:p w:rsidR="00292C54" w:rsidRPr="00606F29" w:rsidRDefault="00292C54" w:rsidP="00292C54">
      <w:pPr>
        <w:jc w:val="both"/>
        <w:rPr>
          <w:sz w:val="20"/>
        </w:rPr>
      </w:pPr>
    </w:p>
    <w:p w:rsidR="00E2298F" w:rsidRPr="00606F29" w:rsidRDefault="00E2298F">
      <w:pPr>
        <w:rPr>
          <w:sz w:val="20"/>
          <w:lang w:val="fr-CA"/>
        </w:rPr>
      </w:pPr>
      <w:r w:rsidRPr="00606F29">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292C54" w:rsidRPr="00606F29" w:rsidTr="006358B9">
        <w:tc>
          <w:tcPr>
            <w:tcW w:w="543" w:type="pct"/>
          </w:tcPr>
          <w:p w:rsidR="00292C54" w:rsidRPr="00606F29" w:rsidRDefault="00292C54" w:rsidP="006358B9">
            <w:pPr>
              <w:jc w:val="both"/>
              <w:rPr>
                <w:sz w:val="20"/>
              </w:rPr>
            </w:pPr>
            <w:r w:rsidRPr="00606F29">
              <w:rPr>
                <w:rStyle w:val="SCCFileNumberChar"/>
                <w:sz w:val="20"/>
                <w:szCs w:val="20"/>
              </w:rPr>
              <w:lastRenderedPageBreak/>
              <w:t>37767</w:t>
            </w:r>
          </w:p>
        </w:tc>
        <w:tc>
          <w:tcPr>
            <w:tcW w:w="4457" w:type="pct"/>
            <w:gridSpan w:val="3"/>
          </w:tcPr>
          <w:p w:rsidR="00292C54" w:rsidRPr="00606F29" w:rsidRDefault="00292C54" w:rsidP="006358B9">
            <w:pPr>
              <w:pStyle w:val="SCCLsocParty"/>
              <w:jc w:val="both"/>
              <w:rPr>
                <w:b/>
                <w:sz w:val="20"/>
                <w:szCs w:val="20"/>
                <w:lang w:val="en-US"/>
              </w:rPr>
            </w:pPr>
            <w:r w:rsidRPr="00606F29">
              <w:rPr>
                <w:b/>
                <w:sz w:val="20"/>
                <w:szCs w:val="20"/>
                <w:lang w:val="en-US"/>
              </w:rPr>
              <w:t>Cassels Brock &amp; Blackwell LLP v. Trillium Motor World Ltd.</w:t>
            </w:r>
          </w:p>
          <w:p w:rsidR="00292C54" w:rsidRPr="00606F29" w:rsidRDefault="00292C54" w:rsidP="006358B9">
            <w:pPr>
              <w:jc w:val="both"/>
              <w:rPr>
                <w:sz w:val="20"/>
              </w:rPr>
            </w:pPr>
            <w:r w:rsidRPr="00606F29">
              <w:rPr>
                <w:sz w:val="20"/>
              </w:rPr>
              <w:t>(Ont.) (Civil) (By Leave)</w:t>
            </w:r>
          </w:p>
        </w:tc>
      </w:tr>
      <w:tr w:rsidR="00E2298F" w:rsidRPr="00606F29" w:rsidTr="006358B9">
        <w:tc>
          <w:tcPr>
            <w:tcW w:w="543" w:type="pct"/>
          </w:tcPr>
          <w:p w:rsidR="00E2298F" w:rsidRPr="00606F29" w:rsidRDefault="00E2298F" w:rsidP="00E2298F">
            <w:pPr>
              <w:jc w:val="both"/>
              <w:rPr>
                <w:rStyle w:val="SCCFileNumberChar"/>
                <w:sz w:val="20"/>
                <w:szCs w:val="20"/>
              </w:rPr>
            </w:pPr>
            <w:r w:rsidRPr="00606F29">
              <w:rPr>
                <w:rStyle w:val="SCCFileNumberChar"/>
                <w:sz w:val="20"/>
                <w:szCs w:val="20"/>
              </w:rPr>
              <w:t>Coram:</w:t>
            </w:r>
          </w:p>
        </w:tc>
        <w:tc>
          <w:tcPr>
            <w:tcW w:w="4457" w:type="pct"/>
            <w:gridSpan w:val="3"/>
          </w:tcPr>
          <w:p w:rsidR="00E2298F" w:rsidRPr="00606F29" w:rsidRDefault="00E2298F" w:rsidP="007974FF">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E2298F" w:rsidRPr="00606F29" w:rsidTr="00E2298F">
        <w:tc>
          <w:tcPr>
            <w:tcW w:w="5000" w:type="pct"/>
            <w:gridSpan w:val="4"/>
          </w:tcPr>
          <w:p w:rsidR="00E2298F" w:rsidRPr="00606F29" w:rsidRDefault="00E2298F" w:rsidP="00E2298F">
            <w:pPr>
              <w:pStyle w:val="SCCLsocParty"/>
              <w:jc w:val="both"/>
              <w:rPr>
                <w:b/>
                <w:sz w:val="20"/>
                <w:szCs w:val="20"/>
                <w:lang w:val="en-US"/>
              </w:rPr>
            </w:pPr>
            <w:r w:rsidRPr="00606F29">
              <w:rPr>
                <w:sz w:val="20"/>
                <w:lang w:val="en-US"/>
              </w:rPr>
              <w:t>The application for leave to appeal from the judgment of the Court of Appeal for Ontario, Number C60828, 2017 ONCA 544, dated July 4, 2017, is dismissed with costs.</w:t>
            </w:r>
          </w:p>
        </w:tc>
      </w:tr>
      <w:tr w:rsidR="00E2298F" w:rsidRPr="00606F29" w:rsidTr="006358B9">
        <w:tc>
          <w:tcPr>
            <w:tcW w:w="5000" w:type="pct"/>
            <w:gridSpan w:val="4"/>
          </w:tcPr>
          <w:p w:rsidR="00E2298F" w:rsidRPr="00606F29" w:rsidRDefault="00E2298F" w:rsidP="00E2298F">
            <w:pPr>
              <w:pStyle w:val="SCCBanSummary"/>
              <w:rPr>
                <w:smallCaps w:val="0"/>
                <w:sz w:val="20"/>
                <w:szCs w:val="20"/>
              </w:rPr>
            </w:pPr>
            <w:r w:rsidRPr="00606F29">
              <w:rPr>
                <w:smallCaps w:val="0"/>
                <w:sz w:val="20"/>
                <w:szCs w:val="20"/>
              </w:rPr>
              <w:t xml:space="preserve">Law of professions – Barristers and solicitors – Duty of loyalty – Conflict of interest – Breach of contract – Breach of fiduciary duty – Negligence – Class actions – In class action proceedings, can causation be determined at a common issues trial grounded in loss of chance without certification as a common issue? – Can the determination of causation in a loss of chance case based on professional negligence or breach of fiduciary duty lead to strict liability for professionals found to have divided loyalties with no determination of what an </w:t>
            </w:r>
            <w:proofErr w:type="spellStart"/>
            <w:r w:rsidRPr="00606F29">
              <w:rPr>
                <w:smallCaps w:val="0"/>
                <w:sz w:val="20"/>
                <w:szCs w:val="20"/>
              </w:rPr>
              <w:t>unconflicted</w:t>
            </w:r>
            <w:proofErr w:type="spellEnd"/>
            <w:r w:rsidRPr="00606F29">
              <w:rPr>
                <w:smallCaps w:val="0"/>
                <w:sz w:val="20"/>
                <w:szCs w:val="20"/>
              </w:rPr>
              <w:t xml:space="preserve"> non-negligent professional would do? – Does class proceedings legislation allow a plaintiff to use a procedural statute to effect substantive proof of the essential elements of each class member’s claim? – Does class proceedings legislation permit courts to draw inferences from the evidence of the representative plaintiff that would not be available in a regular civil action?</w:t>
            </w:r>
          </w:p>
        </w:tc>
      </w:tr>
      <w:tr w:rsidR="00E2298F" w:rsidRPr="00606F29" w:rsidTr="006358B9">
        <w:tc>
          <w:tcPr>
            <w:tcW w:w="5000" w:type="pct"/>
            <w:gridSpan w:val="4"/>
          </w:tcPr>
          <w:p w:rsidR="00E2298F" w:rsidRPr="00606F29" w:rsidRDefault="00E2298F" w:rsidP="00E2298F">
            <w:pPr>
              <w:jc w:val="both"/>
              <w:rPr>
                <w:sz w:val="20"/>
              </w:rPr>
            </w:pPr>
          </w:p>
        </w:tc>
      </w:tr>
      <w:tr w:rsidR="00E2298F" w:rsidRPr="00606F29" w:rsidTr="006358B9">
        <w:tc>
          <w:tcPr>
            <w:tcW w:w="5000" w:type="pct"/>
            <w:gridSpan w:val="4"/>
          </w:tcPr>
          <w:p w:rsidR="00E2298F" w:rsidRPr="00606F29" w:rsidRDefault="00E2298F" w:rsidP="00E2298F">
            <w:pPr>
              <w:jc w:val="both"/>
              <w:rPr>
                <w:sz w:val="20"/>
              </w:rPr>
            </w:pPr>
            <w:r w:rsidRPr="00606F29">
              <w:rPr>
                <w:sz w:val="20"/>
              </w:rPr>
              <w:t>During the 2009 financial crisis which impacted the automotive industry, General Motors Canada Limited (“GMCL”) sought to restructure in order to benefit from a government bailout. The law firm Cassels Brock Blackwell LLP represented Industry Canada in respect of a bailout to support GMCL. Cassels also represented a group of GMCL dealers but did not disclose to the dealers its pre-existing retainer with Canada</w:t>
            </w:r>
            <w:r w:rsidRPr="00606F29">
              <w:rPr>
                <w:sz w:val="20"/>
                <w:lang w:val="en"/>
              </w:rPr>
              <w:t xml:space="preserve">. </w:t>
            </w:r>
            <w:r w:rsidRPr="00606F29">
              <w:rPr>
                <w:sz w:val="20"/>
              </w:rPr>
              <w:t xml:space="preserve">GMCL’s restructuring plan involved a reduction in its dealer network. As part of this plan, GMCL delivered to the dealers a Wind-Down Agreement (WDA), intended to terminate their franchises </w:t>
            </w:r>
            <w:r w:rsidRPr="00606F29">
              <w:rPr>
                <w:sz w:val="20"/>
                <w:lang w:val="en"/>
              </w:rPr>
              <w:t>and eliminate its exposure to dealer claims</w:t>
            </w:r>
            <w:r w:rsidRPr="00606F29">
              <w:rPr>
                <w:sz w:val="20"/>
              </w:rPr>
              <w:t xml:space="preserve"> in exchange for a payout. A majority of the dealers signed the WDAs and received $126 million combined.</w:t>
            </w:r>
          </w:p>
          <w:p w:rsidR="00E2298F" w:rsidRPr="00606F29" w:rsidRDefault="00E2298F" w:rsidP="00E2298F">
            <w:pPr>
              <w:jc w:val="both"/>
              <w:rPr>
                <w:sz w:val="20"/>
              </w:rPr>
            </w:pPr>
          </w:p>
          <w:p w:rsidR="00E2298F" w:rsidRPr="00606F29" w:rsidRDefault="00E2298F" w:rsidP="00E2298F">
            <w:pPr>
              <w:jc w:val="both"/>
              <w:rPr>
                <w:sz w:val="20"/>
              </w:rPr>
            </w:pPr>
            <w:r w:rsidRPr="00606F29">
              <w:rPr>
                <w:sz w:val="20"/>
              </w:rPr>
              <w:t>That same year, Trillium Motor World Ltd., a GMCL dealer, commenced class proceedings against Cassels on behalf of all dealers who had signed the WDAs. Trillium claimed that Cassels had breached its contractual and fiduciary duties to the dealers, including its duty of loyalty. It alleged that, but for these breaches, the dealers would have negotiated, collectively, a better deal and sought damages for this lost chance. Cassels argued that its retainer with the dealers was contingent on GMCL becoming insolvent, which did not occur, and denied the alleged breaches.</w:t>
            </w:r>
          </w:p>
        </w:tc>
      </w:tr>
      <w:tr w:rsidR="00E2298F" w:rsidRPr="00606F29" w:rsidTr="006358B9">
        <w:tblPrEx>
          <w:tblCellMar>
            <w:bottom w:w="0" w:type="dxa"/>
          </w:tblCellMar>
        </w:tblPrEx>
        <w:tc>
          <w:tcPr>
            <w:tcW w:w="2390" w:type="pct"/>
            <w:gridSpan w:val="2"/>
          </w:tcPr>
          <w:p w:rsidR="00E2298F" w:rsidRPr="00606F29" w:rsidRDefault="00E2298F" w:rsidP="00E2298F">
            <w:pPr>
              <w:jc w:val="both"/>
              <w:rPr>
                <w:sz w:val="20"/>
              </w:rPr>
            </w:pPr>
          </w:p>
        </w:tc>
        <w:tc>
          <w:tcPr>
            <w:tcW w:w="270" w:type="pct"/>
          </w:tcPr>
          <w:p w:rsidR="00E2298F" w:rsidRPr="00606F29" w:rsidRDefault="00E2298F" w:rsidP="00E2298F">
            <w:pPr>
              <w:jc w:val="both"/>
              <w:rPr>
                <w:sz w:val="20"/>
              </w:rPr>
            </w:pPr>
          </w:p>
        </w:tc>
        <w:tc>
          <w:tcPr>
            <w:tcW w:w="2340" w:type="pct"/>
          </w:tcPr>
          <w:p w:rsidR="00E2298F" w:rsidRPr="00606F29" w:rsidRDefault="00E2298F" w:rsidP="00E2298F">
            <w:pPr>
              <w:jc w:val="both"/>
              <w:rPr>
                <w:sz w:val="20"/>
              </w:rPr>
            </w:pPr>
          </w:p>
        </w:tc>
      </w:tr>
      <w:tr w:rsidR="00E2298F" w:rsidRPr="00606F29" w:rsidTr="006358B9">
        <w:tblPrEx>
          <w:tblCellMar>
            <w:bottom w:w="0" w:type="dxa"/>
          </w:tblCellMar>
        </w:tblPrEx>
        <w:tc>
          <w:tcPr>
            <w:tcW w:w="2390" w:type="pct"/>
            <w:gridSpan w:val="2"/>
          </w:tcPr>
          <w:p w:rsidR="00E2298F" w:rsidRPr="00606F29" w:rsidRDefault="00E2298F" w:rsidP="00E2298F">
            <w:pPr>
              <w:jc w:val="both"/>
              <w:rPr>
                <w:sz w:val="20"/>
              </w:rPr>
            </w:pPr>
            <w:r w:rsidRPr="00606F29">
              <w:rPr>
                <w:sz w:val="20"/>
              </w:rPr>
              <w:t>July 8, 2015</w:t>
            </w:r>
          </w:p>
          <w:p w:rsidR="00E2298F" w:rsidRPr="00606F29" w:rsidRDefault="00E2298F" w:rsidP="00E2298F">
            <w:pPr>
              <w:jc w:val="both"/>
              <w:rPr>
                <w:sz w:val="20"/>
              </w:rPr>
            </w:pPr>
            <w:r w:rsidRPr="00606F29">
              <w:rPr>
                <w:sz w:val="20"/>
              </w:rPr>
              <w:t>Ontario Superior Court of Justice</w:t>
            </w:r>
          </w:p>
          <w:p w:rsidR="00E2298F" w:rsidRPr="00606F29" w:rsidRDefault="00E2298F" w:rsidP="00E2298F">
            <w:pPr>
              <w:jc w:val="both"/>
              <w:rPr>
                <w:sz w:val="20"/>
              </w:rPr>
            </w:pPr>
            <w:r w:rsidRPr="00606F29">
              <w:rPr>
                <w:sz w:val="20"/>
              </w:rPr>
              <w:t>(McEwen J.)</w:t>
            </w:r>
          </w:p>
          <w:p w:rsidR="00E2298F" w:rsidRPr="00606F29" w:rsidRDefault="009813FB" w:rsidP="00E2298F">
            <w:pPr>
              <w:jc w:val="both"/>
              <w:rPr>
                <w:sz w:val="20"/>
                <w:lang w:val="en"/>
              </w:rPr>
            </w:pPr>
            <w:hyperlink r:id="rId37" w:history="1">
              <w:r w:rsidR="00E2298F" w:rsidRPr="00606F29">
                <w:rPr>
                  <w:rStyle w:val="Hyperlink"/>
                  <w:sz w:val="20"/>
                  <w:lang w:val="en"/>
                </w:rPr>
                <w:t>2015 ONSC 3824</w:t>
              </w:r>
            </w:hyperlink>
          </w:p>
          <w:p w:rsidR="00E2298F" w:rsidRPr="00606F29" w:rsidRDefault="00E2298F" w:rsidP="00E2298F">
            <w:pPr>
              <w:jc w:val="both"/>
              <w:rPr>
                <w:sz w:val="20"/>
              </w:rPr>
            </w:pPr>
          </w:p>
        </w:tc>
        <w:tc>
          <w:tcPr>
            <w:tcW w:w="270" w:type="pct"/>
          </w:tcPr>
          <w:p w:rsidR="00E2298F" w:rsidRPr="00606F29" w:rsidRDefault="00E2298F" w:rsidP="00E2298F">
            <w:pPr>
              <w:jc w:val="both"/>
              <w:rPr>
                <w:sz w:val="20"/>
              </w:rPr>
            </w:pPr>
          </w:p>
        </w:tc>
        <w:tc>
          <w:tcPr>
            <w:tcW w:w="2340" w:type="pct"/>
          </w:tcPr>
          <w:p w:rsidR="00E2298F" w:rsidRPr="00606F29" w:rsidRDefault="00E2298F" w:rsidP="00E2298F">
            <w:pPr>
              <w:jc w:val="both"/>
              <w:rPr>
                <w:sz w:val="20"/>
              </w:rPr>
            </w:pPr>
            <w:r w:rsidRPr="00606F29">
              <w:rPr>
                <w:sz w:val="20"/>
              </w:rPr>
              <w:t xml:space="preserve">Claim brought and certified under </w:t>
            </w:r>
            <w:r w:rsidRPr="00606F29">
              <w:rPr>
                <w:i/>
                <w:sz w:val="20"/>
              </w:rPr>
              <w:t>Class Proceedings Act</w:t>
            </w:r>
            <w:r w:rsidRPr="00606F29">
              <w:rPr>
                <w:sz w:val="20"/>
              </w:rPr>
              <w:t xml:space="preserve">, 1992, S.O. 1992, c. 6, allowed; $45,000,000 awarded in damages to class members </w:t>
            </w:r>
          </w:p>
          <w:p w:rsidR="00E2298F" w:rsidRPr="00606F29" w:rsidRDefault="00E2298F" w:rsidP="00E2298F">
            <w:pPr>
              <w:jc w:val="both"/>
              <w:rPr>
                <w:sz w:val="20"/>
              </w:rPr>
            </w:pPr>
          </w:p>
        </w:tc>
      </w:tr>
      <w:tr w:rsidR="00E2298F" w:rsidRPr="00606F29" w:rsidTr="006358B9">
        <w:tblPrEx>
          <w:tblCellMar>
            <w:bottom w:w="0" w:type="dxa"/>
          </w:tblCellMar>
        </w:tblPrEx>
        <w:tc>
          <w:tcPr>
            <w:tcW w:w="2390" w:type="pct"/>
            <w:gridSpan w:val="2"/>
          </w:tcPr>
          <w:p w:rsidR="00E2298F" w:rsidRPr="00606F29" w:rsidRDefault="00E2298F" w:rsidP="00E2298F">
            <w:pPr>
              <w:jc w:val="both"/>
              <w:rPr>
                <w:sz w:val="20"/>
              </w:rPr>
            </w:pPr>
            <w:r w:rsidRPr="00606F29">
              <w:rPr>
                <w:sz w:val="20"/>
              </w:rPr>
              <w:t>March 22, 2016</w:t>
            </w:r>
          </w:p>
          <w:p w:rsidR="00E2298F" w:rsidRPr="00606F29" w:rsidRDefault="00E2298F" w:rsidP="00E2298F">
            <w:pPr>
              <w:jc w:val="both"/>
              <w:rPr>
                <w:sz w:val="20"/>
              </w:rPr>
            </w:pPr>
            <w:r w:rsidRPr="00606F29">
              <w:rPr>
                <w:sz w:val="20"/>
              </w:rPr>
              <w:t>Ontario Superior Court of Justice</w:t>
            </w:r>
          </w:p>
          <w:p w:rsidR="00E2298F" w:rsidRPr="00606F29" w:rsidRDefault="00E2298F" w:rsidP="00E2298F">
            <w:pPr>
              <w:jc w:val="both"/>
              <w:rPr>
                <w:sz w:val="20"/>
              </w:rPr>
            </w:pPr>
            <w:r w:rsidRPr="00606F29">
              <w:rPr>
                <w:sz w:val="20"/>
              </w:rPr>
              <w:t>(McEwen J.)</w:t>
            </w:r>
          </w:p>
          <w:p w:rsidR="00E2298F" w:rsidRPr="00606F29" w:rsidRDefault="009813FB" w:rsidP="00E2298F">
            <w:pPr>
              <w:jc w:val="both"/>
              <w:rPr>
                <w:sz w:val="20"/>
              </w:rPr>
            </w:pPr>
            <w:hyperlink r:id="rId38" w:history="1">
              <w:r w:rsidR="00E2298F" w:rsidRPr="00606F29">
                <w:rPr>
                  <w:rStyle w:val="Hyperlink"/>
                  <w:sz w:val="20"/>
                </w:rPr>
                <w:t>2016 ONSC 666</w:t>
              </w:r>
            </w:hyperlink>
          </w:p>
          <w:p w:rsidR="00E2298F" w:rsidRPr="00606F29" w:rsidRDefault="00E2298F" w:rsidP="00E2298F">
            <w:pPr>
              <w:jc w:val="both"/>
              <w:rPr>
                <w:sz w:val="20"/>
              </w:rPr>
            </w:pPr>
          </w:p>
        </w:tc>
        <w:tc>
          <w:tcPr>
            <w:tcW w:w="270" w:type="pct"/>
          </w:tcPr>
          <w:p w:rsidR="00E2298F" w:rsidRPr="00606F29" w:rsidRDefault="00E2298F" w:rsidP="00E2298F">
            <w:pPr>
              <w:jc w:val="both"/>
              <w:rPr>
                <w:sz w:val="20"/>
              </w:rPr>
            </w:pPr>
          </w:p>
        </w:tc>
        <w:tc>
          <w:tcPr>
            <w:tcW w:w="2340" w:type="pct"/>
          </w:tcPr>
          <w:p w:rsidR="00E2298F" w:rsidRPr="00606F29" w:rsidRDefault="00E2298F" w:rsidP="00E2298F">
            <w:pPr>
              <w:jc w:val="both"/>
              <w:rPr>
                <w:sz w:val="20"/>
                <w:lang w:val="en"/>
              </w:rPr>
            </w:pPr>
            <w:r w:rsidRPr="00606F29">
              <w:rPr>
                <w:sz w:val="20"/>
                <w:lang w:val="en"/>
              </w:rPr>
              <w:t xml:space="preserve">Supplementary ruling on damage </w:t>
            </w:r>
          </w:p>
          <w:p w:rsidR="00E2298F" w:rsidRPr="00606F29" w:rsidRDefault="00E2298F" w:rsidP="00E2298F">
            <w:pPr>
              <w:jc w:val="both"/>
              <w:rPr>
                <w:sz w:val="20"/>
                <w:lang w:val="en"/>
              </w:rPr>
            </w:pPr>
            <w:r w:rsidRPr="00606F29">
              <w:rPr>
                <w:sz w:val="20"/>
                <w:lang w:val="en"/>
              </w:rPr>
              <w:t xml:space="preserve">quantification </w:t>
            </w:r>
          </w:p>
          <w:p w:rsidR="00E2298F" w:rsidRPr="00606F29" w:rsidRDefault="00E2298F" w:rsidP="00E2298F">
            <w:pPr>
              <w:jc w:val="both"/>
              <w:rPr>
                <w:sz w:val="20"/>
              </w:rPr>
            </w:pPr>
          </w:p>
        </w:tc>
      </w:tr>
      <w:tr w:rsidR="00E2298F" w:rsidRPr="00606F29" w:rsidTr="006358B9">
        <w:tblPrEx>
          <w:tblCellMar>
            <w:bottom w:w="0" w:type="dxa"/>
          </w:tblCellMar>
        </w:tblPrEx>
        <w:tc>
          <w:tcPr>
            <w:tcW w:w="2390" w:type="pct"/>
            <w:gridSpan w:val="2"/>
          </w:tcPr>
          <w:p w:rsidR="00E2298F" w:rsidRPr="00606F29" w:rsidRDefault="00E2298F" w:rsidP="00E2298F">
            <w:pPr>
              <w:jc w:val="both"/>
              <w:rPr>
                <w:sz w:val="20"/>
              </w:rPr>
            </w:pPr>
            <w:r w:rsidRPr="00606F29">
              <w:rPr>
                <w:sz w:val="20"/>
              </w:rPr>
              <w:t>July 4, 2017</w:t>
            </w:r>
          </w:p>
          <w:p w:rsidR="00E2298F" w:rsidRPr="00606F29" w:rsidRDefault="00E2298F" w:rsidP="00E2298F">
            <w:pPr>
              <w:jc w:val="both"/>
              <w:rPr>
                <w:sz w:val="20"/>
              </w:rPr>
            </w:pPr>
            <w:r w:rsidRPr="00606F29">
              <w:rPr>
                <w:sz w:val="20"/>
              </w:rPr>
              <w:t>Court of Appeal for Ontario</w:t>
            </w:r>
          </w:p>
          <w:p w:rsidR="00E2298F" w:rsidRPr="00606F29" w:rsidRDefault="00E2298F" w:rsidP="00E2298F">
            <w:pPr>
              <w:jc w:val="both"/>
              <w:rPr>
                <w:sz w:val="20"/>
              </w:rPr>
            </w:pPr>
            <w:r w:rsidRPr="00606F29">
              <w:rPr>
                <w:sz w:val="20"/>
              </w:rPr>
              <w:t xml:space="preserve">(Cronk, van </w:t>
            </w:r>
            <w:proofErr w:type="spellStart"/>
            <w:r w:rsidRPr="00606F29">
              <w:rPr>
                <w:sz w:val="20"/>
              </w:rPr>
              <w:t>Rensburg</w:t>
            </w:r>
            <w:proofErr w:type="spellEnd"/>
            <w:r w:rsidRPr="00606F29">
              <w:rPr>
                <w:sz w:val="20"/>
              </w:rPr>
              <w:t xml:space="preserve"> and </w:t>
            </w:r>
            <w:proofErr w:type="spellStart"/>
            <w:r w:rsidRPr="00606F29">
              <w:rPr>
                <w:sz w:val="20"/>
              </w:rPr>
              <w:t>Pardu</w:t>
            </w:r>
            <w:proofErr w:type="spellEnd"/>
            <w:r w:rsidRPr="00606F29">
              <w:rPr>
                <w:sz w:val="20"/>
              </w:rPr>
              <w:t xml:space="preserve"> JJ.A.)</w:t>
            </w:r>
          </w:p>
          <w:p w:rsidR="00E2298F" w:rsidRPr="00606F29" w:rsidRDefault="009813FB" w:rsidP="00E2298F">
            <w:pPr>
              <w:jc w:val="both"/>
              <w:rPr>
                <w:sz w:val="20"/>
                <w:lang w:val="en"/>
              </w:rPr>
            </w:pPr>
            <w:hyperlink r:id="rId39" w:history="1">
              <w:r w:rsidR="00E2298F" w:rsidRPr="00606F29">
                <w:rPr>
                  <w:rStyle w:val="Hyperlink"/>
                  <w:sz w:val="20"/>
                  <w:lang w:val="en"/>
                </w:rPr>
                <w:t>2017 ONCA 544</w:t>
              </w:r>
            </w:hyperlink>
            <w:r w:rsidR="00E2298F" w:rsidRPr="00606F29">
              <w:rPr>
                <w:sz w:val="20"/>
                <w:lang w:val="en"/>
              </w:rPr>
              <w:t xml:space="preserve"> </w:t>
            </w:r>
          </w:p>
          <w:p w:rsidR="00E2298F" w:rsidRPr="00606F29" w:rsidRDefault="00E2298F" w:rsidP="00E2298F">
            <w:pPr>
              <w:jc w:val="both"/>
              <w:rPr>
                <w:sz w:val="20"/>
              </w:rPr>
            </w:pPr>
          </w:p>
        </w:tc>
        <w:tc>
          <w:tcPr>
            <w:tcW w:w="270" w:type="pct"/>
          </w:tcPr>
          <w:p w:rsidR="00E2298F" w:rsidRPr="00606F29" w:rsidRDefault="00E2298F" w:rsidP="00E2298F">
            <w:pPr>
              <w:jc w:val="both"/>
              <w:rPr>
                <w:sz w:val="20"/>
              </w:rPr>
            </w:pPr>
          </w:p>
        </w:tc>
        <w:tc>
          <w:tcPr>
            <w:tcW w:w="2340" w:type="pct"/>
          </w:tcPr>
          <w:p w:rsidR="00E2298F" w:rsidRPr="00606F29" w:rsidRDefault="00E2298F" w:rsidP="00E2298F">
            <w:pPr>
              <w:jc w:val="both"/>
              <w:rPr>
                <w:sz w:val="20"/>
              </w:rPr>
            </w:pPr>
            <w:r w:rsidRPr="00606F29">
              <w:rPr>
                <w:sz w:val="20"/>
              </w:rPr>
              <w:t xml:space="preserve">Appeal on liability dismissed; appeal on quantification of damages allowed; cross-appeal dismissed </w:t>
            </w:r>
          </w:p>
          <w:p w:rsidR="00E2298F" w:rsidRPr="00606F29" w:rsidRDefault="00E2298F" w:rsidP="00E2298F">
            <w:pPr>
              <w:jc w:val="both"/>
              <w:rPr>
                <w:sz w:val="20"/>
              </w:rPr>
            </w:pPr>
          </w:p>
        </w:tc>
      </w:tr>
      <w:tr w:rsidR="00E2298F" w:rsidRPr="00606F29" w:rsidTr="006358B9">
        <w:tblPrEx>
          <w:tblCellMar>
            <w:bottom w:w="0" w:type="dxa"/>
          </w:tblCellMar>
        </w:tblPrEx>
        <w:tc>
          <w:tcPr>
            <w:tcW w:w="2390" w:type="pct"/>
            <w:gridSpan w:val="2"/>
          </w:tcPr>
          <w:p w:rsidR="00E2298F" w:rsidRPr="00606F29" w:rsidRDefault="00E2298F" w:rsidP="00E2298F">
            <w:pPr>
              <w:jc w:val="both"/>
              <w:rPr>
                <w:sz w:val="20"/>
              </w:rPr>
            </w:pPr>
            <w:r w:rsidRPr="00606F29">
              <w:rPr>
                <w:sz w:val="20"/>
              </w:rPr>
              <w:t>September 28, 2017</w:t>
            </w:r>
          </w:p>
          <w:p w:rsidR="00E2298F" w:rsidRPr="00606F29" w:rsidRDefault="00E2298F" w:rsidP="00E2298F">
            <w:pPr>
              <w:jc w:val="both"/>
              <w:rPr>
                <w:sz w:val="20"/>
              </w:rPr>
            </w:pPr>
            <w:r w:rsidRPr="00606F29">
              <w:rPr>
                <w:sz w:val="20"/>
              </w:rPr>
              <w:t>Supreme Court of Canada</w:t>
            </w:r>
          </w:p>
        </w:tc>
        <w:tc>
          <w:tcPr>
            <w:tcW w:w="270" w:type="pct"/>
          </w:tcPr>
          <w:p w:rsidR="00E2298F" w:rsidRPr="00606F29" w:rsidRDefault="00E2298F" w:rsidP="00E2298F">
            <w:pPr>
              <w:jc w:val="both"/>
              <w:rPr>
                <w:sz w:val="20"/>
              </w:rPr>
            </w:pPr>
          </w:p>
        </w:tc>
        <w:tc>
          <w:tcPr>
            <w:tcW w:w="2340" w:type="pct"/>
          </w:tcPr>
          <w:p w:rsidR="00E2298F" w:rsidRPr="00606F29" w:rsidRDefault="00E2298F" w:rsidP="00E2298F">
            <w:pPr>
              <w:jc w:val="both"/>
              <w:rPr>
                <w:sz w:val="20"/>
              </w:rPr>
            </w:pPr>
            <w:r w:rsidRPr="00606F29">
              <w:rPr>
                <w:sz w:val="20"/>
              </w:rPr>
              <w:t>Application for leave to appeal filed</w:t>
            </w:r>
          </w:p>
          <w:p w:rsidR="00E2298F" w:rsidRPr="00606F29" w:rsidRDefault="00E2298F" w:rsidP="00E2298F">
            <w:pPr>
              <w:jc w:val="both"/>
              <w:rPr>
                <w:sz w:val="20"/>
              </w:rPr>
            </w:pPr>
          </w:p>
        </w:tc>
      </w:tr>
    </w:tbl>
    <w:p w:rsidR="00292C54" w:rsidRPr="00606F29" w:rsidRDefault="00292C54" w:rsidP="00292C54">
      <w:pPr>
        <w:jc w:val="both"/>
        <w:rPr>
          <w:sz w:val="20"/>
        </w:rPr>
      </w:pPr>
    </w:p>
    <w:p w:rsidR="00E2298F" w:rsidRPr="00606F29" w:rsidRDefault="00E2298F">
      <w:pPr>
        <w:rPr>
          <w:sz w:val="20"/>
        </w:rPr>
      </w:pPr>
      <w:r w:rsidRPr="00606F2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70"/>
        <w:gridCol w:w="444"/>
        <w:gridCol w:w="19"/>
        <w:gridCol w:w="4440"/>
      </w:tblGrid>
      <w:tr w:rsidR="00292C54" w:rsidRPr="00606F29" w:rsidTr="006358B9">
        <w:tc>
          <w:tcPr>
            <w:tcW w:w="543" w:type="pct"/>
          </w:tcPr>
          <w:p w:rsidR="00292C54" w:rsidRPr="00606F29" w:rsidRDefault="00292C54" w:rsidP="006358B9">
            <w:pPr>
              <w:jc w:val="both"/>
              <w:rPr>
                <w:sz w:val="20"/>
                <w:lang w:val="fr-CA"/>
              </w:rPr>
            </w:pPr>
            <w:r w:rsidRPr="00606F29">
              <w:rPr>
                <w:rStyle w:val="SCCFileNumberChar"/>
                <w:sz w:val="20"/>
                <w:szCs w:val="20"/>
                <w:lang w:val="fr-CA"/>
              </w:rPr>
              <w:lastRenderedPageBreak/>
              <w:t>37767</w:t>
            </w:r>
          </w:p>
        </w:tc>
        <w:tc>
          <w:tcPr>
            <w:tcW w:w="4457" w:type="pct"/>
            <w:gridSpan w:val="5"/>
          </w:tcPr>
          <w:p w:rsidR="00292C54" w:rsidRPr="00606F29" w:rsidRDefault="00292C54" w:rsidP="006358B9">
            <w:pPr>
              <w:pStyle w:val="SCCLsocParty"/>
              <w:jc w:val="both"/>
              <w:rPr>
                <w:b/>
                <w:sz w:val="20"/>
                <w:szCs w:val="20"/>
                <w:lang w:val="en-US"/>
              </w:rPr>
            </w:pPr>
            <w:r w:rsidRPr="00606F29">
              <w:rPr>
                <w:b/>
                <w:sz w:val="20"/>
                <w:szCs w:val="20"/>
                <w:lang w:val="en-US"/>
              </w:rPr>
              <w:t>Cassels Brock &amp; Blackwell LLP c. Trillium Motor World Ltd.</w:t>
            </w:r>
          </w:p>
          <w:p w:rsidR="00292C54" w:rsidRPr="00606F29" w:rsidRDefault="00292C54" w:rsidP="006358B9">
            <w:pPr>
              <w:jc w:val="both"/>
              <w:rPr>
                <w:sz w:val="20"/>
                <w:lang w:val="fr-CA"/>
              </w:rPr>
            </w:pPr>
            <w:r w:rsidRPr="00606F29">
              <w:rPr>
                <w:sz w:val="20"/>
                <w:lang w:val="fr-CA"/>
              </w:rPr>
              <w:t>(Ont.) (Civile) (Sur autorisation)</w:t>
            </w:r>
          </w:p>
        </w:tc>
      </w:tr>
      <w:tr w:rsidR="00E2298F" w:rsidRPr="009813FB" w:rsidTr="006358B9">
        <w:tc>
          <w:tcPr>
            <w:tcW w:w="543" w:type="pct"/>
          </w:tcPr>
          <w:p w:rsidR="00E2298F" w:rsidRPr="00606F29" w:rsidRDefault="00E2298F" w:rsidP="00E2298F">
            <w:pPr>
              <w:jc w:val="both"/>
              <w:rPr>
                <w:rStyle w:val="SCCFileNumberChar"/>
                <w:sz w:val="20"/>
                <w:szCs w:val="20"/>
                <w:lang w:val="fr-CA"/>
              </w:rPr>
            </w:pPr>
            <w:r w:rsidRPr="00606F29">
              <w:rPr>
                <w:rStyle w:val="SCCFileNumberChar"/>
                <w:sz w:val="20"/>
                <w:szCs w:val="20"/>
                <w:lang w:val="fr-CA"/>
              </w:rPr>
              <w:t>Coram :</w:t>
            </w:r>
          </w:p>
        </w:tc>
        <w:tc>
          <w:tcPr>
            <w:tcW w:w="4457" w:type="pct"/>
            <w:gridSpan w:val="5"/>
          </w:tcPr>
          <w:p w:rsidR="00E2298F" w:rsidRPr="00606F29" w:rsidRDefault="00E2298F" w:rsidP="007974FF">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Gascon, Côté, Brown, Rowe et Martin</w:t>
            </w:r>
          </w:p>
        </w:tc>
      </w:tr>
      <w:tr w:rsidR="00E2298F" w:rsidRPr="009813FB" w:rsidTr="00E2298F">
        <w:tc>
          <w:tcPr>
            <w:tcW w:w="5000" w:type="pct"/>
            <w:gridSpan w:val="6"/>
          </w:tcPr>
          <w:p w:rsidR="00E2298F" w:rsidRPr="00606F29" w:rsidRDefault="00E2298F" w:rsidP="00E2298F">
            <w:pPr>
              <w:pStyle w:val="SCCLsocParty"/>
              <w:jc w:val="both"/>
              <w:rPr>
                <w:b/>
                <w:sz w:val="20"/>
                <w:szCs w:val="20"/>
              </w:rPr>
            </w:pPr>
            <w:r w:rsidRPr="00606F29">
              <w:rPr>
                <w:sz w:val="20"/>
              </w:rPr>
              <w:t>La demande d’autorisation d’appel de l’arrêt de la Cour d’appel de l’Ontario, numéro C60828, 2017 ONCA 544, daté du 4 juillet 2017, est rejetée avec dépens.</w:t>
            </w:r>
          </w:p>
        </w:tc>
      </w:tr>
      <w:tr w:rsidR="00E2298F" w:rsidRPr="009813FB" w:rsidTr="006358B9">
        <w:tc>
          <w:tcPr>
            <w:tcW w:w="5000" w:type="pct"/>
            <w:gridSpan w:val="6"/>
          </w:tcPr>
          <w:p w:rsidR="00E2298F" w:rsidRPr="00606F29" w:rsidRDefault="00E2298F" w:rsidP="00E2298F">
            <w:pPr>
              <w:pStyle w:val="SCCBanSummary"/>
              <w:rPr>
                <w:smallCaps w:val="0"/>
                <w:sz w:val="20"/>
                <w:szCs w:val="20"/>
                <w:lang w:val="fr-CA"/>
              </w:rPr>
            </w:pPr>
            <w:r w:rsidRPr="00606F29">
              <w:rPr>
                <w:smallCaps w:val="0"/>
                <w:sz w:val="20"/>
                <w:szCs w:val="20"/>
                <w:lang w:val="fr-CA"/>
              </w:rPr>
              <w:t>Droit des professions – Avocats et procureurs – Devoir de loyauté – Conflit d’intérêts – Violation de contrat – Violation de l’obligation fiduciaire – Négligence – Recours collectifs – Dans les recours collectifs, la causalité peut-elle être déterminée à un procès sur les questions communes dont le fondement est la perte de possibilités sans certification comme question commune? – La détermination de la causalité dans une affaire de perte de possibilités fondée sur la négligence professionnelle ou la violation de l’obligation fiduciaire peut-elle donner naissance à la responsabilité stricte de professionnels dont on a jugé que leurs loyautés étaient partagées, sans que soit tranchée la question de savoir ce que ferait un professionnel qui n’est pas en situation de conflit d’intérêts et qui n’a pas été négligent? – La loi sur les recours collectifs permet-elle à un demandeur de se prévaloir d’une loi à caractère procédural pour faire la preuve quant au fond des éléments essentiels de la réclamation de chaque membre du groupe? – La loi sur les recours collectifs permet-elle aux tribunaux judiciaires de tirer des inférences de la preuve du représentant des demandeurs qui ne serait pas disponible dans une action civile ordinaire?</w:t>
            </w:r>
          </w:p>
        </w:tc>
      </w:tr>
      <w:tr w:rsidR="00E2298F" w:rsidRPr="009813FB" w:rsidTr="006358B9">
        <w:tc>
          <w:tcPr>
            <w:tcW w:w="5000" w:type="pct"/>
            <w:gridSpan w:val="6"/>
          </w:tcPr>
          <w:p w:rsidR="00E2298F" w:rsidRPr="00606F29" w:rsidRDefault="00E2298F" w:rsidP="00E2298F">
            <w:pPr>
              <w:jc w:val="both"/>
              <w:rPr>
                <w:sz w:val="20"/>
                <w:lang w:val="fr-CA"/>
              </w:rPr>
            </w:pPr>
          </w:p>
        </w:tc>
      </w:tr>
      <w:tr w:rsidR="00E2298F" w:rsidRPr="009813FB" w:rsidTr="006358B9">
        <w:tc>
          <w:tcPr>
            <w:tcW w:w="5000" w:type="pct"/>
            <w:gridSpan w:val="6"/>
          </w:tcPr>
          <w:p w:rsidR="00E2298F" w:rsidRPr="00606F29" w:rsidRDefault="00E2298F" w:rsidP="00E2298F">
            <w:pPr>
              <w:jc w:val="both"/>
              <w:rPr>
                <w:sz w:val="20"/>
                <w:lang w:val="fr-CA"/>
              </w:rPr>
            </w:pPr>
            <w:r w:rsidRPr="00606F29">
              <w:rPr>
                <w:sz w:val="20"/>
                <w:lang w:val="fr-CA"/>
              </w:rPr>
              <w:t xml:space="preserve">Pendant la crise financière de 2009 qui a frappé le secteur de l’automobile, General Motors du Canada Limitée (« GMCL ») a cherché à se restructurer afin de bénéficier d’une aide financière du gouvernement. Le cabinet d’avocats </w:t>
            </w:r>
            <w:proofErr w:type="spellStart"/>
            <w:r w:rsidRPr="00606F29">
              <w:rPr>
                <w:sz w:val="20"/>
                <w:lang w:val="fr-CA"/>
              </w:rPr>
              <w:t>Cassels</w:t>
            </w:r>
            <w:proofErr w:type="spellEnd"/>
            <w:r w:rsidRPr="00606F29">
              <w:rPr>
                <w:sz w:val="20"/>
                <w:lang w:val="fr-CA"/>
              </w:rPr>
              <w:t xml:space="preserve"> </w:t>
            </w:r>
            <w:proofErr w:type="spellStart"/>
            <w:r w:rsidRPr="00606F29">
              <w:rPr>
                <w:sz w:val="20"/>
                <w:lang w:val="fr-CA"/>
              </w:rPr>
              <w:t>Brock</w:t>
            </w:r>
            <w:proofErr w:type="spellEnd"/>
            <w:r w:rsidRPr="00606F29">
              <w:rPr>
                <w:sz w:val="20"/>
                <w:lang w:val="fr-CA"/>
              </w:rPr>
              <w:t xml:space="preserve"> </w:t>
            </w:r>
            <w:proofErr w:type="spellStart"/>
            <w:r w:rsidRPr="00606F29">
              <w:rPr>
                <w:sz w:val="20"/>
                <w:lang w:val="fr-CA"/>
              </w:rPr>
              <w:t>Blackwell</w:t>
            </w:r>
            <w:proofErr w:type="spellEnd"/>
            <w:r w:rsidRPr="00606F29">
              <w:rPr>
                <w:sz w:val="20"/>
                <w:lang w:val="fr-CA"/>
              </w:rPr>
              <w:t xml:space="preserve"> LLP représentait Industrie Canada à l’égard d’une aide financière à GMCL. </w:t>
            </w:r>
            <w:proofErr w:type="spellStart"/>
            <w:r w:rsidRPr="00606F29">
              <w:rPr>
                <w:sz w:val="20"/>
                <w:lang w:val="fr-CA"/>
              </w:rPr>
              <w:t>Cassels</w:t>
            </w:r>
            <w:proofErr w:type="spellEnd"/>
            <w:r w:rsidRPr="00606F29">
              <w:rPr>
                <w:sz w:val="20"/>
                <w:lang w:val="fr-CA"/>
              </w:rPr>
              <w:t xml:space="preserve"> représentait aussi un groupe de concessionnaires de GMCL, mais n’a pas révélé aux concessionnaires le mandat qu’il avait déjà avec le Canada. Le projet de restructuration de GMCL comportait une réduction de son réseau de concessionnaires. Dans le cadre de ce projet, GMCL a remis à ses concessionnaires une Entente de réduction progressive des activités (ERPA), dont le but était de résilier leurs franchises et de mettre GMCL à l’abri de réclamations de concessionnaires en contrepartie d’une indemnité. La majorité des concessionnaires a signé les ERPA et a reçu 126 millions de dollars au total.</w:t>
            </w:r>
          </w:p>
          <w:p w:rsidR="00E2298F" w:rsidRPr="00606F29" w:rsidRDefault="00E2298F" w:rsidP="00E2298F">
            <w:pPr>
              <w:jc w:val="both"/>
              <w:rPr>
                <w:sz w:val="20"/>
                <w:lang w:val="fr-CA"/>
              </w:rPr>
            </w:pPr>
          </w:p>
          <w:p w:rsidR="00E2298F" w:rsidRPr="00606F29" w:rsidRDefault="00E2298F" w:rsidP="00E2298F">
            <w:pPr>
              <w:jc w:val="both"/>
              <w:rPr>
                <w:sz w:val="20"/>
                <w:lang w:val="fr-CA"/>
              </w:rPr>
            </w:pPr>
            <w:r w:rsidRPr="00606F29">
              <w:rPr>
                <w:sz w:val="20"/>
                <w:lang w:val="fr-CA"/>
              </w:rPr>
              <w:t xml:space="preserve">La même année, Trillium </w:t>
            </w:r>
            <w:proofErr w:type="spellStart"/>
            <w:r w:rsidRPr="00606F29">
              <w:rPr>
                <w:sz w:val="20"/>
                <w:lang w:val="fr-CA"/>
              </w:rPr>
              <w:t>Motor</w:t>
            </w:r>
            <w:proofErr w:type="spellEnd"/>
            <w:r w:rsidRPr="00606F29">
              <w:rPr>
                <w:sz w:val="20"/>
                <w:lang w:val="fr-CA"/>
              </w:rPr>
              <w:t xml:space="preserve"> World Ltd., un concessionnaire de GMCL, a introduit un recours collectif contre </w:t>
            </w:r>
            <w:proofErr w:type="spellStart"/>
            <w:r w:rsidRPr="00606F29">
              <w:rPr>
                <w:sz w:val="20"/>
                <w:lang w:val="fr-CA"/>
              </w:rPr>
              <w:t>Cassels</w:t>
            </w:r>
            <w:proofErr w:type="spellEnd"/>
            <w:r w:rsidRPr="00606F29">
              <w:rPr>
                <w:sz w:val="20"/>
                <w:lang w:val="fr-CA"/>
              </w:rPr>
              <w:t xml:space="preserve"> au nom de tous les concessionnaires qui avaient signé les ERPA. Selon Trillium, </w:t>
            </w:r>
            <w:proofErr w:type="spellStart"/>
            <w:r w:rsidRPr="00606F29">
              <w:rPr>
                <w:sz w:val="20"/>
                <w:lang w:val="fr-CA"/>
              </w:rPr>
              <w:t>Cassels</w:t>
            </w:r>
            <w:proofErr w:type="spellEnd"/>
            <w:r w:rsidRPr="00606F29">
              <w:rPr>
                <w:sz w:val="20"/>
                <w:lang w:val="fr-CA"/>
              </w:rPr>
              <w:t xml:space="preserve"> avait manqué à ses obligations contractuelles et fiduciaires envers les concessionnaires, y compris son devoir de loyauté. Il est allégué que, n’eût été ces manquements, les concessionnaires auraient négocié, collectivement, une meilleure entente et ils ont sollicité des dommages-intérêts pour cette possibilité perdue. </w:t>
            </w:r>
            <w:proofErr w:type="spellStart"/>
            <w:r w:rsidRPr="00606F29">
              <w:rPr>
                <w:sz w:val="20"/>
                <w:lang w:val="fr-CA"/>
              </w:rPr>
              <w:t>Cassels</w:t>
            </w:r>
            <w:proofErr w:type="spellEnd"/>
            <w:r w:rsidRPr="00606F29">
              <w:rPr>
                <w:sz w:val="20"/>
                <w:lang w:val="fr-CA"/>
              </w:rPr>
              <w:t xml:space="preserve"> a soutenu que son mandat avec les concessionnaires était conditionnel à ce que GMCL devienne insolvable, ce qui ne s’est pas produit, et a nié les manquements allégués.</w:t>
            </w:r>
          </w:p>
        </w:tc>
      </w:tr>
      <w:tr w:rsidR="00E2298F" w:rsidRPr="009813FB" w:rsidTr="006358B9">
        <w:tblPrEx>
          <w:tblCellMar>
            <w:bottom w:w="0" w:type="dxa"/>
          </w:tblCellMar>
        </w:tblPrEx>
        <w:tc>
          <w:tcPr>
            <w:tcW w:w="2390" w:type="pct"/>
            <w:gridSpan w:val="2"/>
          </w:tcPr>
          <w:p w:rsidR="00E2298F" w:rsidRPr="00606F29" w:rsidRDefault="00E2298F" w:rsidP="00E2298F">
            <w:pPr>
              <w:jc w:val="both"/>
              <w:rPr>
                <w:sz w:val="20"/>
                <w:lang w:val="fr-CA"/>
              </w:rPr>
            </w:pPr>
          </w:p>
        </w:tc>
        <w:tc>
          <w:tcPr>
            <w:tcW w:w="270" w:type="pct"/>
            <w:gridSpan w:val="2"/>
          </w:tcPr>
          <w:p w:rsidR="00E2298F" w:rsidRPr="00606F29" w:rsidRDefault="00E2298F" w:rsidP="00E2298F">
            <w:pPr>
              <w:jc w:val="both"/>
              <w:rPr>
                <w:sz w:val="20"/>
                <w:lang w:val="fr-CA"/>
              </w:rPr>
            </w:pPr>
          </w:p>
        </w:tc>
        <w:tc>
          <w:tcPr>
            <w:tcW w:w="2340" w:type="pct"/>
            <w:gridSpan w:val="2"/>
          </w:tcPr>
          <w:p w:rsidR="00E2298F" w:rsidRPr="00606F29" w:rsidRDefault="00E2298F" w:rsidP="00E2298F">
            <w:pPr>
              <w:jc w:val="both"/>
              <w:rPr>
                <w:sz w:val="20"/>
                <w:lang w:val="fr-CA"/>
              </w:rPr>
            </w:pPr>
          </w:p>
        </w:tc>
      </w:tr>
      <w:tr w:rsidR="00E2298F" w:rsidRPr="009813FB" w:rsidTr="006358B9">
        <w:tblPrEx>
          <w:tblCellMar>
            <w:bottom w:w="0" w:type="dxa"/>
          </w:tblCellMar>
        </w:tblPrEx>
        <w:tc>
          <w:tcPr>
            <w:tcW w:w="2390" w:type="pct"/>
            <w:gridSpan w:val="2"/>
          </w:tcPr>
          <w:p w:rsidR="00E2298F" w:rsidRPr="00606F29" w:rsidRDefault="00E2298F" w:rsidP="00E2298F">
            <w:pPr>
              <w:jc w:val="both"/>
              <w:rPr>
                <w:sz w:val="20"/>
                <w:lang w:val="fr-CA"/>
              </w:rPr>
            </w:pPr>
            <w:r w:rsidRPr="00606F29">
              <w:rPr>
                <w:sz w:val="20"/>
                <w:lang w:val="fr-CA"/>
              </w:rPr>
              <w:t>8 juillet 2015</w:t>
            </w:r>
          </w:p>
          <w:p w:rsidR="00E2298F" w:rsidRPr="00606F29" w:rsidRDefault="00E2298F" w:rsidP="00E2298F">
            <w:pPr>
              <w:jc w:val="both"/>
              <w:rPr>
                <w:sz w:val="20"/>
                <w:lang w:val="fr-CA"/>
              </w:rPr>
            </w:pPr>
            <w:r w:rsidRPr="00606F29">
              <w:rPr>
                <w:sz w:val="20"/>
                <w:lang w:val="fr-CA"/>
              </w:rPr>
              <w:t>Cour supérieure de justice de l’Ontario</w:t>
            </w:r>
          </w:p>
          <w:p w:rsidR="00E2298F" w:rsidRPr="00606F29" w:rsidRDefault="00E2298F" w:rsidP="00E2298F">
            <w:pPr>
              <w:jc w:val="both"/>
              <w:rPr>
                <w:sz w:val="20"/>
                <w:lang w:val="fr-CA"/>
              </w:rPr>
            </w:pPr>
            <w:r w:rsidRPr="00606F29">
              <w:rPr>
                <w:sz w:val="20"/>
                <w:lang w:val="fr-CA"/>
              </w:rPr>
              <w:t xml:space="preserve">(Juge </w:t>
            </w:r>
            <w:proofErr w:type="spellStart"/>
            <w:r w:rsidRPr="00606F29">
              <w:rPr>
                <w:sz w:val="20"/>
                <w:lang w:val="fr-CA"/>
              </w:rPr>
              <w:t>McEwen</w:t>
            </w:r>
            <w:proofErr w:type="spellEnd"/>
            <w:r w:rsidRPr="00606F29">
              <w:rPr>
                <w:sz w:val="20"/>
                <w:lang w:val="fr-CA"/>
              </w:rPr>
              <w:t>)</w:t>
            </w:r>
          </w:p>
          <w:p w:rsidR="00E2298F" w:rsidRPr="00606F29" w:rsidRDefault="009813FB" w:rsidP="00E2298F">
            <w:pPr>
              <w:jc w:val="both"/>
              <w:rPr>
                <w:sz w:val="20"/>
                <w:lang w:val="fr-CA"/>
              </w:rPr>
            </w:pPr>
            <w:hyperlink r:id="rId40" w:history="1">
              <w:r w:rsidR="00E2298F" w:rsidRPr="00606F29">
                <w:rPr>
                  <w:rStyle w:val="Hyperlink"/>
                  <w:sz w:val="20"/>
                  <w:lang w:val="fr-CA"/>
                </w:rPr>
                <w:t>2015 ONSC 3824</w:t>
              </w:r>
            </w:hyperlink>
          </w:p>
          <w:p w:rsidR="00E2298F" w:rsidRPr="00606F29" w:rsidRDefault="00E2298F" w:rsidP="00E2298F">
            <w:pPr>
              <w:jc w:val="both"/>
              <w:rPr>
                <w:sz w:val="20"/>
                <w:lang w:val="fr-CA"/>
              </w:rPr>
            </w:pPr>
          </w:p>
        </w:tc>
        <w:tc>
          <w:tcPr>
            <w:tcW w:w="270" w:type="pct"/>
            <w:gridSpan w:val="2"/>
          </w:tcPr>
          <w:p w:rsidR="00E2298F" w:rsidRPr="00606F29" w:rsidRDefault="00E2298F" w:rsidP="00E2298F">
            <w:pPr>
              <w:jc w:val="both"/>
              <w:rPr>
                <w:sz w:val="20"/>
                <w:lang w:val="fr-CA"/>
              </w:rPr>
            </w:pPr>
          </w:p>
        </w:tc>
        <w:tc>
          <w:tcPr>
            <w:tcW w:w="2340" w:type="pct"/>
            <w:gridSpan w:val="2"/>
          </w:tcPr>
          <w:p w:rsidR="00E2298F" w:rsidRPr="00606F29" w:rsidRDefault="00E2298F" w:rsidP="00E2298F">
            <w:pPr>
              <w:jc w:val="both"/>
              <w:rPr>
                <w:sz w:val="20"/>
                <w:lang w:val="fr-CA"/>
              </w:rPr>
            </w:pPr>
            <w:r w:rsidRPr="00606F29">
              <w:rPr>
                <w:sz w:val="20"/>
                <w:lang w:val="fr-CA"/>
              </w:rPr>
              <w:t xml:space="preserve">Jugement accueillant le recours collectif introduit et certifié en vertu de la </w:t>
            </w:r>
            <w:r w:rsidRPr="00606F29">
              <w:rPr>
                <w:i/>
                <w:sz w:val="20"/>
                <w:lang w:val="fr-CA"/>
              </w:rPr>
              <w:t>Loi de 1992 sur les recours collectifs</w:t>
            </w:r>
            <w:r w:rsidRPr="00606F29">
              <w:rPr>
                <w:sz w:val="20"/>
                <w:lang w:val="fr-CA"/>
              </w:rPr>
              <w:t xml:space="preserve">, L.O. 1992, ch. 6 et accordant la somme de 45 000 000 $ en dommages-intérêts aux membres du groupe </w:t>
            </w:r>
          </w:p>
          <w:p w:rsidR="00E2298F" w:rsidRPr="00606F29" w:rsidRDefault="00E2298F" w:rsidP="00E2298F">
            <w:pPr>
              <w:jc w:val="both"/>
              <w:rPr>
                <w:sz w:val="20"/>
                <w:lang w:val="fr-CA"/>
              </w:rPr>
            </w:pPr>
          </w:p>
        </w:tc>
      </w:tr>
      <w:tr w:rsidR="00E2298F" w:rsidRPr="009813FB" w:rsidTr="006358B9">
        <w:tblPrEx>
          <w:tblCellMar>
            <w:bottom w:w="0" w:type="dxa"/>
          </w:tblCellMar>
        </w:tblPrEx>
        <w:tc>
          <w:tcPr>
            <w:tcW w:w="2390" w:type="pct"/>
            <w:gridSpan w:val="2"/>
          </w:tcPr>
          <w:p w:rsidR="00E2298F" w:rsidRPr="00606F29" w:rsidRDefault="00E2298F" w:rsidP="00E2298F">
            <w:pPr>
              <w:jc w:val="both"/>
              <w:rPr>
                <w:sz w:val="20"/>
                <w:lang w:val="fr-CA"/>
              </w:rPr>
            </w:pPr>
            <w:r w:rsidRPr="00606F29">
              <w:rPr>
                <w:sz w:val="20"/>
                <w:lang w:val="fr-CA"/>
              </w:rPr>
              <w:t>22 mars 2016</w:t>
            </w:r>
          </w:p>
          <w:p w:rsidR="00E2298F" w:rsidRPr="00606F29" w:rsidRDefault="00E2298F" w:rsidP="00E2298F">
            <w:pPr>
              <w:jc w:val="both"/>
              <w:rPr>
                <w:sz w:val="20"/>
                <w:lang w:val="fr-CA"/>
              </w:rPr>
            </w:pPr>
            <w:r w:rsidRPr="00606F29">
              <w:rPr>
                <w:sz w:val="20"/>
                <w:lang w:val="fr-CA"/>
              </w:rPr>
              <w:t>Cour supérieure de justice de l’Ontario</w:t>
            </w:r>
          </w:p>
          <w:p w:rsidR="00E2298F" w:rsidRPr="00606F29" w:rsidRDefault="00E2298F" w:rsidP="00E2298F">
            <w:pPr>
              <w:jc w:val="both"/>
              <w:rPr>
                <w:sz w:val="20"/>
                <w:lang w:val="fr-CA"/>
              </w:rPr>
            </w:pPr>
            <w:r w:rsidRPr="00606F29">
              <w:rPr>
                <w:sz w:val="20"/>
                <w:lang w:val="fr-CA"/>
              </w:rPr>
              <w:t xml:space="preserve">(Juge </w:t>
            </w:r>
            <w:proofErr w:type="spellStart"/>
            <w:r w:rsidRPr="00606F29">
              <w:rPr>
                <w:sz w:val="20"/>
                <w:lang w:val="fr-CA"/>
              </w:rPr>
              <w:t>McEwen</w:t>
            </w:r>
            <w:proofErr w:type="spellEnd"/>
            <w:r w:rsidRPr="00606F29">
              <w:rPr>
                <w:sz w:val="20"/>
                <w:lang w:val="fr-CA"/>
              </w:rPr>
              <w:t>)</w:t>
            </w:r>
          </w:p>
          <w:p w:rsidR="00E2298F" w:rsidRPr="00606F29" w:rsidRDefault="009813FB" w:rsidP="00E2298F">
            <w:pPr>
              <w:jc w:val="both"/>
              <w:rPr>
                <w:sz w:val="20"/>
                <w:lang w:val="fr-CA"/>
              </w:rPr>
            </w:pPr>
            <w:hyperlink r:id="rId41" w:history="1">
              <w:r w:rsidR="00E2298F" w:rsidRPr="00606F29">
                <w:rPr>
                  <w:rStyle w:val="Hyperlink"/>
                  <w:sz w:val="20"/>
                  <w:lang w:val="fr-CA"/>
                </w:rPr>
                <w:t>2016 ONSC 666</w:t>
              </w:r>
            </w:hyperlink>
          </w:p>
          <w:p w:rsidR="00E2298F" w:rsidRPr="00606F29" w:rsidRDefault="00E2298F" w:rsidP="00E2298F">
            <w:pPr>
              <w:jc w:val="both"/>
              <w:rPr>
                <w:sz w:val="20"/>
                <w:lang w:val="fr-CA"/>
              </w:rPr>
            </w:pPr>
          </w:p>
        </w:tc>
        <w:tc>
          <w:tcPr>
            <w:tcW w:w="270" w:type="pct"/>
            <w:gridSpan w:val="2"/>
          </w:tcPr>
          <w:p w:rsidR="00E2298F" w:rsidRPr="00606F29" w:rsidRDefault="00E2298F" w:rsidP="00E2298F">
            <w:pPr>
              <w:jc w:val="both"/>
              <w:rPr>
                <w:sz w:val="20"/>
                <w:lang w:val="fr-CA"/>
              </w:rPr>
            </w:pPr>
          </w:p>
        </w:tc>
        <w:tc>
          <w:tcPr>
            <w:tcW w:w="2340" w:type="pct"/>
            <w:gridSpan w:val="2"/>
          </w:tcPr>
          <w:p w:rsidR="00E2298F" w:rsidRPr="00606F29" w:rsidRDefault="00E2298F" w:rsidP="00E2298F">
            <w:pPr>
              <w:jc w:val="both"/>
              <w:rPr>
                <w:sz w:val="20"/>
                <w:lang w:val="fr-CA"/>
              </w:rPr>
            </w:pPr>
            <w:r w:rsidRPr="00606F29">
              <w:rPr>
                <w:sz w:val="20"/>
                <w:lang w:val="fr-CA"/>
              </w:rPr>
              <w:t>Jugement complémentaire sur la quantification des dommages-intérêts</w:t>
            </w:r>
          </w:p>
          <w:p w:rsidR="00E2298F" w:rsidRPr="00606F29" w:rsidRDefault="00E2298F" w:rsidP="00E2298F">
            <w:pPr>
              <w:jc w:val="both"/>
              <w:rPr>
                <w:sz w:val="20"/>
                <w:lang w:val="fr-CA"/>
              </w:rPr>
            </w:pPr>
          </w:p>
        </w:tc>
      </w:tr>
      <w:tr w:rsidR="00E2298F" w:rsidRPr="009813FB" w:rsidTr="006358B9">
        <w:tblPrEx>
          <w:tblCellMar>
            <w:bottom w:w="0" w:type="dxa"/>
          </w:tblCellMar>
        </w:tblPrEx>
        <w:tc>
          <w:tcPr>
            <w:tcW w:w="2390" w:type="pct"/>
            <w:gridSpan w:val="2"/>
          </w:tcPr>
          <w:p w:rsidR="00E2298F" w:rsidRPr="00606F29" w:rsidRDefault="00E2298F" w:rsidP="00E2298F">
            <w:pPr>
              <w:jc w:val="both"/>
              <w:rPr>
                <w:sz w:val="20"/>
                <w:lang w:val="fr-CA"/>
              </w:rPr>
            </w:pPr>
            <w:r w:rsidRPr="00606F29">
              <w:rPr>
                <w:sz w:val="20"/>
                <w:lang w:val="fr-CA"/>
              </w:rPr>
              <w:t>4 juillet 2017</w:t>
            </w:r>
          </w:p>
          <w:p w:rsidR="00E2298F" w:rsidRPr="00606F29" w:rsidRDefault="00E2298F" w:rsidP="00E2298F">
            <w:pPr>
              <w:jc w:val="both"/>
              <w:rPr>
                <w:sz w:val="20"/>
                <w:lang w:val="fr-CA"/>
              </w:rPr>
            </w:pPr>
            <w:r w:rsidRPr="00606F29">
              <w:rPr>
                <w:sz w:val="20"/>
                <w:lang w:val="fr-CA"/>
              </w:rPr>
              <w:t>Cour d’appel de l’Ontario</w:t>
            </w:r>
          </w:p>
          <w:p w:rsidR="00E2298F" w:rsidRPr="00606F29" w:rsidRDefault="00E2298F" w:rsidP="00E2298F">
            <w:pPr>
              <w:jc w:val="both"/>
              <w:rPr>
                <w:sz w:val="20"/>
                <w:lang w:val="fr-CA"/>
              </w:rPr>
            </w:pPr>
            <w:r w:rsidRPr="00606F29">
              <w:rPr>
                <w:sz w:val="20"/>
                <w:lang w:val="fr-CA"/>
              </w:rPr>
              <w:t xml:space="preserve">(Juges </w:t>
            </w:r>
            <w:proofErr w:type="spellStart"/>
            <w:r w:rsidRPr="00606F29">
              <w:rPr>
                <w:sz w:val="20"/>
                <w:lang w:val="fr-CA"/>
              </w:rPr>
              <w:t>Cronk</w:t>
            </w:r>
            <w:proofErr w:type="spellEnd"/>
            <w:r w:rsidRPr="00606F29">
              <w:rPr>
                <w:sz w:val="20"/>
                <w:lang w:val="fr-CA"/>
              </w:rPr>
              <w:t xml:space="preserve">, van </w:t>
            </w:r>
            <w:proofErr w:type="spellStart"/>
            <w:r w:rsidRPr="00606F29">
              <w:rPr>
                <w:sz w:val="20"/>
                <w:lang w:val="fr-CA"/>
              </w:rPr>
              <w:t>Rensburg</w:t>
            </w:r>
            <w:proofErr w:type="spellEnd"/>
            <w:r w:rsidRPr="00606F29">
              <w:rPr>
                <w:sz w:val="20"/>
                <w:lang w:val="fr-CA"/>
              </w:rPr>
              <w:t xml:space="preserve"> et </w:t>
            </w:r>
            <w:proofErr w:type="spellStart"/>
            <w:r w:rsidRPr="00606F29">
              <w:rPr>
                <w:sz w:val="20"/>
                <w:lang w:val="fr-CA"/>
              </w:rPr>
              <w:t>Pardu</w:t>
            </w:r>
            <w:proofErr w:type="spellEnd"/>
            <w:r w:rsidRPr="00606F29">
              <w:rPr>
                <w:sz w:val="20"/>
                <w:lang w:val="fr-CA"/>
              </w:rPr>
              <w:t>)</w:t>
            </w:r>
          </w:p>
          <w:p w:rsidR="00E2298F" w:rsidRPr="00606F29" w:rsidRDefault="009813FB" w:rsidP="00E2298F">
            <w:pPr>
              <w:jc w:val="both"/>
              <w:rPr>
                <w:sz w:val="20"/>
                <w:lang w:val="fr-CA"/>
              </w:rPr>
            </w:pPr>
            <w:hyperlink r:id="rId42" w:history="1">
              <w:r w:rsidR="00E2298F" w:rsidRPr="00606F29">
                <w:rPr>
                  <w:rStyle w:val="Hyperlink"/>
                  <w:sz w:val="20"/>
                  <w:lang w:val="fr-CA"/>
                </w:rPr>
                <w:t>2017 ONCA 544</w:t>
              </w:r>
            </w:hyperlink>
            <w:r w:rsidR="00E2298F" w:rsidRPr="00606F29">
              <w:rPr>
                <w:sz w:val="20"/>
                <w:lang w:val="fr-CA"/>
              </w:rPr>
              <w:t xml:space="preserve"> </w:t>
            </w:r>
          </w:p>
          <w:p w:rsidR="00E2298F" w:rsidRPr="00606F29" w:rsidRDefault="00E2298F" w:rsidP="00E2298F">
            <w:pPr>
              <w:jc w:val="both"/>
              <w:rPr>
                <w:sz w:val="20"/>
                <w:lang w:val="fr-CA"/>
              </w:rPr>
            </w:pPr>
          </w:p>
        </w:tc>
        <w:tc>
          <w:tcPr>
            <w:tcW w:w="270" w:type="pct"/>
            <w:gridSpan w:val="2"/>
          </w:tcPr>
          <w:p w:rsidR="00E2298F" w:rsidRPr="00606F29" w:rsidRDefault="00E2298F" w:rsidP="00E2298F">
            <w:pPr>
              <w:jc w:val="both"/>
              <w:rPr>
                <w:sz w:val="20"/>
                <w:lang w:val="fr-CA"/>
              </w:rPr>
            </w:pPr>
          </w:p>
        </w:tc>
        <w:tc>
          <w:tcPr>
            <w:tcW w:w="2340" w:type="pct"/>
            <w:gridSpan w:val="2"/>
          </w:tcPr>
          <w:p w:rsidR="00E2298F" w:rsidRPr="00606F29" w:rsidRDefault="00E2298F" w:rsidP="00E2298F">
            <w:pPr>
              <w:jc w:val="both"/>
              <w:rPr>
                <w:sz w:val="20"/>
                <w:lang w:val="fr-CA"/>
              </w:rPr>
            </w:pPr>
            <w:r w:rsidRPr="00606F29">
              <w:rPr>
                <w:sz w:val="20"/>
                <w:lang w:val="fr-CA"/>
              </w:rPr>
              <w:t xml:space="preserve">Arrêt rejetant l’appel portant sur la responsabilité, accueillant l’appel portant sur la quantification des dommages-intérêts et rejetant l’appel incident </w:t>
            </w:r>
          </w:p>
          <w:p w:rsidR="00E2298F" w:rsidRPr="00606F29" w:rsidRDefault="00E2298F" w:rsidP="00E2298F">
            <w:pPr>
              <w:jc w:val="both"/>
              <w:rPr>
                <w:sz w:val="20"/>
                <w:lang w:val="fr-CA"/>
              </w:rPr>
            </w:pPr>
          </w:p>
        </w:tc>
      </w:tr>
      <w:tr w:rsidR="00E2298F" w:rsidRPr="009813FB" w:rsidTr="006358B9">
        <w:tblPrEx>
          <w:tblCellMar>
            <w:bottom w:w="0" w:type="dxa"/>
          </w:tblCellMar>
        </w:tblPrEx>
        <w:tc>
          <w:tcPr>
            <w:tcW w:w="2390" w:type="pct"/>
            <w:gridSpan w:val="2"/>
          </w:tcPr>
          <w:p w:rsidR="00E2298F" w:rsidRPr="00606F29" w:rsidRDefault="00E2298F" w:rsidP="00E2298F">
            <w:pPr>
              <w:jc w:val="both"/>
              <w:rPr>
                <w:sz w:val="20"/>
                <w:lang w:val="fr-CA"/>
              </w:rPr>
            </w:pPr>
            <w:r w:rsidRPr="00606F29">
              <w:rPr>
                <w:sz w:val="20"/>
                <w:lang w:val="fr-CA"/>
              </w:rPr>
              <w:t>28 septembre 2017</w:t>
            </w:r>
          </w:p>
          <w:p w:rsidR="00E2298F" w:rsidRPr="00606F29" w:rsidRDefault="00E2298F" w:rsidP="00E2298F">
            <w:pPr>
              <w:jc w:val="both"/>
              <w:rPr>
                <w:sz w:val="20"/>
                <w:lang w:val="fr-CA"/>
              </w:rPr>
            </w:pPr>
            <w:r w:rsidRPr="00606F29">
              <w:rPr>
                <w:sz w:val="20"/>
                <w:lang w:val="fr-CA"/>
              </w:rPr>
              <w:t>Cour suprême du Canada</w:t>
            </w:r>
          </w:p>
        </w:tc>
        <w:tc>
          <w:tcPr>
            <w:tcW w:w="270" w:type="pct"/>
            <w:gridSpan w:val="2"/>
          </w:tcPr>
          <w:p w:rsidR="00E2298F" w:rsidRPr="00606F29" w:rsidRDefault="00E2298F" w:rsidP="00E2298F">
            <w:pPr>
              <w:jc w:val="both"/>
              <w:rPr>
                <w:sz w:val="20"/>
                <w:lang w:val="fr-CA"/>
              </w:rPr>
            </w:pPr>
          </w:p>
        </w:tc>
        <w:tc>
          <w:tcPr>
            <w:tcW w:w="2340" w:type="pct"/>
            <w:gridSpan w:val="2"/>
          </w:tcPr>
          <w:p w:rsidR="00E2298F" w:rsidRPr="00606F29" w:rsidRDefault="00E2298F" w:rsidP="00E2298F">
            <w:pPr>
              <w:jc w:val="both"/>
              <w:rPr>
                <w:sz w:val="20"/>
                <w:lang w:val="fr-CA"/>
              </w:rPr>
            </w:pPr>
            <w:r w:rsidRPr="00606F29">
              <w:rPr>
                <w:sz w:val="20"/>
                <w:lang w:val="fr-CA"/>
              </w:rPr>
              <w:t>Dépôt de la demande d’autorisation d’appel</w:t>
            </w:r>
          </w:p>
          <w:p w:rsidR="00E2298F" w:rsidRPr="00606F29" w:rsidRDefault="00E2298F" w:rsidP="00E2298F">
            <w:pPr>
              <w:jc w:val="both"/>
              <w:rPr>
                <w:sz w:val="20"/>
                <w:lang w:val="fr-CA"/>
              </w:rPr>
            </w:pPr>
          </w:p>
        </w:tc>
      </w:tr>
      <w:tr w:rsidR="00292C54" w:rsidRPr="00606F29" w:rsidTr="006358B9">
        <w:tc>
          <w:tcPr>
            <w:tcW w:w="543" w:type="pct"/>
          </w:tcPr>
          <w:p w:rsidR="00292C54" w:rsidRPr="00606F29" w:rsidRDefault="00292C54" w:rsidP="006358B9">
            <w:pPr>
              <w:jc w:val="both"/>
              <w:rPr>
                <w:sz w:val="20"/>
              </w:rPr>
            </w:pPr>
            <w:r w:rsidRPr="00606F29">
              <w:rPr>
                <w:rStyle w:val="SCCFileNumberChar"/>
                <w:sz w:val="20"/>
                <w:szCs w:val="20"/>
              </w:rPr>
              <w:lastRenderedPageBreak/>
              <w:t>37643</w:t>
            </w:r>
          </w:p>
        </w:tc>
        <w:tc>
          <w:tcPr>
            <w:tcW w:w="4457" w:type="pct"/>
            <w:gridSpan w:val="5"/>
          </w:tcPr>
          <w:p w:rsidR="00292C54" w:rsidRPr="00606F29" w:rsidRDefault="00292C54" w:rsidP="006358B9">
            <w:pPr>
              <w:pStyle w:val="SCCLsocParty"/>
              <w:jc w:val="both"/>
              <w:rPr>
                <w:b/>
                <w:sz w:val="20"/>
                <w:szCs w:val="20"/>
                <w:lang w:val="en-US"/>
              </w:rPr>
            </w:pPr>
            <w:r w:rsidRPr="00606F29">
              <w:rPr>
                <w:b/>
                <w:sz w:val="20"/>
                <w:szCs w:val="20"/>
                <w:lang w:val="en-US"/>
              </w:rPr>
              <w:t>Robert New v. Canada (Minister of Justice), Attorney General of Canada on behalf of the United States of America</w:t>
            </w:r>
          </w:p>
          <w:p w:rsidR="00292C54" w:rsidRPr="00606F29" w:rsidRDefault="00292C54" w:rsidP="006358B9">
            <w:pPr>
              <w:jc w:val="both"/>
              <w:rPr>
                <w:sz w:val="20"/>
              </w:rPr>
            </w:pPr>
            <w:r w:rsidRPr="00606F29">
              <w:rPr>
                <w:sz w:val="20"/>
              </w:rPr>
              <w:t>(B.C.) (Criminal) (By Leave)</w:t>
            </w:r>
          </w:p>
        </w:tc>
      </w:tr>
      <w:tr w:rsidR="00E2298F" w:rsidRPr="00606F29" w:rsidTr="006358B9">
        <w:tc>
          <w:tcPr>
            <w:tcW w:w="543" w:type="pct"/>
          </w:tcPr>
          <w:p w:rsidR="00E2298F" w:rsidRPr="00606F29" w:rsidRDefault="00E2298F" w:rsidP="00E2298F">
            <w:pPr>
              <w:jc w:val="both"/>
              <w:rPr>
                <w:rStyle w:val="SCCFileNumberChar"/>
                <w:sz w:val="20"/>
                <w:szCs w:val="20"/>
              </w:rPr>
            </w:pPr>
            <w:r w:rsidRPr="00606F29">
              <w:rPr>
                <w:rStyle w:val="SCCFileNumberChar"/>
                <w:sz w:val="20"/>
                <w:szCs w:val="20"/>
              </w:rPr>
              <w:t>Coram:</w:t>
            </w:r>
          </w:p>
        </w:tc>
        <w:tc>
          <w:tcPr>
            <w:tcW w:w="4457" w:type="pct"/>
            <w:gridSpan w:val="5"/>
          </w:tcPr>
          <w:p w:rsidR="00E2298F" w:rsidRPr="00606F29" w:rsidRDefault="00E2298F" w:rsidP="00E2298F">
            <w:pPr>
              <w:pStyle w:val="SCCLsocParty"/>
              <w:jc w:val="both"/>
              <w:rPr>
                <w:b/>
                <w:sz w:val="20"/>
                <w:szCs w:val="20"/>
                <w:lang w:val="en-US"/>
              </w:rPr>
            </w:pPr>
            <w:r w:rsidRPr="00606F29">
              <w:rPr>
                <w:sz w:val="20"/>
                <w:lang w:val="en-US"/>
              </w:rPr>
              <w:t xml:space="preserve">Wagner C.J. and </w:t>
            </w:r>
            <w:proofErr w:type="spellStart"/>
            <w:r w:rsidRPr="00606F29">
              <w:rPr>
                <w:sz w:val="20"/>
                <w:lang w:val="en-US"/>
              </w:rPr>
              <w:t>Abella</w:t>
            </w:r>
            <w:proofErr w:type="spellEnd"/>
            <w:r w:rsidRPr="00606F29">
              <w:rPr>
                <w:sz w:val="20"/>
                <w:lang w:val="en-US"/>
              </w:rPr>
              <w:t xml:space="preserve">, </w:t>
            </w:r>
            <w:proofErr w:type="spellStart"/>
            <w:r w:rsidRPr="00606F29">
              <w:rPr>
                <w:sz w:val="20"/>
                <w:lang w:val="en-US"/>
              </w:rPr>
              <w:t>Moldaver</w:t>
            </w:r>
            <w:proofErr w:type="spellEnd"/>
            <w:r w:rsidRPr="00606F29">
              <w:rPr>
                <w:sz w:val="20"/>
                <w:lang w:val="en-US"/>
              </w:rPr>
              <w:t xml:space="preserve">, </w:t>
            </w:r>
            <w:proofErr w:type="spellStart"/>
            <w:r w:rsidRPr="00606F29">
              <w:rPr>
                <w:sz w:val="20"/>
                <w:lang w:val="en-US"/>
              </w:rPr>
              <w:t>Karakatsanis</w:t>
            </w:r>
            <w:proofErr w:type="spellEnd"/>
            <w:r w:rsidRPr="00606F29">
              <w:rPr>
                <w:sz w:val="20"/>
                <w:lang w:val="en-US"/>
              </w:rPr>
              <w:t xml:space="preserve">, </w:t>
            </w:r>
            <w:proofErr w:type="spellStart"/>
            <w:r w:rsidRPr="00606F29">
              <w:rPr>
                <w:sz w:val="20"/>
                <w:lang w:val="en-US"/>
              </w:rPr>
              <w:t>Gascon</w:t>
            </w:r>
            <w:proofErr w:type="spellEnd"/>
            <w:r w:rsidRPr="00606F29">
              <w:rPr>
                <w:sz w:val="20"/>
                <w:lang w:val="en-US"/>
              </w:rPr>
              <w:t xml:space="preserve">, </w:t>
            </w:r>
            <w:proofErr w:type="spellStart"/>
            <w:r w:rsidRPr="00606F29">
              <w:rPr>
                <w:sz w:val="20"/>
                <w:lang w:val="en-US"/>
              </w:rPr>
              <w:t>Côté</w:t>
            </w:r>
            <w:proofErr w:type="spellEnd"/>
            <w:r w:rsidRPr="00606F29">
              <w:rPr>
                <w:sz w:val="20"/>
                <w:lang w:val="en-US"/>
              </w:rPr>
              <w:t>, Brown, Rowe and Martin JJ.</w:t>
            </w:r>
          </w:p>
        </w:tc>
      </w:tr>
      <w:tr w:rsidR="00E2298F" w:rsidRPr="00606F29" w:rsidTr="00E2298F">
        <w:tc>
          <w:tcPr>
            <w:tcW w:w="5000" w:type="pct"/>
            <w:gridSpan w:val="6"/>
          </w:tcPr>
          <w:p w:rsidR="00E2298F" w:rsidRPr="00606F29" w:rsidRDefault="00E2298F" w:rsidP="00E2298F">
            <w:pPr>
              <w:pStyle w:val="SCCLsocParty"/>
              <w:jc w:val="both"/>
              <w:rPr>
                <w:b/>
                <w:sz w:val="20"/>
                <w:szCs w:val="20"/>
                <w:lang w:val="en-US"/>
              </w:rPr>
            </w:pPr>
            <w:r w:rsidRPr="00606F29">
              <w:rPr>
                <w:sz w:val="20"/>
                <w:lang w:val="en-US"/>
              </w:rPr>
              <w:t>The motion for an extension of time to serve and file the application for leave to appeal is granted.  The application for leave to appeal from the judgment of the Court of Appeal for British Columbia (Vancouver), Number CA43175, 2017 BCCA 249, dated July 4, 2017, is dismissed.</w:t>
            </w:r>
          </w:p>
        </w:tc>
      </w:tr>
      <w:tr w:rsidR="00E2298F" w:rsidRPr="00606F29" w:rsidTr="006358B9">
        <w:tc>
          <w:tcPr>
            <w:tcW w:w="5000" w:type="pct"/>
            <w:gridSpan w:val="6"/>
          </w:tcPr>
          <w:p w:rsidR="00E2298F" w:rsidRPr="00606F29" w:rsidRDefault="00E2298F" w:rsidP="00E2298F">
            <w:pPr>
              <w:jc w:val="both"/>
              <w:rPr>
                <w:sz w:val="20"/>
              </w:rPr>
            </w:pPr>
            <w:r w:rsidRPr="00606F29">
              <w:rPr>
                <w:sz w:val="20"/>
                <w:lang w:val="en"/>
              </w:rPr>
              <w:t xml:space="preserve">Extradition – Committal hearings – Evidence – Role of extradition judge – Extradition judge ordered the committal of the applicant into custody to await surrender to the United States – </w:t>
            </w:r>
            <w:r w:rsidRPr="00606F29">
              <w:rPr>
                <w:sz w:val="20"/>
              </w:rPr>
              <w:t xml:space="preserve">Credibility of witnesses – Whether the Minister should reject the United States’ claim that it has jurisdiction </w:t>
            </w:r>
            <w:r w:rsidRPr="00606F29">
              <w:rPr>
                <w:sz w:val="20"/>
                <w:lang w:val="en"/>
              </w:rPr>
              <w:t xml:space="preserve">– What is the test for committal – </w:t>
            </w:r>
            <w:r w:rsidRPr="00606F29">
              <w:rPr>
                <w:i/>
                <w:sz w:val="20"/>
              </w:rPr>
              <w:t>Extradition Act</w:t>
            </w:r>
            <w:r w:rsidRPr="00606F29">
              <w:rPr>
                <w:sz w:val="20"/>
              </w:rPr>
              <w:t>, S.C. 1999, c. 18.</w:t>
            </w:r>
          </w:p>
          <w:p w:rsidR="00E2298F" w:rsidRPr="00606F29" w:rsidRDefault="00E2298F" w:rsidP="00E2298F">
            <w:pPr>
              <w:jc w:val="both"/>
              <w:rPr>
                <w:sz w:val="20"/>
              </w:rPr>
            </w:pPr>
          </w:p>
        </w:tc>
      </w:tr>
      <w:tr w:rsidR="00E2298F" w:rsidRPr="00606F29" w:rsidTr="006358B9">
        <w:tc>
          <w:tcPr>
            <w:tcW w:w="5000" w:type="pct"/>
            <w:gridSpan w:val="6"/>
          </w:tcPr>
          <w:p w:rsidR="00E2298F" w:rsidRPr="00606F29" w:rsidRDefault="00E2298F" w:rsidP="00E2298F">
            <w:pPr>
              <w:jc w:val="both"/>
              <w:rPr>
                <w:sz w:val="20"/>
              </w:rPr>
            </w:pPr>
            <w:r w:rsidRPr="00606F29">
              <w:rPr>
                <w:sz w:val="20"/>
                <w:lang w:val="en"/>
              </w:rPr>
              <w:t>The applicant is being sought by the United States for extradition to stand trial in Washington State for conduct corresponding to the Canadian offence of sexual assault which was alleged to have been committed in Redmond, Washington. The applicant had been charged regarding alleged conduct which took place in Surrey, B.C., but the charges were stayed by the Crown. The extradition judge ordered the committal of the applicant into custody to await surrender to the United States.</w:t>
            </w:r>
            <w:r w:rsidRPr="00606F29">
              <w:rPr>
                <w:sz w:val="20"/>
              </w:rPr>
              <w:t xml:space="preserve"> T</w:t>
            </w:r>
            <w:r w:rsidRPr="00606F29">
              <w:rPr>
                <w:sz w:val="20"/>
                <w:lang w:val="en"/>
              </w:rPr>
              <w:t xml:space="preserve">he Minister of Justice ordered the applicant’s surrender. </w:t>
            </w:r>
            <w:r w:rsidRPr="00606F29">
              <w:rPr>
                <w:sz w:val="20"/>
              </w:rPr>
              <w:t>The Court of Appeal dismissed the applicant’s appeal and his application for judicial review.</w:t>
            </w:r>
          </w:p>
        </w:tc>
      </w:tr>
      <w:tr w:rsidR="00E2298F" w:rsidRPr="00606F29" w:rsidTr="006358B9">
        <w:tc>
          <w:tcPr>
            <w:tcW w:w="5000" w:type="pct"/>
            <w:gridSpan w:val="6"/>
          </w:tcPr>
          <w:p w:rsidR="00E2298F" w:rsidRPr="00606F29" w:rsidRDefault="00E2298F" w:rsidP="00E2298F">
            <w:pPr>
              <w:jc w:val="both"/>
              <w:rPr>
                <w:sz w:val="20"/>
              </w:rPr>
            </w:pPr>
          </w:p>
        </w:tc>
      </w:tr>
      <w:tr w:rsidR="00E2298F" w:rsidRPr="00606F29" w:rsidTr="006358B9">
        <w:tc>
          <w:tcPr>
            <w:tcW w:w="2427" w:type="pct"/>
            <w:gridSpan w:val="3"/>
          </w:tcPr>
          <w:p w:rsidR="00E2298F" w:rsidRPr="00606F29" w:rsidRDefault="00E2298F" w:rsidP="00E2298F">
            <w:pPr>
              <w:jc w:val="both"/>
              <w:rPr>
                <w:sz w:val="20"/>
              </w:rPr>
            </w:pPr>
            <w:r w:rsidRPr="00606F29">
              <w:rPr>
                <w:sz w:val="20"/>
              </w:rPr>
              <w:t>October 7, 2015</w:t>
            </w:r>
          </w:p>
          <w:p w:rsidR="00E2298F" w:rsidRPr="00606F29" w:rsidRDefault="00E2298F" w:rsidP="00E2298F">
            <w:pPr>
              <w:jc w:val="both"/>
              <w:rPr>
                <w:sz w:val="20"/>
              </w:rPr>
            </w:pPr>
            <w:r w:rsidRPr="00606F29">
              <w:rPr>
                <w:sz w:val="20"/>
              </w:rPr>
              <w:t>Supreme Court of British Columbia</w:t>
            </w:r>
          </w:p>
          <w:p w:rsidR="00E2298F" w:rsidRPr="00606F29" w:rsidRDefault="00E2298F" w:rsidP="00E2298F">
            <w:pPr>
              <w:jc w:val="both"/>
              <w:rPr>
                <w:sz w:val="20"/>
              </w:rPr>
            </w:pPr>
            <w:r w:rsidRPr="00606F29">
              <w:rPr>
                <w:sz w:val="20"/>
              </w:rPr>
              <w:t>(Wedge J.)</w:t>
            </w:r>
          </w:p>
          <w:p w:rsidR="00E2298F" w:rsidRPr="00606F29" w:rsidRDefault="00E2298F" w:rsidP="00E2298F">
            <w:pPr>
              <w:jc w:val="both"/>
              <w:rPr>
                <w:sz w:val="20"/>
              </w:rPr>
            </w:pPr>
            <w:r w:rsidRPr="00606F29">
              <w:rPr>
                <w:sz w:val="20"/>
              </w:rPr>
              <w:t>2015 BCSC 2201</w:t>
            </w:r>
          </w:p>
          <w:p w:rsidR="00E2298F" w:rsidRPr="00606F29" w:rsidRDefault="009813FB" w:rsidP="00E2298F">
            <w:pPr>
              <w:jc w:val="both"/>
              <w:rPr>
                <w:rStyle w:val="Hyperlink"/>
                <w:rFonts w:eastAsiaTheme="majorEastAsia"/>
                <w:sz w:val="20"/>
              </w:rPr>
            </w:pPr>
            <w:hyperlink r:id="rId43" w:history="1">
              <w:r w:rsidR="00E2298F" w:rsidRPr="00606F29">
                <w:rPr>
                  <w:rStyle w:val="Hyperlink"/>
                  <w:rFonts w:eastAsiaTheme="majorEastAsia"/>
                  <w:sz w:val="20"/>
                </w:rPr>
                <w:t>http://canlii.ca/t/gm9qp</w:t>
              </w:r>
            </w:hyperlink>
          </w:p>
          <w:p w:rsidR="00E2298F" w:rsidRPr="00606F29" w:rsidRDefault="00E2298F" w:rsidP="00E2298F">
            <w:pPr>
              <w:jc w:val="both"/>
              <w:rPr>
                <w:sz w:val="20"/>
              </w:rPr>
            </w:pPr>
          </w:p>
        </w:tc>
        <w:tc>
          <w:tcPr>
            <w:tcW w:w="243" w:type="pct"/>
            <w:gridSpan w:val="2"/>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r w:rsidRPr="00606F29">
              <w:rPr>
                <w:sz w:val="20"/>
              </w:rPr>
              <w:t>Ruling on admissibility of evidence</w:t>
            </w:r>
          </w:p>
        </w:tc>
      </w:tr>
      <w:tr w:rsidR="00E2298F" w:rsidRPr="00606F29" w:rsidTr="006358B9">
        <w:tc>
          <w:tcPr>
            <w:tcW w:w="2427" w:type="pct"/>
            <w:gridSpan w:val="3"/>
          </w:tcPr>
          <w:p w:rsidR="00E2298F" w:rsidRPr="00606F29" w:rsidRDefault="00E2298F" w:rsidP="00E2298F">
            <w:pPr>
              <w:jc w:val="both"/>
              <w:rPr>
                <w:sz w:val="20"/>
              </w:rPr>
            </w:pPr>
            <w:r w:rsidRPr="00606F29">
              <w:rPr>
                <w:sz w:val="20"/>
              </w:rPr>
              <w:t>October 15, 2015</w:t>
            </w:r>
          </w:p>
          <w:p w:rsidR="00E2298F" w:rsidRPr="00606F29" w:rsidRDefault="00E2298F" w:rsidP="00E2298F">
            <w:pPr>
              <w:jc w:val="both"/>
              <w:rPr>
                <w:sz w:val="20"/>
              </w:rPr>
            </w:pPr>
            <w:r w:rsidRPr="00606F29">
              <w:rPr>
                <w:sz w:val="20"/>
              </w:rPr>
              <w:t>Supreme Court of British Columbia</w:t>
            </w:r>
          </w:p>
          <w:p w:rsidR="00E2298F" w:rsidRPr="00606F29" w:rsidRDefault="00E2298F" w:rsidP="00E2298F">
            <w:pPr>
              <w:jc w:val="both"/>
              <w:rPr>
                <w:sz w:val="20"/>
              </w:rPr>
            </w:pPr>
            <w:r w:rsidRPr="00606F29">
              <w:rPr>
                <w:sz w:val="20"/>
              </w:rPr>
              <w:t>(Wedge J.)</w:t>
            </w:r>
          </w:p>
          <w:p w:rsidR="00E2298F" w:rsidRPr="00606F29" w:rsidRDefault="00E2298F" w:rsidP="00E2298F">
            <w:pPr>
              <w:jc w:val="both"/>
              <w:rPr>
                <w:sz w:val="20"/>
              </w:rPr>
            </w:pPr>
            <w:r w:rsidRPr="00606F29">
              <w:rPr>
                <w:sz w:val="20"/>
              </w:rPr>
              <w:t>2015 BCSC 2202</w:t>
            </w:r>
          </w:p>
          <w:p w:rsidR="00E2298F" w:rsidRPr="00606F29" w:rsidRDefault="009813FB" w:rsidP="00E2298F">
            <w:pPr>
              <w:jc w:val="both"/>
              <w:rPr>
                <w:sz w:val="20"/>
              </w:rPr>
            </w:pPr>
            <w:hyperlink r:id="rId44" w:history="1">
              <w:r w:rsidR="00E2298F" w:rsidRPr="00606F29">
                <w:rPr>
                  <w:rStyle w:val="Hyperlink"/>
                  <w:rFonts w:eastAsiaTheme="majorEastAsia"/>
                  <w:sz w:val="20"/>
                </w:rPr>
                <w:t>http://canlii.ca/t/gm9qq</w:t>
              </w:r>
            </w:hyperlink>
          </w:p>
          <w:p w:rsidR="00E2298F" w:rsidRPr="00606F29" w:rsidRDefault="00E2298F" w:rsidP="00E2298F">
            <w:pPr>
              <w:jc w:val="both"/>
              <w:rPr>
                <w:sz w:val="20"/>
              </w:rPr>
            </w:pPr>
          </w:p>
        </w:tc>
        <w:tc>
          <w:tcPr>
            <w:tcW w:w="243" w:type="pct"/>
            <w:gridSpan w:val="2"/>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r w:rsidRPr="00606F29">
              <w:rPr>
                <w:sz w:val="20"/>
              </w:rPr>
              <w:t>Order granted: applicant committed for surrender</w:t>
            </w:r>
          </w:p>
        </w:tc>
      </w:tr>
      <w:tr w:rsidR="00E2298F" w:rsidRPr="00606F29" w:rsidTr="006358B9">
        <w:tc>
          <w:tcPr>
            <w:tcW w:w="2427" w:type="pct"/>
            <w:gridSpan w:val="3"/>
          </w:tcPr>
          <w:p w:rsidR="00E2298F" w:rsidRPr="00606F29" w:rsidRDefault="00E2298F" w:rsidP="00E2298F">
            <w:pPr>
              <w:jc w:val="both"/>
              <w:rPr>
                <w:sz w:val="20"/>
              </w:rPr>
            </w:pPr>
            <w:r w:rsidRPr="00606F29">
              <w:rPr>
                <w:sz w:val="20"/>
              </w:rPr>
              <w:t>July 4, 2017</w:t>
            </w:r>
          </w:p>
          <w:p w:rsidR="00E2298F" w:rsidRPr="00606F29" w:rsidRDefault="00E2298F" w:rsidP="00E2298F">
            <w:pPr>
              <w:jc w:val="both"/>
              <w:rPr>
                <w:sz w:val="20"/>
              </w:rPr>
            </w:pPr>
            <w:r w:rsidRPr="00606F29">
              <w:rPr>
                <w:sz w:val="20"/>
              </w:rPr>
              <w:t xml:space="preserve">Court of Appeal for British Columbia </w:t>
            </w:r>
          </w:p>
          <w:p w:rsidR="00E2298F" w:rsidRPr="00606F29" w:rsidRDefault="00E2298F" w:rsidP="00E2298F">
            <w:pPr>
              <w:jc w:val="both"/>
              <w:rPr>
                <w:sz w:val="20"/>
              </w:rPr>
            </w:pPr>
            <w:r w:rsidRPr="00606F29">
              <w:rPr>
                <w:sz w:val="20"/>
              </w:rPr>
              <w:t>(Vancouver)</w:t>
            </w:r>
          </w:p>
          <w:p w:rsidR="00E2298F" w:rsidRPr="00606F29" w:rsidRDefault="00E2298F" w:rsidP="00E2298F">
            <w:pPr>
              <w:jc w:val="both"/>
              <w:rPr>
                <w:sz w:val="20"/>
              </w:rPr>
            </w:pPr>
            <w:r w:rsidRPr="00606F29">
              <w:rPr>
                <w:sz w:val="20"/>
              </w:rPr>
              <w:t xml:space="preserve">(Newbury, Saunders, </w:t>
            </w:r>
            <w:proofErr w:type="spellStart"/>
            <w:r w:rsidRPr="00606F29">
              <w:rPr>
                <w:sz w:val="20"/>
              </w:rPr>
              <w:t>Tysoe</w:t>
            </w:r>
            <w:proofErr w:type="spellEnd"/>
            <w:r w:rsidRPr="00606F29">
              <w:rPr>
                <w:sz w:val="20"/>
              </w:rPr>
              <w:t xml:space="preserve"> JJ.A.)</w:t>
            </w:r>
          </w:p>
          <w:p w:rsidR="00E2298F" w:rsidRPr="00606F29" w:rsidRDefault="00E2298F" w:rsidP="00E2298F">
            <w:pPr>
              <w:jc w:val="both"/>
              <w:rPr>
                <w:sz w:val="20"/>
              </w:rPr>
            </w:pPr>
            <w:r w:rsidRPr="00606F29">
              <w:rPr>
                <w:sz w:val="20"/>
              </w:rPr>
              <w:t>2017 BCCA 249;CA43175</w:t>
            </w:r>
          </w:p>
          <w:p w:rsidR="00E2298F" w:rsidRPr="00606F29" w:rsidRDefault="009813FB" w:rsidP="00E2298F">
            <w:pPr>
              <w:jc w:val="both"/>
              <w:rPr>
                <w:sz w:val="20"/>
              </w:rPr>
            </w:pPr>
            <w:hyperlink r:id="rId45" w:history="1">
              <w:r w:rsidR="00E2298F" w:rsidRPr="00606F29">
                <w:rPr>
                  <w:rStyle w:val="Hyperlink"/>
                  <w:rFonts w:eastAsiaTheme="majorEastAsia"/>
                  <w:sz w:val="20"/>
                </w:rPr>
                <w:t>http://canlii.ca/t/h4lx4</w:t>
              </w:r>
            </w:hyperlink>
          </w:p>
          <w:p w:rsidR="00E2298F" w:rsidRPr="00606F29" w:rsidRDefault="00E2298F" w:rsidP="00E2298F">
            <w:pPr>
              <w:jc w:val="both"/>
              <w:rPr>
                <w:sz w:val="20"/>
              </w:rPr>
            </w:pPr>
          </w:p>
        </w:tc>
        <w:tc>
          <w:tcPr>
            <w:tcW w:w="243" w:type="pct"/>
            <w:gridSpan w:val="2"/>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r w:rsidRPr="00606F29">
              <w:rPr>
                <w:sz w:val="20"/>
              </w:rPr>
              <w:t>Appeal and application for judicial review dismissed</w:t>
            </w:r>
          </w:p>
          <w:p w:rsidR="00E2298F" w:rsidRPr="00606F29" w:rsidRDefault="00E2298F" w:rsidP="00E2298F">
            <w:pPr>
              <w:jc w:val="both"/>
              <w:rPr>
                <w:sz w:val="20"/>
              </w:rPr>
            </w:pPr>
          </w:p>
        </w:tc>
      </w:tr>
      <w:tr w:rsidR="00E2298F" w:rsidRPr="00606F29" w:rsidTr="006358B9">
        <w:tc>
          <w:tcPr>
            <w:tcW w:w="2427" w:type="pct"/>
            <w:gridSpan w:val="3"/>
          </w:tcPr>
          <w:p w:rsidR="00E2298F" w:rsidRPr="00606F29" w:rsidRDefault="00E2298F" w:rsidP="00E2298F">
            <w:pPr>
              <w:jc w:val="both"/>
              <w:rPr>
                <w:sz w:val="20"/>
              </w:rPr>
            </w:pPr>
            <w:r w:rsidRPr="00606F29">
              <w:rPr>
                <w:sz w:val="20"/>
              </w:rPr>
              <w:t>December 4, 2017</w:t>
            </w:r>
          </w:p>
          <w:p w:rsidR="00E2298F" w:rsidRPr="00606F29" w:rsidRDefault="00E2298F" w:rsidP="00E2298F">
            <w:pPr>
              <w:jc w:val="both"/>
              <w:rPr>
                <w:sz w:val="20"/>
              </w:rPr>
            </w:pPr>
            <w:r w:rsidRPr="00606F29">
              <w:rPr>
                <w:sz w:val="20"/>
              </w:rPr>
              <w:t>Supreme Court of Canada</w:t>
            </w:r>
          </w:p>
        </w:tc>
        <w:tc>
          <w:tcPr>
            <w:tcW w:w="243" w:type="pct"/>
            <w:gridSpan w:val="2"/>
          </w:tcPr>
          <w:p w:rsidR="00E2298F" w:rsidRPr="00606F29" w:rsidRDefault="00E2298F" w:rsidP="00E2298F">
            <w:pPr>
              <w:jc w:val="both"/>
              <w:rPr>
                <w:sz w:val="20"/>
              </w:rPr>
            </w:pPr>
          </w:p>
        </w:tc>
        <w:tc>
          <w:tcPr>
            <w:tcW w:w="2330" w:type="pct"/>
          </w:tcPr>
          <w:p w:rsidR="00E2298F" w:rsidRPr="00606F29" w:rsidRDefault="00E2298F" w:rsidP="00E2298F">
            <w:pPr>
              <w:jc w:val="both"/>
              <w:rPr>
                <w:sz w:val="20"/>
              </w:rPr>
            </w:pPr>
            <w:r w:rsidRPr="00606F29">
              <w:rPr>
                <w:sz w:val="20"/>
              </w:rPr>
              <w:t>Motion for an extension of time to serve and file the application for leave to appeal and application for leave to appeal filed</w:t>
            </w:r>
          </w:p>
        </w:tc>
      </w:tr>
    </w:tbl>
    <w:p w:rsidR="00292C54" w:rsidRPr="00606F29" w:rsidRDefault="00292C54" w:rsidP="00292C54">
      <w:pPr>
        <w:jc w:val="both"/>
        <w:rPr>
          <w:sz w:val="20"/>
        </w:rPr>
      </w:pPr>
    </w:p>
    <w:p w:rsidR="00E2298F" w:rsidRPr="00606F29" w:rsidRDefault="00E2298F">
      <w:pPr>
        <w:rPr>
          <w:sz w:val="20"/>
        </w:rPr>
      </w:pPr>
      <w:r w:rsidRPr="00606F29">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92C54" w:rsidRPr="009813FB" w:rsidTr="006358B9">
        <w:tc>
          <w:tcPr>
            <w:tcW w:w="543" w:type="pct"/>
          </w:tcPr>
          <w:p w:rsidR="00292C54" w:rsidRPr="00606F29" w:rsidRDefault="00292C54" w:rsidP="006358B9">
            <w:pPr>
              <w:jc w:val="both"/>
              <w:rPr>
                <w:sz w:val="20"/>
                <w:lang w:val="fr-CA"/>
              </w:rPr>
            </w:pPr>
            <w:r w:rsidRPr="00606F29">
              <w:rPr>
                <w:rStyle w:val="SCCFileNumberChar"/>
                <w:sz w:val="20"/>
                <w:szCs w:val="20"/>
                <w:lang w:val="fr-CA"/>
              </w:rPr>
              <w:lastRenderedPageBreak/>
              <w:t>37643</w:t>
            </w:r>
          </w:p>
        </w:tc>
        <w:tc>
          <w:tcPr>
            <w:tcW w:w="4457" w:type="pct"/>
            <w:gridSpan w:val="3"/>
          </w:tcPr>
          <w:p w:rsidR="00292C54" w:rsidRPr="00606F29" w:rsidRDefault="00292C54" w:rsidP="006358B9">
            <w:pPr>
              <w:pStyle w:val="SCCLsocParty"/>
              <w:jc w:val="both"/>
              <w:rPr>
                <w:b/>
                <w:sz w:val="20"/>
                <w:szCs w:val="20"/>
              </w:rPr>
            </w:pPr>
            <w:r w:rsidRPr="00606F29">
              <w:rPr>
                <w:b/>
                <w:sz w:val="20"/>
                <w:szCs w:val="20"/>
              </w:rPr>
              <w:t xml:space="preserve">Robert New c. </w:t>
            </w:r>
            <w:r w:rsidR="008C7FEE" w:rsidRPr="00606F29">
              <w:rPr>
                <w:b/>
                <w:sz w:val="20"/>
                <w:szCs w:val="20"/>
              </w:rPr>
              <w:t>Canada (Ministre de la Justice) et</w:t>
            </w:r>
            <w:r w:rsidRPr="00606F29">
              <w:rPr>
                <w:b/>
                <w:sz w:val="20"/>
                <w:szCs w:val="20"/>
              </w:rPr>
              <w:t xml:space="preserve"> procureur général du Canada au nom des États-Unis d’Amérique</w:t>
            </w:r>
          </w:p>
          <w:p w:rsidR="00292C54" w:rsidRPr="00606F29" w:rsidRDefault="00292C54" w:rsidP="006358B9">
            <w:pPr>
              <w:jc w:val="both"/>
              <w:rPr>
                <w:sz w:val="20"/>
                <w:lang w:val="fr-CA"/>
              </w:rPr>
            </w:pPr>
            <w:r w:rsidRPr="00606F29">
              <w:rPr>
                <w:sz w:val="20"/>
                <w:lang w:val="fr-CA"/>
              </w:rPr>
              <w:t>(C.-B.) (Criminelle) (Sur autorisation)</w:t>
            </w:r>
          </w:p>
        </w:tc>
      </w:tr>
      <w:tr w:rsidR="00E2298F" w:rsidRPr="009813FB" w:rsidTr="006358B9">
        <w:tc>
          <w:tcPr>
            <w:tcW w:w="543" w:type="pct"/>
          </w:tcPr>
          <w:p w:rsidR="00E2298F" w:rsidRPr="00606F29" w:rsidRDefault="00E2298F" w:rsidP="00E2298F">
            <w:pPr>
              <w:jc w:val="both"/>
              <w:rPr>
                <w:rStyle w:val="SCCFileNumberChar"/>
                <w:sz w:val="20"/>
                <w:szCs w:val="20"/>
                <w:lang w:val="fr-CA"/>
              </w:rPr>
            </w:pPr>
            <w:r w:rsidRPr="00606F29">
              <w:rPr>
                <w:rStyle w:val="SCCFileNumberChar"/>
                <w:sz w:val="20"/>
                <w:szCs w:val="20"/>
                <w:lang w:val="fr-CA"/>
              </w:rPr>
              <w:t>Coram :</w:t>
            </w:r>
          </w:p>
        </w:tc>
        <w:tc>
          <w:tcPr>
            <w:tcW w:w="4457" w:type="pct"/>
            <w:gridSpan w:val="3"/>
          </w:tcPr>
          <w:p w:rsidR="00E2298F" w:rsidRPr="00606F29" w:rsidRDefault="00E2298F" w:rsidP="00E2298F">
            <w:pPr>
              <w:pStyle w:val="SCCLsocParty"/>
              <w:jc w:val="both"/>
              <w:rPr>
                <w:b/>
                <w:sz w:val="20"/>
                <w:szCs w:val="20"/>
              </w:rPr>
            </w:pPr>
            <w:r w:rsidRPr="00606F29">
              <w:rPr>
                <w:sz w:val="20"/>
                <w:lang w:val="fr-FR"/>
              </w:rPr>
              <w:t xml:space="preserve">Le juge en chef Wagner et les juges Abella, </w:t>
            </w:r>
            <w:proofErr w:type="spellStart"/>
            <w:r w:rsidRPr="00606F29">
              <w:rPr>
                <w:sz w:val="20"/>
                <w:lang w:val="fr-FR"/>
              </w:rPr>
              <w:t>Moldaver</w:t>
            </w:r>
            <w:proofErr w:type="spellEnd"/>
            <w:r w:rsidRPr="00606F29">
              <w:rPr>
                <w:sz w:val="20"/>
                <w:lang w:val="fr-FR"/>
              </w:rPr>
              <w:t xml:space="preserve">, </w:t>
            </w:r>
            <w:proofErr w:type="spellStart"/>
            <w:r w:rsidRPr="00606F29">
              <w:rPr>
                <w:sz w:val="20"/>
                <w:lang w:val="fr-FR"/>
              </w:rPr>
              <w:t>Karakatsanis</w:t>
            </w:r>
            <w:proofErr w:type="spellEnd"/>
            <w:r w:rsidRPr="00606F29">
              <w:rPr>
                <w:sz w:val="20"/>
                <w:lang w:val="fr-FR"/>
              </w:rPr>
              <w:t>, Gascon, Côté, Brown, Rowe et Martin</w:t>
            </w:r>
          </w:p>
        </w:tc>
      </w:tr>
      <w:tr w:rsidR="00E2298F" w:rsidRPr="009813FB" w:rsidTr="00E2298F">
        <w:tc>
          <w:tcPr>
            <w:tcW w:w="5000" w:type="pct"/>
            <w:gridSpan w:val="4"/>
          </w:tcPr>
          <w:p w:rsidR="00E2298F" w:rsidRPr="00606F29" w:rsidRDefault="00E2298F" w:rsidP="00E2298F">
            <w:pPr>
              <w:pStyle w:val="SCCLsocParty"/>
              <w:jc w:val="both"/>
              <w:rPr>
                <w:b/>
                <w:sz w:val="20"/>
                <w:szCs w:val="20"/>
              </w:rPr>
            </w:pPr>
            <w:r w:rsidRPr="00606F29">
              <w:rPr>
                <w:sz w:val="20"/>
              </w:rPr>
              <w:t>La requête en prorogation du délai de signification et de dépôt de la demande d’autorisation d’appel est accueillie. La demande d’autorisation d’appel de l’arrêt de la Cour d’appel de la Colombie-Britannique (Vancouver), numéro CA43175, 2017 BCCA 249, daté du 4 juillet 2017, est rejetée.</w:t>
            </w:r>
          </w:p>
        </w:tc>
      </w:tr>
      <w:tr w:rsidR="00E2298F" w:rsidRPr="009813FB" w:rsidTr="006358B9">
        <w:tc>
          <w:tcPr>
            <w:tcW w:w="5000" w:type="pct"/>
            <w:gridSpan w:val="4"/>
          </w:tcPr>
          <w:p w:rsidR="00E2298F" w:rsidRPr="00606F29" w:rsidRDefault="00E2298F" w:rsidP="00E2298F">
            <w:pPr>
              <w:jc w:val="both"/>
              <w:rPr>
                <w:sz w:val="20"/>
                <w:lang w:val="fr-CA"/>
              </w:rPr>
            </w:pPr>
            <w:r w:rsidRPr="00606F29">
              <w:rPr>
                <w:sz w:val="20"/>
                <w:lang w:val="fr-CA"/>
              </w:rPr>
              <w:t xml:space="preserve">Extradition – Audiences relatives à l’incarcération – Preuve – Rôle du juge d’extradition – Le juge d’extradition a ordonné l’incarcération du demandeur jusqu’à son extradition vers les États-Unis – Crédibilité des témoins – Le ministre doit-il rejeter l’allégation des États-Unis selon laquelle ce pays aurait compétence? – Quel est le critère applicable à l’incarcération? – </w:t>
            </w:r>
            <w:r w:rsidRPr="00606F29">
              <w:rPr>
                <w:i/>
                <w:sz w:val="20"/>
                <w:lang w:val="fr-CA"/>
              </w:rPr>
              <w:t>Loi sur l’extradition</w:t>
            </w:r>
            <w:r w:rsidRPr="00606F29">
              <w:rPr>
                <w:sz w:val="20"/>
                <w:lang w:val="fr-CA"/>
              </w:rPr>
              <w:t>, L.C. 1999, ch. 18.</w:t>
            </w:r>
          </w:p>
          <w:p w:rsidR="00E2298F" w:rsidRPr="00606F29" w:rsidRDefault="00E2298F" w:rsidP="00E2298F">
            <w:pPr>
              <w:jc w:val="both"/>
              <w:rPr>
                <w:sz w:val="20"/>
                <w:lang w:val="fr-CA"/>
              </w:rPr>
            </w:pPr>
          </w:p>
        </w:tc>
      </w:tr>
      <w:tr w:rsidR="00E2298F" w:rsidRPr="009813FB" w:rsidTr="006358B9">
        <w:tc>
          <w:tcPr>
            <w:tcW w:w="5000" w:type="pct"/>
            <w:gridSpan w:val="4"/>
          </w:tcPr>
          <w:p w:rsidR="00E2298F" w:rsidRPr="00606F29" w:rsidRDefault="00E2298F" w:rsidP="00E2298F">
            <w:pPr>
              <w:jc w:val="both"/>
              <w:rPr>
                <w:sz w:val="20"/>
                <w:lang w:val="fr-CA"/>
              </w:rPr>
            </w:pPr>
            <w:r w:rsidRPr="00606F29">
              <w:rPr>
                <w:sz w:val="20"/>
                <w:lang w:val="fr-CA"/>
              </w:rPr>
              <w:t>Les États-Unis demandent l’extradition du demandeur afin qu’il subisse un procès dans l’État de Washington relativement à un acte qui correspond à l’infraction canadienne d’agression sexuelle et qui aurait été commis à Redmond (Washington). Le demandeur avait été accusé relativement à un acte qui aurait eu lieu à Surrey (C.-B.), mais les accusations ont été suspendues par le ministère public. La juge d’extradition a ordonné l’incarcération du demandeur jusqu’à son extradition vers les États-Unis. Le ministre de la Justice a ordonné la remise du demandeur. La Cour d’appel a rejeté l’appel du demandeur et sa demande de contrôle judiciaire.</w:t>
            </w:r>
          </w:p>
        </w:tc>
      </w:tr>
      <w:tr w:rsidR="00E2298F" w:rsidRPr="009813FB" w:rsidTr="006358B9">
        <w:tc>
          <w:tcPr>
            <w:tcW w:w="5000" w:type="pct"/>
            <w:gridSpan w:val="4"/>
          </w:tcPr>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7 octobre 2015</w:t>
            </w:r>
          </w:p>
          <w:p w:rsidR="00E2298F" w:rsidRPr="00606F29" w:rsidRDefault="00E2298F" w:rsidP="00E2298F">
            <w:pPr>
              <w:jc w:val="both"/>
              <w:rPr>
                <w:sz w:val="20"/>
                <w:lang w:val="fr-CA"/>
              </w:rPr>
            </w:pPr>
            <w:r w:rsidRPr="00606F29">
              <w:rPr>
                <w:sz w:val="20"/>
                <w:lang w:val="fr-CA"/>
              </w:rPr>
              <w:t>Cour suprême de la Colombie-Britannique</w:t>
            </w:r>
          </w:p>
          <w:p w:rsidR="00E2298F" w:rsidRPr="00606F29" w:rsidRDefault="00E2298F" w:rsidP="00E2298F">
            <w:pPr>
              <w:jc w:val="both"/>
              <w:rPr>
                <w:sz w:val="20"/>
              </w:rPr>
            </w:pPr>
            <w:r w:rsidRPr="00606F29">
              <w:rPr>
                <w:sz w:val="20"/>
              </w:rPr>
              <w:t>(</w:t>
            </w:r>
            <w:proofErr w:type="spellStart"/>
            <w:r w:rsidRPr="00606F29">
              <w:rPr>
                <w:sz w:val="20"/>
              </w:rPr>
              <w:t>Juge</w:t>
            </w:r>
            <w:proofErr w:type="spellEnd"/>
            <w:r w:rsidRPr="00606F29">
              <w:rPr>
                <w:sz w:val="20"/>
              </w:rPr>
              <w:t xml:space="preserve"> Wedge)</w:t>
            </w:r>
          </w:p>
          <w:p w:rsidR="00E2298F" w:rsidRPr="00606F29" w:rsidRDefault="00E2298F" w:rsidP="00E2298F">
            <w:pPr>
              <w:jc w:val="both"/>
              <w:rPr>
                <w:sz w:val="20"/>
              </w:rPr>
            </w:pPr>
            <w:r w:rsidRPr="00606F29">
              <w:rPr>
                <w:sz w:val="20"/>
              </w:rPr>
              <w:t>2015 BCSC 2201</w:t>
            </w:r>
          </w:p>
          <w:p w:rsidR="00E2298F" w:rsidRPr="00606F29" w:rsidRDefault="009813FB" w:rsidP="00E2298F">
            <w:pPr>
              <w:jc w:val="both"/>
              <w:rPr>
                <w:rStyle w:val="Hyperlink"/>
                <w:rFonts w:eastAsiaTheme="majorEastAsia"/>
                <w:sz w:val="20"/>
              </w:rPr>
            </w:pPr>
            <w:hyperlink r:id="rId46" w:history="1">
              <w:r w:rsidR="00E2298F" w:rsidRPr="00606F29">
                <w:rPr>
                  <w:rStyle w:val="Hyperlink"/>
                  <w:rFonts w:eastAsiaTheme="majorEastAsia"/>
                  <w:sz w:val="20"/>
                </w:rPr>
                <w:t>http://canlii.ca/t/gm9qp</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lang w:val="fr-CA"/>
              </w:rPr>
            </w:pPr>
            <w:r w:rsidRPr="00606F29">
              <w:rPr>
                <w:sz w:val="20"/>
                <w:lang w:val="fr-CA"/>
              </w:rPr>
              <w:t>Jugements sur l’admissibilité de la preuve</w:t>
            </w: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15 octobre 2015</w:t>
            </w:r>
          </w:p>
          <w:p w:rsidR="00E2298F" w:rsidRPr="00606F29" w:rsidRDefault="00E2298F" w:rsidP="00E2298F">
            <w:pPr>
              <w:jc w:val="both"/>
              <w:rPr>
                <w:sz w:val="20"/>
                <w:lang w:val="fr-CA"/>
              </w:rPr>
            </w:pPr>
            <w:r w:rsidRPr="00606F29">
              <w:rPr>
                <w:sz w:val="20"/>
                <w:lang w:val="fr-CA"/>
              </w:rPr>
              <w:t>Cour suprême de la Colombie-Britannique</w:t>
            </w:r>
          </w:p>
          <w:p w:rsidR="00E2298F" w:rsidRPr="00606F29" w:rsidRDefault="00E2298F" w:rsidP="00E2298F">
            <w:pPr>
              <w:jc w:val="both"/>
              <w:rPr>
                <w:sz w:val="20"/>
              </w:rPr>
            </w:pPr>
            <w:r w:rsidRPr="00606F29">
              <w:rPr>
                <w:sz w:val="20"/>
              </w:rPr>
              <w:t>(</w:t>
            </w:r>
            <w:proofErr w:type="spellStart"/>
            <w:r w:rsidRPr="00606F29">
              <w:rPr>
                <w:sz w:val="20"/>
              </w:rPr>
              <w:t>Juge</w:t>
            </w:r>
            <w:proofErr w:type="spellEnd"/>
            <w:r w:rsidRPr="00606F29">
              <w:rPr>
                <w:sz w:val="20"/>
              </w:rPr>
              <w:t xml:space="preserve"> Wedge)</w:t>
            </w:r>
          </w:p>
          <w:p w:rsidR="00E2298F" w:rsidRPr="00606F29" w:rsidRDefault="00E2298F" w:rsidP="00E2298F">
            <w:pPr>
              <w:jc w:val="both"/>
              <w:rPr>
                <w:sz w:val="20"/>
              </w:rPr>
            </w:pPr>
            <w:r w:rsidRPr="00606F29">
              <w:rPr>
                <w:sz w:val="20"/>
              </w:rPr>
              <w:t>2015 BCSC 2202</w:t>
            </w:r>
          </w:p>
          <w:p w:rsidR="00E2298F" w:rsidRPr="00606F29" w:rsidRDefault="009813FB" w:rsidP="00E2298F">
            <w:pPr>
              <w:jc w:val="both"/>
              <w:rPr>
                <w:sz w:val="20"/>
              </w:rPr>
            </w:pPr>
            <w:hyperlink r:id="rId47" w:history="1">
              <w:r w:rsidR="00E2298F" w:rsidRPr="00606F29">
                <w:rPr>
                  <w:rStyle w:val="Hyperlink"/>
                  <w:rFonts w:eastAsiaTheme="majorEastAsia"/>
                  <w:sz w:val="20"/>
                </w:rPr>
                <w:t>http://canlii.ca/t/gm9qq</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lang w:val="fr-CA"/>
              </w:rPr>
            </w:pPr>
            <w:r w:rsidRPr="00606F29">
              <w:rPr>
                <w:sz w:val="20"/>
                <w:lang w:val="fr-CA"/>
              </w:rPr>
              <w:t>Ordonnance d’incarcération du demandeur jusqu’à sa remise</w:t>
            </w: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4 juillet 2017</w:t>
            </w:r>
          </w:p>
          <w:p w:rsidR="00E2298F" w:rsidRPr="00606F29" w:rsidRDefault="00E2298F" w:rsidP="00E2298F">
            <w:pPr>
              <w:jc w:val="both"/>
              <w:rPr>
                <w:sz w:val="20"/>
                <w:lang w:val="fr-CA"/>
              </w:rPr>
            </w:pPr>
            <w:r w:rsidRPr="00606F29">
              <w:rPr>
                <w:sz w:val="20"/>
                <w:lang w:val="fr-CA"/>
              </w:rPr>
              <w:t>Cour d’appel de la Colombie-Britannique</w:t>
            </w:r>
          </w:p>
          <w:p w:rsidR="00E2298F" w:rsidRPr="00606F29" w:rsidRDefault="00E2298F" w:rsidP="00E2298F">
            <w:pPr>
              <w:jc w:val="both"/>
              <w:rPr>
                <w:sz w:val="20"/>
                <w:lang w:val="fr-CA"/>
              </w:rPr>
            </w:pPr>
            <w:r w:rsidRPr="00606F29">
              <w:rPr>
                <w:sz w:val="20"/>
                <w:lang w:val="fr-CA"/>
              </w:rPr>
              <w:t>(Vancouver)</w:t>
            </w:r>
          </w:p>
          <w:p w:rsidR="00E2298F" w:rsidRPr="00606F29" w:rsidRDefault="00E2298F" w:rsidP="00E2298F">
            <w:pPr>
              <w:jc w:val="both"/>
              <w:rPr>
                <w:sz w:val="20"/>
                <w:lang w:val="fr-CA"/>
              </w:rPr>
            </w:pPr>
            <w:r w:rsidRPr="00606F29">
              <w:rPr>
                <w:sz w:val="20"/>
                <w:lang w:val="fr-CA"/>
              </w:rPr>
              <w:t xml:space="preserve">(Juges Newbury, Saunders et </w:t>
            </w:r>
            <w:proofErr w:type="spellStart"/>
            <w:r w:rsidRPr="00606F29">
              <w:rPr>
                <w:sz w:val="20"/>
                <w:lang w:val="fr-CA"/>
              </w:rPr>
              <w:t>Tysoe</w:t>
            </w:r>
            <w:proofErr w:type="spellEnd"/>
            <w:r w:rsidRPr="00606F29">
              <w:rPr>
                <w:sz w:val="20"/>
                <w:lang w:val="fr-CA"/>
              </w:rPr>
              <w:t>)</w:t>
            </w:r>
          </w:p>
          <w:p w:rsidR="00E2298F" w:rsidRPr="00606F29" w:rsidRDefault="00E2298F" w:rsidP="00E2298F">
            <w:pPr>
              <w:jc w:val="both"/>
              <w:rPr>
                <w:sz w:val="20"/>
              </w:rPr>
            </w:pPr>
            <w:r w:rsidRPr="00606F29">
              <w:rPr>
                <w:sz w:val="20"/>
              </w:rPr>
              <w:t>2017 BCCA 249;CA43175</w:t>
            </w:r>
          </w:p>
          <w:p w:rsidR="00E2298F" w:rsidRPr="00606F29" w:rsidRDefault="009813FB" w:rsidP="00E2298F">
            <w:pPr>
              <w:jc w:val="both"/>
              <w:rPr>
                <w:sz w:val="20"/>
              </w:rPr>
            </w:pPr>
            <w:hyperlink r:id="rId48" w:history="1">
              <w:r w:rsidR="00E2298F" w:rsidRPr="00606F29">
                <w:rPr>
                  <w:rStyle w:val="Hyperlink"/>
                  <w:rFonts w:eastAsiaTheme="majorEastAsia"/>
                  <w:sz w:val="20"/>
                </w:rPr>
                <w:t>http://canlii.ca/t/h4lx4</w:t>
              </w:r>
            </w:hyperlink>
          </w:p>
          <w:p w:rsidR="00E2298F" w:rsidRPr="00606F29" w:rsidRDefault="00E2298F" w:rsidP="00E2298F">
            <w:pPr>
              <w:jc w:val="both"/>
              <w:rPr>
                <w:sz w:val="20"/>
              </w:rPr>
            </w:pPr>
          </w:p>
        </w:tc>
        <w:tc>
          <w:tcPr>
            <w:tcW w:w="243" w:type="pct"/>
          </w:tcPr>
          <w:p w:rsidR="00E2298F" w:rsidRPr="00606F29" w:rsidRDefault="00E2298F" w:rsidP="00E2298F">
            <w:pPr>
              <w:jc w:val="both"/>
              <w:rPr>
                <w:sz w:val="20"/>
              </w:rPr>
            </w:pPr>
          </w:p>
        </w:tc>
        <w:tc>
          <w:tcPr>
            <w:tcW w:w="2330" w:type="pct"/>
          </w:tcPr>
          <w:p w:rsidR="00E2298F" w:rsidRPr="00606F29" w:rsidRDefault="00E2298F" w:rsidP="00E2298F">
            <w:pPr>
              <w:jc w:val="both"/>
              <w:rPr>
                <w:sz w:val="20"/>
                <w:lang w:val="fr-CA"/>
              </w:rPr>
            </w:pPr>
            <w:r w:rsidRPr="00606F29">
              <w:rPr>
                <w:sz w:val="20"/>
                <w:lang w:val="fr-CA"/>
              </w:rPr>
              <w:t>Rejet de l’appel et de la demande de contrôle judiciaire</w:t>
            </w:r>
          </w:p>
          <w:p w:rsidR="00E2298F" w:rsidRPr="00606F29" w:rsidRDefault="00E2298F" w:rsidP="00E2298F">
            <w:pPr>
              <w:jc w:val="both"/>
              <w:rPr>
                <w:sz w:val="20"/>
                <w:lang w:val="fr-CA"/>
              </w:rPr>
            </w:pPr>
          </w:p>
        </w:tc>
      </w:tr>
      <w:tr w:rsidR="00E2298F" w:rsidRPr="009813FB" w:rsidTr="006358B9">
        <w:tc>
          <w:tcPr>
            <w:tcW w:w="2427" w:type="pct"/>
            <w:gridSpan w:val="2"/>
          </w:tcPr>
          <w:p w:rsidR="00E2298F" w:rsidRPr="00606F29" w:rsidRDefault="00E2298F" w:rsidP="00E2298F">
            <w:pPr>
              <w:jc w:val="both"/>
              <w:rPr>
                <w:sz w:val="20"/>
                <w:lang w:val="fr-CA"/>
              </w:rPr>
            </w:pPr>
            <w:r w:rsidRPr="00606F29">
              <w:rPr>
                <w:sz w:val="20"/>
                <w:lang w:val="fr-CA"/>
              </w:rPr>
              <w:t>4 décembre 2017</w:t>
            </w:r>
          </w:p>
          <w:p w:rsidR="00E2298F" w:rsidRPr="00606F29" w:rsidRDefault="00E2298F" w:rsidP="00E2298F">
            <w:pPr>
              <w:jc w:val="both"/>
              <w:rPr>
                <w:sz w:val="20"/>
                <w:lang w:val="fr-CA"/>
              </w:rPr>
            </w:pPr>
            <w:r w:rsidRPr="00606F29">
              <w:rPr>
                <w:sz w:val="20"/>
                <w:lang w:val="fr-CA"/>
              </w:rPr>
              <w:t>Cour suprême du Canada</w:t>
            </w:r>
          </w:p>
        </w:tc>
        <w:tc>
          <w:tcPr>
            <w:tcW w:w="243" w:type="pct"/>
          </w:tcPr>
          <w:p w:rsidR="00E2298F" w:rsidRPr="00606F29" w:rsidRDefault="00E2298F" w:rsidP="00E2298F">
            <w:pPr>
              <w:jc w:val="both"/>
              <w:rPr>
                <w:sz w:val="20"/>
                <w:lang w:val="fr-CA"/>
              </w:rPr>
            </w:pPr>
          </w:p>
        </w:tc>
        <w:tc>
          <w:tcPr>
            <w:tcW w:w="2330" w:type="pct"/>
          </w:tcPr>
          <w:p w:rsidR="00E2298F" w:rsidRPr="00606F29" w:rsidRDefault="00E2298F" w:rsidP="00E2298F">
            <w:pPr>
              <w:jc w:val="both"/>
              <w:rPr>
                <w:sz w:val="20"/>
                <w:lang w:val="fr-CA"/>
              </w:rPr>
            </w:pPr>
            <w:r w:rsidRPr="00606F29">
              <w:rPr>
                <w:sz w:val="20"/>
                <w:lang w:val="fr-CA"/>
              </w:rPr>
              <w:t>Dépôt de la requête en prorogation du délai de signification et de dépôt de la demande d’autorisation d’appel et de la demande d’autorisation d’appel</w:t>
            </w:r>
          </w:p>
        </w:tc>
      </w:tr>
    </w:tbl>
    <w:p w:rsidR="00E8544A" w:rsidRPr="00606F29" w:rsidRDefault="00E8544A" w:rsidP="00E8544A">
      <w:pPr>
        <w:ind w:left="360" w:hanging="360"/>
        <w:jc w:val="both"/>
        <w:rPr>
          <w:sz w:val="20"/>
          <w:lang w:val="fr-CA" w:eastAsia="en-CA"/>
        </w:rPr>
      </w:pPr>
    </w:p>
    <w:p w:rsidR="00E8544A" w:rsidRPr="00606F29" w:rsidRDefault="00E8544A" w:rsidP="000E2959">
      <w:pPr>
        <w:rPr>
          <w:sz w:val="20"/>
          <w:szCs w:val="20"/>
          <w:lang w:val="fr-CA"/>
        </w:rPr>
      </w:pPr>
    </w:p>
    <w:p w:rsidR="008D292F" w:rsidRPr="00606F29" w:rsidRDefault="008D292F" w:rsidP="008D292F">
      <w:pPr>
        <w:rPr>
          <w:sz w:val="20"/>
          <w:szCs w:val="20"/>
          <w:lang w:val="fr-CA"/>
        </w:rPr>
      </w:pPr>
    </w:p>
    <w:p w:rsidR="00890FEB" w:rsidRPr="00606F29" w:rsidRDefault="00890FEB" w:rsidP="008D292F">
      <w:pPr>
        <w:rPr>
          <w:sz w:val="20"/>
          <w:szCs w:val="20"/>
          <w:lang w:val="fr-CA"/>
        </w:rPr>
      </w:pPr>
    </w:p>
    <w:p w:rsidR="00E00CF1" w:rsidRPr="00606F29" w:rsidRDefault="00E00CF1">
      <w:pPr>
        <w:rPr>
          <w:b/>
          <w:sz w:val="20"/>
          <w:szCs w:val="20"/>
          <w:lang w:val="fr-CA"/>
        </w:rPr>
      </w:pPr>
      <w:r w:rsidRPr="00606F29">
        <w:rPr>
          <w:b/>
          <w:sz w:val="20"/>
          <w:szCs w:val="20"/>
          <w:lang w:val="fr-CA"/>
        </w:rPr>
        <w:br w:type="page"/>
      </w:r>
    </w:p>
    <w:p w:rsidR="00890FEB" w:rsidRPr="00606F29" w:rsidRDefault="00890FEB" w:rsidP="008D292F">
      <w:pPr>
        <w:rPr>
          <w:b/>
          <w:sz w:val="20"/>
          <w:szCs w:val="20"/>
          <w:lang w:val="fr-CA"/>
        </w:rPr>
        <w:sectPr w:rsidR="00890FEB" w:rsidRPr="00606F29" w:rsidSect="008D292F">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606F29" w:rsidTr="00BA6468">
        <w:tc>
          <w:tcPr>
            <w:tcW w:w="4230" w:type="dxa"/>
            <w:shd w:val="clear" w:color="auto" w:fill="auto"/>
            <w:tcMar>
              <w:left w:w="0" w:type="dxa"/>
              <w:right w:w="0" w:type="dxa"/>
            </w:tcMar>
          </w:tcPr>
          <w:p w:rsidR="00890FEB" w:rsidRPr="00606F29" w:rsidRDefault="00890FEB" w:rsidP="00EB2B90">
            <w:pPr>
              <w:keepNext/>
              <w:keepLines/>
              <w:tabs>
                <w:tab w:val="left" w:pos="-1440"/>
                <w:tab w:val="left" w:pos="-720"/>
              </w:tabs>
              <w:jc w:val="both"/>
              <w:rPr>
                <w:szCs w:val="24"/>
              </w:rPr>
            </w:pPr>
            <w:r w:rsidRPr="00606F29">
              <w:rPr>
                <w:b/>
                <w:szCs w:val="24"/>
              </w:rPr>
              <w:lastRenderedPageBreak/>
              <w:t>MOTIONS</w:t>
            </w:r>
          </w:p>
        </w:tc>
        <w:tc>
          <w:tcPr>
            <w:tcW w:w="1170" w:type="dxa"/>
            <w:shd w:val="clear" w:color="auto" w:fill="auto"/>
            <w:tcMar>
              <w:left w:w="0" w:type="dxa"/>
              <w:right w:w="0" w:type="dxa"/>
            </w:tcMar>
          </w:tcPr>
          <w:p w:rsidR="00890FEB" w:rsidRPr="00606F29" w:rsidRDefault="00890FEB" w:rsidP="00890FEB">
            <w:pPr>
              <w:keepNext/>
              <w:keepLines/>
              <w:tabs>
                <w:tab w:val="left" w:pos="-1440"/>
                <w:tab w:val="left" w:pos="-720"/>
              </w:tabs>
              <w:jc w:val="center"/>
              <w:rPr>
                <w:szCs w:val="24"/>
              </w:rPr>
            </w:pPr>
          </w:p>
          <w:p w:rsidR="00890FEB" w:rsidRPr="00606F29"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606F29" w:rsidRDefault="00890FEB" w:rsidP="00831CA9">
            <w:pPr>
              <w:keepNext/>
              <w:keepLines/>
              <w:tabs>
                <w:tab w:val="left" w:pos="-1440"/>
                <w:tab w:val="left" w:pos="-720"/>
              </w:tabs>
              <w:rPr>
                <w:szCs w:val="24"/>
                <w:lang w:val="fr-CA"/>
              </w:rPr>
            </w:pPr>
            <w:r w:rsidRPr="00606F29">
              <w:rPr>
                <w:b/>
                <w:szCs w:val="24"/>
                <w:lang w:val="fr-CA"/>
              </w:rPr>
              <w:t>REQUÊTES</w:t>
            </w:r>
          </w:p>
        </w:tc>
      </w:tr>
    </w:tbl>
    <w:p w:rsidR="00890FEB" w:rsidRPr="00606F29" w:rsidRDefault="00890FEB" w:rsidP="00890FEB">
      <w:pPr>
        <w:rPr>
          <w:sz w:val="20"/>
          <w:szCs w:val="20"/>
        </w:rPr>
      </w:pPr>
    </w:p>
    <w:p w:rsidR="00183454" w:rsidRPr="00606F29" w:rsidRDefault="00183454" w:rsidP="00183454">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t>1</w:t>
      </w:r>
      <w:r w:rsidR="0089571A" w:rsidRPr="00606F29">
        <w:rPr>
          <w:rFonts w:eastAsia="Times New Roman" w:cs="Times New Roman"/>
          <w:sz w:val="20"/>
          <w:szCs w:val="20"/>
          <w:lang w:val="fr-CA" w:eastAsia="en-CA"/>
        </w:rPr>
        <w:t>5</w:t>
      </w:r>
      <w:r w:rsidRPr="00606F29">
        <w:rPr>
          <w:rFonts w:eastAsia="Times New Roman" w:cs="Times New Roman"/>
          <w:sz w:val="20"/>
          <w:szCs w:val="20"/>
          <w:lang w:val="fr-CA" w:eastAsia="en-CA"/>
        </w:rPr>
        <w:t>.0</w:t>
      </w:r>
      <w:r w:rsidR="0089571A" w:rsidRPr="00606F29">
        <w:rPr>
          <w:rFonts w:eastAsia="Times New Roman" w:cs="Times New Roman"/>
          <w:sz w:val="20"/>
          <w:szCs w:val="20"/>
          <w:lang w:val="fr-CA" w:eastAsia="en-CA"/>
        </w:rPr>
        <w:t>3</w:t>
      </w:r>
      <w:r w:rsidRPr="00606F29">
        <w:rPr>
          <w:rFonts w:eastAsia="Times New Roman" w:cs="Times New Roman"/>
          <w:sz w:val="20"/>
          <w:szCs w:val="20"/>
          <w:lang w:val="fr-CA" w:eastAsia="en-CA"/>
        </w:rPr>
        <w:t>.201</w:t>
      </w:r>
      <w:r w:rsidR="0089571A" w:rsidRPr="00606F29">
        <w:rPr>
          <w:rFonts w:eastAsia="Times New Roman" w:cs="Times New Roman"/>
          <w:sz w:val="20"/>
          <w:szCs w:val="20"/>
          <w:lang w:val="fr-CA" w:eastAsia="en-CA"/>
        </w:rPr>
        <w:t>8</w:t>
      </w:r>
    </w:p>
    <w:p w:rsidR="00183454" w:rsidRPr="00606F29" w:rsidRDefault="00183454" w:rsidP="00183454">
      <w:pPr>
        <w:tabs>
          <w:tab w:val="left" w:pos="-1440"/>
          <w:tab w:val="left" w:pos="-720"/>
        </w:tabs>
        <w:jc w:val="both"/>
        <w:rPr>
          <w:rFonts w:eastAsia="Times New Roman" w:cs="Times New Roman"/>
          <w:sz w:val="20"/>
          <w:szCs w:val="20"/>
          <w:lang w:val="fr-CA" w:eastAsia="en-CA"/>
        </w:rPr>
      </w:pPr>
    </w:p>
    <w:p w:rsidR="00183454" w:rsidRPr="00606F29" w:rsidRDefault="00183454" w:rsidP="00183454">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w:t>
      </w:r>
      <w:r w:rsidR="0089571A" w:rsidRPr="00606F29">
        <w:rPr>
          <w:rFonts w:eastAsia="Times New Roman" w:cs="Times New Roman"/>
          <w:sz w:val="20"/>
          <w:szCs w:val="20"/>
          <w:lang w:val="fr-CA" w:eastAsia="en-CA"/>
        </w:rPr>
        <w:t>CÔTÉ J. / LA JUGE CÔTÉ</w:t>
      </w:r>
    </w:p>
    <w:p w:rsidR="00183454" w:rsidRPr="00606F29"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D04D73" w:rsidRPr="009813FB" w:rsidTr="00D04D73">
        <w:tc>
          <w:tcPr>
            <w:tcW w:w="4241" w:type="dxa"/>
          </w:tcPr>
          <w:p w:rsidR="00D04D73" w:rsidRPr="00606F29" w:rsidRDefault="00D04D73" w:rsidP="00D04D73">
            <w:pPr>
              <w:keepNext/>
              <w:keepLines/>
              <w:jc w:val="both"/>
              <w:rPr>
                <w:lang w:val="en-GB"/>
              </w:rPr>
            </w:pPr>
            <w:r w:rsidRPr="00606F29">
              <w:rPr>
                <w:b/>
                <w:bCs/>
                <w:lang w:val="en-GB"/>
              </w:rPr>
              <w:t>Motion to adduce new evidence</w:t>
            </w:r>
          </w:p>
        </w:tc>
        <w:tc>
          <w:tcPr>
            <w:tcW w:w="1142" w:type="dxa"/>
          </w:tcPr>
          <w:p w:rsidR="00D04D73" w:rsidRPr="00606F29" w:rsidRDefault="00D04D73" w:rsidP="00D04D73">
            <w:pPr>
              <w:tabs>
                <w:tab w:val="left" w:pos="-1440"/>
                <w:tab w:val="left" w:pos="-720"/>
              </w:tabs>
              <w:jc w:val="both"/>
              <w:rPr>
                <w:lang w:val="en-US"/>
              </w:rPr>
            </w:pPr>
          </w:p>
          <w:p w:rsidR="00D04D73" w:rsidRPr="00606F29" w:rsidRDefault="00D04D73" w:rsidP="00D04D73">
            <w:pPr>
              <w:tabs>
                <w:tab w:val="left" w:pos="-1440"/>
                <w:tab w:val="left" w:pos="-720"/>
              </w:tabs>
              <w:jc w:val="both"/>
              <w:rPr>
                <w:lang w:val="en-US"/>
              </w:rPr>
            </w:pPr>
          </w:p>
        </w:tc>
        <w:tc>
          <w:tcPr>
            <w:tcW w:w="4236" w:type="dxa"/>
          </w:tcPr>
          <w:p w:rsidR="00D04D73" w:rsidRPr="00606F29" w:rsidRDefault="00D04D73" w:rsidP="00D04D73">
            <w:pPr>
              <w:jc w:val="both"/>
              <w:rPr>
                <w:lang w:val="fr-CA"/>
              </w:rPr>
            </w:pPr>
            <w:r w:rsidRPr="00606F29">
              <w:rPr>
                <w:b/>
                <w:bCs/>
                <w:lang w:val="fr-CA"/>
              </w:rPr>
              <w:t xml:space="preserve">Requête en vue de produire une nouvelle preuve </w:t>
            </w:r>
          </w:p>
        </w:tc>
      </w:tr>
      <w:tr w:rsidR="00D04D73" w:rsidRPr="009813FB" w:rsidTr="00D04D73">
        <w:tc>
          <w:tcPr>
            <w:tcW w:w="4241" w:type="dxa"/>
          </w:tcPr>
          <w:p w:rsidR="00D04D73" w:rsidRPr="00606F29" w:rsidRDefault="00D04D73" w:rsidP="00D04D73">
            <w:pPr>
              <w:tabs>
                <w:tab w:val="left" w:pos="-1440"/>
                <w:tab w:val="left" w:pos="-720"/>
              </w:tabs>
              <w:jc w:val="both"/>
              <w:rPr>
                <w:lang w:val="fr-CA"/>
              </w:rPr>
            </w:pPr>
            <w:r w:rsidRPr="00606F29">
              <w:rPr>
                <w:lang w:val="fr-CA"/>
              </w:rPr>
              <w:t>Kenneth F. Salomon et al.</w:t>
            </w:r>
          </w:p>
          <w:p w:rsidR="00D04D73" w:rsidRPr="00606F29" w:rsidRDefault="00D04D73" w:rsidP="00D04D73">
            <w:pPr>
              <w:tabs>
                <w:tab w:val="left" w:pos="-1440"/>
                <w:tab w:val="left" w:pos="-720"/>
              </w:tabs>
              <w:jc w:val="both"/>
              <w:rPr>
                <w:lang w:val="fr-CA"/>
              </w:rPr>
            </w:pPr>
          </w:p>
          <w:p w:rsidR="00D04D73" w:rsidRPr="00606F29" w:rsidRDefault="00D04D73" w:rsidP="00D04D73">
            <w:pPr>
              <w:tabs>
                <w:tab w:val="left" w:pos="-1440"/>
                <w:tab w:val="left" w:pos="-720"/>
              </w:tabs>
              <w:jc w:val="both"/>
              <w:rPr>
                <w:lang w:val="fr-CA"/>
              </w:rPr>
            </w:pPr>
            <w:r w:rsidRPr="00606F29">
              <w:rPr>
                <w:lang w:val="fr-CA"/>
              </w:rPr>
              <w:tab/>
              <w:t>v. (37537)</w:t>
            </w:r>
          </w:p>
          <w:p w:rsidR="00D04D73" w:rsidRPr="00606F29" w:rsidRDefault="00D04D73" w:rsidP="00D04D73">
            <w:pPr>
              <w:tabs>
                <w:tab w:val="left" w:pos="-1440"/>
                <w:tab w:val="left" w:pos="-720"/>
              </w:tabs>
              <w:jc w:val="both"/>
              <w:rPr>
                <w:lang w:val="fr-CA"/>
              </w:rPr>
            </w:pPr>
          </w:p>
          <w:p w:rsidR="00D04D73" w:rsidRPr="00606F29" w:rsidRDefault="00D04D73" w:rsidP="00D04D73">
            <w:pPr>
              <w:tabs>
                <w:tab w:val="left" w:pos="-1440"/>
                <w:tab w:val="left" w:pos="-720"/>
              </w:tabs>
              <w:jc w:val="both"/>
              <w:rPr>
                <w:lang w:val="fr-CA"/>
              </w:rPr>
            </w:pPr>
            <w:r w:rsidRPr="00606F29">
              <w:rPr>
                <w:lang w:val="fr-CA"/>
              </w:rPr>
              <w:t>Judith Matte-Thompson et al. (Que.)</w:t>
            </w:r>
          </w:p>
        </w:tc>
        <w:tc>
          <w:tcPr>
            <w:tcW w:w="1142" w:type="dxa"/>
          </w:tcPr>
          <w:p w:rsidR="00D04D73" w:rsidRPr="00606F29" w:rsidRDefault="00D04D73" w:rsidP="00D04D73">
            <w:pPr>
              <w:tabs>
                <w:tab w:val="left" w:pos="-1440"/>
                <w:tab w:val="left" w:pos="-720"/>
              </w:tabs>
              <w:jc w:val="both"/>
              <w:rPr>
                <w:lang w:val="fr-CA"/>
              </w:rPr>
            </w:pPr>
          </w:p>
        </w:tc>
        <w:tc>
          <w:tcPr>
            <w:tcW w:w="4236" w:type="dxa"/>
          </w:tcPr>
          <w:p w:rsidR="00D04D73" w:rsidRPr="00606F29" w:rsidRDefault="00D04D73" w:rsidP="00D04D73">
            <w:pPr>
              <w:tabs>
                <w:tab w:val="left" w:pos="-1440"/>
                <w:tab w:val="left" w:pos="-720"/>
              </w:tabs>
              <w:jc w:val="both"/>
              <w:rPr>
                <w:lang w:val="fr-CA"/>
              </w:rPr>
            </w:pPr>
          </w:p>
        </w:tc>
      </w:tr>
    </w:tbl>
    <w:p w:rsidR="00183454" w:rsidRPr="00606F29" w:rsidRDefault="00183454" w:rsidP="00183454">
      <w:pPr>
        <w:tabs>
          <w:tab w:val="left" w:pos="-1440"/>
          <w:tab w:val="left" w:pos="-720"/>
        </w:tabs>
        <w:jc w:val="both"/>
        <w:rPr>
          <w:rFonts w:eastAsia="Times New Roman" w:cs="Times New Roman"/>
          <w:sz w:val="20"/>
          <w:szCs w:val="20"/>
          <w:lang w:val="fr-CA" w:eastAsia="en-CA"/>
        </w:rPr>
      </w:pPr>
    </w:p>
    <w:p w:rsidR="00183454" w:rsidRPr="00606F29" w:rsidRDefault="00183454" w:rsidP="00183454">
      <w:pPr>
        <w:tabs>
          <w:tab w:val="left" w:pos="-1440"/>
          <w:tab w:val="left" w:pos="-720"/>
        </w:tabs>
        <w:jc w:val="both"/>
        <w:rPr>
          <w:rFonts w:eastAsia="Times New Roman" w:cs="Times New Roman"/>
          <w:b/>
          <w:sz w:val="20"/>
          <w:szCs w:val="20"/>
          <w:lang w:val="en-US" w:eastAsia="en-CA"/>
        </w:rPr>
      </w:pPr>
      <w:r w:rsidRPr="00606F29">
        <w:rPr>
          <w:rFonts w:eastAsia="Times New Roman" w:cs="Times New Roman"/>
          <w:b/>
          <w:sz w:val="20"/>
          <w:szCs w:val="20"/>
          <w:lang w:val="en-US" w:eastAsia="en-CA"/>
        </w:rPr>
        <w:t>DISMISSED / REJETÉE</w:t>
      </w:r>
    </w:p>
    <w:p w:rsidR="00183454" w:rsidRPr="00606F29" w:rsidRDefault="00183454" w:rsidP="00183454">
      <w:pPr>
        <w:tabs>
          <w:tab w:val="left" w:pos="-1440"/>
          <w:tab w:val="left" w:pos="-720"/>
        </w:tabs>
        <w:jc w:val="both"/>
        <w:rPr>
          <w:rFonts w:eastAsia="Times New Roman" w:cs="Times New Roman"/>
          <w:sz w:val="20"/>
          <w:szCs w:val="20"/>
          <w:lang w:val="en-US" w:eastAsia="en-CA"/>
        </w:rPr>
      </w:pPr>
    </w:p>
    <w:p w:rsidR="0089571A" w:rsidRPr="00606F29" w:rsidRDefault="0089571A" w:rsidP="0089571A">
      <w:pPr>
        <w:jc w:val="both"/>
        <w:rPr>
          <w:b/>
          <w:sz w:val="20"/>
        </w:rPr>
      </w:pPr>
      <w:r w:rsidRPr="00606F29">
        <w:rPr>
          <w:b/>
          <w:sz w:val="20"/>
          <w:szCs w:val="24"/>
        </w:rPr>
        <w:t xml:space="preserve">UPON MOTION </w:t>
      </w:r>
      <w:r w:rsidRPr="00606F29">
        <w:rPr>
          <w:i/>
          <w:sz w:val="20"/>
          <w:szCs w:val="24"/>
        </w:rPr>
        <w:t xml:space="preserve">de bene </w:t>
      </w:r>
      <w:proofErr w:type="spellStart"/>
      <w:r w:rsidRPr="00606F29">
        <w:rPr>
          <w:i/>
          <w:sz w:val="20"/>
          <w:szCs w:val="24"/>
        </w:rPr>
        <w:t>esse</w:t>
      </w:r>
      <w:proofErr w:type="spellEnd"/>
      <w:r w:rsidRPr="00606F29">
        <w:rPr>
          <w:sz w:val="20"/>
          <w:szCs w:val="24"/>
        </w:rPr>
        <w:t xml:space="preserve"> by the respondents </w:t>
      </w:r>
      <w:r w:rsidRPr="00606F29">
        <w:rPr>
          <w:sz w:val="20"/>
        </w:rPr>
        <w:t xml:space="preserve">Judith Matte-Thompson and 166376 Canada Inc. for leave to advise the Court of a change relating to the record and to file documents to this effect (Rules 47 and 92.1 of the </w:t>
      </w:r>
      <w:r w:rsidRPr="00606F29">
        <w:rPr>
          <w:i/>
          <w:sz w:val="20"/>
        </w:rPr>
        <w:t>Rules of the Supreme Court of Canada</w:t>
      </w:r>
      <w:r w:rsidRPr="00606F29">
        <w:rPr>
          <w:sz w:val="20"/>
        </w:rPr>
        <w:t>);</w:t>
      </w:r>
    </w:p>
    <w:p w:rsidR="0089571A" w:rsidRPr="00606F29" w:rsidRDefault="0089571A" w:rsidP="0089571A">
      <w:pPr>
        <w:widowControl w:val="0"/>
        <w:jc w:val="both"/>
        <w:rPr>
          <w:sz w:val="20"/>
          <w:szCs w:val="24"/>
        </w:rPr>
      </w:pPr>
    </w:p>
    <w:p w:rsidR="0089571A" w:rsidRPr="00606F29" w:rsidRDefault="0089571A" w:rsidP="0089571A">
      <w:pPr>
        <w:widowControl w:val="0"/>
        <w:jc w:val="both"/>
        <w:rPr>
          <w:sz w:val="20"/>
          <w:szCs w:val="24"/>
        </w:rPr>
      </w:pPr>
      <w:r w:rsidRPr="00606F29">
        <w:rPr>
          <w:b/>
          <w:sz w:val="20"/>
          <w:szCs w:val="24"/>
        </w:rPr>
        <w:t>AND HAVING READ</w:t>
      </w:r>
      <w:r w:rsidRPr="00606F29">
        <w:rPr>
          <w:sz w:val="20"/>
          <w:szCs w:val="24"/>
        </w:rPr>
        <w:t xml:space="preserve"> the documents appended to the motion and the parties’ arguments in this regard;</w:t>
      </w:r>
    </w:p>
    <w:p w:rsidR="0089571A" w:rsidRPr="00606F29" w:rsidRDefault="0089571A" w:rsidP="0089571A">
      <w:pPr>
        <w:widowControl w:val="0"/>
        <w:jc w:val="both"/>
        <w:rPr>
          <w:sz w:val="20"/>
          <w:szCs w:val="24"/>
        </w:rPr>
      </w:pPr>
    </w:p>
    <w:p w:rsidR="0089571A" w:rsidRPr="00606F29" w:rsidRDefault="0089571A" w:rsidP="0089571A">
      <w:pPr>
        <w:widowControl w:val="0"/>
        <w:jc w:val="both"/>
        <w:rPr>
          <w:sz w:val="20"/>
        </w:rPr>
      </w:pPr>
      <w:r w:rsidRPr="00606F29">
        <w:rPr>
          <w:b/>
          <w:sz w:val="20"/>
          <w:szCs w:val="24"/>
        </w:rPr>
        <w:t xml:space="preserve">WHEREAS </w:t>
      </w:r>
      <w:r w:rsidRPr="00606F29">
        <w:rPr>
          <w:sz w:val="20"/>
          <w:szCs w:val="24"/>
        </w:rPr>
        <w:t>the [</w:t>
      </w:r>
      <w:r w:rsidRPr="00606F29">
        <w:rPr>
          <w:smallCaps/>
          <w:sz w:val="20"/>
          <w:szCs w:val="24"/>
        </w:rPr>
        <w:t>translation</w:t>
      </w:r>
      <w:r w:rsidRPr="00606F29">
        <w:rPr>
          <w:sz w:val="20"/>
          <w:szCs w:val="24"/>
        </w:rPr>
        <w:t>] “procedural facts” to which the respondents’ motion relates were known to the respondents at the time their factum on appeal was filed</w:t>
      </w:r>
      <w:r w:rsidRPr="00606F29">
        <w:rPr>
          <w:sz w:val="20"/>
        </w:rPr>
        <w:t>;</w:t>
      </w:r>
    </w:p>
    <w:p w:rsidR="0089571A" w:rsidRPr="00606F29" w:rsidRDefault="0089571A" w:rsidP="0089571A">
      <w:pPr>
        <w:widowControl w:val="0"/>
        <w:jc w:val="both"/>
        <w:rPr>
          <w:sz w:val="20"/>
        </w:rPr>
      </w:pPr>
    </w:p>
    <w:p w:rsidR="0089571A" w:rsidRPr="00606F29" w:rsidRDefault="0089571A" w:rsidP="0089571A">
      <w:pPr>
        <w:widowControl w:val="0"/>
        <w:jc w:val="both"/>
        <w:rPr>
          <w:sz w:val="20"/>
          <w:szCs w:val="24"/>
        </w:rPr>
      </w:pPr>
      <w:r w:rsidRPr="00606F29">
        <w:rPr>
          <w:b/>
          <w:sz w:val="20"/>
          <w:szCs w:val="24"/>
        </w:rPr>
        <w:t xml:space="preserve">WHEREAS </w:t>
      </w:r>
      <w:r w:rsidRPr="00606F29">
        <w:rPr>
          <w:sz w:val="20"/>
          <w:szCs w:val="24"/>
        </w:rPr>
        <w:t xml:space="preserve">the respondents acknowledge that they are not basing any argument on the documents covered by their motion, so it is difficult to see how those documents could affect the questions to be decided by the Court in this appeal; </w:t>
      </w:r>
    </w:p>
    <w:p w:rsidR="0089571A" w:rsidRPr="00606F29" w:rsidRDefault="0089571A" w:rsidP="0089571A">
      <w:pPr>
        <w:widowControl w:val="0"/>
        <w:jc w:val="both"/>
        <w:rPr>
          <w:sz w:val="20"/>
          <w:szCs w:val="24"/>
        </w:rPr>
      </w:pPr>
    </w:p>
    <w:p w:rsidR="0089571A" w:rsidRPr="00606F29" w:rsidRDefault="0089571A" w:rsidP="0089571A">
      <w:pPr>
        <w:widowControl w:val="0"/>
        <w:jc w:val="both"/>
        <w:rPr>
          <w:sz w:val="20"/>
          <w:szCs w:val="24"/>
        </w:rPr>
      </w:pPr>
      <w:r w:rsidRPr="00606F29">
        <w:rPr>
          <w:b/>
          <w:sz w:val="20"/>
          <w:szCs w:val="24"/>
        </w:rPr>
        <w:t xml:space="preserve">WHEREAS </w:t>
      </w:r>
      <w:r w:rsidRPr="00606F29">
        <w:rPr>
          <w:sz w:val="20"/>
          <w:szCs w:val="24"/>
        </w:rPr>
        <w:t>the respondents have not established a change affecting the record;</w:t>
      </w:r>
    </w:p>
    <w:p w:rsidR="0089571A" w:rsidRPr="00606F29" w:rsidRDefault="0089571A" w:rsidP="0089571A">
      <w:pPr>
        <w:widowControl w:val="0"/>
        <w:jc w:val="both"/>
        <w:rPr>
          <w:sz w:val="20"/>
          <w:szCs w:val="24"/>
        </w:rPr>
      </w:pPr>
    </w:p>
    <w:p w:rsidR="0089571A" w:rsidRPr="00606F29" w:rsidRDefault="0089571A" w:rsidP="0089571A">
      <w:pPr>
        <w:ind w:left="720" w:hanging="720"/>
        <w:rPr>
          <w:b/>
          <w:sz w:val="20"/>
          <w:szCs w:val="24"/>
        </w:rPr>
      </w:pPr>
      <w:r w:rsidRPr="00606F29">
        <w:rPr>
          <w:b/>
          <w:sz w:val="20"/>
        </w:rPr>
        <w:t>IT IS HEREBY ORDERED THAT:</w:t>
      </w:r>
    </w:p>
    <w:p w:rsidR="0089571A" w:rsidRPr="00606F29" w:rsidRDefault="0089571A" w:rsidP="0089571A">
      <w:pPr>
        <w:widowControl w:val="0"/>
        <w:jc w:val="both"/>
        <w:rPr>
          <w:b/>
          <w:sz w:val="20"/>
          <w:szCs w:val="24"/>
        </w:rPr>
      </w:pPr>
    </w:p>
    <w:p w:rsidR="0089571A" w:rsidRPr="00606F29" w:rsidRDefault="0089571A" w:rsidP="0089571A">
      <w:pPr>
        <w:jc w:val="both"/>
        <w:rPr>
          <w:sz w:val="20"/>
          <w:szCs w:val="24"/>
        </w:rPr>
      </w:pPr>
      <w:r w:rsidRPr="00606F29">
        <w:rPr>
          <w:sz w:val="20"/>
        </w:rPr>
        <w:t>The motion for leave to advise the Court of a change relating to the record and to file documents to this effect is dismissed.</w:t>
      </w:r>
    </w:p>
    <w:p w:rsidR="00183454" w:rsidRPr="00606F29" w:rsidRDefault="00183454" w:rsidP="00183454">
      <w:pPr>
        <w:tabs>
          <w:tab w:val="left" w:pos="-1440"/>
          <w:tab w:val="left" w:pos="-720"/>
        </w:tabs>
        <w:jc w:val="both"/>
        <w:rPr>
          <w:rFonts w:eastAsia="Times New Roman" w:cs="Times New Roman"/>
          <w:sz w:val="20"/>
          <w:szCs w:val="20"/>
          <w:lang w:eastAsia="en-CA"/>
        </w:rPr>
      </w:pPr>
    </w:p>
    <w:p w:rsidR="00183454" w:rsidRPr="00606F29" w:rsidRDefault="00183454" w:rsidP="00183454">
      <w:pPr>
        <w:tabs>
          <w:tab w:val="left" w:pos="-1440"/>
          <w:tab w:val="left" w:pos="-720"/>
        </w:tabs>
        <w:jc w:val="both"/>
        <w:rPr>
          <w:rFonts w:eastAsia="Times New Roman" w:cs="Times New Roman"/>
          <w:sz w:val="16"/>
          <w:szCs w:val="20"/>
          <w:lang w:val="en-US" w:eastAsia="en-CA"/>
        </w:rPr>
      </w:pPr>
    </w:p>
    <w:p w:rsidR="0089571A" w:rsidRPr="00606F29" w:rsidRDefault="0089571A" w:rsidP="0089571A">
      <w:pPr>
        <w:jc w:val="both"/>
        <w:rPr>
          <w:b/>
          <w:sz w:val="20"/>
          <w:lang w:val="fr-FR"/>
        </w:rPr>
      </w:pPr>
      <w:r w:rsidRPr="00606F29">
        <w:rPr>
          <w:b/>
          <w:sz w:val="20"/>
          <w:szCs w:val="24"/>
          <w:lang w:val="fr-CA"/>
        </w:rPr>
        <w:t xml:space="preserve">À LA SUITE DE LA REQUÊTE </w:t>
      </w:r>
      <w:r w:rsidRPr="00606F29">
        <w:rPr>
          <w:i/>
          <w:sz w:val="20"/>
          <w:szCs w:val="24"/>
          <w:lang w:val="fr-CA"/>
        </w:rPr>
        <w:t>de bene esse</w:t>
      </w:r>
      <w:r w:rsidRPr="00606F29">
        <w:rPr>
          <w:sz w:val="20"/>
          <w:szCs w:val="24"/>
          <w:lang w:val="fr-CA"/>
        </w:rPr>
        <w:t xml:space="preserve"> </w:t>
      </w:r>
      <w:r w:rsidRPr="00606F29">
        <w:rPr>
          <w:sz w:val="20"/>
          <w:lang w:val="fr-FR"/>
        </w:rPr>
        <w:t xml:space="preserve">des intimées Judith Matte-Thompson et 166376 Canada </w:t>
      </w:r>
      <w:proofErr w:type="spellStart"/>
      <w:r w:rsidRPr="00606F29">
        <w:rPr>
          <w:sz w:val="20"/>
          <w:lang w:val="fr-FR"/>
        </w:rPr>
        <w:t>inc.</w:t>
      </w:r>
      <w:proofErr w:type="spellEnd"/>
      <w:r w:rsidRPr="00606F29">
        <w:rPr>
          <w:sz w:val="20"/>
          <w:lang w:val="fr-FR"/>
        </w:rPr>
        <w:t xml:space="preserve"> pour obtenir la permission d’aviser la Cour d’un changement relatif au présent dossier et de déposer des documents à cet effet (articles 47 et 92.1 des </w:t>
      </w:r>
      <w:r w:rsidRPr="00606F29">
        <w:rPr>
          <w:i/>
          <w:sz w:val="20"/>
          <w:lang w:val="fr-FR"/>
        </w:rPr>
        <w:t>Règles de la Cour suprême du Canada</w:t>
      </w:r>
      <w:r w:rsidRPr="00606F29">
        <w:rPr>
          <w:sz w:val="20"/>
          <w:lang w:val="fr-FR"/>
        </w:rPr>
        <w:t>);</w:t>
      </w:r>
    </w:p>
    <w:p w:rsidR="0089571A" w:rsidRPr="00606F29" w:rsidRDefault="0089571A" w:rsidP="0089571A">
      <w:pPr>
        <w:widowControl w:val="0"/>
        <w:jc w:val="both"/>
        <w:rPr>
          <w:sz w:val="20"/>
          <w:szCs w:val="24"/>
          <w:lang w:val="fr-FR"/>
        </w:rPr>
      </w:pPr>
    </w:p>
    <w:p w:rsidR="0089571A" w:rsidRPr="00606F29" w:rsidRDefault="0089571A" w:rsidP="0089571A">
      <w:pPr>
        <w:widowControl w:val="0"/>
        <w:jc w:val="both"/>
        <w:rPr>
          <w:sz w:val="20"/>
          <w:szCs w:val="24"/>
          <w:lang w:val="fr-CA"/>
        </w:rPr>
      </w:pPr>
      <w:r w:rsidRPr="00606F29">
        <w:rPr>
          <w:b/>
          <w:sz w:val="20"/>
          <w:szCs w:val="24"/>
          <w:lang w:val="fr-CA"/>
        </w:rPr>
        <w:t>ET APRÈS EXAMEN</w:t>
      </w:r>
      <w:r w:rsidRPr="00606F29">
        <w:rPr>
          <w:sz w:val="20"/>
          <w:szCs w:val="24"/>
          <w:lang w:val="fr-CA"/>
        </w:rPr>
        <w:t xml:space="preserve"> des documents annexés à la requête et les prétentions des parties à cet égard;</w:t>
      </w:r>
    </w:p>
    <w:p w:rsidR="0089571A" w:rsidRPr="00606F29" w:rsidRDefault="0089571A" w:rsidP="0089571A">
      <w:pPr>
        <w:widowControl w:val="0"/>
        <w:jc w:val="both"/>
        <w:rPr>
          <w:sz w:val="20"/>
          <w:szCs w:val="24"/>
          <w:lang w:val="fr-CA"/>
        </w:rPr>
      </w:pPr>
    </w:p>
    <w:p w:rsidR="0089571A" w:rsidRPr="00606F29" w:rsidRDefault="0089571A" w:rsidP="0089571A">
      <w:pPr>
        <w:widowControl w:val="0"/>
        <w:jc w:val="both"/>
        <w:rPr>
          <w:sz w:val="20"/>
          <w:lang w:val="fr-FR"/>
        </w:rPr>
      </w:pPr>
      <w:r w:rsidRPr="00606F29">
        <w:rPr>
          <w:b/>
          <w:sz w:val="20"/>
          <w:szCs w:val="24"/>
          <w:lang w:val="fr-CA"/>
        </w:rPr>
        <w:t xml:space="preserve">CONSIDÉRANT </w:t>
      </w:r>
      <w:r w:rsidRPr="00606F29">
        <w:rPr>
          <w:sz w:val="20"/>
          <w:szCs w:val="24"/>
          <w:lang w:val="fr-CA"/>
        </w:rPr>
        <w:t xml:space="preserve">que </w:t>
      </w:r>
      <w:r w:rsidRPr="00606F29">
        <w:rPr>
          <w:sz w:val="20"/>
          <w:lang w:val="fr-FR"/>
        </w:rPr>
        <w:t>les « faits procéduraux » visés par la requête des intimées étaient connus par les intimées au moment du dépôt de leur mémoire d’appel;</w:t>
      </w:r>
    </w:p>
    <w:p w:rsidR="0089571A" w:rsidRPr="00606F29" w:rsidRDefault="0089571A" w:rsidP="0089571A">
      <w:pPr>
        <w:widowControl w:val="0"/>
        <w:jc w:val="both"/>
        <w:rPr>
          <w:sz w:val="20"/>
          <w:lang w:val="fr-FR"/>
        </w:rPr>
      </w:pPr>
    </w:p>
    <w:p w:rsidR="0089571A" w:rsidRPr="00606F29" w:rsidRDefault="0089571A" w:rsidP="0089571A">
      <w:pPr>
        <w:widowControl w:val="0"/>
        <w:jc w:val="both"/>
        <w:rPr>
          <w:sz w:val="20"/>
          <w:szCs w:val="24"/>
          <w:lang w:val="fr-CA"/>
        </w:rPr>
      </w:pPr>
      <w:r w:rsidRPr="00606F29">
        <w:rPr>
          <w:b/>
          <w:sz w:val="20"/>
          <w:szCs w:val="24"/>
          <w:lang w:val="fr-CA"/>
        </w:rPr>
        <w:t xml:space="preserve">CONSIDÉRANT </w:t>
      </w:r>
      <w:r w:rsidRPr="00606F29">
        <w:rPr>
          <w:sz w:val="20"/>
          <w:szCs w:val="24"/>
          <w:lang w:val="fr-CA"/>
        </w:rPr>
        <w:t xml:space="preserve">que les intimées reconnaissent qu’elles ne tirent aucun argument des documents visés par leur requête, si bien qu’il est difficile de voir en quoi ces documents pourraient avoir une incidence sur les questions que doit trancher la Cour dans le cadre du présent pourvoi; </w:t>
      </w:r>
    </w:p>
    <w:p w:rsidR="0089571A" w:rsidRPr="00606F29" w:rsidRDefault="0089571A" w:rsidP="0089571A">
      <w:pPr>
        <w:widowControl w:val="0"/>
        <w:jc w:val="both"/>
        <w:rPr>
          <w:sz w:val="20"/>
          <w:szCs w:val="24"/>
          <w:lang w:val="fr-CA"/>
        </w:rPr>
      </w:pPr>
    </w:p>
    <w:p w:rsidR="0089571A" w:rsidRPr="00606F29" w:rsidRDefault="0089571A" w:rsidP="0089571A">
      <w:pPr>
        <w:widowControl w:val="0"/>
        <w:jc w:val="both"/>
        <w:rPr>
          <w:sz w:val="20"/>
          <w:szCs w:val="24"/>
          <w:lang w:val="fr-CA"/>
        </w:rPr>
      </w:pPr>
      <w:r w:rsidRPr="00606F29">
        <w:rPr>
          <w:b/>
          <w:sz w:val="20"/>
          <w:szCs w:val="24"/>
          <w:lang w:val="fr-CA"/>
        </w:rPr>
        <w:t xml:space="preserve">CONSIDÉRANT </w:t>
      </w:r>
      <w:r w:rsidRPr="00606F29">
        <w:rPr>
          <w:sz w:val="20"/>
          <w:szCs w:val="24"/>
          <w:lang w:val="fr-CA"/>
        </w:rPr>
        <w:t>que les intimées n’ont pas fait la démonstration d’un changement ayant une incidence sur le dossier;</w:t>
      </w:r>
    </w:p>
    <w:p w:rsidR="0089571A" w:rsidRPr="00606F29" w:rsidRDefault="0089571A" w:rsidP="0089571A">
      <w:pPr>
        <w:widowControl w:val="0"/>
        <w:jc w:val="both"/>
        <w:rPr>
          <w:sz w:val="20"/>
          <w:szCs w:val="24"/>
          <w:lang w:val="fr-CA"/>
        </w:rPr>
      </w:pPr>
    </w:p>
    <w:p w:rsidR="0089571A" w:rsidRPr="00606F29" w:rsidRDefault="0089571A" w:rsidP="0089571A">
      <w:pPr>
        <w:widowControl w:val="0"/>
        <w:jc w:val="both"/>
        <w:rPr>
          <w:b/>
          <w:sz w:val="20"/>
          <w:szCs w:val="24"/>
          <w:lang w:val="fr-CA"/>
        </w:rPr>
      </w:pPr>
      <w:r w:rsidRPr="00606F29">
        <w:rPr>
          <w:b/>
          <w:sz w:val="20"/>
          <w:szCs w:val="24"/>
          <w:lang w:val="fr-FR"/>
        </w:rPr>
        <w:t>IL EST PAR LA PRÉSENTE ORDONNÉ CE QUI SUIT :</w:t>
      </w:r>
    </w:p>
    <w:p w:rsidR="00183454" w:rsidRPr="00606F29" w:rsidRDefault="0089571A" w:rsidP="0089571A">
      <w:pPr>
        <w:jc w:val="both"/>
        <w:rPr>
          <w:rFonts w:eastAsia="Times New Roman" w:cs="Times New Roman"/>
          <w:sz w:val="20"/>
          <w:szCs w:val="20"/>
          <w:lang w:val="fr-CA" w:eastAsia="en-CA"/>
        </w:rPr>
      </w:pPr>
      <w:r w:rsidRPr="00606F29">
        <w:rPr>
          <w:sz w:val="20"/>
          <w:lang w:val="fr-FR"/>
        </w:rPr>
        <w:t>La requête pour obtenir la permission d’aviser la Cour d’un changement relatif au présent dossier et de déposer des documents à cet effet est rejetée.</w:t>
      </w:r>
      <w:r w:rsidR="009813FB">
        <w:rPr>
          <w:rFonts w:eastAsia="Times New Roman" w:cs="Times New Roman"/>
          <w:sz w:val="20"/>
          <w:szCs w:val="20"/>
          <w:lang w:val="fr-CA" w:eastAsia="en-CA"/>
        </w:rPr>
        <w:pict>
          <v:rect id="_x0000_i1034" style="width:2in;height:1pt" o:hrpct="0" o:hralign="center" o:hrstd="t" o:hrnoshade="t" o:hr="t" fillcolor="black [3213]" stroked="f"/>
        </w:pict>
      </w:r>
    </w:p>
    <w:p w:rsidR="00183454" w:rsidRPr="00606F29" w:rsidRDefault="00183454" w:rsidP="00183454">
      <w:pPr>
        <w:tabs>
          <w:tab w:val="left" w:pos="-1440"/>
          <w:tab w:val="left" w:pos="-720"/>
        </w:tabs>
        <w:jc w:val="both"/>
        <w:rPr>
          <w:rFonts w:eastAsia="Times New Roman" w:cs="Times New Roman"/>
          <w:sz w:val="20"/>
          <w:szCs w:val="20"/>
          <w:lang w:val="fr-CA" w:eastAsia="en-CA"/>
        </w:rPr>
      </w:pPr>
    </w:p>
    <w:p w:rsidR="0010587F" w:rsidRPr="00606F29" w:rsidRDefault="0010587F" w:rsidP="0010587F">
      <w:pPr>
        <w:tabs>
          <w:tab w:val="left" w:pos="-1440"/>
          <w:tab w:val="left" w:pos="-720"/>
        </w:tabs>
        <w:jc w:val="both"/>
        <w:rPr>
          <w:sz w:val="20"/>
          <w:szCs w:val="20"/>
          <w:lang w:val="fr-CA"/>
        </w:rPr>
      </w:pPr>
    </w:p>
    <w:p w:rsidR="00D7372A" w:rsidRPr="00606F29" w:rsidRDefault="00D7372A" w:rsidP="00D7372A">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lastRenderedPageBreak/>
        <w:t>20.03.2018</w:t>
      </w:r>
    </w:p>
    <w:p w:rsidR="00D7372A" w:rsidRPr="00606F29" w:rsidRDefault="00D7372A" w:rsidP="00D7372A">
      <w:pPr>
        <w:tabs>
          <w:tab w:val="left" w:pos="-1440"/>
          <w:tab w:val="left" w:pos="-720"/>
        </w:tabs>
        <w:jc w:val="both"/>
        <w:rPr>
          <w:rFonts w:eastAsia="Times New Roman" w:cs="Times New Roman"/>
          <w:sz w:val="20"/>
          <w:szCs w:val="20"/>
          <w:lang w:val="fr-CA" w:eastAsia="en-CA"/>
        </w:rPr>
      </w:pPr>
    </w:p>
    <w:p w:rsidR="00D7372A" w:rsidRPr="00606F29" w:rsidRDefault="00D7372A" w:rsidP="00D7372A">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THE REGISTRAR / LE REGISTRAIRE</w:t>
      </w:r>
    </w:p>
    <w:p w:rsidR="00D7372A" w:rsidRPr="00606F29" w:rsidRDefault="00D7372A" w:rsidP="00D7372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39"/>
        <w:gridCol w:w="4227"/>
      </w:tblGrid>
      <w:tr w:rsidR="00522F08" w:rsidRPr="00606F29" w:rsidTr="00522F08">
        <w:tc>
          <w:tcPr>
            <w:tcW w:w="4253" w:type="dxa"/>
          </w:tcPr>
          <w:p w:rsidR="00522F08" w:rsidRPr="00606F29" w:rsidRDefault="00522F08" w:rsidP="00522F08">
            <w:pPr>
              <w:jc w:val="both"/>
              <w:rPr>
                <w:b/>
                <w:bCs/>
                <w:lang w:val="fr-CA"/>
              </w:rPr>
            </w:pPr>
            <w:r w:rsidRPr="00606F29">
              <w:rPr>
                <w:b/>
                <w:bCs/>
              </w:rPr>
              <w:t>Miscellaneous motion</w:t>
            </w:r>
          </w:p>
        </w:tc>
        <w:tc>
          <w:tcPr>
            <w:tcW w:w="1139" w:type="dxa"/>
          </w:tcPr>
          <w:p w:rsidR="00522F08" w:rsidRPr="00606F29" w:rsidRDefault="00522F08" w:rsidP="00522F08">
            <w:pPr>
              <w:tabs>
                <w:tab w:val="left" w:pos="-1440"/>
                <w:tab w:val="left" w:pos="-720"/>
              </w:tabs>
              <w:jc w:val="both"/>
              <w:rPr>
                <w:lang w:val="fr-CA"/>
              </w:rPr>
            </w:pPr>
          </w:p>
          <w:p w:rsidR="00522F08" w:rsidRPr="00606F29" w:rsidRDefault="00522F08" w:rsidP="00522F08">
            <w:pPr>
              <w:tabs>
                <w:tab w:val="left" w:pos="-1440"/>
                <w:tab w:val="left" w:pos="-720"/>
              </w:tabs>
              <w:jc w:val="both"/>
              <w:rPr>
                <w:lang w:val="fr-CA"/>
              </w:rPr>
            </w:pPr>
          </w:p>
        </w:tc>
        <w:tc>
          <w:tcPr>
            <w:tcW w:w="4227" w:type="dxa"/>
          </w:tcPr>
          <w:p w:rsidR="00522F08" w:rsidRPr="00606F29" w:rsidRDefault="00522F08" w:rsidP="00522F08">
            <w:pPr>
              <w:jc w:val="both"/>
              <w:rPr>
                <w:b/>
                <w:bCs/>
                <w:lang w:val="fr-CA"/>
              </w:rPr>
            </w:pPr>
            <w:r w:rsidRPr="00606F29">
              <w:rPr>
                <w:b/>
                <w:bCs/>
                <w:lang w:val="fr-CA"/>
              </w:rPr>
              <w:t>Requête diverse</w:t>
            </w:r>
          </w:p>
        </w:tc>
      </w:tr>
      <w:tr w:rsidR="00D7372A" w:rsidRPr="00606F29" w:rsidTr="00522F08">
        <w:tc>
          <w:tcPr>
            <w:tcW w:w="4253" w:type="dxa"/>
          </w:tcPr>
          <w:p w:rsidR="00D7372A" w:rsidRPr="00606F29" w:rsidRDefault="00D7372A" w:rsidP="00E00CF1">
            <w:pPr>
              <w:tabs>
                <w:tab w:val="left" w:pos="-1440"/>
                <w:tab w:val="left" w:pos="-720"/>
              </w:tabs>
              <w:jc w:val="both"/>
              <w:rPr>
                <w:lang w:val="fr-CA"/>
              </w:rPr>
            </w:pPr>
            <w:r w:rsidRPr="00606F29">
              <w:rPr>
                <w:lang w:val="fr-CA"/>
              </w:rPr>
              <w:t xml:space="preserve">Sa Majesté la Reine </w:t>
            </w:r>
          </w:p>
          <w:p w:rsidR="00D7372A" w:rsidRPr="00606F29" w:rsidRDefault="00D7372A" w:rsidP="00E00CF1">
            <w:pPr>
              <w:tabs>
                <w:tab w:val="left" w:pos="-1440"/>
                <w:tab w:val="left" w:pos="-720"/>
              </w:tabs>
              <w:jc w:val="both"/>
              <w:rPr>
                <w:lang w:val="fr-CA"/>
              </w:rPr>
            </w:pPr>
          </w:p>
          <w:p w:rsidR="00D7372A" w:rsidRPr="00606F29" w:rsidRDefault="00D7372A" w:rsidP="00E00CF1">
            <w:pPr>
              <w:tabs>
                <w:tab w:val="left" w:pos="-1440"/>
                <w:tab w:val="left" w:pos="-720"/>
              </w:tabs>
              <w:jc w:val="both"/>
              <w:rPr>
                <w:lang w:val="fr-CA"/>
              </w:rPr>
            </w:pPr>
            <w:r w:rsidRPr="00606F29">
              <w:rPr>
                <w:lang w:val="fr-CA"/>
              </w:rPr>
              <w:tab/>
              <w:t>c. (37984)</w:t>
            </w:r>
          </w:p>
          <w:p w:rsidR="00D7372A" w:rsidRPr="00606F29" w:rsidRDefault="00D7372A" w:rsidP="00E00CF1">
            <w:pPr>
              <w:tabs>
                <w:tab w:val="left" w:pos="-1440"/>
                <w:tab w:val="left" w:pos="-720"/>
              </w:tabs>
              <w:jc w:val="both"/>
              <w:rPr>
                <w:lang w:val="fr-CA"/>
              </w:rPr>
            </w:pPr>
          </w:p>
          <w:p w:rsidR="00D7372A" w:rsidRPr="00606F29" w:rsidRDefault="00D7372A" w:rsidP="00D7372A">
            <w:pPr>
              <w:tabs>
                <w:tab w:val="left" w:pos="-1440"/>
                <w:tab w:val="left" w:pos="-720"/>
              </w:tabs>
              <w:jc w:val="both"/>
              <w:rPr>
                <w:lang w:val="fr-CA"/>
              </w:rPr>
            </w:pPr>
            <w:proofErr w:type="spellStart"/>
            <w:r w:rsidRPr="00606F29">
              <w:rPr>
                <w:lang w:val="fr-CA"/>
              </w:rPr>
              <w:t>Sivaloganathan</w:t>
            </w:r>
            <w:proofErr w:type="spellEnd"/>
            <w:r w:rsidRPr="00606F29">
              <w:rPr>
                <w:lang w:val="fr-CA"/>
              </w:rPr>
              <w:t xml:space="preserve"> </w:t>
            </w:r>
            <w:proofErr w:type="spellStart"/>
            <w:r w:rsidRPr="00606F29">
              <w:rPr>
                <w:lang w:val="fr-CA"/>
              </w:rPr>
              <w:t>Thanabalasingham</w:t>
            </w:r>
            <w:proofErr w:type="spellEnd"/>
            <w:r w:rsidRPr="00606F29">
              <w:rPr>
                <w:lang w:val="fr-CA"/>
              </w:rPr>
              <w:t xml:space="preserve"> (</w:t>
            </w:r>
            <w:proofErr w:type="spellStart"/>
            <w:r w:rsidRPr="00606F29">
              <w:rPr>
                <w:lang w:val="fr-CA"/>
              </w:rPr>
              <w:t>Qc</w:t>
            </w:r>
            <w:proofErr w:type="spellEnd"/>
            <w:r w:rsidRPr="00606F29">
              <w:rPr>
                <w:lang w:val="fr-CA"/>
              </w:rPr>
              <w:t>)</w:t>
            </w:r>
          </w:p>
        </w:tc>
        <w:tc>
          <w:tcPr>
            <w:tcW w:w="1139" w:type="dxa"/>
          </w:tcPr>
          <w:p w:rsidR="00D7372A" w:rsidRPr="00606F29" w:rsidRDefault="00D7372A" w:rsidP="00E00CF1">
            <w:pPr>
              <w:tabs>
                <w:tab w:val="left" w:pos="-1440"/>
                <w:tab w:val="left" w:pos="-720"/>
              </w:tabs>
              <w:jc w:val="both"/>
              <w:rPr>
                <w:lang w:val="fr-CA"/>
              </w:rPr>
            </w:pPr>
          </w:p>
        </w:tc>
        <w:tc>
          <w:tcPr>
            <w:tcW w:w="4227" w:type="dxa"/>
          </w:tcPr>
          <w:p w:rsidR="00D7372A" w:rsidRPr="00606F29" w:rsidRDefault="00D7372A" w:rsidP="00E00CF1">
            <w:pPr>
              <w:tabs>
                <w:tab w:val="left" w:pos="-1440"/>
                <w:tab w:val="left" w:pos="-720"/>
              </w:tabs>
              <w:jc w:val="both"/>
              <w:rPr>
                <w:lang w:val="fr-CA"/>
              </w:rPr>
            </w:pPr>
          </w:p>
        </w:tc>
      </w:tr>
    </w:tbl>
    <w:p w:rsidR="00D7372A" w:rsidRPr="00606F29" w:rsidRDefault="00D7372A">
      <w:pPr>
        <w:rPr>
          <w:rFonts w:eastAsia="Times New Roman" w:cs="Times New Roman"/>
          <w:sz w:val="20"/>
          <w:szCs w:val="20"/>
          <w:lang w:val="fr-CA" w:eastAsia="en-CA"/>
        </w:rPr>
      </w:pPr>
    </w:p>
    <w:p w:rsidR="00D7372A" w:rsidRPr="00606F29" w:rsidRDefault="00D7372A">
      <w:pPr>
        <w:rPr>
          <w:rFonts w:eastAsia="Times New Roman" w:cs="Times New Roman"/>
          <w:b/>
          <w:sz w:val="20"/>
          <w:szCs w:val="20"/>
          <w:lang w:val="fr-CA" w:eastAsia="en-CA"/>
        </w:rPr>
      </w:pPr>
      <w:r w:rsidRPr="00606F29">
        <w:rPr>
          <w:rFonts w:eastAsia="Times New Roman" w:cs="Times New Roman"/>
          <w:b/>
          <w:sz w:val="20"/>
          <w:szCs w:val="20"/>
          <w:lang w:val="fr-CA" w:eastAsia="en-CA"/>
        </w:rPr>
        <w:t>ALLOWED / ACCUEILLIE</w:t>
      </w:r>
    </w:p>
    <w:p w:rsidR="00D7372A" w:rsidRPr="00606F29" w:rsidRDefault="00D7372A">
      <w:pPr>
        <w:rPr>
          <w:rFonts w:eastAsia="Times New Roman" w:cs="Times New Roman"/>
          <w:sz w:val="16"/>
          <w:szCs w:val="20"/>
          <w:lang w:val="fr-CA" w:eastAsia="en-CA"/>
        </w:rPr>
      </w:pPr>
    </w:p>
    <w:p w:rsidR="00D7372A" w:rsidRPr="00606F29" w:rsidRDefault="00D7372A" w:rsidP="00D7372A">
      <w:pPr>
        <w:spacing w:line="233" w:lineRule="auto"/>
        <w:jc w:val="both"/>
        <w:rPr>
          <w:rFonts w:cs="Times New Roman"/>
          <w:b/>
          <w:sz w:val="20"/>
          <w:szCs w:val="24"/>
        </w:rPr>
      </w:pPr>
    </w:p>
    <w:p w:rsidR="00D7372A" w:rsidRPr="00606F29" w:rsidRDefault="00D7372A" w:rsidP="00D7372A">
      <w:pPr>
        <w:spacing w:line="233" w:lineRule="auto"/>
        <w:jc w:val="both"/>
        <w:rPr>
          <w:rFonts w:cs="Times New Roman"/>
          <w:b/>
          <w:bCs/>
          <w:sz w:val="20"/>
          <w:szCs w:val="24"/>
        </w:rPr>
      </w:pPr>
      <w:r w:rsidRPr="00606F29">
        <w:rPr>
          <w:rFonts w:cs="Times New Roman"/>
          <w:b/>
          <w:sz w:val="20"/>
          <w:szCs w:val="24"/>
        </w:rPr>
        <w:t>UPON APPLICATION</w:t>
      </w:r>
      <w:r w:rsidRPr="00606F29">
        <w:rPr>
          <w:b/>
          <w:sz w:val="20"/>
          <w:szCs w:val="24"/>
        </w:rPr>
        <w:t xml:space="preserve"> </w:t>
      </w:r>
      <w:r w:rsidRPr="00606F29">
        <w:rPr>
          <w:rFonts w:cs="Times New Roman"/>
          <w:sz w:val="20"/>
          <w:szCs w:val="24"/>
        </w:rPr>
        <w:t>by the appellant to join the appeal as of right to the appeal by leave and, if leave is granted, to extend the time limit for filing the appellant’s documents in the appeal as of right to coincide with the time limit in the appeal by leave, if applicable;</w:t>
      </w:r>
    </w:p>
    <w:p w:rsidR="00D7372A" w:rsidRPr="00606F29" w:rsidRDefault="00D7372A" w:rsidP="00D7372A">
      <w:pPr>
        <w:spacing w:line="233" w:lineRule="auto"/>
        <w:jc w:val="both"/>
        <w:rPr>
          <w:rFonts w:cs="Times New Roman"/>
          <w:b/>
          <w:bCs/>
          <w:sz w:val="20"/>
          <w:szCs w:val="24"/>
        </w:rPr>
      </w:pPr>
    </w:p>
    <w:p w:rsidR="00D7372A" w:rsidRPr="00606F29" w:rsidRDefault="00D7372A" w:rsidP="00D7372A">
      <w:pPr>
        <w:spacing w:line="233" w:lineRule="auto"/>
        <w:jc w:val="both"/>
        <w:rPr>
          <w:rFonts w:cs="Times New Roman"/>
          <w:sz w:val="20"/>
          <w:szCs w:val="24"/>
        </w:rPr>
      </w:pPr>
      <w:r w:rsidRPr="00606F29">
        <w:rPr>
          <w:rFonts w:cs="Times New Roman"/>
          <w:b/>
          <w:bCs/>
          <w:sz w:val="20"/>
          <w:szCs w:val="24"/>
        </w:rPr>
        <w:t>AND THE MATERIAL FILED</w:t>
      </w:r>
      <w:r w:rsidRPr="00606F29">
        <w:rPr>
          <w:rFonts w:cs="Times New Roman"/>
          <w:bCs/>
          <w:sz w:val="20"/>
          <w:szCs w:val="24"/>
        </w:rPr>
        <w:t xml:space="preserve"> having been read;</w:t>
      </w:r>
      <w:r w:rsidRPr="00606F29">
        <w:rPr>
          <w:rFonts w:cs="Times New Roman"/>
          <w:sz w:val="20"/>
          <w:szCs w:val="24"/>
        </w:rPr>
        <w:t xml:space="preserve"> </w:t>
      </w:r>
    </w:p>
    <w:p w:rsidR="00D7372A" w:rsidRPr="00606F29" w:rsidRDefault="00D7372A" w:rsidP="00D7372A">
      <w:pPr>
        <w:spacing w:line="233" w:lineRule="auto"/>
        <w:jc w:val="both"/>
        <w:rPr>
          <w:rFonts w:cs="Times New Roman"/>
          <w:sz w:val="20"/>
          <w:szCs w:val="24"/>
        </w:rPr>
      </w:pPr>
    </w:p>
    <w:p w:rsidR="00D7372A" w:rsidRPr="00606F29" w:rsidRDefault="00D7372A" w:rsidP="00D7372A">
      <w:pPr>
        <w:spacing w:line="230" w:lineRule="auto"/>
        <w:jc w:val="both"/>
        <w:rPr>
          <w:rFonts w:cs="Times New Roman"/>
          <w:b/>
          <w:bCs/>
          <w:sz w:val="20"/>
          <w:szCs w:val="24"/>
        </w:rPr>
      </w:pPr>
      <w:r w:rsidRPr="00606F29">
        <w:rPr>
          <w:rFonts w:cs="Times New Roman"/>
          <w:b/>
          <w:bCs/>
          <w:sz w:val="20"/>
          <w:szCs w:val="24"/>
        </w:rPr>
        <w:t>IT IS HEREBY ORDERED THAT:</w:t>
      </w:r>
    </w:p>
    <w:p w:rsidR="00D7372A" w:rsidRPr="00606F29" w:rsidRDefault="00D7372A" w:rsidP="00D7372A">
      <w:pPr>
        <w:spacing w:line="230" w:lineRule="auto"/>
        <w:ind w:left="-23"/>
        <w:jc w:val="both"/>
        <w:rPr>
          <w:rFonts w:cs="Times New Roman"/>
          <w:b/>
          <w:bCs/>
          <w:sz w:val="20"/>
          <w:szCs w:val="24"/>
        </w:rPr>
      </w:pPr>
    </w:p>
    <w:p w:rsidR="00D7372A" w:rsidRPr="00606F29" w:rsidRDefault="00D7372A" w:rsidP="00D7372A">
      <w:pPr>
        <w:rPr>
          <w:rFonts w:cs="Times New Roman"/>
          <w:sz w:val="20"/>
          <w:szCs w:val="24"/>
        </w:rPr>
      </w:pPr>
      <w:r w:rsidRPr="00606F29">
        <w:rPr>
          <w:rFonts w:cs="Times New Roman"/>
          <w:bCs/>
          <w:sz w:val="20"/>
          <w:szCs w:val="24"/>
        </w:rPr>
        <w:t>The motion is allowed</w:t>
      </w:r>
      <w:r w:rsidRPr="00606F29">
        <w:rPr>
          <w:rFonts w:cs="Times New Roman"/>
          <w:sz w:val="20"/>
          <w:szCs w:val="24"/>
        </w:rPr>
        <w:t>.</w:t>
      </w:r>
    </w:p>
    <w:p w:rsidR="00D7372A" w:rsidRPr="00606F29" w:rsidRDefault="00D7372A" w:rsidP="00D7372A">
      <w:pPr>
        <w:rPr>
          <w:rFonts w:cs="Times New Roman"/>
          <w:sz w:val="20"/>
          <w:szCs w:val="24"/>
        </w:rPr>
      </w:pPr>
    </w:p>
    <w:p w:rsidR="00D7372A" w:rsidRPr="00606F29" w:rsidRDefault="00D7372A" w:rsidP="00D7372A">
      <w:pPr>
        <w:rPr>
          <w:rFonts w:cs="Times New Roman"/>
          <w:sz w:val="20"/>
          <w:szCs w:val="24"/>
        </w:rPr>
      </w:pPr>
      <w:r w:rsidRPr="00606F29">
        <w:rPr>
          <w:rFonts w:cs="Times New Roman"/>
          <w:sz w:val="20"/>
          <w:szCs w:val="24"/>
        </w:rPr>
        <w:t xml:space="preserve">The appeal as of right is joined to the appeal by leave and is subject to the time limits for the appeal by leave; </w:t>
      </w:r>
    </w:p>
    <w:p w:rsidR="00D7372A" w:rsidRPr="00606F29" w:rsidRDefault="00D7372A" w:rsidP="00D7372A">
      <w:pPr>
        <w:rPr>
          <w:rFonts w:cs="Times New Roman"/>
          <w:sz w:val="20"/>
          <w:szCs w:val="24"/>
        </w:rPr>
      </w:pPr>
    </w:p>
    <w:p w:rsidR="00D7372A" w:rsidRPr="00606F29" w:rsidRDefault="00D7372A" w:rsidP="00D7372A">
      <w:pPr>
        <w:rPr>
          <w:rFonts w:cs="Times New Roman"/>
          <w:sz w:val="20"/>
          <w:szCs w:val="24"/>
        </w:rPr>
      </w:pPr>
      <w:r w:rsidRPr="00606F29">
        <w:rPr>
          <w:rFonts w:cs="Times New Roman"/>
          <w:sz w:val="20"/>
          <w:szCs w:val="24"/>
        </w:rPr>
        <w:t>The time limit for filing the appellant’s factum, record and book of authorities in the appeal as of right is extended to coincide with the time limit for filing those documents in the appeal by leave, if applicable; and</w:t>
      </w:r>
    </w:p>
    <w:p w:rsidR="00D7372A" w:rsidRPr="00606F29" w:rsidRDefault="00D7372A" w:rsidP="00D7372A">
      <w:pPr>
        <w:rPr>
          <w:rFonts w:cs="Times New Roman"/>
          <w:sz w:val="20"/>
          <w:szCs w:val="24"/>
        </w:rPr>
      </w:pPr>
    </w:p>
    <w:p w:rsidR="00D7372A" w:rsidRPr="00606F29" w:rsidRDefault="00D7372A" w:rsidP="00D7372A">
      <w:pPr>
        <w:rPr>
          <w:rFonts w:cs="Times New Roman"/>
          <w:sz w:val="20"/>
          <w:szCs w:val="24"/>
        </w:rPr>
      </w:pPr>
      <w:r w:rsidRPr="00606F29">
        <w:rPr>
          <w:rFonts w:cs="Times New Roman"/>
          <w:sz w:val="20"/>
          <w:szCs w:val="24"/>
        </w:rPr>
        <w:t>The appellant is given leave to file the above</w:t>
      </w:r>
      <w:r w:rsidRPr="00606F29">
        <w:rPr>
          <w:rFonts w:cs="Times New Roman"/>
          <w:sz w:val="20"/>
          <w:szCs w:val="24"/>
        </w:rPr>
        <w:noBreakHyphen/>
        <w:t>mentioned documents within eight weeks after the Court’s decision on the leave application, if leave is denied, or within eight weeks after the filing of the notice of appeal for the appeal by leave, if leave is granted.</w:t>
      </w:r>
    </w:p>
    <w:p w:rsidR="00D7372A" w:rsidRPr="00606F29" w:rsidRDefault="00D7372A" w:rsidP="00D7372A">
      <w:pPr>
        <w:rPr>
          <w:rFonts w:cs="Times New Roman"/>
          <w:sz w:val="20"/>
          <w:szCs w:val="24"/>
        </w:rPr>
      </w:pPr>
    </w:p>
    <w:p w:rsidR="00D7372A" w:rsidRPr="00606F29" w:rsidRDefault="00D7372A" w:rsidP="00D7372A">
      <w:pPr>
        <w:rPr>
          <w:rFonts w:cs="Times New Roman"/>
          <w:sz w:val="20"/>
          <w:szCs w:val="24"/>
          <w:lang w:val="fr-CA"/>
        </w:rPr>
      </w:pPr>
      <w:proofErr w:type="spellStart"/>
      <w:r w:rsidRPr="00606F29">
        <w:rPr>
          <w:rFonts w:cs="Times New Roman"/>
          <w:sz w:val="20"/>
          <w:szCs w:val="24"/>
          <w:lang w:val="fr-CA"/>
        </w:rPr>
        <w:t>Without</w:t>
      </w:r>
      <w:proofErr w:type="spellEnd"/>
      <w:r w:rsidRPr="00606F29">
        <w:rPr>
          <w:rFonts w:cs="Times New Roman"/>
          <w:sz w:val="20"/>
          <w:szCs w:val="24"/>
          <w:lang w:val="fr-CA"/>
        </w:rPr>
        <w:t xml:space="preserve"> </w:t>
      </w:r>
      <w:proofErr w:type="spellStart"/>
      <w:r w:rsidRPr="00606F29">
        <w:rPr>
          <w:rFonts w:cs="Times New Roman"/>
          <w:sz w:val="20"/>
          <w:szCs w:val="24"/>
          <w:lang w:val="fr-CA"/>
        </w:rPr>
        <w:t>costs</w:t>
      </w:r>
      <w:proofErr w:type="spellEnd"/>
      <w:r w:rsidRPr="00606F29">
        <w:rPr>
          <w:rFonts w:cs="Times New Roman"/>
          <w:sz w:val="20"/>
          <w:szCs w:val="24"/>
          <w:lang w:val="fr-CA"/>
        </w:rPr>
        <w:t>.</w:t>
      </w:r>
    </w:p>
    <w:p w:rsidR="00D7372A" w:rsidRPr="00606F29" w:rsidRDefault="00D7372A">
      <w:pPr>
        <w:rPr>
          <w:rFonts w:eastAsia="Times New Roman" w:cs="Times New Roman"/>
          <w:sz w:val="20"/>
          <w:szCs w:val="20"/>
          <w:lang w:val="fr-CA" w:eastAsia="en-CA"/>
        </w:rPr>
      </w:pPr>
    </w:p>
    <w:p w:rsidR="00D7372A" w:rsidRPr="00606F29" w:rsidRDefault="00D7372A">
      <w:pPr>
        <w:rPr>
          <w:rFonts w:eastAsia="Times New Roman" w:cs="Times New Roman"/>
          <w:sz w:val="20"/>
          <w:szCs w:val="20"/>
          <w:lang w:val="fr-CA" w:eastAsia="en-CA"/>
        </w:rPr>
      </w:pPr>
    </w:p>
    <w:p w:rsidR="00D7372A" w:rsidRPr="00606F29" w:rsidRDefault="00D7372A" w:rsidP="00D7372A">
      <w:pPr>
        <w:spacing w:line="233" w:lineRule="auto"/>
        <w:jc w:val="both"/>
        <w:rPr>
          <w:rFonts w:cs="Times New Roman"/>
          <w:b/>
          <w:bCs/>
          <w:sz w:val="20"/>
          <w:szCs w:val="24"/>
          <w:lang w:val="fr-CA"/>
        </w:rPr>
      </w:pPr>
      <w:r w:rsidRPr="00606F29">
        <w:rPr>
          <w:rFonts w:cs="Times New Roman"/>
          <w:b/>
          <w:sz w:val="20"/>
          <w:szCs w:val="24"/>
          <w:lang w:val="fr-CA"/>
        </w:rPr>
        <w:t>À LA SUITE DE LA DEMANDE</w:t>
      </w:r>
      <w:r w:rsidRPr="00606F29">
        <w:rPr>
          <w:b/>
          <w:sz w:val="20"/>
          <w:szCs w:val="24"/>
          <w:lang w:val="fr-CA"/>
        </w:rPr>
        <w:t xml:space="preserve"> </w:t>
      </w:r>
      <w:r w:rsidRPr="00606F29">
        <w:rPr>
          <w:rFonts w:cs="Times New Roman"/>
          <w:sz w:val="20"/>
          <w:szCs w:val="24"/>
          <w:lang w:val="fr-CA"/>
        </w:rPr>
        <w:t>présentée par l’appelante pour que l’appel de plein droit soit joint à l’appel sur autorisation et, advenant que l’autorisation soit accordée, pour que le délai de production des documents de l’appelante dans l’appel de plein droit soit prorogé pour coïncider avec celui de l’appel sur autorisation, le cas échéant;</w:t>
      </w:r>
    </w:p>
    <w:p w:rsidR="00D7372A" w:rsidRPr="00606F29" w:rsidRDefault="00D7372A" w:rsidP="00D7372A">
      <w:pPr>
        <w:spacing w:line="233" w:lineRule="auto"/>
        <w:jc w:val="both"/>
        <w:rPr>
          <w:rFonts w:cs="Times New Roman"/>
          <w:b/>
          <w:bCs/>
          <w:sz w:val="20"/>
          <w:szCs w:val="24"/>
          <w:lang w:val="fr-CA"/>
        </w:rPr>
      </w:pPr>
    </w:p>
    <w:p w:rsidR="00D7372A" w:rsidRPr="00606F29" w:rsidRDefault="00D7372A" w:rsidP="00D7372A">
      <w:pPr>
        <w:spacing w:line="233" w:lineRule="auto"/>
        <w:jc w:val="both"/>
        <w:rPr>
          <w:rFonts w:cs="Times New Roman"/>
          <w:sz w:val="20"/>
          <w:szCs w:val="24"/>
          <w:lang w:val="fr-CA"/>
        </w:rPr>
      </w:pPr>
      <w:r w:rsidRPr="00606F29">
        <w:rPr>
          <w:rFonts w:cs="Times New Roman"/>
          <w:b/>
          <w:bCs/>
          <w:sz w:val="20"/>
          <w:szCs w:val="24"/>
          <w:lang w:val="fr-CA"/>
        </w:rPr>
        <w:t xml:space="preserve">ET APRÈS EXAMEN </w:t>
      </w:r>
      <w:r w:rsidRPr="00606F29">
        <w:rPr>
          <w:rFonts w:cs="Times New Roman"/>
          <w:sz w:val="20"/>
          <w:szCs w:val="24"/>
          <w:lang w:val="fr-CA"/>
        </w:rPr>
        <w:t xml:space="preserve">des documents déposés; </w:t>
      </w:r>
    </w:p>
    <w:p w:rsidR="00D7372A" w:rsidRPr="00606F29" w:rsidRDefault="00D7372A" w:rsidP="00D7372A">
      <w:pPr>
        <w:spacing w:line="233" w:lineRule="auto"/>
        <w:jc w:val="both"/>
        <w:rPr>
          <w:rFonts w:cs="Times New Roman"/>
          <w:sz w:val="20"/>
          <w:szCs w:val="24"/>
          <w:lang w:val="fr-CA"/>
        </w:rPr>
      </w:pPr>
    </w:p>
    <w:p w:rsidR="00D7372A" w:rsidRPr="00606F29" w:rsidRDefault="00D7372A" w:rsidP="00D7372A">
      <w:pPr>
        <w:spacing w:line="230" w:lineRule="auto"/>
        <w:jc w:val="both"/>
        <w:rPr>
          <w:rFonts w:cs="Times New Roman"/>
          <w:b/>
          <w:bCs/>
          <w:sz w:val="20"/>
          <w:szCs w:val="24"/>
          <w:lang w:val="fr-CA"/>
        </w:rPr>
      </w:pPr>
      <w:r w:rsidRPr="00606F29">
        <w:rPr>
          <w:rFonts w:cs="Times New Roman"/>
          <w:b/>
          <w:bCs/>
          <w:sz w:val="20"/>
          <w:szCs w:val="24"/>
          <w:lang w:val="fr-CA"/>
        </w:rPr>
        <w:t>IL EST ORDONNÉ QUE:</w:t>
      </w:r>
    </w:p>
    <w:p w:rsidR="00D7372A" w:rsidRPr="00606F29" w:rsidRDefault="00D7372A" w:rsidP="00D7372A">
      <w:pPr>
        <w:spacing w:line="230" w:lineRule="auto"/>
        <w:ind w:left="-23"/>
        <w:jc w:val="both"/>
        <w:rPr>
          <w:rFonts w:cs="Times New Roman"/>
          <w:b/>
          <w:bCs/>
          <w:sz w:val="20"/>
          <w:szCs w:val="24"/>
          <w:lang w:val="fr-CA"/>
        </w:rPr>
      </w:pPr>
    </w:p>
    <w:p w:rsidR="00D7372A" w:rsidRPr="00606F29" w:rsidRDefault="00D7372A" w:rsidP="00D7372A">
      <w:pPr>
        <w:rPr>
          <w:rFonts w:cs="Times New Roman"/>
          <w:sz w:val="20"/>
          <w:szCs w:val="24"/>
          <w:lang w:val="fr-CA"/>
        </w:rPr>
      </w:pPr>
      <w:r w:rsidRPr="00606F29">
        <w:rPr>
          <w:rFonts w:cs="Times New Roman"/>
          <w:bCs/>
          <w:sz w:val="20"/>
          <w:szCs w:val="24"/>
          <w:lang w:val="fr-CA"/>
        </w:rPr>
        <w:t>La requête est accueillie</w:t>
      </w:r>
      <w:r w:rsidRPr="00606F29">
        <w:rPr>
          <w:rFonts w:cs="Times New Roman"/>
          <w:sz w:val="20"/>
          <w:szCs w:val="24"/>
          <w:lang w:val="fr-CA"/>
        </w:rPr>
        <w:t>.</w:t>
      </w:r>
    </w:p>
    <w:p w:rsidR="00D7372A" w:rsidRPr="00606F29" w:rsidRDefault="00D7372A" w:rsidP="00D7372A">
      <w:pPr>
        <w:rPr>
          <w:rFonts w:cs="Times New Roman"/>
          <w:sz w:val="20"/>
          <w:szCs w:val="24"/>
          <w:lang w:val="fr-CA"/>
        </w:rPr>
      </w:pPr>
    </w:p>
    <w:p w:rsidR="00D7372A" w:rsidRPr="00606F29" w:rsidRDefault="00D7372A" w:rsidP="00D7372A">
      <w:pPr>
        <w:rPr>
          <w:rFonts w:cs="Times New Roman"/>
          <w:sz w:val="20"/>
          <w:szCs w:val="24"/>
          <w:lang w:val="fr-CA"/>
        </w:rPr>
      </w:pPr>
      <w:r w:rsidRPr="00606F29">
        <w:rPr>
          <w:rFonts w:cs="Times New Roman"/>
          <w:sz w:val="20"/>
          <w:szCs w:val="24"/>
          <w:lang w:val="fr-CA"/>
        </w:rPr>
        <w:t xml:space="preserve">L’appel de plein droit est joint à l’appel sur autorisation et est conforme aux délais de ce dernier; </w:t>
      </w:r>
    </w:p>
    <w:p w:rsidR="00D7372A" w:rsidRPr="00606F29" w:rsidRDefault="00D7372A" w:rsidP="00D7372A">
      <w:pPr>
        <w:rPr>
          <w:rFonts w:cs="Times New Roman"/>
          <w:sz w:val="20"/>
          <w:szCs w:val="24"/>
          <w:lang w:val="fr-CA"/>
        </w:rPr>
      </w:pPr>
    </w:p>
    <w:p w:rsidR="00D7372A" w:rsidRPr="00606F29" w:rsidRDefault="00D7372A" w:rsidP="00D7372A">
      <w:pPr>
        <w:rPr>
          <w:rFonts w:cs="Times New Roman"/>
          <w:sz w:val="20"/>
          <w:szCs w:val="24"/>
          <w:lang w:val="fr-CA"/>
        </w:rPr>
      </w:pPr>
      <w:r w:rsidRPr="00606F29">
        <w:rPr>
          <w:rFonts w:cs="Times New Roman"/>
          <w:sz w:val="20"/>
          <w:szCs w:val="24"/>
          <w:lang w:val="fr-CA"/>
        </w:rPr>
        <w:t>Le délai de production du mémoire, dossier et recueil de sources de l’appelante dans l’appel de plein droit est prorogé pour coïncider avec le délai de production de ces documents dans l’appel sur autorisation, le cas échéant; et</w:t>
      </w:r>
    </w:p>
    <w:p w:rsidR="00D7372A" w:rsidRPr="00606F29" w:rsidRDefault="00D7372A" w:rsidP="00D7372A">
      <w:pPr>
        <w:rPr>
          <w:rFonts w:cs="Times New Roman"/>
          <w:sz w:val="20"/>
          <w:szCs w:val="24"/>
          <w:lang w:val="fr-CA"/>
        </w:rPr>
      </w:pPr>
    </w:p>
    <w:p w:rsidR="00D7372A" w:rsidRPr="00606F29" w:rsidRDefault="00D7372A" w:rsidP="00D7372A">
      <w:pPr>
        <w:rPr>
          <w:rFonts w:cs="Times New Roman"/>
          <w:sz w:val="20"/>
          <w:szCs w:val="24"/>
          <w:lang w:val="fr-CA"/>
        </w:rPr>
      </w:pPr>
      <w:r w:rsidRPr="00606F29">
        <w:rPr>
          <w:rFonts w:cs="Times New Roman"/>
          <w:sz w:val="20"/>
          <w:szCs w:val="24"/>
          <w:lang w:val="fr-CA"/>
        </w:rPr>
        <w:t>L’appelante est autorisée à déposer les documents mentionnés ci-haut dans les huit semaines suivant la décision de la Cour sur la demande d’autorisation si l’autorisation est refusée ou dans les huit semaines suivant le dépôt de l’avis d’appel de l’appel sur autorisation si l’autorisation est accordée.</w:t>
      </w:r>
    </w:p>
    <w:p w:rsidR="00D7372A" w:rsidRPr="00606F29" w:rsidRDefault="00D7372A" w:rsidP="00D7372A">
      <w:pPr>
        <w:rPr>
          <w:rFonts w:cs="Times New Roman"/>
          <w:sz w:val="20"/>
          <w:szCs w:val="24"/>
          <w:lang w:val="fr-CA"/>
        </w:rPr>
      </w:pPr>
    </w:p>
    <w:p w:rsidR="00D7372A" w:rsidRPr="00606F29" w:rsidRDefault="00D7372A" w:rsidP="00D7372A">
      <w:pPr>
        <w:rPr>
          <w:rFonts w:cs="Times New Roman"/>
          <w:sz w:val="20"/>
          <w:szCs w:val="24"/>
          <w:lang w:val="fr-CA"/>
        </w:rPr>
      </w:pPr>
      <w:r w:rsidRPr="00606F29">
        <w:rPr>
          <w:rFonts w:cs="Times New Roman"/>
          <w:sz w:val="20"/>
          <w:szCs w:val="24"/>
          <w:lang w:val="fr-CA"/>
        </w:rPr>
        <w:lastRenderedPageBreak/>
        <w:t>Le tout sans frais.</w:t>
      </w:r>
      <w:r w:rsidRPr="00606F29">
        <w:rPr>
          <w:rFonts w:eastAsia="Times New Roman" w:cs="Times New Roman"/>
          <w:sz w:val="20"/>
          <w:szCs w:val="20"/>
          <w:lang w:val="fr-CA" w:eastAsia="en-CA"/>
        </w:rPr>
        <w:t xml:space="preserve"> </w:t>
      </w:r>
      <w:r w:rsidR="009813FB">
        <w:rPr>
          <w:rFonts w:eastAsia="Times New Roman" w:cs="Times New Roman"/>
          <w:sz w:val="20"/>
          <w:szCs w:val="20"/>
          <w:lang w:val="fr-CA" w:eastAsia="en-CA"/>
        </w:rPr>
        <w:pict>
          <v:rect id="_x0000_i1035" style="width:2in;height:1pt" o:hrpct="0" o:hralign="center" o:hrstd="t" o:hrnoshade="t" o:hr="t" fillcolor="black [3213]" stroked="f"/>
        </w:pict>
      </w:r>
    </w:p>
    <w:p w:rsidR="00B8039D" w:rsidRPr="00606F29" w:rsidRDefault="00D7372A" w:rsidP="00B8039D">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t>1</w:t>
      </w:r>
      <w:r w:rsidR="00B8039D" w:rsidRPr="00606F29">
        <w:rPr>
          <w:rFonts w:eastAsia="Times New Roman" w:cs="Times New Roman"/>
          <w:sz w:val="20"/>
          <w:szCs w:val="20"/>
          <w:lang w:val="fr-CA" w:eastAsia="en-CA"/>
        </w:rPr>
        <w:t>2.03.2018</w:t>
      </w:r>
    </w:p>
    <w:p w:rsidR="00B8039D" w:rsidRPr="00606F29" w:rsidRDefault="00B8039D" w:rsidP="00B8039D">
      <w:pPr>
        <w:tabs>
          <w:tab w:val="left" w:pos="-1440"/>
          <w:tab w:val="left" w:pos="-720"/>
        </w:tabs>
        <w:jc w:val="both"/>
        <w:rPr>
          <w:rFonts w:eastAsia="Times New Roman" w:cs="Times New Roman"/>
          <w:sz w:val="20"/>
          <w:szCs w:val="20"/>
          <w:lang w:val="fr-CA" w:eastAsia="en-CA"/>
        </w:rPr>
      </w:pPr>
    </w:p>
    <w:p w:rsidR="00B8039D" w:rsidRPr="00606F29" w:rsidRDefault="00DF67CD" w:rsidP="00B8039D">
      <w:pPr>
        <w:tabs>
          <w:tab w:val="left" w:pos="-1440"/>
          <w:tab w:val="left" w:pos="-720"/>
        </w:tabs>
        <w:jc w:val="both"/>
        <w:rPr>
          <w:rFonts w:eastAsia="Times New Roman" w:cs="Times New Roman"/>
          <w:sz w:val="20"/>
          <w:szCs w:val="20"/>
          <w:u w:val="single"/>
          <w:lang w:val="en-US" w:eastAsia="en-CA"/>
        </w:rPr>
      </w:pPr>
      <w:r w:rsidRPr="00606F29">
        <w:rPr>
          <w:rFonts w:eastAsia="Times New Roman" w:cs="Times New Roman"/>
          <w:sz w:val="20"/>
          <w:szCs w:val="20"/>
          <w:lang w:val="en-US" w:eastAsia="en-CA"/>
        </w:rPr>
        <w:t xml:space="preserve">Coram: </w:t>
      </w:r>
      <w:r w:rsidRPr="00606F29">
        <w:rPr>
          <w:rFonts w:eastAsia="Times New Roman" w:cs="Times New Roman"/>
          <w:sz w:val="20"/>
          <w:szCs w:val="20"/>
          <w:lang w:val="en-US" w:eastAsia="en-CA"/>
        </w:rPr>
        <w:tab/>
      </w:r>
      <w:proofErr w:type="spellStart"/>
      <w:r w:rsidRPr="00606F29">
        <w:rPr>
          <w:rFonts w:eastAsia="Times New Roman" w:cs="Times New Roman"/>
          <w:sz w:val="20"/>
          <w:szCs w:val="20"/>
          <w:u w:val="single"/>
          <w:lang w:val="en-US" w:eastAsia="en-CA"/>
        </w:rPr>
        <w:t>Abella</w:t>
      </w:r>
      <w:proofErr w:type="spellEnd"/>
      <w:r w:rsidRPr="00606F29">
        <w:rPr>
          <w:rFonts w:eastAsia="Times New Roman" w:cs="Times New Roman"/>
          <w:sz w:val="20"/>
          <w:szCs w:val="20"/>
          <w:u w:val="single"/>
          <w:lang w:val="en-US" w:eastAsia="en-CA"/>
        </w:rPr>
        <w:t xml:space="preserve">, </w:t>
      </w:r>
      <w:proofErr w:type="spellStart"/>
      <w:r w:rsidRPr="00606F29">
        <w:rPr>
          <w:rFonts w:eastAsia="Times New Roman" w:cs="Times New Roman"/>
          <w:sz w:val="20"/>
          <w:szCs w:val="20"/>
          <w:u w:val="single"/>
          <w:lang w:val="en-US" w:eastAsia="en-CA"/>
        </w:rPr>
        <w:t>Moldaver</w:t>
      </w:r>
      <w:proofErr w:type="spellEnd"/>
      <w:r w:rsidRPr="00606F29">
        <w:rPr>
          <w:rFonts w:eastAsia="Times New Roman" w:cs="Times New Roman"/>
          <w:sz w:val="20"/>
          <w:szCs w:val="20"/>
          <w:u w:val="single"/>
          <w:lang w:val="en-US" w:eastAsia="en-CA"/>
        </w:rPr>
        <w:t xml:space="preserve">, </w:t>
      </w:r>
      <w:proofErr w:type="spellStart"/>
      <w:r w:rsidRPr="00606F29">
        <w:rPr>
          <w:rFonts w:eastAsia="Times New Roman" w:cs="Times New Roman"/>
          <w:sz w:val="20"/>
          <w:szCs w:val="20"/>
          <w:u w:val="single"/>
          <w:lang w:val="en-US" w:eastAsia="en-CA"/>
        </w:rPr>
        <w:t>Karakatsanis</w:t>
      </w:r>
      <w:proofErr w:type="spellEnd"/>
      <w:r w:rsidRPr="00606F29">
        <w:rPr>
          <w:rFonts w:eastAsia="Times New Roman" w:cs="Times New Roman"/>
          <w:sz w:val="20"/>
          <w:szCs w:val="20"/>
          <w:u w:val="single"/>
          <w:lang w:val="en-US" w:eastAsia="en-CA"/>
        </w:rPr>
        <w:t xml:space="preserve">, </w:t>
      </w:r>
      <w:proofErr w:type="spellStart"/>
      <w:r w:rsidRPr="00606F29">
        <w:rPr>
          <w:rFonts w:eastAsia="Times New Roman" w:cs="Times New Roman"/>
          <w:sz w:val="20"/>
          <w:szCs w:val="20"/>
          <w:u w:val="single"/>
          <w:lang w:val="en-US" w:eastAsia="en-CA"/>
        </w:rPr>
        <w:t>Gascon</w:t>
      </w:r>
      <w:proofErr w:type="spellEnd"/>
      <w:r w:rsidRPr="00606F29">
        <w:rPr>
          <w:rFonts w:eastAsia="Times New Roman" w:cs="Times New Roman"/>
          <w:sz w:val="20"/>
          <w:szCs w:val="20"/>
          <w:u w:val="single"/>
          <w:lang w:val="en-US" w:eastAsia="en-CA"/>
        </w:rPr>
        <w:t xml:space="preserve">, Brown, Rowe and Martin JJ. </w:t>
      </w:r>
    </w:p>
    <w:p w:rsidR="00DF67CD" w:rsidRPr="00606F29" w:rsidRDefault="00DF67CD" w:rsidP="00B8039D">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DF67CD" w:rsidRPr="009813FB" w:rsidTr="00DF67CD">
        <w:tc>
          <w:tcPr>
            <w:tcW w:w="4244" w:type="dxa"/>
          </w:tcPr>
          <w:p w:rsidR="00DF67CD" w:rsidRPr="00606F29" w:rsidRDefault="00DF67CD" w:rsidP="00EC549E">
            <w:pPr>
              <w:tabs>
                <w:tab w:val="left" w:pos="-1440"/>
                <w:tab w:val="left" w:pos="-720"/>
              </w:tabs>
              <w:jc w:val="both"/>
              <w:rPr>
                <w:b/>
                <w:lang w:val="en-US"/>
              </w:rPr>
            </w:pPr>
            <w:r w:rsidRPr="00606F29">
              <w:rPr>
                <w:b/>
                <w:bCs/>
                <w:lang w:val="en-GB"/>
              </w:rPr>
              <w:t>Motion to adduce new evidence and to file an amended factum</w:t>
            </w:r>
          </w:p>
        </w:tc>
        <w:tc>
          <w:tcPr>
            <w:tcW w:w="1141" w:type="dxa"/>
          </w:tcPr>
          <w:p w:rsidR="00DF67CD" w:rsidRPr="00606F29" w:rsidRDefault="00DF67CD" w:rsidP="00DF67CD">
            <w:pPr>
              <w:tabs>
                <w:tab w:val="left" w:pos="-1440"/>
                <w:tab w:val="left" w:pos="-720"/>
              </w:tabs>
              <w:jc w:val="both"/>
              <w:rPr>
                <w:lang w:val="en-US"/>
              </w:rPr>
            </w:pPr>
          </w:p>
          <w:p w:rsidR="00DF67CD" w:rsidRPr="00606F29" w:rsidRDefault="00DF67CD" w:rsidP="00DF67CD">
            <w:pPr>
              <w:tabs>
                <w:tab w:val="left" w:pos="-1440"/>
                <w:tab w:val="left" w:pos="-720"/>
              </w:tabs>
              <w:jc w:val="both"/>
              <w:rPr>
                <w:lang w:val="en-US"/>
              </w:rPr>
            </w:pPr>
          </w:p>
        </w:tc>
        <w:tc>
          <w:tcPr>
            <w:tcW w:w="4234" w:type="dxa"/>
          </w:tcPr>
          <w:p w:rsidR="00DF67CD" w:rsidRPr="00606F29" w:rsidRDefault="00DF67CD" w:rsidP="00EC549E">
            <w:pPr>
              <w:jc w:val="both"/>
              <w:rPr>
                <w:lang w:val="fr-CA"/>
              </w:rPr>
            </w:pPr>
            <w:r w:rsidRPr="00606F29">
              <w:rPr>
                <w:b/>
                <w:bCs/>
                <w:lang w:val="fr-CA"/>
              </w:rPr>
              <w:t xml:space="preserve">Requête en vue de produire une nouvelle preuve et en vue de déposer un mémoire modifié </w:t>
            </w:r>
          </w:p>
        </w:tc>
      </w:tr>
      <w:tr w:rsidR="00DF67CD" w:rsidRPr="00606F29" w:rsidTr="00DF67CD">
        <w:tc>
          <w:tcPr>
            <w:tcW w:w="4244" w:type="dxa"/>
          </w:tcPr>
          <w:p w:rsidR="00DF67CD" w:rsidRPr="00606F29" w:rsidRDefault="00DF67CD" w:rsidP="00DF67CD">
            <w:pPr>
              <w:tabs>
                <w:tab w:val="left" w:pos="-1440"/>
                <w:tab w:val="left" w:pos="-720"/>
              </w:tabs>
              <w:rPr>
                <w:lang w:val="en-US"/>
              </w:rPr>
            </w:pPr>
            <w:r w:rsidRPr="00606F29">
              <w:rPr>
                <w:lang w:val="en-US"/>
              </w:rPr>
              <w:t>Her Majesty the Queen in Right of British Columbia</w:t>
            </w:r>
          </w:p>
          <w:p w:rsidR="00DF67CD" w:rsidRPr="00606F29" w:rsidRDefault="00DF67CD" w:rsidP="00DF67CD">
            <w:pPr>
              <w:tabs>
                <w:tab w:val="left" w:pos="-1440"/>
                <w:tab w:val="left" w:pos="-720"/>
              </w:tabs>
              <w:jc w:val="both"/>
              <w:rPr>
                <w:lang w:val="en-US"/>
              </w:rPr>
            </w:pPr>
          </w:p>
          <w:p w:rsidR="00DF67CD" w:rsidRPr="00606F29" w:rsidRDefault="00DF67CD" w:rsidP="00DF67CD">
            <w:pPr>
              <w:tabs>
                <w:tab w:val="left" w:pos="-1440"/>
                <w:tab w:val="left" w:pos="-720"/>
              </w:tabs>
              <w:jc w:val="both"/>
              <w:rPr>
                <w:lang w:val="en-US"/>
              </w:rPr>
            </w:pPr>
            <w:r w:rsidRPr="00606F29">
              <w:rPr>
                <w:lang w:val="en-US"/>
              </w:rPr>
              <w:tab/>
              <w:t>v. (37524)</w:t>
            </w:r>
          </w:p>
          <w:p w:rsidR="00DF67CD" w:rsidRPr="00606F29" w:rsidRDefault="00DF67CD" w:rsidP="00DF67CD">
            <w:pPr>
              <w:tabs>
                <w:tab w:val="left" w:pos="-1440"/>
                <w:tab w:val="left" w:pos="-720"/>
              </w:tabs>
              <w:jc w:val="both"/>
              <w:rPr>
                <w:lang w:val="en-US"/>
              </w:rPr>
            </w:pPr>
          </w:p>
          <w:p w:rsidR="00DF67CD" w:rsidRPr="00606F29" w:rsidRDefault="00DF67CD" w:rsidP="00DF67CD">
            <w:pPr>
              <w:tabs>
                <w:tab w:val="left" w:pos="-1440"/>
                <w:tab w:val="left" w:pos="-720"/>
              </w:tabs>
              <w:jc w:val="both"/>
              <w:rPr>
                <w:lang w:val="en-US"/>
              </w:rPr>
            </w:pPr>
            <w:r w:rsidRPr="00606F29">
              <w:rPr>
                <w:lang w:val="en-US"/>
              </w:rPr>
              <w:t>Philip Morris International Inc. (B.C.)</w:t>
            </w:r>
          </w:p>
        </w:tc>
        <w:tc>
          <w:tcPr>
            <w:tcW w:w="1141" w:type="dxa"/>
          </w:tcPr>
          <w:p w:rsidR="00DF67CD" w:rsidRPr="00606F29" w:rsidRDefault="00DF67CD" w:rsidP="00DF67CD">
            <w:pPr>
              <w:tabs>
                <w:tab w:val="left" w:pos="-1440"/>
                <w:tab w:val="left" w:pos="-720"/>
              </w:tabs>
              <w:jc w:val="both"/>
              <w:rPr>
                <w:lang w:val="en-US"/>
              </w:rPr>
            </w:pPr>
          </w:p>
        </w:tc>
        <w:tc>
          <w:tcPr>
            <w:tcW w:w="4234" w:type="dxa"/>
          </w:tcPr>
          <w:p w:rsidR="00DF67CD" w:rsidRPr="00606F29" w:rsidRDefault="00DF67CD" w:rsidP="00DF67CD">
            <w:pPr>
              <w:jc w:val="both"/>
              <w:rPr>
                <w:lang w:val="fr-CA"/>
              </w:rPr>
            </w:pPr>
          </w:p>
        </w:tc>
      </w:tr>
    </w:tbl>
    <w:p w:rsidR="00B8039D" w:rsidRPr="00606F29" w:rsidRDefault="00B8039D" w:rsidP="00B8039D">
      <w:pPr>
        <w:tabs>
          <w:tab w:val="left" w:pos="-1440"/>
          <w:tab w:val="left" w:pos="-720"/>
        </w:tabs>
        <w:jc w:val="both"/>
        <w:rPr>
          <w:rFonts w:eastAsia="Times New Roman" w:cs="Times New Roman"/>
          <w:sz w:val="20"/>
          <w:szCs w:val="20"/>
          <w:lang w:val="fr-CA" w:eastAsia="en-CA"/>
        </w:rPr>
      </w:pPr>
    </w:p>
    <w:p w:rsidR="00B8039D" w:rsidRPr="00606F29" w:rsidRDefault="00E70690" w:rsidP="00B8039D">
      <w:pPr>
        <w:tabs>
          <w:tab w:val="left" w:pos="-1440"/>
          <w:tab w:val="left" w:pos="-720"/>
        </w:tabs>
        <w:jc w:val="both"/>
        <w:rPr>
          <w:rFonts w:eastAsia="Times New Roman" w:cs="Times New Roman"/>
          <w:b/>
          <w:sz w:val="20"/>
          <w:szCs w:val="20"/>
          <w:lang w:val="en-US" w:eastAsia="en-CA"/>
        </w:rPr>
      </w:pPr>
      <w:r w:rsidRPr="00606F29">
        <w:rPr>
          <w:rFonts w:eastAsia="Times New Roman" w:cs="Times New Roman"/>
          <w:b/>
          <w:sz w:val="20"/>
          <w:szCs w:val="20"/>
          <w:lang w:val="en-US" w:eastAsia="en-CA"/>
        </w:rPr>
        <w:t>DISMISSED</w:t>
      </w:r>
      <w:r w:rsidR="00B8039D" w:rsidRPr="00606F29">
        <w:rPr>
          <w:rFonts w:eastAsia="Times New Roman" w:cs="Times New Roman"/>
          <w:b/>
          <w:sz w:val="20"/>
          <w:szCs w:val="20"/>
          <w:lang w:val="en-US" w:eastAsia="en-CA"/>
        </w:rPr>
        <w:t xml:space="preserve"> /</w:t>
      </w:r>
      <w:r w:rsidRPr="00606F29">
        <w:rPr>
          <w:rFonts w:eastAsia="Times New Roman" w:cs="Times New Roman"/>
          <w:b/>
          <w:sz w:val="20"/>
          <w:szCs w:val="20"/>
          <w:lang w:val="en-US" w:eastAsia="en-CA"/>
        </w:rPr>
        <w:t xml:space="preserve"> REJETÉ</w:t>
      </w:r>
      <w:r w:rsidR="00EC549E" w:rsidRPr="00606F29">
        <w:rPr>
          <w:rFonts w:eastAsia="Times New Roman" w:cs="Times New Roman"/>
          <w:b/>
          <w:sz w:val="20"/>
          <w:szCs w:val="20"/>
          <w:lang w:val="en-US" w:eastAsia="en-CA"/>
        </w:rPr>
        <w:t>E</w:t>
      </w:r>
    </w:p>
    <w:p w:rsidR="00CA2DEA" w:rsidRPr="00606F29" w:rsidRDefault="00CA2DEA" w:rsidP="00CA2DEA">
      <w:pPr>
        <w:widowControl w:val="0"/>
        <w:rPr>
          <w:rFonts w:eastAsia="Times New Roman" w:cs="Times New Roman"/>
          <w:sz w:val="12"/>
          <w:szCs w:val="20"/>
          <w:lang w:val="en-US" w:eastAsia="en-CA"/>
        </w:rPr>
      </w:pPr>
    </w:p>
    <w:p w:rsidR="00E70690" w:rsidRPr="00606F29" w:rsidRDefault="00E70690" w:rsidP="00E70690">
      <w:pPr>
        <w:tabs>
          <w:tab w:val="left" w:pos="504"/>
          <w:tab w:val="left" w:pos="1224"/>
        </w:tabs>
        <w:rPr>
          <w:rFonts w:cs="Times New Roman"/>
          <w:b/>
          <w:bCs/>
          <w:sz w:val="20"/>
          <w:szCs w:val="24"/>
        </w:rPr>
      </w:pPr>
    </w:p>
    <w:p w:rsidR="00E70690" w:rsidRPr="00606F29" w:rsidRDefault="00E70690" w:rsidP="00E70690">
      <w:pPr>
        <w:tabs>
          <w:tab w:val="left" w:pos="504"/>
          <w:tab w:val="left" w:pos="1224"/>
        </w:tabs>
        <w:rPr>
          <w:rFonts w:cs="Times New Roman"/>
          <w:sz w:val="20"/>
          <w:szCs w:val="24"/>
        </w:rPr>
      </w:pPr>
      <w:r w:rsidRPr="00606F29">
        <w:rPr>
          <w:rFonts w:cs="Times New Roman"/>
          <w:b/>
          <w:bCs/>
          <w:sz w:val="20"/>
          <w:szCs w:val="24"/>
        </w:rPr>
        <w:t xml:space="preserve">UPON APPLICATION </w:t>
      </w:r>
      <w:r w:rsidRPr="00606F29">
        <w:rPr>
          <w:rFonts w:cs="Times New Roman"/>
          <w:sz w:val="20"/>
          <w:szCs w:val="24"/>
        </w:rPr>
        <w:t xml:space="preserve">by the respondent, Philip Morris International, Inc., for an order to adduce new evidence and permission to file an amended version of the factum it filed December 5, 2017; </w:t>
      </w:r>
    </w:p>
    <w:p w:rsidR="00E70690" w:rsidRPr="00606F29" w:rsidRDefault="00E70690" w:rsidP="00E70690">
      <w:pPr>
        <w:tabs>
          <w:tab w:val="left" w:pos="504"/>
          <w:tab w:val="left" w:pos="1224"/>
        </w:tabs>
        <w:rPr>
          <w:rFonts w:cs="Times New Roman"/>
          <w:sz w:val="20"/>
          <w:szCs w:val="24"/>
        </w:rPr>
      </w:pPr>
    </w:p>
    <w:p w:rsidR="00E70690" w:rsidRPr="00606F29" w:rsidRDefault="00E70690" w:rsidP="00E70690">
      <w:pPr>
        <w:spacing w:line="233" w:lineRule="auto"/>
        <w:jc w:val="both"/>
        <w:rPr>
          <w:rFonts w:cs="Times New Roman"/>
          <w:sz w:val="20"/>
          <w:szCs w:val="24"/>
        </w:rPr>
      </w:pPr>
      <w:r w:rsidRPr="00606F29">
        <w:rPr>
          <w:rFonts w:cs="Times New Roman"/>
          <w:b/>
          <w:bCs/>
          <w:sz w:val="20"/>
          <w:szCs w:val="24"/>
        </w:rPr>
        <w:t>AND THE MATERIAL FILED</w:t>
      </w:r>
      <w:r w:rsidRPr="00606F29">
        <w:rPr>
          <w:rFonts w:cs="Times New Roman"/>
          <w:sz w:val="20"/>
          <w:szCs w:val="24"/>
        </w:rPr>
        <w:t xml:space="preserve"> having been read;</w:t>
      </w:r>
    </w:p>
    <w:p w:rsidR="00E70690" w:rsidRPr="00606F29" w:rsidRDefault="00E70690" w:rsidP="00E70690">
      <w:pPr>
        <w:spacing w:line="233" w:lineRule="auto"/>
        <w:jc w:val="both"/>
        <w:rPr>
          <w:rFonts w:cs="Times New Roman"/>
          <w:sz w:val="20"/>
          <w:szCs w:val="24"/>
        </w:rPr>
      </w:pPr>
    </w:p>
    <w:p w:rsidR="00E70690" w:rsidRPr="00606F29" w:rsidRDefault="00E70690" w:rsidP="00E70690">
      <w:pPr>
        <w:spacing w:line="233" w:lineRule="auto"/>
        <w:jc w:val="both"/>
        <w:rPr>
          <w:rFonts w:cs="Times New Roman"/>
          <w:sz w:val="20"/>
          <w:szCs w:val="24"/>
        </w:rPr>
      </w:pPr>
      <w:r w:rsidRPr="00606F29">
        <w:rPr>
          <w:rFonts w:cs="Times New Roman"/>
          <w:b/>
          <w:bCs/>
          <w:sz w:val="20"/>
          <w:szCs w:val="24"/>
        </w:rPr>
        <w:t>IT IS HEREBY ORDERED THAT:</w:t>
      </w:r>
    </w:p>
    <w:p w:rsidR="00E70690" w:rsidRPr="00606F29" w:rsidRDefault="00E70690" w:rsidP="00E70690">
      <w:pPr>
        <w:spacing w:line="233" w:lineRule="auto"/>
        <w:jc w:val="both"/>
        <w:rPr>
          <w:rFonts w:cs="Times New Roman"/>
          <w:sz w:val="20"/>
          <w:szCs w:val="24"/>
        </w:rPr>
      </w:pPr>
    </w:p>
    <w:p w:rsidR="00E70690" w:rsidRPr="00606F29" w:rsidRDefault="00E70690" w:rsidP="00E70690">
      <w:pPr>
        <w:spacing w:line="233" w:lineRule="auto"/>
        <w:rPr>
          <w:rFonts w:cs="Times New Roman"/>
          <w:sz w:val="20"/>
          <w:szCs w:val="24"/>
        </w:rPr>
      </w:pPr>
      <w:r w:rsidRPr="00606F29">
        <w:rPr>
          <w:rFonts w:cs="Times New Roman"/>
          <w:sz w:val="20"/>
          <w:szCs w:val="24"/>
        </w:rPr>
        <w:t>The motion is dismissed, with costs.</w:t>
      </w:r>
    </w:p>
    <w:p w:rsidR="00E70690" w:rsidRPr="00606F29" w:rsidRDefault="00E70690" w:rsidP="00E70690">
      <w:pPr>
        <w:spacing w:line="233" w:lineRule="auto"/>
        <w:jc w:val="both"/>
        <w:rPr>
          <w:rFonts w:cs="Times New Roman"/>
          <w:sz w:val="20"/>
          <w:szCs w:val="24"/>
        </w:rPr>
      </w:pPr>
    </w:p>
    <w:p w:rsidR="00E70690" w:rsidRPr="00606F29" w:rsidRDefault="00E70690" w:rsidP="00E70690">
      <w:pPr>
        <w:spacing w:line="233" w:lineRule="auto"/>
        <w:rPr>
          <w:rFonts w:cs="Times New Roman"/>
          <w:sz w:val="20"/>
          <w:szCs w:val="24"/>
          <w:lang w:val="en-ZW"/>
        </w:rPr>
      </w:pPr>
    </w:p>
    <w:p w:rsidR="00E70690" w:rsidRPr="00606F29" w:rsidRDefault="00E70690" w:rsidP="00E70690">
      <w:pPr>
        <w:spacing w:line="233" w:lineRule="auto"/>
        <w:rPr>
          <w:rFonts w:cs="Times New Roman"/>
          <w:sz w:val="20"/>
          <w:szCs w:val="24"/>
          <w:lang w:val="fr-CA"/>
        </w:rPr>
      </w:pPr>
      <w:r w:rsidRPr="00606F29">
        <w:rPr>
          <w:rFonts w:cs="Times New Roman"/>
          <w:b/>
          <w:sz w:val="20"/>
          <w:szCs w:val="24"/>
          <w:lang w:val="fr-CA"/>
        </w:rPr>
        <w:t>À LA SUITE DE LA DEMANDE</w:t>
      </w:r>
      <w:r w:rsidRPr="00606F29">
        <w:rPr>
          <w:rFonts w:cs="Times New Roman"/>
          <w:sz w:val="20"/>
          <w:szCs w:val="24"/>
          <w:lang w:val="fr-CA"/>
        </w:rPr>
        <w:t xml:space="preserve"> présentée par l’intimée Philip Morris International Inc.</w:t>
      </w:r>
      <w:r w:rsidRPr="00606F29">
        <w:rPr>
          <w:sz w:val="20"/>
          <w:lang w:val="fr-CA"/>
        </w:rPr>
        <w:t xml:space="preserve"> </w:t>
      </w:r>
      <w:r w:rsidRPr="00606F29">
        <w:rPr>
          <w:rFonts w:cs="Times New Roman"/>
          <w:sz w:val="20"/>
          <w:szCs w:val="24"/>
          <w:lang w:val="fr-CA"/>
        </w:rPr>
        <w:t>en vue de présenter de nouveaux éléments de preuve et d’être autorisée à déposer une version modifiée du mémoire qu’elle a déposé le 5 décembre 2017;</w:t>
      </w:r>
    </w:p>
    <w:p w:rsidR="00E70690" w:rsidRPr="00606F29" w:rsidRDefault="00E70690" w:rsidP="00E70690">
      <w:pPr>
        <w:spacing w:line="233" w:lineRule="auto"/>
        <w:rPr>
          <w:rFonts w:cs="Times New Roman"/>
          <w:sz w:val="20"/>
          <w:szCs w:val="24"/>
          <w:lang w:val="fr-CA"/>
        </w:rPr>
      </w:pPr>
    </w:p>
    <w:p w:rsidR="00E70690" w:rsidRPr="00606F29" w:rsidRDefault="00E70690" w:rsidP="00E70690">
      <w:pPr>
        <w:spacing w:line="233" w:lineRule="auto"/>
        <w:rPr>
          <w:rFonts w:cs="Times New Roman"/>
          <w:sz w:val="20"/>
          <w:szCs w:val="24"/>
          <w:lang w:val="fr-CA"/>
        </w:rPr>
      </w:pPr>
      <w:r w:rsidRPr="00606F29">
        <w:rPr>
          <w:rFonts w:cs="Times New Roman"/>
          <w:b/>
          <w:sz w:val="20"/>
          <w:szCs w:val="24"/>
          <w:lang w:val="fr-CA"/>
        </w:rPr>
        <w:t>ET APRÈS EXAMEN</w:t>
      </w:r>
      <w:r w:rsidRPr="00606F29">
        <w:rPr>
          <w:rFonts w:cs="Times New Roman"/>
          <w:sz w:val="20"/>
          <w:szCs w:val="24"/>
          <w:lang w:val="fr-CA"/>
        </w:rPr>
        <w:t xml:space="preserve"> des documents déposés;</w:t>
      </w:r>
    </w:p>
    <w:p w:rsidR="00E70690" w:rsidRPr="00606F29" w:rsidRDefault="00E70690" w:rsidP="00E70690">
      <w:pPr>
        <w:spacing w:line="233" w:lineRule="auto"/>
        <w:rPr>
          <w:rFonts w:cs="Times New Roman"/>
          <w:sz w:val="20"/>
          <w:szCs w:val="24"/>
          <w:lang w:val="fr-CA"/>
        </w:rPr>
      </w:pPr>
    </w:p>
    <w:p w:rsidR="00E70690" w:rsidRPr="00606F29" w:rsidRDefault="00E70690" w:rsidP="00E70690">
      <w:pPr>
        <w:spacing w:line="233" w:lineRule="auto"/>
        <w:rPr>
          <w:rFonts w:cs="Times New Roman"/>
          <w:b/>
          <w:sz w:val="20"/>
          <w:szCs w:val="24"/>
          <w:lang w:val="fr-CA"/>
        </w:rPr>
      </w:pPr>
      <w:r w:rsidRPr="00606F29">
        <w:rPr>
          <w:rFonts w:cs="Times New Roman"/>
          <w:b/>
          <w:sz w:val="20"/>
          <w:szCs w:val="24"/>
          <w:lang w:val="fr-CA"/>
        </w:rPr>
        <w:t>IL EST ORDONNÉ CE QUI SUIT :</w:t>
      </w:r>
    </w:p>
    <w:p w:rsidR="00E70690" w:rsidRPr="00606F29" w:rsidRDefault="00E70690" w:rsidP="00E70690">
      <w:pPr>
        <w:spacing w:line="233" w:lineRule="auto"/>
        <w:rPr>
          <w:rFonts w:cs="Times New Roman"/>
          <w:b/>
          <w:sz w:val="20"/>
          <w:szCs w:val="24"/>
          <w:lang w:val="fr-CA"/>
        </w:rPr>
      </w:pPr>
    </w:p>
    <w:p w:rsidR="00E70690" w:rsidRPr="00606F29" w:rsidRDefault="00E70690" w:rsidP="00E70690">
      <w:pPr>
        <w:spacing w:line="233" w:lineRule="auto"/>
        <w:rPr>
          <w:rFonts w:cs="Times New Roman"/>
          <w:sz w:val="20"/>
          <w:szCs w:val="24"/>
          <w:lang w:val="fr-CA"/>
        </w:rPr>
      </w:pPr>
      <w:r w:rsidRPr="00606F29">
        <w:rPr>
          <w:rFonts w:cs="Times New Roman"/>
          <w:sz w:val="20"/>
          <w:szCs w:val="24"/>
          <w:lang w:val="fr-CA"/>
        </w:rPr>
        <w:t>La requête est rejetée, avec dépens.</w:t>
      </w:r>
    </w:p>
    <w:p w:rsidR="00E70690" w:rsidRPr="00606F29" w:rsidRDefault="00E70690" w:rsidP="00E70690">
      <w:pPr>
        <w:spacing w:line="233" w:lineRule="auto"/>
        <w:rPr>
          <w:rFonts w:cs="Times New Roman"/>
          <w:szCs w:val="24"/>
          <w:lang w:val="fr-CA"/>
        </w:rPr>
      </w:pPr>
    </w:p>
    <w:p w:rsidR="00E70690" w:rsidRPr="00606F29" w:rsidRDefault="00E70690" w:rsidP="00E70690">
      <w:pPr>
        <w:spacing w:line="233" w:lineRule="auto"/>
        <w:rPr>
          <w:rFonts w:cs="Times New Roman"/>
          <w:szCs w:val="24"/>
          <w:lang w:val="fr-CA"/>
        </w:rPr>
      </w:pPr>
    </w:p>
    <w:p w:rsidR="00E70690" w:rsidRPr="00606F29" w:rsidRDefault="00E70690" w:rsidP="00E70690">
      <w:pPr>
        <w:spacing w:line="233" w:lineRule="auto"/>
        <w:rPr>
          <w:rFonts w:cs="Times New Roman"/>
          <w:sz w:val="20"/>
          <w:szCs w:val="24"/>
          <w:lang w:val="fr-CA"/>
        </w:rPr>
      </w:pPr>
    </w:p>
    <w:p w:rsidR="00E70690" w:rsidRPr="00606F29" w:rsidRDefault="00E70690" w:rsidP="00E70690">
      <w:pPr>
        <w:spacing w:line="233" w:lineRule="auto"/>
        <w:rPr>
          <w:rFonts w:cs="Times New Roman"/>
          <w:sz w:val="20"/>
          <w:szCs w:val="24"/>
          <w:lang w:val="fr-CA"/>
        </w:rPr>
      </w:pPr>
    </w:p>
    <w:p w:rsidR="00E70690" w:rsidRPr="00606F29" w:rsidRDefault="00E70690" w:rsidP="00E70690">
      <w:pPr>
        <w:spacing w:line="233" w:lineRule="auto"/>
        <w:rPr>
          <w:rFonts w:cs="Times New Roman"/>
          <w:sz w:val="20"/>
          <w:szCs w:val="24"/>
          <w:lang w:val="fr-CA"/>
        </w:rPr>
      </w:pPr>
    </w:p>
    <w:p w:rsidR="00CA2DEA" w:rsidRPr="00606F29" w:rsidRDefault="009813FB" w:rsidP="00B8039D">
      <w:pPr>
        <w:rPr>
          <w:rFonts w:eastAsia="Times New Roman" w:cs="Times New Roman"/>
          <w:sz w:val="20"/>
          <w:szCs w:val="20"/>
          <w:lang w:val="en-US" w:eastAsia="en-CA"/>
        </w:rPr>
      </w:pPr>
      <w:r>
        <w:rPr>
          <w:rFonts w:eastAsia="Times New Roman" w:cs="Times New Roman"/>
          <w:sz w:val="20"/>
          <w:szCs w:val="20"/>
          <w:lang w:val="fr-CA" w:eastAsia="en-CA"/>
        </w:rPr>
        <w:pict>
          <v:rect id="_x0000_i1036" style="width:2in;height:1pt" o:hrpct="0" o:hralign="center" o:hrstd="t" o:hrnoshade="t" o:hr="t" fillcolor="black [3213]" stroked="f"/>
        </w:pict>
      </w:r>
    </w:p>
    <w:p w:rsidR="00CA2DEA" w:rsidRPr="00606F29" w:rsidRDefault="00CA2DEA" w:rsidP="00CA2DEA">
      <w:pPr>
        <w:widowControl w:val="0"/>
        <w:rPr>
          <w:rFonts w:eastAsia="Times New Roman" w:cs="Times New Roman"/>
          <w:sz w:val="20"/>
          <w:szCs w:val="20"/>
          <w:lang w:val="en-US" w:eastAsia="en-CA"/>
        </w:rPr>
      </w:pPr>
    </w:p>
    <w:p w:rsidR="00CA2DEA" w:rsidRPr="00606F29" w:rsidRDefault="00CA2DEA" w:rsidP="0010587F">
      <w:pPr>
        <w:tabs>
          <w:tab w:val="left" w:pos="-1440"/>
          <w:tab w:val="left" w:pos="-720"/>
        </w:tabs>
        <w:jc w:val="both"/>
        <w:rPr>
          <w:sz w:val="20"/>
          <w:szCs w:val="20"/>
          <w:lang w:val="fr-CA"/>
        </w:rPr>
      </w:pPr>
    </w:p>
    <w:p w:rsidR="00890FEB" w:rsidRPr="00606F29" w:rsidRDefault="00890FEB" w:rsidP="00831CA9">
      <w:pPr>
        <w:jc w:val="both"/>
        <w:rPr>
          <w:sz w:val="20"/>
          <w:szCs w:val="20"/>
          <w:lang w:val="fr-CA"/>
        </w:rPr>
      </w:pPr>
    </w:p>
    <w:p w:rsidR="006B044B" w:rsidRPr="00606F29" w:rsidRDefault="006B044B">
      <w:pPr>
        <w:rPr>
          <w:sz w:val="20"/>
          <w:szCs w:val="20"/>
          <w:lang w:val="fr-CA"/>
        </w:rPr>
      </w:pPr>
      <w:r w:rsidRPr="00606F29">
        <w:rPr>
          <w:sz w:val="20"/>
          <w:szCs w:val="20"/>
          <w:lang w:val="fr-CA"/>
        </w:rPr>
        <w:br w:type="page"/>
      </w:r>
    </w:p>
    <w:p w:rsidR="006B044B" w:rsidRPr="00606F29" w:rsidRDefault="006B044B" w:rsidP="006B044B">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lastRenderedPageBreak/>
        <w:t>23.03.2018</w:t>
      </w:r>
    </w:p>
    <w:p w:rsidR="006B044B" w:rsidRPr="00606F29" w:rsidRDefault="006B044B" w:rsidP="006B044B">
      <w:pPr>
        <w:tabs>
          <w:tab w:val="left" w:pos="-1440"/>
          <w:tab w:val="left" w:pos="-720"/>
        </w:tabs>
        <w:jc w:val="both"/>
        <w:rPr>
          <w:rFonts w:eastAsia="Times New Roman" w:cs="Times New Roman"/>
          <w:sz w:val="20"/>
          <w:szCs w:val="20"/>
          <w:lang w:val="fr-CA" w:eastAsia="en-CA"/>
        </w:rPr>
      </w:pPr>
    </w:p>
    <w:p w:rsidR="006B044B" w:rsidRPr="00606F29" w:rsidRDefault="006B044B" w:rsidP="006B044B">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KARAKATSANIS J. / LA JUGE KARAKATSANIS</w:t>
      </w:r>
    </w:p>
    <w:p w:rsidR="00D7372A" w:rsidRPr="00606F29" w:rsidRDefault="00D7372A" w:rsidP="006B044B">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D7372A" w:rsidRPr="00606F29" w:rsidTr="00E00CF1">
        <w:tc>
          <w:tcPr>
            <w:tcW w:w="4263" w:type="dxa"/>
            <w:gridSpan w:val="2"/>
          </w:tcPr>
          <w:p w:rsidR="00D7372A" w:rsidRPr="00606F29" w:rsidRDefault="00D7372A" w:rsidP="00E00CF1">
            <w:pPr>
              <w:rPr>
                <w:b/>
                <w:sz w:val="20"/>
                <w:szCs w:val="20"/>
              </w:rPr>
            </w:pPr>
            <w:r w:rsidRPr="00606F29">
              <w:rPr>
                <w:b/>
                <w:sz w:val="20"/>
                <w:szCs w:val="20"/>
              </w:rPr>
              <w:t>Motions for leave to intervene</w:t>
            </w:r>
            <w:r w:rsidRPr="00606F29">
              <w:rPr>
                <w:sz w:val="20"/>
                <w:szCs w:val="20"/>
              </w:rPr>
              <w:fldChar w:fldCharType="begin"/>
            </w:r>
            <w:r w:rsidRPr="00606F29">
              <w:rPr>
                <w:sz w:val="20"/>
                <w:szCs w:val="20"/>
              </w:rPr>
              <w:instrText xml:space="preserve"> SEQ CHAPTER \h \r 1</w:instrText>
            </w:r>
            <w:r w:rsidRPr="00606F29">
              <w:rPr>
                <w:sz w:val="20"/>
                <w:szCs w:val="20"/>
              </w:rPr>
              <w:fldChar w:fldCharType="end"/>
            </w:r>
          </w:p>
        </w:tc>
        <w:tc>
          <w:tcPr>
            <w:tcW w:w="1137" w:type="dxa"/>
          </w:tcPr>
          <w:p w:rsidR="00D7372A" w:rsidRPr="00606F29" w:rsidRDefault="00D7372A" w:rsidP="00E00CF1">
            <w:pPr>
              <w:rPr>
                <w:sz w:val="20"/>
                <w:szCs w:val="20"/>
              </w:rPr>
            </w:pPr>
          </w:p>
          <w:p w:rsidR="00D7372A" w:rsidRPr="00606F29" w:rsidRDefault="00D7372A" w:rsidP="00E00CF1">
            <w:pPr>
              <w:rPr>
                <w:sz w:val="20"/>
                <w:szCs w:val="20"/>
              </w:rPr>
            </w:pPr>
          </w:p>
        </w:tc>
        <w:tc>
          <w:tcPr>
            <w:tcW w:w="4219" w:type="dxa"/>
          </w:tcPr>
          <w:p w:rsidR="00D7372A" w:rsidRPr="00606F29" w:rsidRDefault="00D7372A" w:rsidP="00E00CF1">
            <w:pPr>
              <w:rPr>
                <w:b/>
                <w:sz w:val="20"/>
                <w:szCs w:val="20"/>
                <w:lang w:val="fr-CA"/>
              </w:rPr>
            </w:pPr>
            <w:r w:rsidRPr="00606F29">
              <w:rPr>
                <w:b/>
                <w:bCs/>
                <w:sz w:val="20"/>
                <w:szCs w:val="20"/>
                <w:lang w:val="fr-CA"/>
              </w:rPr>
              <w:t>Requêtes en autorisation d’intervenir</w:t>
            </w:r>
          </w:p>
        </w:tc>
      </w:tr>
      <w:tr w:rsidR="00D7372A" w:rsidRPr="00606F29" w:rsidTr="00D7372A">
        <w:trPr>
          <w:trHeight w:hRule="exact" w:val="522"/>
        </w:trPr>
        <w:tc>
          <w:tcPr>
            <w:tcW w:w="1346" w:type="dxa"/>
          </w:tcPr>
          <w:p w:rsidR="00D7372A" w:rsidRPr="00606F29" w:rsidRDefault="00D7372A" w:rsidP="00E00CF1">
            <w:pPr>
              <w:rPr>
                <w:sz w:val="20"/>
                <w:szCs w:val="20"/>
              </w:rPr>
            </w:pPr>
            <w:r w:rsidRPr="00606F29">
              <w:rPr>
                <w:sz w:val="20"/>
                <w:szCs w:val="20"/>
              </w:rPr>
              <w:t>BY / PAR</w:t>
            </w:r>
          </w:p>
        </w:tc>
        <w:tc>
          <w:tcPr>
            <w:tcW w:w="2917" w:type="dxa"/>
          </w:tcPr>
          <w:p w:rsidR="00D7372A" w:rsidRPr="00606F29" w:rsidRDefault="00D7372A" w:rsidP="00E00CF1">
            <w:pPr>
              <w:rPr>
                <w:sz w:val="20"/>
                <w:szCs w:val="20"/>
              </w:rPr>
            </w:pPr>
            <w:r w:rsidRPr="00606F29">
              <w:rPr>
                <w:rFonts w:cs="Times New Roman"/>
                <w:sz w:val="20"/>
              </w:rPr>
              <w:t>Attorney General of British Columbia</w:t>
            </w:r>
          </w:p>
        </w:tc>
        <w:tc>
          <w:tcPr>
            <w:tcW w:w="1137" w:type="dxa"/>
          </w:tcPr>
          <w:p w:rsidR="00D7372A" w:rsidRPr="00606F29" w:rsidRDefault="00D7372A" w:rsidP="00E00CF1">
            <w:pPr>
              <w:rPr>
                <w:sz w:val="20"/>
                <w:szCs w:val="20"/>
              </w:rPr>
            </w:pPr>
          </w:p>
        </w:tc>
        <w:tc>
          <w:tcPr>
            <w:tcW w:w="4219" w:type="dxa"/>
          </w:tcPr>
          <w:p w:rsidR="00D7372A" w:rsidRPr="00606F29" w:rsidRDefault="00D7372A" w:rsidP="00E00CF1">
            <w:pPr>
              <w:rPr>
                <w:sz w:val="20"/>
                <w:szCs w:val="20"/>
              </w:rPr>
            </w:pPr>
          </w:p>
        </w:tc>
      </w:tr>
      <w:tr w:rsidR="00D7372A" w:rsidRPr="00606F29" w:rsidTr="00D7372A">
        <w:trPr>
          <w:trHeight w:val="810"/>
        </w:trPr>
        <w:tc>
          <w:tcPr>
            <w:tcW w:w="1346" w:type="dxa"/>
          </w:tcPr>
          <w:p w:rsidR="00D7372A" w:rsidRPr="00606F29" w:rsidRDefault="00D7372A" w:rsidP="00E00CF1">
            <w:pPr>
              <w:rPr>
                <w:sz w:val="20"/>
                <w:szCs w:val="20"/>
              </w:rPr>
            </w:pPr>
          </w:p>
        </w:tc>
        <w:tc>
          <w:tcPr>
            <w:tcW w:w="2917" w:type="dxa"/>
          </w:tcPr>
          <w:p w:rsidR="00D7372A" w:rsidRPr="00606F29" w:rsidRDefault="00D7372A" w:rsidP="00E00CF1">
            <w:pPr>
              <w:rPr>
                <w:sz w:val="20"/>
                <w:szCs w:val="20"/>
              </w:rPr>
            </w:pPr>
            <w:r w:rsidRPr="00606F29">
              <w:rPr>
                <w:rFonts w:cs="Times New Roman"/>
                <w:sz w:val="20"/>
              </w:rPr>
              <w:t>Canadian Association for Community Living and the People First of Canada (jointly)</w:t>
            </w:r>
          </w:p>
        </w:tc>
        <w:tc>
          <w:tcPr>
            <w:tcW w:w="1137" w:type="dxa"/>
          </w:tcPr>
          <w:p w:rsidR="00D7372A" w:rsidRPr="00606F29" w:rsidRDefault="00D7372A" w:rsidP="00E00CF1">
            <w:pPr>
              <w:rPr>
                <w:sz w:val="20"/>
                <w:szCs w:val="20"/>
              </w:rPr>
            </w:pPr>
          </w:p>
        </w:tc>
        <w:tc>
          <w:tcPr>
            <w:tcW w:w="4219" w:type="dxa"/>
          </w:tcPr>
          <w:p w:rsidR="00D7372A" w:rsidRPr="00606F29" w:rsidRDefault="00D7372A" w:rsidP="00E00CF1">
            <w:pPr>
              <w:rPr>
                <w:sz w:val="20"/>
                <w:szCs w:val="20"/>
              </w:rPr>
            </w:pPr>
          </w:p>
        </w:tc>
      </w:tr>
      <w:tr w:rsidR="00D7372A" w:rsidRPr="00606F29" w:rsidTr="00D7372A">
        <w:trPr>
          <w:trHeight w:val="540"/>
        </w:trPr>
        <w:tc>
          <w:tcPr>
            <w:tcW w:w="1346" w:type="dxa"/>
          </w:tcPr>
          <w:p w:rsidR="00D7372A" w:rsidRPr="00606F29" w:rsidRDefault="00D7372A" w:rsidP="00E00CF1">
            <w:pPr>
              <w:rPr>
                <w:sz w:val="20"/>
                <w:szCs w:val="20"/>
              </w:rPr>
            </w:pPr>
          </w:p>
        </w:tc>
        <w:tc>
          <w:tcPr>
            <w:tcW w:w="2917" w:type="dxa"/>
          </w:tcPr>
          <w:p w:rsidR="00D7372A" w:rsidRPr="00606F29" w:rsidRDefault="00D7372A" w:rsidP="00E00CF1">
            <w:pPr>
              <w:rPr>
                <w:rFonts w:cs="Times New Roman"/>
                <w:sz w:val="20"/>
                <w:szCs w:val="20"/>
              </w:rPr>
            </w:pPr>
            <w:r w:rsidRPr="00606F29">
              <w:rPr>
                <w:rFonts w:cs="Times New Roman"/>
                <w:sz w:val="20"/>
              </w:rPr>
              <w:t>Council of Canadians with Disabilities</w:t>
            </w:r>
          </w:p>
        </w:tc>
        <w:tc>
          <w:tcPr>
            <w:tcW w:w="1137" w:type="dxa"/>
          </w:tcPr>
          <w:p w:rsidR="00D7372A" w:rsidRPr="00606F29" w:rsidRDefault="00D7372A" w:rsidP="00E00CF1">
            <w:pPr>
              <w:rPr>
                <w:sz w:val="20"/>
                <w:szCs w:val="20"/>
              </w:rPr>
            </w:pPr>
          </w:p>
        </w:tc>
        <w:tc>
          <w:tcPr>
            <w:tcW w:w="4219" w:type="dxa"/>
          </w:tcPr>
          <w:p w:rsidR="00D7372A" w:rsidRPr="00606F29" w:rsidRDefault="00D7372A" w:rsidP="00E00CF1">
            <w:pPr>
              <w:rPr>
                <w:sz w:val="20"/>
                <w:szCs w:val="20"/>
              </w:rPr>
            </w:pPr>
          </w:p>
        </w:tc>
      </w:tr>
      <w:tr w:rsidR="00D7372A" w:rsidRPr="00606F29" w:rsidTr="00D7372A">
        <w:trPr>
          <w:trHeight w:val="540"/>
        </w:trPr>
        <w:tc>
          <w:tcPr>
            <w:tcW w:w="1346" w:type="dxa"/>
          </w:tcPr>
          <w:p w:rsidR="00D7372A" w:rsidRPr="00606F29" w:rsidRDefault="00D7372A" w:rsidP="00E00CF1">
            <w:pPr>
              <w:rPr>
                <w:sz w:val="20"/>
                <w:szCs w:val="20"/>
              </w:rPr>
            </w:pPr>
          </w:p>
        </w:tc>
        <w:tc>
          <w:tcPr>
            <w:tcW w:w="2917" w:type="dxa"/>
          </w:tcPr>
          <w:p w:rsidR="00D7372A" w:rsidRPr="00606F29" w:rsidRDefault="00D7372A" w:rsidP="00E00CF1">
            <w:pPr>
              <w:rPr>
                <w:rFonts w:cs="Times New Roman"/>
                <w:sz w:val="20"/>
                <w:szCs w:val="20"/>
              </w:rPr>
            </w:pPr>
            <w:r w:rsidRPr="00606F29">
              <w:rPr>
                <w:rFonts w:cs="Times New Roman"/>
                <w:sz w:val="20"/>
              </w:rPr>
              <w:t>Income Security Advocacy Centre</w:t>
            </w:r>
          </w:p>
        </w:tc>
        <w:tc>
          <w:tcPr>
            <w:tcW w:w="1137" w:type="dxa"/>
          </w:tcPr>
          <w:p w:rsidR="00D7372A" w:rsidRPr="00606F29" w:rsidRDefault="00D7372A" w:rsidP="00E00CF1">
            <w:pPr>
              <w:rPr>
                <w:sz w:val="20"/>
                <w:szCs w:val="20"/>
              </w:rPr>
            </w:pPr>
          </w:p>
        </w:tc>
        <w:tc>
          <w:tcPr>
            <w:tcW w:w="4219" w:type="dxa"/>
          </w:tcPr>
          <w:p w:rsidR="00D7372A" w:rsidRPr="00606F29" w:rsidRDefault="00D7372A" w:rsidP="00E00CF1">
            <w:pPr>
              <w:rPr>
                <w:sz w:val="20"/>
                <w:szCs w:val="20"/>
              </w:rPr>
            </w:pPr>
          </w:p>
        </w:tc>
      </w:tr>
      <w:tr w:rsidR="00D7372A" w:rsidRPr="00606F29" w:rsidTr="00D7372A">
        <w:trPr>
          <w:trHeight w:val="810"/>
        </w:trPr>
        <w:tc>
          <w:tcPr>
            <w:tcW w:w="1346" w:type="dxa"/>
          </w:tcPr>
          <w:p w:rsidR="00D7372A" w:rsidRPr="00606F29" w:rsidRDefault="00D7372A" w:rsidP="00E00CF1">
            <w:pPr>
              <w:rPr>
                <w:sz w:val="20"/>
                <w:szCs w:val="20"/>
              </w:rPr>
            </w:pPr>
          </w:p>
        </w:tc>
        <w:tc>
          <w:tcPr>
            <w:tcW w:w="2917" w:type="dxa"/>
          </w:tcPr>
          <w:p w:rsidR="00D7372A" w:rsidRPr="00606F29" w:rsidRDefault="00D7372A" w:rsidP="00E00CF1">
            <w:pPr>
              <w:rPr>
                <w:sz w:val="20"/>
                <w:szCs w:val="20"/>
              </w:rPr>
            </w:pPr>
            <w:r w:rsidRPr="00606F29">
              <w:rPr>
                <w:rFonts w:cs="Times New Roman"/>
                <w:sz w:val="20"/>
              </w:rPr>
              <w:t>Income Security Advocacy Centre and the HIV &amp; AIDS Legal Clinic Ontario (jointly)</w:t>
            </w:r>
          </w:p>
        </w:tc>
        <w:tc>
          <w:tcPr>
            <w:tcW w:w="1137" w:type="dxa"/>
          </w:tcPr>
          <w:p w:rsidR="00D7372A" w:rsidRPr="00606F29" w:rsidRDefault="00D7372A" w:rsidP="00E00CF1">
            <w:pPr>
              <w:rPr>
                <w:sz w:val="20"/>
                <w:szCs w:val="20"/>
                <w:lang w:val="en-US"/>
              </w:rPr>
            </w:pPr>
          </w:p>
        </w:tc>
        <w:tc>
          <w:tcPr>
            <w:tcW w:w="4219" w:type="dxa"/>
          </w:tcPr>
          <w:p w:rsidR="00D7372A" w:rsidRPr="00606F29" w:rsidRDefault="00D7372A" w:rsidP="00E00CF1">
            <w:pPr>
              <w:rPr>
                <w:sz w:val="20"/>
                <w:szCs w:val="20"/>
                <w:lang w:val="en-US"/>
              </w:rPr>
            </w:pPr>
          </w:p>
        </w:tc>
      </w:tr>
      <w:tr w:rsidR="00D7372A" w:rsidRPr="00606F29" w:rsidTr="00D7372A">
        <w:trPr>
          <w:trHeight w:val="360"/>
        </w:trPr>
        <w:tc>
          <w:tcPr>
            <w:tcW w:w="1346" w:type="dxa"/>
          </w:tcPr>
          <w:p w:rsidR="00D7372A" w:rsidRPr="00606F29" w:rsidRDefault="00D7372A" w:rsidP="00E00CF1">
            <w:pPr>
              <w:rPr>
                <w:sz w:val="20"/>
                <w:szCs w:val="20"/>
              </w:rPr>
            </w:pPr>
          </w:p>
        </w:tc>
        <w:tc>
          <w:tcPr>
            <w:tcW w:w="2917" w:type="dxa"/>
          </w:tcPr>
          <w:p w:rsidR="00D7372A" w:rsidRPr="00606F29" w:rsidRDefault="00D7372A" w:rsidP="00E00CF1">
            <w:pPr>
              <w:rPr>
                <w:rFonts w:cs="Times New Roman"/>
                <w:sz w:val="20"/>
              </w:rPr>
            </w:pPr>
            <w:r w:rsidRPr="00606F29">
              <w:rPr>
                <w:rFonts w:cs="Times New Roman"/>
                <w:sz w:val="20"/>
              </w:rPr>
              <w:t>Disability Alliance BC Society</w:t>
            </w:r>
          </w:p>
        </w:tc>
        <w:tc>
          <w:tcPr>
            <w:tcW w:w="1137" w:type="dxa"/>
          </w:tcPr>
          <w:p w:rsidR="00D7372A" w:rsidRPr="00606F29" w:rsidRDefault="00D7372A" w:rsidP="00E00CF1">
            <w:pPr>
              <w:rPr>
                <w:sz w:val="20"/>
                <w:szCs w:val="20"/>
                <w:lang w:val="en-US"/>
              </w:rPr>
            </w:pPr>
          </w:p>
        </w:tc>
        <w:tc>
          <w:tcPr>
            <w:tcW w:w="4219" w:type="dxa"/>
          </w:tcPr>
          <w:p w:rsidR="00D7372A" w:rsidRPr="00606F29" w:rsidRDefault="00D7372A" w:rsidP="00E00CF1">
            <w:pPr>
              <w:rPr>
                <w:sz w:val="20"/>
                <w:szCs w:val="20"/>
                <w:lang w:val="en-US"/>
              </w:rPr>
            </w:pPr>
          </w:p>
        </w:tc>
      </w:tr>
      <w:tr w:rsidR="00D7372A" w:rsidRPr="00606F29" w:rsidTr="00E00CF1">
        <w:tc>
          <w:tcPr>
            <w:tcW w:w="1346" w:type="dxa"/>
          </w:tcPr>
          <w:p w:rsidR="00D7372A" w:rsidRPr="00606F29" w:rsidRDefault="00D7372A" w:rsidP="00E00CF1">
            <w:pPr>
              <w:rPr>
                <w:sz w:val="20"/>
                <w:szCs w:val="20"/>
              </w:rPr>
            </w:pPr>
            <w:r w:rsidRPr="00606F29">
              <w:rPr>
                <w:sz w:val="20"/>
                <w:szCs w:val="20"/>
              </w:rPr>
              <w:t>IN / DANS :</w:t>
            </w:r>
          </w:p>
        </w:tc>
        <w:tc>
          <w:tcPr>
            <w:tcW w:w="2917" w:type="dxa"/>
          </w:tcPr>
          <w:p w:rsidR="00D7372A" w:rsidRPr="00606F29" w:rsidRDefault="00D7372A" w:rsidP="00D7372A">
            <w:pPr>
              <w:tabs>
                <w:tab w:val="left" w:pos="-1440"/>
                <w:tab w:val="left" w:pos="-720"/>
              </w:tabs>
              <w:jc w:val="both"/>
              <w:rPr>
                <w:sz w:val="20"/>
                <w:lang w:val="en-US"/>
              </w:rPr>
            </w:pPr>
            <w:r w:rsidRPr="00606F29">
              <w:rPr>
                <w:sz w:val="20"/>
                <w:lang w:val="en-US"/>
              </w:rPr>
              <w:t>S.A.</w:t>
            </w:r>
          </w:p>
          <w:p w:rsidR="00D7372A" w:rsidRPr="00606F29" w:rsidRDefault="00D7372A" w:rsidP="00D7372A">
            <w:pPr>
              <w:tabs>
                <w:tab w:val="left" w:pos="-1440"/>
                <w:tab w:val="left" w:pos="-720"/>
              </w:tabs>
              <w:jc w:val="both"/>
              <w:rPr>
                <w:sz w:val="20"/>
                <w:lang w:val="en-US"/>
              </w:rPr>
            </w:pPr>
          </w:p>
          <w:p w:rsidR="00D7372A" w:rsidRPr="00606F29" w:rsidRDefault="00D7372A" w:rsidP="00D7372A">
            <w:pPr>
              <w:tabs>
                <w:tab w:val="left" w:pos="-1440"/>
                <w:tab w:val="left" w:pos="-720"/>
              </w:tabs>
              <w:jc w:val="both"/>
              <w:rPr>
                <w:sz w:val="20"/>
                <w:lang w:val="en-US"/>
              </w:rPr>
            </w:pPr>
            <w:r w:rsidRPr="00606F29">
              <w:rPr>
                <w:sz w:val="20"/>
                <w:lang w:val="en-US"/>
              </w:rPr>
              <w:tab/>
              <w:t>v. (37551)</w:t>
            </w:r>
          </w:p>
          <w:p w:rsidR="00D7372A" w:rsidRPr="00606F29" w:rsidRDefault="00D7372A" w:rsidP="00D7372A">
            <w:pPr>
              <w:tabs>
                <w:tab w:val="left" w:pos="-1440"/>
                <w:tab w:val="left" w:pos="-720"/>
              </w:tabs>
              <w:jc w:val="both"/>
              <w:rPr>
                <w:sz w:val="20"/>
                <w:lang w:val="en-US"/>
              </w:rPr>
            </w:pPr>
          </w:p>
          <w:p w:rsidR="00D7372A" w:rsidRPr="00606F29" w:rsidRDefault="00D7372A" w:rsidP="00D7372A">
            <w:pPr>
              <w:rPr>
                <w:sz w:val="20"/>
                <w:szCs w:val="20"/>
                <w:lang w:val="en-US"/>
              </w:rPr>
            </w:pPr>
            <w:r w:rsidRPr="00606F29">
              <w:rPr>
                <w:sz w:val="20"/>
                <w:lang w:val="en-US"/>
              </w:rPr>
              <w:t>Metro Vancouver Housing Corporation (B.C.)</w:t>
            </w:r>
          </w:p>
        </w:tc>
        <w:tc>
          <w:tcPr>
            <w:tcW w:w="1137" w:type="dxa"/>
          </w:tcPr>
          <w:p w:rsidR="00D7372A" w:rsidRPr="00606F29" w:rsidRDefault="00D7372A" w:rsidP="00E00CF1">
            <w:pPr>
              <w:rPr>
                <w:sz w:val="20"/>
                <w:szCs w:val="20"/>
                <w:lang w:val="en-US"/>
              </w:rPr>
            </w:pPr>
          </w:p>
        </w:tc>
        <w:tc>
          <w:tcPr>
            <w:tcW w:w="4219" w:type="dxa"/>
          </w:tcPr>
          <w:p w:rsidR="00D7372A" w:rsidRPr="00606F29" w:rsidRDefault="00D7372A" w:rsidP="00E00CF1">
            <w:pPr>
              <w:rPr>
                <w:sz w:val="20"/>
                <w:szCs w:val="20"/>
                <w:lang w:val="en-US"/>
              </w:rPr>
            </w:pPr>
          </w:p>
        </w:tc>
      </w:tr>
    </w:tbl>
    <w:p w:rsidR="006B044B" w:rsidRPr="00606F29" w:rsidRDefault="006B044B" w:rsidP="006B044B">
      <w:pPr>
        <w:tabs>
          <w:tab w:val="left" w:pos="-1440"/>
          <w:tab w:val="left" w:pos="-720"/>
        </w:tabs>
        <w:jc w:val="both"/>
        <w:rPr>
          <w:rFonts w:eastAsia="Times New Roman" w:cs="Times New Roman"/>
          <w:b/>
          <w:sz w:val="20"/>
          <w:szCs w:val="20"/>
          <w:lang w:val="en-US" w:eastAsia="en-CA"/>
        </w:rPr>
      </w:pPr>
    </w:p>
    <w:p w:rsidR="00D7372A" w:rsidRPr="00606F29" w:rsidRDefault="00D7372A" w:rsidP="00D7372A">
      <w:pPr>
        <w:rPr>
          <w:rFonts w:eastAsia="Times New Roman" w:cs="Times New Roman"/>
          <w:b/>
          <w:sz w:val="20"/>
          <w:szCs w:val="20"/>
          <w:lang w:val="en-US" w:eastAsia="en-CA"/>
        </w:rPr>
      </w:pPr>
      <w:r w:rsidRPr="00606F29">
        <w:rPr>
          <w:rFonts w:eastAsia="Times New Roman" w:cs="Times New Roman"/>
          <w:b/>
          <w:sz w:val="20"/>
          <w:szCs w:val="20"/>
          <w:lang w:val="en-US" w:eastAsia="en-CA"/>
        </w:rPr>
        <w:t>ALLOWED / ACCUEILLIE</w:t>
      </w:r>
      <w:r w:rsidR="00454FFF" w:rsidRPr="00606F29">
        <w:rPr>
          <w:rFonts w:eastAsia="Times New Roman" w:cs="Times New Roman"/>
          <w:b/>
          <w:sz w:val="20"/>
          <w:szCs w:val="20"/>
          <w:lang w:val="en-US" w:eastAsia="en-CA"/>
        </w:rPr>
        <w:t>S</w:t>
      </w:r>
    </w:p>
    <w:p w:rsidR="00D7372A" w:rsidRPr="00606F29" w:rsidRDefault="00D7372A" w:rsidP="00D7372A">
      <w:pPr>
        <w:rPr>
          <w:rFonts w:eastAsia="Times New Roman" w:cs="Times New Roman"/>
          <w:sz w:val="16"/>
          <w:szCs w:val="20"/>
          <w:lang w:val="en-US" w:eastAsia="en-CA"/>
        </w:rPr>
      </w:pPr>
    </w:p>
    <w:p w:rsidR="00D7372A" w:rsidRPr="00606F29" w:rsidRDefault="00D7372A" w:rsidP="00D7372A">
      <w:pPr>
        <w:spacing w:line="232" w:lineRule="auto"/>
        <w:rPr>
          <w:rFonts w:cs="Times New Roman"/>
          <w:sz w:val="20"/>
        </w:rPr>
      </w:pPr>
      <w:r w:rsidRPr="00606F29">
        <w:rPr>
          <w:rFonts w:cs="Times New Roman"/>
          <w:b/>
          <w:bCs/>
          <w:sz w:val="20"/>
        </w:rPr>
        <w:t xml:space="preserve">UPON MOTIONS </w:t>
      </w:r>
      <w:r w:rsidRPr="00606F29">
        <w:rPr>
          <w:rFonts w:cs="Times New Roman"/>
          <w:sz w:val="20"/>
        </w:rPr>
        <w:t>by the Attorney General of British Columbia, the Canadian Association for Community Living and the People First of Canada (jointly), the Council of Canadians with Disabilities, the Income Security Advocacy Centre and the HIV &amp; AIDS Legal Clinic Ontario (jointly) and the Disability Alliance BC Society for leave to intervene in the above appeal;</w:t>
      </w:r>
    </w:p>
    <w:p w:rsidR="00D7372A" w:rsidRPr="00606F29" w:rsidRDefault="00D7372A" w:rsidP="00D7372A">
      <w:pPr>
        <w:spacing w:line="232" w:lineRule="auto"/>
        <w:rPr>
          <w:rFonts w:cs="Times New Roman"/>
          <w:sz w:val="20"/>
        </w:rPr>
      </w:pPr>
    </w:p>
    <w:p w:rsidR="00D7372A" w:rsidRPr="00606F29" w:rsidRDefault="00D7372A" w:rsidP="00D7372A">
      <w:pPr>
        <w:spacing w:line="232" w:lineRule="auto"/>
        <w:rPr>
          <w:rFonts w:cs="Times New Roman"/>
          <w:sz w:val="20"/>
        </w:rPr>
      </w:pPr>
      <w:r w:rsidRPr="00606F29">
        <w:rPr>
          <w:rFonts w:cs="Times New Roman"/>
          <w:b/>
          <w:bCs/>
          <w:sz w:val="20"/>
        </w:rPr>
        <w:t>AND THE MATERIAL FILED</w:t>
      </w:r>
      <w:r w:rsidRPr="00606F29">
        <w:rPr>
          <w:rFonts w:cs="Times New Roman"/>
          <w:sz w:val="20"/>
        </w:rPr>
        <w:t xml:space="preserve"> having been read;</w:t>
      </w:r>
    </w:p>
    <w:p w:rsidR="00D7372A" w:rsidRPr="00606F29" w:rsidRDefault="00D7372A" w:rsidP="00D7372A">
      <w:pPr>
        <w:spacing w:line="232" w:lineRule="auto"/>
        <w:jc w:val="center"/>
        <w:rPr>
          <w:rFonts w:cs="Times New Roman"/>
          <w:sz w:val="20"/>
        </w:rPr>
      </w:pPr>
    </w:p>
    <w:p w:rsidR="00D7372A" w:rsidRPr="00606F29" w:rsidRDefault="00D7372A" w:rsidP="00D7372A">
      <w:pPr>
        <w:spacing w:line="232" w:lineRule="auto"/>
        <w:rPr>
          <w:rFonts w:cs="Times New Roman"/>
          <w:b/>
          <w:bCs/>
          <w:sz w:val="20"/>
        </w:rPr>
      </w:pPr>
      <w:r w:rsidRPr="00606F29">
        <w:rPr>
          <w:rFonts w:cs="Times New Roman"/>
          <w:b/>
          <w:bCs/>
          <w:sz w:val="20"/>
        </w:rPr>
        <w:t>IT IS HEREBY ORDERED THAT:</w:t>
      </w:r>
    </w:p>
    <w:p w:rsidR="00D7372A" w:rsidRPr="00606F29" w:rsidRDefault="00D7372A" w:rsidP="00D7372A">
      <w:pPr>
        <w:spacing w:line="228" w:lineRule="auto"/>
        <w:rPr>
          <w:rFonts w:cs="Times New Roman"/>
          <w:sz w:val="20"/>
        </w:rPr>
      </w:pPr>
    </w:p>
    <w:p w:rsidR="00D7372A" w:rsidRPr="00606F29" w:rsidRDefault="00D7372A" w:rsidP="00D7372A">
      <w:pPr>
        <w:spacing w:line="228" w:lineRule="auto"/>
        <w:rPr>
          <w:rFonts w:cs="Times New Roman"/>
          <w:sz w:val="20"/>
        </w:rPr>
      </w:pPr>
      <w:r w:rsidRPr="00606F29">
        <w:rPr>
          <w:rFonts w:cs="Times New Roman"/>
          <w:sz w:val="20"/>
        </w:rPr>
        <w:t xml:space="preserve">The motions for leave to intervene are granted and the said five (5) interveners shall each be entitled to serve and file a factum not to exceed ten (10) pages in length on or before April 11, 2018. </w:t>
      </w:r>
    </w:p>
    <w:p w:rsidR="00D7372A" w:rsidRPr="00606F29" w:rsidRDefault="00D7372A" w:rsidP="00D7372A">
      <w:pPr>
        <w:spacing w:line="233" w:lineRule="auto"/>
        <w:rPr>
          <w:rFonts w:cs="Times New Roman"/>
          <w:bCs/>
          <w:sz w:val="20"/>
        </w:rPr>
      </w:pPr>
    </w:p>
    <w:p w:rsidR="00D7372A" w:rsidRPr="00606F29" w:rsidRDefault="00D7372A" w:rsidP="00D7372A">
      <w:pPr>
        <w:spacing w:line="228" w:lineRule="auto"/>
        <w:rPr>
          <w:rFonts w:cs="Times New Roman"/>
          <w:sz w:val="20"/>
        </w:rPr>
      </w:pPr>
      <w:r w:rsidRPr="00606F29">
        <w:rPr>
          <w:rFonts w:cs="Times New Roman"/>
          <w:sz w:val="20"/>
        </w:rPr>
        <w:t>The Attorney General of British Columbia, the Canadian Association for Community Living and the People First of Canada (jointly), the Council of Canadians with Disabilities, the Income Security Advocacy Centre and the HIV &amp; AIDS Legal Clinic Ontario (jointly) and the Disability Alliance BC Society are each granted permission to present oral argument not exceeding five (5) minutes at the hearing of the appeal.</w:t>
      </w:r>
    </w:p>
    <w:p w:rsidR="00D7372A" w:rsidRPr="00606F29" w:rsidRDefault="00D7372A" w:rsidP="00D7372A">
      <w:pPr>
        <w:spacing w:line="228" w:lineRule="auto"/>
        <w:rPr>
          <w:rFonts w:cs="Times New Roman"/>
          <w:sz w:val="20"/>
        </w:rPr>
      </w:pPr>
    </w:p>
    <w:p w:rsidR="00D7372A" w:rsidRPr="00606F29" w:rsidRDefault="00D7372A" w:rsidP="00D7372A">
      <w:pPr>
        <w:spacing w:line="230" w:lineRule="auto"/>
        <w:rPr>
          <w:rFonts w:cs="Times New Roman"/>
          <w:sz w:val="20"/>
        </w:rPr>
      </w:pPr>
      <w:r w:rsidRPr="00606F29">
        <w:rPr>
          <w:rFonts w:cs="Times New Roman"/>
          <w:sz w:val="20"/>
        </w:rPr>
        <w:t>The appellant is granted permission to file a reply factum not to exceed five (5) pages in length, and the respondent is granted permission to file a reply factum not to exceed ten (10) pages in length on or before April 18, 2018.</w:t>
      </w:r>
    </w:p>
    <w:p w:rsidR="00D7372A" w:rsidRPr="00606F29" w:rsidRDefault="00D7372A" w:rsidP="00D7372A">
      <w:pPr>
        <w:spacing w:line="228" w:lineRule="auto"/>
        <w:rPr>
          <w:rFonts w:cs="Times New Roman"/>
          <w:sz w:val="20"/>
        </w:rPr>
      </w:pPr>
    </w:p>
    <w:p w:rsidR="00D7372A" w:rsidRPr="00606F29" w:rsidRDefault="00D7372A" w:rsidP="00D7372A">
      <w:pPr>
        <w:spacing w:line="228" w:lineRule="auto"/>
        <w:rPr>
          <w:rFonts w:cs="Times New Roman"/>
          <w:bCs/>
          <w:sz w:val="20"/>
        </w:rPr>
      </w:pPr>
      <w:r w:rsidRPr="00606F29">
        <w:rPr>
          <w:rFonts w:cs="Times New Roman"/>
          <w:sz w:val="20"/>
        </w:rPr>
        <w:fldChar w:fldCharType="begin"/>
      </w:r>
      <w:r w:rsidRPr="00606F29">
        <w:rPr>
          <w:rFonts w:cs="Times New Roman"/>
          <w:sz w:val="20"/>
        </w:rPr>
        <w:instrText xml:space="preserve"> SEQ CHAPTER \h \r 1</w:instrText>
      </w:r>
      <w:r w:rsidRPr="00606F29">
        <w:rPr>
          <w:rFonts w:cs="Times New Roman"/>
          <w:sz w:val="20"/>
        </w:rPr>
        <w:fldChar w:fldCharType="end"/>
      </w:r>
      <w:r w:rsidRPr="00606F29">
        <w:rPr>
          <w:rFonts w:cs="Times New Roman"/>
          <w:bCs/>
          <w:sz w:val="20"/>
        </w:rPr>
        <w:t>The interveners are not entitled to raise new issues or to adduce further evidence or otherwise to supplement the record of the parties.</w:t>
      </w:r>
    </w:p>
    <w:p w:rsidR="00D7372A" w:rsidRPr="00606F29" w:rsidRDefault="00D7372A" w:rsidP="00D7372A">
      <w:pPr>
        <w:spacing w:line="228" w:lineRule="auto"/>
        <w:rPr>
          <w:rFonts w:cs="Times New Roman"/>
          <w:b/>
          <w:bCs/>
          <w:sz w:val="20"/>
        </w:rPr>
      </w:pPr>
    </w:p>
    <w:p w:rsidR="00D7372A" w:rsidRPr="00606F29" w:rsidRDefault="00D7372A" w:rsidP="00D7372A">
      <w:pPr>
        <w:spacing w:line="233" w:lineRule="auto"/>
        <w:rPr>
          <w:rFonts w:cs="Times New Roman"/>
          <w:sz w:val="20"/>
        </w:rPr>
      </w:pPr>
      <w:r w:rsidRPr="00606F29">
        <w:rPr>
          <w:rFonts w:cs="Times New Roman"/>
          <w:sz w:val="20"/>
        </w:rPr>
        <w:t>Pursuant to Rule 59(1</w:t>
      </w:r>
      <w:proofErr w:type="gramStart"/>
      <w:r w:rsidRPr="00606F29">
        <w:rPr>
          <w:rFonts w:cs="Times New Roman"/>
          <w:sz w:val="20"/>
        </w:rPr>
        <w:t>)(</w:t>
      </w:r>
      <w:proofErr w:type="gramEnd"/>
      <w:r w:rsidRPr="00606F29">
        <w:rPr>
          <w:rFonts w:cs="Times New Roman"/>
          <w:i/>
          <w:iCs/>
          <w:sz w:val="20"/>
        </w:rPr>
        <w:t>a</w:t>
      </w:r>
      <w:r w:rsidRPr="00606F29">
        <w:rPr>
          <w:rFonts w:cs="Times New Roman"/>
          <w:sz w:val="20"/>
        </w:rPr>
        <w:t xml:space="preserve">) of the </w:t>
      </w:r>
      <w:r w:rsidRPr="00606F29">
        <w:rPr>
          <w:rFonts w:cs="Times New Roman"/>
          <w:i/>
          <w:iCs/>
          <w:sz w:val="20"/>
        </w:rPr>
        <w:t>Rules of the Supreme Court of Canada</w:t>
      </w:r>
      <w:r w:rsidRPr="00606F29">
        <w:rPr>
          <w:rFonts w:cs="Times New Roman"/>
          <w:sz w:val="20"/>
        </w:rPr>
        <w:t>, the interveners shall pay to the appellant and respondent any additional disbursements occasioned to the appellant and respondent by their intervention.</w:t>
      </w:r>
      <w:r w:rsidRPr="00606F29">
        <w:rPr>
          <w:rFonts w:cs="Times New Roman"/>
          <w:sz w:val="20"/>
        </w:rPr>
        <w:br/>
      </w:r>
    </w:p>
    <w:p w:rsidR="00D7372A" w:rsidRPr="00606F29" w:rsidRDefault="00D7372A" w:rsidP="00D7372A">
      <w:pPr>
        <w:spacing w:line="232" w:lineRule="auto"/>
        <w:rPr>
          <w:rFonts w:cs="Times New Roman"/>
          <w:b/>
          <w:bCs/>
          <w:sz w:val="20"/>
          <w:lang w:val="en-US"/>
        </w:rPr>
      </w:pPr>
    </w:p>
    <w:p w:rsidR="00D7372A" w:rsidRPr="00606F29" w:rsidRDefault="00D7372A" w:rsidP="00D7372A">
      <w:pPr>
        <w:spacing w:line="232" w:lineRule="auto"/>
        <w:rPr>
          <w:rFonts w:cs="Times New Roman"/>
          <w:bCs/>
          <w:sz w:val="20"/>
          <w:lang w:val="fr-CA"/>
        </w:rPr>
      </w:pPr>
      <w:r w:rsidRPr="00606F29">
        <w:rPr>
          <w:rFonts w:cs="Times New Roman"/>
          <w:b/>
          <w:bCs/>
          <w:sz w:val="20"/>
          <w:lang w:val="fr-CA"/>
        </w:rPr>
        <w:t xml:space="preserve">À LA SUITE DES DEMANDES </w:t>
      </w:r>
      <w:r w:rsidRPr="00606F29">
        <w:rPr>
          <w:rFonts w:cs="Times New Roman"/>
          <w:bCs/>
          <w:sz w:val="20"/>
          <w:lang w:val="fr-CA"/>
        </w:rPr>
        <w:t xml:space="preserve">présentées par le procureur général de la Colombie-Britannique, l’Association canadienne pour l’intégration communautaire et Personnes d’abord du Canada (conjointement), </w:t>
      </w:r>
      <w:r w:rsidRPr="00606F29">
        <w:rPr>
          <w:rFonts w:cs="Times New Roman"/>
          <w:sz w:val="20"/>
          <w:lang w:val="fr-CA"/>
        </w:rPr>
        <w:t xml:space="preserve">le Council of </w:t>
      </w:r>
      <w:proofErr w:type="spellStart"/>
      <w:r w:rsidRPr="00606F29">
        <w:rPr>
          <w:rFonts w:cs="Times New Roman"/>
          <w:sz w:val="20"/>
          <w:lang w:val="fr-CA"/>
        </w:rPr>
        <w:t>Canadians</w:t>
      </w:r>
      <w:proofErr w:type="spellEnd"/>
      <w:r w:rsidRPr="00606F29">
        <w:rPr>
          <w:rFonts w:cs="Times New Roman"/>
          <w:sz w:val="20"/>
          <w:lang w:val="fr-CA"/>
        </w:rPr>
        <w:t xml:space="preserve"> </w:t>
      </w:r>
      <w:proofErr w:type="spellStart"/>
      <w:r w:rsidRPr="00606F29">
        <w:rPr>
          <w:rFonts w:cs="Times New Roman"/>
          <w:sz w:val="20"/>
          <w:lang w:val="fr-CA"/>
        </w:rPr>
        <w:t>with</w:t>
      </w:r>
      <w:proofErr w:type="spellEnd"/>
      <w:r w:rsidRPr="00606F29">
        <w:rPr>
          <w:rFonts w:cs="Times New Roman"/>
          <w:sz w:val="20"/>
          <w:lang w:val="fr-CA"/>
        </w:rPr>
        <w:t xml:space="preserve"> </w:t>
      </w:r>
      <w:proofErr w:type="spellStart"/>
      <w:r w:rsidRPr="00606F29">
        <w:rPr>
          <w:rFonts w:cs="Times New Roman"/>
          <w:sz w:val="20"/>
          <w:lang w:val="fr-CA"/>
        </w:rPr>
        <w:t>Disabilities</w:t>
      </w:r>
      <w:proofErr w:type="spellEnd"/>
      <w:r w:rsidRPr="00606F29">
        <w:rPr>
          <w:rFonts w:cs="Times New Roman"/>
          <w:sz w:val="20"/>
          <w:lang w:val="fr-CA"/>
        </w:rPr>
        <w:t xml:space="preserve">, le Centre d’action pour la sécurité du revenu et la HIV &amp; AIDS </w:t>
      </w:r>
      <w:proofErr w:type="spellStart"/>
      <w:r w:rsidRPr="00606F29">
        <w:rPr>
          <w:rFonts w:cs="Times New Roman"/>
          <w:sz w:val="20"/>
          <w:lang w:val="fr-CA"/>
        </w:rPr>
        <w:t>Legal</w:t>
      </w:r>
      <w:proofErr w:type="spellEnd"/>
      <w:r w:rsidRPr="00606F29">
        <w:rPr>
          <w:rFonts w:cs="Times New Roman"/>
          <w:sz w:val="20"/>
          <w:lang w:val="fr-CA"/>
        </w:rPr>
        <w:t xml:space="preserve"> </w:t>
      </w:r>
      <w:proofErr w:type="spellStart"/>
      <w:r w:rsidRPr="00606F29">
        <w:rPr>
          <w:rFonts w:cs="Times New Roman"/>
          <w:sz w:val="20"/>
          <w:lang w:val="fr-CA"/>
        </w:rPr>
        <w:t>Clinic</w:t>
      </w:r>
      <w:proofErr w:type="spellEnd"/>
      <w:r w:rsidRPr="00606F29">
        <w:rPr>
          <w:rFonts w:cs="Times New Roman"/>
          <w:sz w:val="20"/>
          <w:lang w:val="fr-CA"/>
        </w:rPr>
        <w:t xml:space="preserve"> Ontario (conjointement), et la </w:t>
      </w:r>
      <w:proofErr w:type="spellStart"/>
      <w:r w:rsidRPr="00606F29">
        <w:rPr>
          <w:rFonts w:cs="Times New Roman"/>
          <w:sz w:val="20"/>
          <w:lang w:val="fr-CA"/>
        </w:rPr>
        <w:t>Disability</w:t>
      </w:r>
      <w:proofErr w:type="spellEnd"/>
      <w:r w:rsidRPr="00606F29">
        <w:rPr>
          <w:rFonts w:cs="Times New Roman"/>
          <w:sz w:val="20"/>
          <w:lang w:val="fr-CA"/>
        </w:rPr>
        <w:t xml:space="preserve"> Alliance BC Society</w:t>
      </w:r>
      <w:r w:rsidRPr="00606F29">
        <w:rPr>
          <w:rFonts w:cs="Times New Roman"/>
          <w:bCs/>
          <w:sz w:val="20"/>
          <w:lang w:val="fr-CA"/>
        </w:rPr>
        <w:t>, en vue d’intervenir dans l’appel;</w:t>
      </w:r>
    </w:p>
    <w:p w:rsidR="00D7372A" w:rsidRPr="00606F29" w:rsidRDefault="00D7372A" w:rsidP="00D7372A">
      <w:pPr>
        <w:spacing w:line="232" w:lineRule="auto"/>
        <w:rPr>
          <w:rFonts w:cs="Times New Roman"/>
          <w:bCs/>
          <w:sz w:val="20"/>
          <w:lang w:val="fr-CA"/>
        </w:rPr>
      </w:pPr>
    </w:p>
    <w:p w:rsidR="00D7372A" w:rsidRPr="00606F29" w:rsidRDefault="00D7372A" w:rsidP="00D7372A">
      <w:pPr>
        <w:spacing w:line="232" w:lineRule="auto"/>
        <w:rPr>
          <w:rFonts w:cs="Times New Roman"/>
          <w:bCs/>
          <w:sz w:val="20"/>
          <w:lang w:val="fr-CA"/>
        </w:rPr>
      </w:pPr>
      <w:r w:rsidRPr="00606F29">
        <w:rPr>
          <w:rFonts w:cs="Times New Roman"/>
          <w:b/>
          <w:bCs/>
          <w:sz w:val="20"/>
          <w:lang w:val="fr-CA"/>
        </w:rPr>
        <w:t xml:space="preserve">ET APRÈS EXAMEN </w:t>
      </w:r>
      <w:r w:rsidRPr="00606F29">
        <w:rPr>
          <w:rFonts w:cs="Times New Roman"/>
          <w:bCs/>
          <w:sz w:val="20"/>
          <w:lang w:val="fr-CA"/>
        </w:rPr>
        <w:t>des documents déposés;</w:t>
      </w:r>
    </w:p>
    <w:p w:rsidR="00D7372A" w:rsidRPr="00606F29" w:rsidRDefault="00D7372A" w:rsidP="00D7372A">
      <w:pPr>
        <w:spacing w:line="232" w:lineRule="auto"/>
        <w:rPr>
          <w:rFonts w:cs="Times New Roman"/>
          <w:b/>
          <w:bCs/>
          <w:sz w:val="20"/>
          <w:lang w:val="fr-CA"/>
        </w:rPr>
      </w:pPr>
    </w:p>
    <w:p w:rsidR="00D7372A" w:rsidRPr="00606F29" w:rsidRDefault="00D7372A" w:rsidP="00D7372A">
      <w:pPr>
        <w:spacing w:line="232" w:lineRule="auto"/>
        <w:rPr>
          <w:rFonts w:cs="Times New Roman"/>
          <w:b/>
          <w:bCs/>
          <w:sz w:val="20"/>
          <w:lang w:val="fr-CA"/>
        </w:rPr>
      </w:pPr>
      <w:r w:rsidRPr="00606F29">
        <w:rPr>
          <w:rFonts w:cs="Times New Roman"/>
          <w:b/>
          <w:bCs/>
          <w:sz w:val="20"/>
          <w:lang w:val="fr-CA"/>
        </w:rPr>
        <w:t>IL EST ORDONNÉ CE QUI SUIT :</w:t>
      </w:r>
    </w:p>
    <w:p w:rsidR="00D7372A" w:rsidRPr="00606F29" w:rsidRDefault="00D7372A" w:rsidP="00D7372A">
      <w:pPr>
        <w:spacing w:line="232" w:lineRule="auto"/>
        <w:rPr>
          <w:rFonts w:cs="Times New Roman"/>
          <w:b/>
          <w:bCs/>
          <w:sz w:val="20"/>
          <w:lang w:val="fr-CA"/>
        </w:rPr>
      </w:pPr>
    </w:p>
    <w:p w:rsidR="00D7372A" w:rsidRPr="00606F29" w:rsidRDefault="00D7372A" w:rsidP="00D7372A">
      <w:pPr>
        <w:spacing w:line="232" w:lineRule="auto"/>
        <w:rPr>
          <w:rFonts w:cs="Times New Roman"/>
          <w:bCs/>
          <w:sz w:val="20"/>
          <w:lang w:val="fr-CA"/>
        </w:rPr>
      </w:pPr>
      <w:r w:rsidRPr="00606F29">
        <w:rPr>
          <w:rFonts w:cs="Times New Roman"/>
          <w:bCs/>
          <w:sz w:val="20"/>
          <w:lang w:val="fr-CA"/>
        </w:rPr>
        <w:t>Les requêtes en autorisation d’intervenir sont accueillies et les cinq (5) intervenants pourront chacun signifier et déposer un mémoire d’au plus dix (10) pages au plus tard le 11 avril 2018.</w:t>
      </w:r>
    </w:p>
    <w:p w:rsidR="00D7372A" w:rsidRPr="00606F29" w:rsidRDefault="00D7372A" w:rsidP="00D7372A">
      <w:pPr>
        <w:spacing w:line="232" w:lineRule="auto"/>
        <w:rPr>
          <w:rFonts w:cs="Times New Roman"/>
          <w:bCs/>
          <w:sz w:val="20"/>
          <w:lang w:val="fr-CA"/>
        </w:rPr>
      </w:pPr>
    </w:p>
    <w:p w:rsidR="00D7372A" w:rsidRPr="00606F29" w:rsidRDefault="00D7372A" w:rsidP="00D7372A">
      <w:pPr>
        <w:spacing w:line="230" w:lineRule="auto"/>
        <w:rPr>
          <w:rFonts w:cs="Times New Roman"/>
          <w:sz w:val="20"/>
          <w:lang w:val="fr-CA"/>
        </w:rPr>
      </w:pPr>
      <w:r w:rsidRPr="00606F29">
        <w:rPr>
          <w:rFonts w:cs="Times New Roman"/>
          <w:bCs/>
          <w:sz w:val="20"/>
          <w:lang w:val="fr-CA"/>
        </w:rPr>
        <w:t xml:space="preserve">Le procureur général de la Colombie-Britannique, l’Association canadienne pour l’intégration communautaire et Personnes d’abord du Canada (conjointement), </w:t>
      </w:r>
      <w:r w:rsidRPr="00606F29">
        <w:rPr>
          <w:rFonts w:cs="Times New Roman"/>
          <w:sz w:val="20"/>
          <w:lang w:val="fr-CA"/>
        </w:rPr>
        <w:t xml:space="preserve">le Council of </w:t>
      </w:r>
      <w:proofErr w:type="spellStart"/>
      <w:r w:rsidRPr="00606F29">
        <w:rPr>
          <w:rFonts w:cs="Times New Roman"/>
          <w:sz w:val="20"/>
          <w:lang w:val="fr-CA"/>
        </w:rPr>
        <w:t>Canadians</w:t>
      </w:r>
      <w:proofErr w:type="spellEnd"/>
      <w:r w:rsidRPr="00606F29">
        <w:rPr>
          <w:rFonts w:cs="Times New Roman"/>
          <w:sz w:val="20"/>
          <w:lang w:val="fr-CA"/>
        </w:rPr>
        <w:t xml:space="preserve"> </w:t>
      </w:r>
      <w:proofErr w:type="spellStart"/>
      <w:r w:rsidRPr="00606F29">
        <w:rPr>
          <w:rFonts w:cs="Times New Roman"/>
          <w:sz w:val="20"/>
          <w:lang w:val="fr-CA"/>
        </w:rPr>
        <w:t>with</w:t>
      </w:r>
      <w:proofErr w:type="spellEnd"/>
      <w:r w:rsidRPr="00606F29">
        <w:rPr>
          <w:rFonts w:cs="Times New Roman"/>
          <w:sz w:val="20"/>
          <w:lang w:val="fr-CA"/>
        </w:rPr>
        <w:t xml:space="preserve"> </w:t>
      </w:r>
      <w:proofErr w:type="spellStart"/>
      <w:r w:rsidRPr="00606F29">
        <w:rPr>
          <w:rFonts w:cs="Times New Roman"/>
          <w:sz w:val="20"/>
          <w:lang w:val="fr-CA"/>
        </w:rPr>
        <w:t>Disabilities</w:t>
      </w:r>
      <w:proofErr w:type="spellEnd"/>
      <w:r w:rsidRPr="00606F29">
        <w:rPr>
          <w:rFonts w:cs="Times New Roman"/>
          <w:sz w:val="20"/>
          <w:lang w:val="fr-CA"/>
        </w:rPr>
        <w:t xml:space="preserve">, le Centre d’action pour la sécurité du revenu et la HIV &amp; AIDS </w:t>
      </w:r>
      <w:proofErr w:type="spellStart"/>
      <w:r w:rsidRPr="00606F29">
        <w:rPr>
          <w:rFonts w:cs="Times New Roman"/>
          <w:sz w:val="20"/>
          <w:lang w:val="fr-CA"/>
        </w:rPr>
        <w:t>Legal</w:t>
      </w:r>
      <w:proofErr w:type="spellEnd"/>
      <w:r w:rsidRPr="00606F29">
        <w:rPr>
          <w:rFonts w:cs="Times New Roman"/>
          <w:sz w:val="20"/>
          <w:lang w:val="fr-CA"/>
        </w:rPr>
        <w:t xml:space="preserve"> </w:t>
      </w:r>
      <w:proofErr w:type="spellStart"/>
      <w:r w:rsidRPr="00606F29">
        <w:rPr>
          <w:rFonts w:cs="Times New Roman"/>
          <w:sz w:val="20"/>
          <w:lang w:val="fr-CA"/>
        </w:rPr>
        <w:t>Clinic</w:t>
      </w:r>
      <w:proofErr w:type="spellEnd"/>
      <w:r w:rsidRPr="00606F29">
        <w:rPr>
          <w:rFonts w:cs="Times New Roman"/>
          <w:sz w:val="20"/>
          <w:lang w:val="fr-CA"/>
        </w:rPr>
        <w:t xml:space="preserve"> Ontario (conjointement) et la </w:t>
      </w:r>
      <w:proofErr w:type="spellStart"/>
      <w:r w:rsidRPr="00606F29">
        <w:rPr>
          <w:rFonts w:cs="Times New Roman"/>
          <w:sz w:val="20"/>
          <w:lang w:val="fr-CA"/>
        </w:rPr>
        <w:t>Disability</w:t>
      </w:r>
      <w:proofErr w:type="spellEnd"/>
      <w:r w:rsidRPr="00606F29">
        <w:rPr>
          <w:rFonts w:cs="Times New Roman"/>
          <w:sz w:val="20"/>
          <w:lang w:val="fr-CA"/>
        </w:rPr>
        <w:t xml:space="preserve"> Alliance BC Society sont chacun autorisés à présenter une plaidoirie orale d’au plus cinq (5) minutes lors de l’audition de l’appel. </w:t>
      </w:r>
    </w:p>
    <w:p w:rsidR="00D7372A" w:rsidRPr="00606F29" w:rsidRDefault="00D7372A" w:rsidP="00D7372A">
      <w:pPr>
        <w:spacing w:line="230" w:lineRule="auto"/>
        <w:rPr>
          <w:rFonts w:cs="Times New Roman"/>
          <w:sz w:val="20"/>
          <w:lang w:val="fr-CA"/>
        </w:rPr>
      </w:pPr>
    </w:p>
    <w:p w:rsidR="00D7372A" w:rsidRPr="00606F29" w:rsidRDefault="00D7372A" w:rsidP="00D7372A">
      <w:pPr>
        <w:spacing w:line="230" w:lineRule="auto"/>
        <w:rPr>
          <w:rFonts w:cs="Times New Roman"/>
          <w:sz w:val="20"/>
          <w:lang w:val="fr-CA"/>
        </w:rPr>
      </w:pPr>
      <w:r w:rsidRPr="00606F29">
        <w:rPr>
          <w:rFonts w:cs="Times New Roman"/>
          <w:sz w:val="20"/>
          <w:lang w:val="fr-CA"/>
        </w:rPr>
        <w:t>L’appelant(e) est autorisé(e) à déposer un mémoire en réplique d’au plus cinq (5) pages et l’intimée est autorisée à déposer un mémoire en réplique d’au plus dix (10) pages au plus tard le 18 avril 2018.</w:t>
      </w:r>
    </w:p>
    <w:p w:rsidR="00D7372A" w:rsidRPr="00606F29" w:rsidRDefault="00D7372A" w:rsidP="00D7372A">
      <w:pPr>
        <w:spacing w:line="230" w:lineRule="auto"/>
        <w:rPr>
          <w:rFonts w:cs="Times New Roman"/>
          <w:sz w:val="20"/>
          <w:lang w:val="fr-CA"/>
        </w:rPr>
      </w:pPr>
    </w:p>
    <w:p w:rsidR="00D7372A" w:rsidRPr="00606F29" w:rsidRDefault="00D7372A" w:rsidP="00D7372A">
      <w:pPr>
        <w:spacing w:line="232" w:lineRule="auto"/>
        <w:rPr>
          <w:rFonts w:cs="Times New Roman"/>
          <w:bCs/>
          <w:sz w:val="20"/>
          <w:lang w:val="fr-CA"/>
        </w:rPr>
      </w:pPr>
      <w:r w:rsidRPr="00606F29">
        <w:rPr>
          <w:rFonts w:cs="Times New Roman"/>
          <w:bCs/>
          <w:sz w:val="20"/>
          <w:lang w:val="fr-CA"/>
        </w:rPr>
        <w:t>Les intervenants n’ont pas le droit de soulever de nouvelles questions, de produire d’autres éléments de preuve ni de compléter de quelque autre façon le dossier des parties.</w:t>
      </w:r>
    </w:p>
    <w:p w:rsidR="00D7372A" w:rsidRPr="00606F29" w:rsidRDefault="00D7372A" w:rsidP="00D7372A">
      <w:pPr>
        <w:spacing w:line="232" w:lineRule="auto"/>
        <w:rPr>
          <w:rFonts w:cs="Times New Roman"/>
          <w:b/>
          <w:bCs/>
          <w:sz w:val="20"/>
          <w:lang w:val="fr-CA"/>
        </w:rPr>
      </w:pPr>
    </w:p>
    <w:p w:rsidR="00D7372A" w:rsidRPr="00606F29" w:rsidRDefault="00D7372A" w:rsidP="00D7372A">
      <w:pPr>
        <w:spacing w:line="232" w:lineRule="auto"/>
        <w:rPr>
          <w:rFonts w:cs="Times New Roman"/>
          <w:bCs/>
          <w:sz w:val="20"/>
          <w:lang w:val="fr-CA"/>
        </w:rPr>
      </w:pPr>
      <w:r w:rsidRPr="00606F29">
        <w:rPr>
          <w:rFonts w:cs="Times New Roman"/>
          <w:bCs/>
          <w:sz w:val="20"/>
          <w:lang w:val="fr-CA"/>
        </w:rPr>
        <w:t>Conformément à l’alinéa 59(1)</w:t>
      </w:r>
      <w:r w:rsidRPr="00606F29">
        <w:rPr>
          <w:rFonts w:cs="Times New Roman"/>
          <w:bCs/>
          <w:i/>
          <w:sz w:val="20"/>
          <w:lang w:val="fr-CA"/>
        </w:rPr>
        <w:t>a</w:t>
      </w:r>
      <w:r w:rsidRPr="00606F29">
        <w:rPr>
          <w:rFonts w:cs="Times New Roman"/>
          <w:bCs/>
          <w:sz w:val="20"/>
          <w:lang w:val="fr-CA"/>
        </w:rPr>
        <w:t xml:space="preserve">) des </w:t>
      </w:r>
      <w:r w:rsidRPr="00606F29">
        <w:rPr>
          <w:rFonts w:cs="Times New Roman"/>
          <w:bCs/>
          <w:i/>
          <w:sz w:val="20"/>
          <w:lang w:val="fr-CA"/>
        </w:rPr>
        <w:t>Règles de la Cour suprême du Canada</w:t>
      </w:r>
      <w:r w:rsidRPr="00606F29">
        <w:rPr>
          <w:rFonts w:cs="Times New Roman"/>
          <w:bCs/>
          <w:sz w:val="20"/>
          <w:lang w:val="fr-CA"/>
        </w:rPr>
        <w:t>, les intervenants paieront à l’appelant(e) et à l’intimée tous dépens supplémentaires résultant de leur intervention.</w:t>
      </w:r>
    </w:p>
    <w:p w:rsidR="00D7372A" w:rsidRPr="00606F29" w:rsidRDefault="00D7372A" w:rsidP="00831CA9">
      <w:pPr>
        <w:jc w:val="both"/>
        <w:rPr>
          <w:sz w:val="20"/>
          <w:szCs w:val="20"/>
          <w:lang w:val="fr-CA"/>
        </w:rPr>
      </w:pPr>
    </w:p>
    <w:p w:rsidR="00D7372A" w:rsidRPr="00606F29" w:rsidRDefault="00D7372A" w:rsidP="00831CA9">
      <w:pPr>
        <w:jc w:val="both"/>
        <w:rPr>
          <w:sz w:val="20"/>
          <w:szCs w:val="20"/>
          <w:lang w:val="fr-CA"/>
        </w:rPr>
      </w:pPr>
    </w:p>
    <w:p w:rsidR="00D7372A" w:rsidRPr="00606F29" w:rsidRDefault="009813FB" w:rsidP="00831CA9">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37" style="width:2in;height:1pt" o:hrpct="0" o:hralign="center" o:hrstd="t" o:hrnoshade="t" o:hr="t" fillcolor="black [3213]" stroked="f"/>
        </w:pict>
      </w:r>
    </w:p>
    <w:p w:rsidR="00D7372A" w:rsidRPr="00606F29" w:rsidRDefault="00D7372A">
      <w:pPr>
        <w:rPr>
          <w:rFonts w:eastAsia="Times New Roman" w:cs="Times New Roman"/>
          <w:sz w:val="20"/>
          <w:szCs w:val="20"/>
          <w:lang w:val="fr-CA" w:eastAsia="en-CA"/>
        </w:rPr>
      </w:pPr>
      <w:r w:rsidRPr="00606F29">
        <w:rPr>
          <w:rFonts w:eastAsia="Times New Roman" w:cs="Times New Roman"/>
          <w:sz w:val="20"/>
          <w:szCs w:val="20"/>
          <w:lang w:val="fr-CA" w:eastAsia="en-CA"/>
        </w:rPr>
        <w:br w:type="page"/>
      </w:r>
    </w:p>
    <w:p w:rsidR="00787964" w:rsidRPr="00606F29" w:rsidRDefault="00787964" w:rsidP="00787964">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lastRenderedPageBreak/>
        <w:t>23.03.2018</w:t>
      </w:r>
    </w:p>
    <w:p w:rsidR="00787964" w:rsidRPr="00606F29" w:rsidRDefault="00787964" w:rsidP="00787964">
      <w:pPr>
        <w:tabs>
          <w:tab w:val="left" w:pos="-1440"/>
          <w:tab w:val="left" w:pos="-720"/>
        </w:tabs>
        <w:jc w:val="both"/>
        <w:rPr>
          <w:rFonts w:eastAsia="Times New Roman" w:cs="Times New Roman"/>
          <w:sz w:val="20"/>
          <w:szCs w:val="20"/>
          <w:lang w:val="fr-CA" w:eastAsia="en-CA"/>
        </w:rPr>
      </w:pPr>
    </w:p>
    <w:p w:rsidR="00787964" w:rsidRPr="00606F29" w:rsidRDefault="00787964" w:rsidP="00787964">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KARAKATSANIS J. / LA JUGE KARAKATSANIS</w:t>
      </w:r>
    </w:p>
    <w:p w:rsidR="00787964" w:rsidRPr="00606F29" w:rsidRDefault="00787964" w:rsidP="0078796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787964" w:rsidRPr="00606F29" w:rsidTr="00E00CF1">
        <w:tc>
          <w:tcPr>
            <w:tcW w:w="4263" w:type="dxa"/>
            <w:gridSpan w:val="2"/>
          </w:tcPr>
          <w:p w:rsidR="00787964" w:rsidRPr="00606F29" w:rsidRDefault="00787964" w:rsidP="00E00CF1">
            <w:pPr>
              <w:rPr>
                <w:b/>
                <w:sz w:val="20"/>
                <w:szCs w:val="20"/>
              </w:rPr>
            </w:pPr>
            <w:r w:rsidRPr="00606F29">
              <w:rPr>
                <w:b/>
                <w:sz w:val="20"/>
                <w:szCs w:val="20"/>
              </w:rPr>
              <w:t>Motions for leave to intervene</w:t>
            </w:r>
            <w:r w:rsidRPr="00606F29">
              <w:rPr>
                <w:sz w:val="20"/>
                <w:szCs w:val="20"/>
              </w:rPr>
              <w:fldChar w:fldCharType="begin"/>
            </w:r>
            <w:r w:rsidRPr="00606F29">
              <w:rPr>
                <w:sz w:val="20"/>
                <w:szCs w:val="20"/>
              </w:rPr>
              <w:instrText xml:space="preserve"> SEQ CHAPTER \h \r 1</w:instrText>
            </w:r>
            <w:r w:rsidRPr="00606F29">
              <w:rPr>
                <w:sz w:val="20"/>
                <w:szCs w:val="20"/>
              </w:rPr>
              <w:fldChar w:fldCharType="end"/>
            </w:r>
          </w:p>
        </w:tc>
        <w:tc>
          <w:tcPr>
            <w:tcW w:w="1137" w:type="dxa"/>
          </w:tcPr>
          <w:p w:rsidR="00787964" w:rsidRPr="00606F29" w:rsidRDefault="00787964" w:rsidP="00E00CF1">
            <w:pPr>
              <w:rPr>
                <w:sz w:val="20"/>
                <w:szCs w:val="20"/>
              </w:rPr>
            </w:pPr>
          </w:p>
          <w:p w:rsidR="00787964" w:rsidRPr="00606F29" w:rsidRDefault="00787964" w:rsidP="00E00CF1">
            <w:pPr>
              <w:rPr>
                <w:sz w:val="20"/>
                <w:szCs w:val="20"/>
              </w:rPr>
            </w:pPr>
          </w:p>
        </w:tc>
        <w:tc>
          <w:tcPr>
            <w:tcW w:w="4219" w:type="dxa"/>
          </w:tcPr>
          <w:p w:rsidR="00787964" w:rsidRPr="00606F29" w:rsidRDefault="00787964" w:rsidP="00E00CF1">
            <w:pPr>
              <w:rPr>
                <w:b/>
                <w:sz w:val="20"/>
                <w:szCs w:val="20"/>
                <w:lang w:val="fr-CA"/>
              </w:rPr>
            </w:pPr>
            <w:r w:rsidRPr="00606F29">
              <w:rPr>
                <w:b/>
                <w:bCs/>
                <w:sz w:val="20"/>
                <w:szCs w:val="20"/>
                <w:lang w:val="fr-CA"/>
              </w:rPr>
              <w:t>Requêtes en autorisation d’intervenir</w:t>
            </w:r>
          </w:p>
        </w:tc>
      </w:tr>
      <w:tr w:rsidR="00787964" w:rsidRPr="00606F29" w:rsidTr="00D8058F">
        <w:trPr>
          <w:trHeight w:hRule="exact" w:val="1008"/>
        </w:trPr>
        <w:tc>
          <w:tcPr>
            <w:tcW w:w="1346" w:type="dxa"/>
          </w:tcPr>
          <w:p w:rsidR="00787964" w:rsidRPr="00606F29" w:rsidRDefault="00787964" w:rsidP="00E00CF1">
            <w:pPr>
              <w:rPr>
                <w:sz w:val="20"/>
                <w:szCs w:val="20"/>
              </w:rPr>
            </w:pPr>
            <w:r w:rsidRPr="00606F29">
              <w:rPr>
                <w:sz w:val="20"/>
                <w:szCs w:val="20"/>
              </w:rPr>
              <w:t>BY / PAR</w:t>
            </w:r>
          </w:p>
        </w:tc>
        <w:tc>
          <w:tcPr>
            <w:tcW w:w="2917" w:type="dxa"/>
          </w:tcPr>
          <w:p w:rsidR="00787964" w:rsidRPr="00606F29" w:rsidRDefault="00D8058F" w:rsidP="00E00CF1">
            <w:pPr>
              <w:rPr>
                <w:sz w:val="20"/>
                <w:szCs w:val="20"/>
              </w:rPr>
            </w:pPr>
            <w:r w:rsidRPr="00606F29">
              <w:rPr>
                <w:rFonts w:cs="Times New Roman"/>
                <w:sz w:val="20"/>
              </w:rPr>
              <w:t>Samuelson-</w:t>
            </w:r>
            <w:proofErr w:type="spellStart"/>
            <w:r w:rsidRPr="00606F29">
              <w:rPr>
                <w:rFonts w:cs="Times New Roman"/>
                <w:sz w:val="20"/>
              </w:rPr>
              <w:t>Glushko</w:t>
            </w:r>
            <w:proofErr w:type="spellEnd"/>
            <w:r w:rsidRPr="00606F29">
              <w:rPr>
                <w:rFonts w:cs="Times New Roman"/>
                <w:sz w:val="20"/>
              </w:rPr>
              <w:t xml:space="preserve"> Canadian Internet Policy and Public Interest Clinic and by Bell Canada Inc.</w:t>
            </w:r>
          </w:p>
        </w:tc>
        <w:tc>
          <w:tcPr>
            <w:tcW w:w="1137" w:type="dxa"/>
          </w:tcPr>
          <w:p w:rsidR="00787964" w:rsidRPr="00606F29" w:rsidRDefault="00787964" w:rsidP="00E00CF1">
            <w:pPr>
              <w:rPr>
                <w:sz w:val="20"/>
                <w:szCs w:val="20"/>
              </w:rPr>
            </w:pPr>
          </w:p>
        </w:tc>
        <w:tc>
          <w:tcPr>
            <w:tcW w:w="4219" w:type="dxa"/>
          </w:tcPr>
          <w:p w:rsidR="00787964" w:rsidRPr="00606F29" w:rsidRDefault="00787964" w:rsidP="00E00CF1">
            <w:pPr>
              <w:rPr>
                <w:sz w:val="20"/>
                <w:szCs w:val="20"/>
              </w:rPr>
            </w:pPr>
          </w:p>
        </w:tc>
      </w:tr>
      <w:tr w:rsidR="00787964" w:rsidRPr="00606F29" w:rsidTr="00D8058F">
        <w:trPr>
          <w:trHeight w:val="540"/>
        </w:trPr>
        <w:tc>
          <w:tcPr>
            <w:tcW w:w="1346" w:type="dxa"/>
          </w:tcPr>
          <w:p w:rsidR="00787964" w:rsidRPr="00606F29" w:rsidRDefault="00787964" w:rsidP="00E00CF1">
            <w:pPr>
              <w:rPr>
                <w:sz w:val="20"/>
                <w:szCs w:val="20"/>
              </w:rPr>
            </w:pPr>
          </w:p>
        </w:tc>
        <w:tc>
          <w:tcPr>
            <w:tcW w:w="2917" w:type="dxa"/>
          </w:tcPr>
          <w:p w:rsidR="00787964" w:rsidRPr="00606F29" w:rsidRDefault="00D8058F" w:rsidP="00E00CF1">
            <w:pPr>
              <w:rPr>
                <w:sz w:val="20"/>
                <w:szCs w:val="20"/>
              </w:rPr>
            </w:pPr>
            <w:r w:rsidRPr="00606F29">
              <w:rPr>
                <w:rFonts w:cs="Times New Roman"/>
                <w:sz w:val="20"/>
              </w:rPr>
              <w:t>Canadian Network Operators Consortium Inc.</w:t>
            </w:r>
          </w:p>
        </w:tc>
        <w:tc>
          <w:tcPr>
            <w:tcW w:w="1137" w:type="dxa"/>
          </w:tcPr>
          <w:p w:rsidR="00787964" w:rsidRPr="00606F29" w:rsidRDefault="00787964" w:rsidP="00E00CF1">
            <w:pPr>
              <w:rPr>
                <w:sz w:val="20"/>
                <w:szCs w:val="20"/>
              </w:rPr>
            </w:pPr>
          </w:p>
        </w:tc>
        <w:tc>
          <w:tcPr>
            <w:tcW w:w="4219" w:type="dxa"/>
          </w:tcPr>
          <w:p w:rsidR="00787964" w:rsidRPr="00606F29" w:rsidRDefault="00787964" w:rsidP="00E00CF1">
            <w:pPr>
              <w:rPr>
                <w:sz w:val="20"/>
                <w:szCs w:val="20"/>
              </w:rPr>
            </w:pPr>
          </w:p>
        </w:tc>
      </w:tr>
      <w:tr w:rsidR="00787964" w:rsidRPr="00606F29" w:rsidTr="00D8058F">
        <w:trPr>
          <w:trHeight w:val="360"/>
        </w:trPr>
        <w:tc>
          <w:tcPr>
            <w:tcW w:w="1346" w:type="dxa"/>
          </w:tcPr>
          <w:p w:rsidR="00787964" w:rsidRPr="00606F29" w:rsidRDefault="00787964" w:rsidP="00E00CF1">
            <w:pPr>
              <w:rPr>
                <w:sz w:val="20"/>
                <w:szCs w:val="20"/>
              </w:rPr>
            </w:pPr>
          </w:p>
        </w:tc>
        <w:tc>
          <w:tcPr>
            <w:tcW w:w="2917" w:type="dxa"/>
          </w:tcPr>
          <w:p w:rsidR="00787964" w:rsidRPr="00606F29" w:rsidRDefault="00D8058F" w:rsidP="00E00CF1">
            <w:pPr>
              <w:rPr>
                <w:rFonts w:cs="Times New Roman"/>
                <w:sz w:val="20"/>
                <w:szCs w:val="20"/>
              </w:rPr>
            </w:pPr>
            <w:proofErr w:type="spellStart"/>
            <w:r w:rsidRPr="00606F29">
              <w:rPr>
                <w:rFonts w:cs="Times New Roman"/>
                <w:sz w:val="20"/>
              </w:rPr>
              <w:t>Cogeco</w:t>
            </w:r>
            <w:proofErr w:type="spellEnd"/>
            <w:r w:rsidRPr="00606F29">
              <w:rPr>
                <w:rFonts w:cs="Times New Roman"/>
                <w:sz w:val="20"/>
              </w:rPr>
              <w:t xml:space="preserve"> Inc.</w:t>
            </w:r>
          </w:p>
        </w:tc>
        <w:tc>
          <w:tcPr>
            <w:tcW w:w="1137" w:type="dxa"/>
          </w:tcPr>
          <w:p w:rsidR="00787964" w:rsidRPr="00606F29" w:rsidRDefault="00787964" w:rsidP="00E00CF1">
            <w:pPr>
              <w:rPr>
                <w:sz w:val="20"/>
                <w:szCs w:val="20"/>
              </w:rPr>
            </w:pPr>
          </w:p>
        </w:tc>
        <w:tc>
          <w:tcPr>
            <w:tcW w:w="4219" w:type="dxa"/>
          </w:tcPr>
          <w:p w:rsidR="00787964" w:rsidRPr="00606F29" w:rsidRDefault="00787964" w:rsidP="00E00CF1">
            <w:pPr>
              <w:rPr>
                <w:sz w:val="20"/>
                <w:szCs w:val="20"/>
              </w:rPr>
            </w:pPr>
          </w:p>
        </w:tc>
      </w:tr>
      <w:tr w:rsidR="00787964" w:rsidRPr="00606F29" w:rsidTr="00454FFF">
        <w:trPr>
          <w:trHeight w:val="360"/>
        </w:trPr>
        <w:tc>
          <w:tcPr>
            <w:tcW w:w="1346" w:type="dxa"/>
          </w:tcPr>
          <w:p w:rsidR="00787964" w:rsidRPr="00606F29" w:rsidRDefault="00787964" w:rsidP="00E00CF1">
            <w:pPr>
              <w:rPr>
                <w:sz w:val="20"/>
                <w:szCs w:val="20"/>
              </w:rPr>
            </w:pPr>
          </w:p>
        </w:tc>
        <w:tc>
          <w:tcPr>
            <w:tcW w:w="2917" w:type="dxa"/>
          </w:tcPr>
          <w:p w:rsidR="00787964" w:rsidRPr="00606F29" w:rsidRDefault="00D8058F" w:rsidP="00E00CF1">
            <w:pPr>
              <w:rPr>
                <w:rFonts w:cs="Times New Roman"/>
                <w:sz w:val="20"/>
                <w:szCs w:val="20"/>
              </w:rPr>
            </w:pPr>
            <w:r w:rsidRPr="00606F29">
              <w:rPr>
                <w:rFonts w:cs="Times New Roman"/>
                <w:sz w:val="20"/>
              </w:rPr>
              <w:t>Quebecor Media Inc.</w:t>
            </w:r>
          </w:p>
        </w:tc>
        <w:tc>
          <w:tcPr>
            <w:tcW w:w="1137" w:type="dxa"/>
          </w:tcPr>
          <w:p w:rsidR="00787964" w:rsidRPr="00606F29" w:rsidRDefault="00787964" w:rsidP="00E00CF1">
            <w:pPr>
              <w:rPr>
                <w:sz w:val="20"/>
                <w:szCs w:val="20"/>
              </w:rPr>
            </w:pPr>
          </w:p>
        </w:tc>
        <w:tc>
          <w:tcPr>
            <w:tcW w:w="4219" w:type="dxa"/>
          </w:tcPr>
          <w:p w:rsidR="00787964" w:rsidRPr="00606F29" w:rsidRDefault="00787964" w:rsidP="00E00CF1">
            <w:pPr>
              <w:rPr>
                <w:sz w:val="20"/>
                <w:szCs w:val="20"/>
              </w:rPr>
            </w:pPr>
          </w:p>
        </w:tc>
      </w:tr>
      <w:tr w:rsidR="00787964" w:rsidRPr="00606F29" w:rsidTr="00E00CF1">
        <w:trPr>
          <w:trHeight w:val="810"/>
        </w:trPr>
        <w:tc>
          <w:tcPr>
            <w:tcW w:w="1346" w:type="dxa"/>
          </w:tcPr>
          <w:p w:rsidR="00787964" w:rsidRPr="00606F29" w:rsidRDefault="00787964" w:rsidP="00E00CF1">
            <w:pPr>
              <w:rPr>
                <w:sz w:val="20"/>
                <w:szCs w:val="20"/>
              </w:rPr>
            </w:pPr>
          </w:p>
        </w:tc>
        <w:tc>
          <w:tcPr>
            <w:tcW w:w="2917" w:type="dxa"/>
          </w:tcPr>
          <w:p w:rsidR="00787964" w:rsidRPr="00606F29" w:rsidRDefault="00D8058F" w:rsidP="00E00CF1">
            <w:pPr>
              <w:rPr>
                <w:sz w:val="20"/>
                <w:szCs w:val="20"/>
              </w:rPr>
            </w:pPr>
            <w:r w:rsidRPr="00606F29">
              <w:rPr>
                <w:rFonts w:cs="Times New Roman"/>
                <w:sz w:val="20"/>
              </w:rPr>
              <w:t>Saskatchewan Telecommunications Holding Corporation</w:t>
            </w:r>
          </w:p>
        </w:tc>
        <w:tc>
          <w:tcPr>
            <w:tcW w:w="1137" w:type="dxa"/>
          </w:tcPr>
          <w:p w:rsidR="00787964" w:rsidRPr="00606F29" w:rsidRDefault="00787964" w:rsidP="00E00CF1">
            <w:pPr>
              <w:rPr>
                <w:sz w:val="20"/>
                <w:szCs w:val="20"/>
                <w:lang w:val="en-US"/>
              </w:rPr>
            </w:pPr>
          </w:p>
        </w:tc>
        <w:tc>
          <w:tcPr>
            <w:tcW w:w="4219" w:type="dxa"/>
          </w:tcPr>
          <w:p w:rsidR="00787964" w:rsidRPr="00606F29" w:rsidRDefault="00787964" w:rsidP="00E00CF1">
            <w:pPr>
              <w:rPr>
                <w:sz w:val="20"/>
                <w:szCs w:val="20"/>
                <w:lang w:val="en-US"/>
              </w:rPr>
            </w:pPr>
          </w:p>
        </w:tc>
      </w:tr>
      <w:tr w:rsidR="00787964" w:rsidRPr="00606F29" w:rsidTr="00E00CF1">
        <w:trPr>
          <w:trHeight w:val="360"/>
        </w:trPr>
        <w:tc>
          <w:tcPr>
            <w:tcW w:w="1346" w:type="dxa"/>
          </w:tcPr>
          <w:p w:rsidR="00787964" w:rsidRPr="00606F29" w:rsidRDefault="00787964" w:rsidP="00E00CF1">
            <w:pPr>
              <w:rPr>
                <w:sz w:val="20"/>
                <w:szCs w:val="20"/>
              </w:rPr>
            </w:pPr>
          </w:p>
        </w:tc>
        <w:tc>
          <w:tcPr>
            <w:tcW w:w="2917" w:type="dxa"/>
          </w:tcPr>
          <w:p w:rsidR="00787964" w:rsidRPr="00606F29" w:rsidRDefault="00D8058F" w:rsidP="00E00CF1">
            <w:pPr>
              <w:rPr>
                <w:rFonts w:cs="Times New Roman"/>
                <w:sz w:val="20"/>
              </w:rPr>
            </w:pPr>
            <w:r w:rsidRPr="00606F29">
              <w:rPr>
                <w:rFonts w:cs="Times New Roman"/>
                <w:sz w:val="20"/>
              </w:rPr>
              <w:t>Shaw Communications Inc.</w:t>
            </w:r>
          </w:p>
        </w:tc>
        <w:tc>
          <w:tcPr>
            <w:tcW w:w="1137" w:type="dxa"/>
          </w:tcPr>
          <w:p w:rsidR="00787964" w:rsidRPr="00606F29" w:rsidRDefault="00787964" w:rsidP="00E00CF1">
            <w:pPr>
              <w:rPr>
                <w:sz w:val="20"/>
                <w:szCs w:val="20"/>
                <w:lang w:val="en-US"/>
              </w:rPr>
            </w:pPr>
          </w:p>
        </w:tc>
        <w:tc>
          <w:tcPr>
            <w:tcW w:w="4219" w:type="dxa"/>
          </w:tcPr>
          <w:p w:rsidR="00787964" w:rsidRPr="00606F29" w:rsidRDefault="00787964" w:rsidP="00E00CF1">
            <w:pPr>
              <w:rPr>
                <w:sz w:val="20"/>
                <w:szCs w:val="20"/>
                <w:lang w:val="en-US"/>
              </w:rPr>
            </w:pPr>
          </w:p>
        </w:tc>
      </w:tr>
      <w:tr w:rsidR="00D8058F" w:rsidRPr="00606F29" w:rsidTr="00E00CF1">
        <w:trPr>
          <w:trHeight w:val="360"/>
        </w:trPr>
        <w:tc>
          <w:tcPr>
            <w:tcW w:w="1346" w:type="dxa"/>
          </w:tcPr>
          <w:p w:rsidR="00D8058F" w:rsidRPr="00606F29" w:rsidRDefault="00D8058F" w:rsidP="00E00CF1">
            <w:pPr>
              <w:rPr>
                <w:sz w:val="20"/>
                <w:szCs w:val="20"/>
              </w:rPr>
            </w:pPr>
          </w:p>
        </w:tc>
        <w:tc>
          <w:tcPr>
            <w:tcW w:w="2917" w:type="dxa"/>
          </w:tcPr>
          <w:p w:rsidR="00D8058F" w:rsidRPr="00606F29" w:rsidRDefault="00D8058F" w:rsidP="00E00CF1">
            <w:pPr>
              <w:rPr>
                <w:rFonts w:cs="Times New Roman"/>
                <w:sz w:val="20"/>
              </w:rPr>
            </w:pPr>
            <w:proofErr w:type="spellStart"/>
            <w:r w:rsidRPr="00606F29">
              <w:rPr>
                <w:rFonts w:cs="Times New Roman"/>
                <w:sz w:val="20"/>
              </w:rPr>
              <w:t>TekSavvy</w:t>
            </w:r>
            <w:proofErr w:type="spellEnd"/>
            <w:r w:rsidRPr="00606F29">
              <w:rPr>
                <w:rFonts w:cs="Times New Roman"/>
                <w:sz w:val="20"/>
              </w:rPr>
              <w:t xml:space="preserve"> Solutions Inc.</w:t>
            </w:r>
          </w:p>
        </w:tc>
        <w:tc>
          <w:tcPr>
            <w:tcW w:w="1137" w:type="dxa"/>
          </w:tcPr>
          <w:p w:rsidR="00D8058F" w:rsidRPr="00606F29" w:rsidRDefault="00D8058F" w:rsidP="00E00CF1">
            <w:pPr>
              <w:rPr>
                <w:sz w:val="20"/>
                <w:szCs w:val="20"/>
                <w:lang w:val="en-US"/>
              </w:rPr>
            </w:pPr>
          </w:p>
        </w:tc>
        <w:tc>
          <w:tcPr>
            <w:tcW w:w="4219" w:type="dxa"/>
          </w:tcPr>
          <w:p w:rsidR="00D8058F" w:rsidRPr="00606F29" w:rsidRDefault="00D8058F" w:rsidP="00E00CF1">
            <w:pPr>
              <w:rPr>
                <w:sz w:val="20"/>
                <w:szCs w:val="20"/>
                <w:lang w:val="en-US"/>
              </w:rPr>
            </w:pPr>
          </w:p>
        </w:tc>
      </w:tr>
      <w:tr w:rsidR="00D8058F" w:rsidRPr="00606F29" w:rsidTr="00D8058F">
        <w:trPr>
          <w:trHeight w:val="900"/>
        </w:trPr>
        <w:tc>
          <w:tcPr>
            <w:tcW w:w="1346" w:type="dxa"/>
          </w:tcPr>
          <w:p w:rsidR="00D8058F" w:rsidRPr="00606F29" w:rsidRDefault="00D8058F" w:rsidP="00E00CF1">
            <w:pPr>
              <w:rPr>
                <w:sz w:val="20"/>
                <w:szCs w:val="20"/>
              </w:rPr>
            </w:pPr>
          </w:p>
        </w:tc>
        <w:tc>
          <w:tcPr>
            <w:tcW w:w="2917" w:type="dxa"/>
          </w:tcPr>
          <w:p w:rsidR="00D8058F" w:rsidRPr="00606F29" w:rsidRDefault="00D8058F" w:rsidP="00E00CF1">
            <w:pPr>
              <w:rPr>
                <w:rFonts w:cs="Times New Roman"/>
                <w:sz w:val="20"/>
              </w:rPr>
            </w:pPr>
            <w:r w:rsidRPr="00606F29">
              <w:rPr>
                <w:rFonts w:cs="Times New Roman"/>
                <w:sz w:val="20"/>
              </w:rPr>
              <w:t xml:space="preserve">Telus Communications Inc. and </w:t>
            </w:r>
            <w:proofErr w:type="spellStart"/>
            <w:r w:rsidRPr="00606F29">
              <w:rPr>
                <w:rFonts w:cs="Times New Roman"/>
                <w:sz w:val="20"/>
              </w:rPr>
              <w:t>Xplornet</w:t>
            </w:r>
            <w:proofErr w:type="spellEnd"/>
            <w:r w:rsidRPr="00606F29">
              <w:rPr>
                <w:rFonts w:cs="Times New Roman"/>
                <w:sz w:val="20"/>
              </w:rPr>
              <w:t xml:space="preserve"> Communications Inc. (jointly)</w:t>
            </w:r>
          </w:p>
        </w:tc>
        <w:tc>
          <w:tcPr>
            <w:tcW w:w="1137" w:type="dxa"/>
          </w:tcPr>
          <w:p w:rsidR="00D8058F" w:rsidRPr="00606F29" w:rsidRDefault="00D8058F" w:rsidP="00E00CF1">
            <w:pPr>
              <w:rPr>
                <w:sz w:val="20"/>
                <w:szCs w:val="20"/>
                <w:lang w:val="en-US"/>
              </w:rPr>
            </w:pPr>
          </w:p>
        </w:tc>
        <w:tc>
          <w:tcPr>
            <w:tcW w:w="4219" w:type="dxa"/>
          </w:tcPr>
          <w:p w:rsidR="00D8058F" w:rsidRPr="00606F29" w:rsidRDefault="00D8058F" w:rsidP="00E00CF1">
            <w:pPr>
              <w:rPr>
                <w:sz w:val="20"/>
                <w:szCs w:val="20"/>
                <w:lang w:val="en-US"/>
              </w:rPr>
            </w:pPr>
          </w:p>
        </w:tc>
      </w:tr>
      <w:tr w:rsidR="00787964" w:rsidRPr="00606F29" w:rsidTr="00E00CF1">
        <w:tc>
          <w:tcPr>
            <w:tcW w:w="1346" w:type="dxa"/>
          </w:tcPr>
          <w:p w:rsidR="00787964" w:rsidRPr="00606F29" w:rsidRDefault="00787964" w:rsidP="00E00CF1">
            <w:pPr>
              <w:rPr>
                <w:sz w:val="20"/>
                <w:szCs w:val="20"/>
              </w:rPr>
            </w:pPr>
            <w:r w:rsidRPr="00606F29">
              <w:rPr>
                <w:sz w:val="20"/>
                <w:szCs w:val="20"/>
              </w:rPr>
              <w:t>IN / DANS :</w:t>
            </w:r>
          </w:p>
        </w:tc>
        <w:tc>
          <w:tcPr>
            <w:tcW w:w="2917" w:type="dxa"/>
          </w:tcPr>
          <w:p w:rsidR="00787964" w:rsidRPr="00606F29" w:rsidRDefault="00D8058F" w:rsidP="00E00CF1">
            <w:pPr>
              <w:tabs>
                <w:tab w:val="left" w:pos="-1440"/>
                <w:tab w:val="left" w:pos="-720"/>
              </w:tabs>
              <w:jc w:val="both"/>
              <w:rPr>
                <w:sz w:val="20"/>
                <w:lang w:val="fr-CA"/>
              </w:rPr>
            </w:pPr>
            <w:r w:rsidRPr="00606F29">
              <w:rPr>
                <w:sz w:val="20"/>
                <w:lang w:val="fr-CA"/>
              </w:rPr>
              <w:t>Rogers Communications Inc.</w:t>
            </w:r>
          </w:p>
          <w:p w:rsidR="00787964" w:rsidRPr="00606F29" w:rsidRDefault="00787964" w:rsidP="00E00CF1">
            <w:pPr>
              <w:tabs>
                <w:tab w:val="left" w:pos="-1440"/>
                <w:tab w:val="left" w:pos="-720"/>
              </w:tabs>
              <w:jc w:val="both"/>
              <w:rPr>
                <w:sz w:val="20"/>
                <w:lang w:val="fr-CA"/>
              </w:rPr>
            </w:pPr>
          </w:p>
          <w:p w:rsidR="00787964" w:rsidRPr="00606F29" w:rsidRDefault="00787964" w:rsidP="00E00CF1">
            <w:pPr>
              <w:tabs>
                <w:tab w:val="left" w:pos="-1440"/>
                <w:tab w:val="left" w:pos="-720"/>
              </w:tabs>
              <w:jc w:val="both"/>
              <w:rPr>
                <w:sz w:val="20"/>
                <w:lang w:val="fr-CA"/>
              </w:rPr>
            </w:pPr>
            <w:r w:rsidRPr="00606F29">
              <w:rPr>
                <w:sz w:val="20"/>
                <w:lang w:val="fr-CA"/>
              </w:rPr>
              <w:tab/>
              <w:t>v. (</w:t>
            </w:r>
            <w:r w:rsidR="00D8058F" w:rsidRPr="00606F29">
              <w:rPr>
                <w:sz w:val="20"/>
                <w:lang w:val="fr-CA"/>
              </w:rPr>
              <w:t>37679</w:t>
            </w:r>
            <w:r w:rsidRPr="00606F29">
              <w:rPr>
                <w:sz w:val="20"/>
                <w:lang w:val="fr-CA"/>
              </w:rPr>
              <w:t>)</w:t>
            </w:r>
          </w:p>
          <w:p w:rsidR="00787964" w:rsidRPr="00606F29" w:rsidRDefault="00787964" w:rsidP="00E00CF1">
            <w:pPr>
              <w:tabs>
                <w:tab w:val="left" w:pos="-1440"/>
                <w:tab w:val="left" w:pos="-720"/>
              </w:tabs>
              <w:jc w:val="both"/>
              <w:rPr>
                <w:sz w:val="20"/>
                <w:lang w:val="fr-CA"/>
              </w:rPr>
            </w:pPr>
          </w:p>
          <w:p w:rsidR="00787964" w:rsidRPr="00606F29" w:rsidRDefault="00D8058F" w:rsidP="00D8058F">
            <w:pPr>
              <w:rPr>
                <w:sz w:val="20"/>
                <w:szCs w:val="20"/>
                <w:lang w:val="en-US"/>
              </w:rPr>
            </w:pPr>
            <w:r w:rsidRPr="00606F29">
              <w:rPr>
                <w:sz w:val="20"/>
                <w:lang w:val="fr-CA"/>
              </w:rPr>
              <w:t xml:space="preserve">Voltage </w:t>
            </w:r>
            <w:proofErr w:type="spellStart"/>
            <w:r w:rsidRPr="00606F29">
              <w:rPr>
                <w:sz w:val="20"/>
                <w:lang w:val="fr-CA"/>
              </w:rPr>
              <w:t>Pictures</w:t>
            </w:r>
            <w:proofErr w:type="spellEnd"/>
            <w:r w:rsidRPr="00606F29">
              <w:rPr>
                <w:sz w:val="20"/>
                <w:lang w:val="fr-CA"/>
              </w:rPr>
              <w:t>, LLC et al.</w:t>
            </w:r>
            <w:r w:rsidR="00787964" w:rsidRPr="00606F29">
              <w:rPr>
                <w:sz w:val="20"/>
                <w:lang w:val="fr-CA"/>
              </w:rPr>
              <w:t xml:space="preserve"> </w:t>
            </w:r>
            <w:r w:rsidR="00787964" w:rsidRPr="00606F29">
              <w:rPr>
                <w:sz w:val="20"/>
                <w:lang w:val="en-US"/>
              </w:rPr>
              <w:t>(</w:t>
            </w:r>
            <w:r w:rsidRPr="00606F29">
              <w:rPr>
                <w:sz w:val="20"/>
                <w:lang w:val="en-US"/>
              </w:rPr>
              <w:t>F.C.)</w:t>
            </w:r>
          </w:p>
        </w:tc>
        <w:tc>
          <w:tcPr>
            <w:tcW w:w="1137" w:type="dxa"/>
          </w:tcPr>
          <w:p w:rsidR="00787964" w:rsidRPr="00606F29" w:rsidRDefault="00787964" w:rsidP="00E00CF1">
            <w:pPr>
              <w:rPr>
                <w:sz w:val="20"/>
                <w:szCs w:val="20"/>
                <w:lang w:val="en-US"/>
              </w:rPr>
            </w:pPr>
          </w:p>
        </w:tc>
        <w:tc>
          <w:tcPr>
            <w:tcW w:w="4219" w:type="dxa"/>
          </w:tcPr>
          <w:p w:rsidR="00787964" w:rsidRPr="00606F29" w:rsidRDefault="00787964" w:rsidP="00E00CF1">
            <w:pPr>
              <w:rPr>
                <w:sz w:val="20"/>
                <w:szCs w:val="20"/>
                <w:lang w:val="en-US"/>
              </w:rPr>
            </w:pPr>
          </w:p>
        </w:tc>
      </w:tr>
    </w:tbl>
    <w:p w:rsidR="00787964" w:rsidRPr="00606F29" w:rsidRDefault="00787964" w:rsidP="00787964">
      <w:pPr>
        <w:tabs>
          <w:tab w:val="left" w:pos="-1440"/>
          <w:tab w:val="left" w:pos="-720"/>
        </w:tabs>
        <w:jc w:val="both"/>
        <w:rPr>
          <w:rFonts w:eastAsia="Times New Roman" w:cs="Times New Roman"/>
          <w:b/>
          <w:sz w:val="20"/>
          <w:szCs w:val="20"/>
          <w:lang w:val="en-US" w:eastAsia="en-CA"/>
        </w:rPr>
      </w:pPr>
    </w:p>
    <w:p w:rsidR="00787964" w:rsidRPr="00606F29" w:rsidRDefault="00787964" w:rsidP="00787964">
      <w:pPr>
        <w:rPr>
          <w:rFonts w:eastAsia="Times New Roman" w:cs="Times New Roman"/>
          <w:b/>
          <w:sz w:val="20"/>
          <w:szCs w:val="20"/>
          <w:lang w:val="en-US" w:eastAsia="en-CA"/>
        </w:rPr>
      </w:pPr>
      <w:r w:rsidRPr="00606F29">
        <w:rPr>
          <w:rFonts w:eastAsia="Times New Roman" w:cs="Times New Roman"/>
          <w:b/>
          <w:sz w:val="20"/>
          <w:szCs w:val="20"/>
          <w:lang w:val="en-US" w:eastAsia="en-CA"/>
        </w:rPr>
        <w:t>ALLOWED / ACCUEILLIE</w:t>
      </w:r>
    </w:p>
    <w:p w:rsidR="00787964" w:rsidRPr="00606F29" w:rsidRDefault="00787964" w:rsidP="00787964">
      <w:pPr>
        <w:tabs>
          <w:tab w:val="left" w:pos="-1440"/>
          <w:tab w:val="left" w:pos="-720"/>
        </w:tabs>
        <w:jc w:val="both"/>
        <w:rPr>
          <w:rFonts w:eastAsia="Times New Roman" w:cs="Times New Roman"/>
          <w:sz w:val="20"/>
          <w:szCs w:val="20"/>
          <w:lang w:val="en-US" w:eastAsia="en-CA"/>
        </w:rPr>
      </w:pPr>
    </w:p>
    <w:p w:rsidR="00D8058F" w:rsidRPr="00606F29" w:rsidRDefault="00D8058F" w:rsidP="00D8058F">
      <w:pPr>
        <w:spacing w:line="233" w:lineRule="auto"/>
        <w:rPr>
          <w:rFonts w:cs="Times New Roman"/>
          <w:sz w:val="20"/>
          <w:szCs w:val="20"/>
        </w:rPr>
      </w:pPr>
      <w:r w:rsidRPr="00606F29">
        <w:rPr>
          <w:rFonts w:cs="Times New Roman"/>
          <w:b/>
          <w:bCs/>
          <w:sz w:val="20"/>
          <w:szCs w:val="20"/>
        </w:rPr>
        <w:t xml:space="preserve">UPON APPLICATIONS </w:t>
      </w:r>
      <w:r w:rsidRPr="00606F29">
        <w:rPr>
          <w:rFonts w:cs="Times New Roman"/>
          <w:sz w:val="20"/>
          <w:szCs w:val="20"/>
        </w:rPr>
        <w:t>by the Samuelson-</w:t>
      </w:r>
      <w:proofErr w:type="spellStart"/>
      <w:r w:rsidRPr="00606F29">
        <w:rPr>
          <w:rFonts w:cs="Times New Roman"/>
          <w:sz w:val="20"/>
          <w:szCs w:val="20"/>
        </w:rPr>
        <w:t>Glushko</w:t>
      </w:r>
      <w:proofErr w:type="spellEnd"/>
      <w:r w:rsidRPr="00606F29">
        <w:rPr>
          <w:rFonts w:cs="Times New Roman"/>
          <w:sz w:val="20"/>
          <w:szCs w:val="20"/>
        </w:rPr>
        <w:t xml:space="preserve"> Canadian Internet Policy and Public Interest Clinic and by Bell Canada Inc., the Canadian Network Operators Consortium Inc., </w:t>
      </w:r>
      <w:proofErr w:type="spellStart"/>
      <w:r w:rsidRPr="00606F29">
        <w:rPr>
          <w:rFonts w:cs="Times New Roman"/>
          <w:sz w:val="20"/>
          <w:szCs w:val="20"/>
        </w:rPr>
        <w:t>Cogeco</w:t>
      </w:r>
      <w:proofErr w:type="spellEnd"/>
      <w:r w:rsidRPr="00606F29">
        <w:rPr>
          <w:rFonts w:cs="Times New Roman"/>
          <w:sz w:val="20"/>
          <w:szCs w:val="20"/>
        </w:rPr>
        <w:t xml:space="preserve"> Inc., Quebecor Media Inc., the Saskatchewan Telecommunications Holding Corporation, Shaw Communications Inc., </w:t>
      </w:r>
      <w:proofErr w:type="spellStart"/>
      <w:r w:rsidRPr="00606F29">
        <w:rPr>
          <w:rFonts w:cs="Times New Roman"/>
          <w:sz w:val="20"/>
          <w:szCs w:val="20"/>
        </w:rPr>
        <w:t>TekSavvy</w:t>
      </w:r>
      <w:proofErr w:type="spellEnd"/>
      <w:r w:rsidRPr="00606F29">
        <w:rPr>
          <w:rFonts w:cs="Times New Roman"/>
          <w:sz w:val="20"/>
          <w:szCs w:val="20"/>
        </w:rPr>
        <w:t xml:space="preserve"> Solutions Inc., Telus Communications Inc. and </w:t>
      </w:r>
      <w:proofErr w:type="spellStart"/>
      <w:r w:rsidRPr="00606F29">
        <w:rPr>
          <w:rFonts w:cs="Times New Roman"/>
          <w:sz w:val="20"/>
          <w:szCs w:val="20"/>
        </w:rPr>
        <w:t>Xplornet</w:t>
      </w:r>
      <w:proofErr w:type="spellEnd"/>
      <w:r w:rsidRPr="00606F29">
        <w:rPr>
          <w:rFonts w:cs="Times New Roman"/>
          <w:sz w:val="20"/>
          <w:szCs w:val="20"/>
        </w:rPr>
        <w:t xml:space="preserve"> Communications Inc. (jointly) for leave to intervene in the above appeal;</w:t>
      </w:r>
    </w:p>
    <w:p w:rsidR="00D8058F" w:rsidRPr="00606F29" w:rsidRDefault="00D8058F" w:rsidP="00D8058F">
      <w:pPr>
        <w:spacing w:line="233" w:lineRule="auto"/>
        <w:rPr>
          <w:rFonts w:cs="Times New Roman"/>
          <w:sz w:val="20"/>
          <w:szCs w:val="20"/>
        </w:rPr>
      </w:pPr>
    </w:p>
    <w:p w:rsidR="00D8058F" w:rsidRPr="00606F29" w:rsidRDefault="00D8058F" w:rsidP="00D8058F">
      <w:pPr>
        <w:spacing w:line="233" w:lineRule="auto"/>
        <w:rPr>
          <w:rFonts w:cs="Times New Roman"/>
          <w:sz w:val="20"/>
          <w:szCs w:val="20"/>
        </w:rPr>
      </w:pPr>
      <w:r w:rsidRPr="00606F29">
        <w:rPr>
          <w:rFonts w:cs="Times New Roman"/>
          <w:b/>
          <w:bCs/>
          <w:sz w:val="20"/>
          <w:szCs w:val="20"/>
        </w:rPr>
        <w:t>AND THE MATERIAL FILED</w:t>
      </w:r>
      <w:r w:rsidRPr="00606F29">
        <w:rPr>
          <w:rFonts w:cs="Times New Roman"/>
          <w:sz w:val="20"/>
          <w:szCs w:val="20"/>
        </w:rPr>
        <w:t xml:space="preserve"> having been read;</w:t>
      </w:r>
    </w:p>
    <w:p w:rsidR="00D8058F" w:rsidRPr="00606F29" w:rsidRDefault="00D8058F" w:rsidP="00D8058F">
      <w:pPr>
        <w:spacing w:line="233" w:lineRule="auto"/>
        <w:jc w:val="center"/>
        <w:rPr>
          <w:rFonts w:cs="Times New Roman"/>
          <w:sz w:val="20"/>
          <w:szCs w:val="20"/>
        </w:rPr>
      </w:pPr>
    </w:p>
    <w:p w:rsidR="00D8058F" w:rsidRPr="00606F29" w:rsidRDefault="00D8058F" w:rsidP="00D8058F">
      <w:pPr>
        <w:spacing w:line="233" w:lineRule="auto"/>
        <w:rPr>
          <w:rFonts w:cs="Times New Roman"/>
          <w:b/>
          <w:bCs/>
          <w:sz w:val="20"/>
          <w:szCs w:val="20"/>
        </w:rPr>
      </w:pPr>
      <w:r w:rsidRPr="00606F29">
        <w:rPr>
          <w:rFonts w:cs="Times New Roman"/>
          <w:b/>
          <w:bCs/>
          <w:sz w:val="20"/>
          <w:szCs w:val="20"/>
        </w:rPr>
        <w:t>IT IS HEREBY ORDERED THAT:</w:t>
      </w:r>
    </w:p>
    <w:p w:rsidR="00D8058F" w:rsidRPr="00606F29" w:rsidRDefault="00D8058F" w:rsidP="00D8058F">
      <w:pPr>
        <w:spacing w:line="233" w:lineRule="auto"/>
        <w:rPr>
          <w:rFonts w:cs="Times New Roman"/>
          <w:sz w:val="20"/>
          <w:szCs w:val="20"/>
        </w:rPr>
      </w:pPr>
    </w:p>
    <w:p w:rsidR="00D8058F" w:rsidRPr="00606F29" w:rsidRDefault="00D8058F" w:rsidP="00D8058F">
      <w:pPr>
        <w:spacing w:line="233" w:lineRule="auto"/>
        <w:rPr>
          <w:rFonts w:cs="Times New Roman"/>
          <w:sz w:val="20"/>
          <w:szCs w:val="20"/>
        </w:rPr>
      </w:pPr>
      <w:r w:rsidRPr="00606F29">
        <w:rPr>
          <w:rFonts w:cs="Times New Roman"/>
          <w:sz w:val="20"/>
          <w:szCs w:val="20"/>
        </w:rPr>
        <w:t>The two motions for leave to intervene are granted and the single and joint interveners are each entitled to serve and file a factum not exceeding ten (10) pages in length on or before April 18, 2018.</w:t>
      </w:r>
    </w:p>
    <w:p w:rsidR="00D8058F" w:rsidRPr="00606F29" w:rsidRDefault="00D8058F" w:rsidP="00D8058F">
      <w:pPr>
        <w:spacing w:line="233" w:lineRule="auto"/>
        <w:rPr>
          <w:rFonts w:cs="Times New Roman"/>
          <w:sz w:val="20"/>
          <w:szCs w:val="20"/>
        </w:rPr>
      </w:pPr>
    </w:p>
    <w:p w:rsidR="00D8058F" w:rsidRPr="00606F29" w:rsidRDefault="00D8058F" w:rsidP="00D8058F">
      <w:pPr>
        <w:spacing w:line="228" w:lineRule="auto"/>
        <w:rPr>
          <w:rFonts w:cs="Times New Roman"/>
          <w:sz w:val="20"/>
          <w:szCs w:val="20"/>
        </w:rPr>
      </w:pPr>
      <w:r w:rsidRPr="00606F29">
        <w:rPr>
          <w:rFonts w:cs="Times New Roman"/>
          <w:bCs/>
          <w:sz w:val="20"/>
          <w:szCs w:val="20"/>
        </w:rPr>
        <w:t xml:space="preserve">The </w:t>
      </w:r>
      <w:r w:rsidRPr="00606F29">
        <w:rPr>
          <w:rFonts w:cs="Times New Roman"/>
          <w:sz w:val="20"/>
          <w:szCs w:val="20"/>
        </w:rPr>
        <w:t>single and joint interveners are each granted permission to present oral argument not exceeding five (5) minutes at the hearing of the appeal.</w:t>
      </w:r>
    </w:p>
    <w:p w:rsidR="00D8058F" w:rsidRPr="00606F29" w:rsidRDefault="00D8058F" w:rsidP="00D8058F">
      <w:pPr>
        <w:spacing w:line="228" w:lineRule="auto"/>
        <w:rPr>
          <w:rFonts w:cs="Times New Roman"/>
          <w:sz w:val="20"/>
          <w:szCs w:val="20"/>
        </w:rPr>
      </w:pPr>
    </w:p>
    <w:p w:rsidR="00D8058F" w:rsidRPr="00606F29" w:rsidRDefault="00D8058F" w:rsidP="00D8058F">
      <w:pPr>
        <w:spacing w:line="228" w:lineRule="auto"/>
        <w:rPr>
          <w:rFonts w:cs="Times New Roman"/>
          <w:sz w:val="20"/>
          <w:szCs w:val="20"/>
        </w:rPr>
      </w:pPr>
      <w:r w:rsidRPr="00606F29">
        <w:rPr>
          <w:rFonts w:cs="Times New Roman"/>
          <w:sz w:val="20"/>
          <w:szCs w:val="20"/>
        </w:rPr>
        <w:t>The respondents are granted permission to file a reply factum not to exceed ten (10) pages in length on or before April 24, 2018.</w:t>
      </w:r>
    </w:p>
    <w:p w:rsidR="00D8058F" w:rsidRPr="00606F29" w:rsidRDefault="00D8058F" w:rsidP="00D8058F">
      <w:pPr>
        <w:spacing w:line="228" w:lineRule="auto"/>
        <w:rPr>
          <w:rFonts w:cs="Times New Roman"/>
          <w:sz w:val="20"/>
          <w:szCs w:val="20"/>
        </w:rPr>
      </w:pPr>
    </w:p>
    <w:p w:rsidR="00D8058F" w:rsidRPr="00606F29" w:rsidRDefault="00D8058F" w:rsidP="00D8058F">
      <w:pPr>
        <w:spacing w:line="233" w:lineRule="auto"/>
        <w:rPr>
          <w:rFonts w:cs="Times New Roman"/>
          <w:sz w:val="20"/>
          <w:szCs w:val="20"/>
        </w:rPr>
      </w:pPr>
      <w:r w:rsidRPr="00606F29">
        <w:rPr>
          <w:rFonts w:cs="Times New Roman"/>
          <w:sz w:val="20"/>
          <w:szCs w:val="20"/>
        </w:rPr>
        <w:t xml:space="preserve">The interveners are not entitled to raise new issues or to adduce further evidence or otherwise to supplement the record of the parties. </w:t>
      </w:r>
    </w:p>
    <w:p w:rsidR="00D8058F" w:rsidRPr="00606F29" w:rsidRDefault="00D8058F" w:rsidP="00D8058F">
      <w:pPr>
        <w:spacing w:line="233" w:lineRule="auto"/>
        <w:rPr>
          <w:rFonts w:cs="Times New Roman"/>
          <w:sz w:val="20"/>
          <w:szCs w:val="20"/>
        </w:rPr>
      </w:pPr>
    </w:p>
    <w:p w:rsidR="00D8058F" w:rsidRPr="00606F29" w:rsidRDefault="00D8058F" w:rsidP="00D8058F">
      <w:pPr>
        <w:spacing w:line="233" w:lineRule="auto"/>
        <w:rPr>
          <w:rFonts w:cs="Times New Roman"/>
          <w:sz w:val="20"/>
          <w:szCs w:val="20"/>
        </w:rPr>
      </w:pPr>
      <w:r w:rsidRPr="00606F29">
        <w:rPr>
          <w:rFonts w:cs="Times New Roman"/>
          <w:sz w:val="20"/>
          <w:szCs w:val="20"/>
        </w:rPr>
        <w:lastRenderedPageBreak/>
        <w:t>Pursuant to Rule 59(1</w:t>
      </w:r>
      <w:proofErr w:type="gramStart"/>
      <w:r w:rsidRPr="00606F29">
        <w:rPr>
          <w:rFonts w:cs="Times New Roman"/>
          <w:sz w:val="20"/>
          <w:szCs w:val="20"/>
        </w:rPr>
        <w:t>)(</w:t>
      </w:r>
      <w:proofErr w:type="gramEnd"/>
      <w:r w:rsidRPr="00606F29">
        <w:rPr>
          <w:rFonts w:cs="Times New Roman"/>
          <w:i/>
          <w:iCs/>
          <w:sz w:val="20"/>
          <w:szCs w:val="20"/>
        </w:rPr>
        <w:t>a</w:t>
      </w:r>
      <w:r w:rsidRPr="00606F29">
        <w:rPr>
          <w:rFonts w:cs="Times New Roman"/>
          <w:sz w:val="20"/>
          <w:szCs w:val="20"/>
        </w:rPr>
        <w:t xml:space="preserve">) of the </w:t>
      </w:r>
      <w:r w:rsidRPr="00606F29">
        <w:rPr>
          <w:rFonts w:cs="Times New Roman"/>
          <w:i/>
          <w:iCs/>
          <w:sz w:val="20"/>
          <w:szCs w:val="20"/>
        </w:rPr>
        <w:t>Rules of the Supreme Court of Canada</w:t>
      </w:r>
      <w:r w:rsidRPr="00606F29">
        <w:rPr>
          <w:rFonts w:cs="Times New Roman"/>
          <w:sz w:val="20"/>
          <w:szCs w:val="20"/>
        </w:rPr>
        <w:t>, the interveners shall pay to the appellant and the respondents any additional disbursements resulting from their intervention.</w:t>
      </w:r>
    </w:p>
    <w:p w:rsidR="00D8058F" w:rsidRPr="00606F29" w:rsidRDefault="00D8058F" w:rsidP="00D8058F">
      <w:pPr>
        <w:spacing w:line="233" w:lineRule="auto"/>
        <w:rPr>
          <w:rFonts w:cs="Times New Roman"/>
          <w:sz w:val="20"/>
          <w:szCs w:val="20"/>
        </w:rPr>
      </w:pPr>
    </w:p>
    <w:p w:rsidR="00D8058F" w:rsidRPr="00606F29" w:rsidRDefault="00D8058F" w:rsidP="00D8058F">
      <w:pPr>
        <w:rPr>
          <w:rFonts w:cs="Times New Roman"/>
          <w:sz w:val="20"/>
          <w:szCs w:val="20"/>
        </w:rPr>
      </w:pPr>
    </w:p>
    <w:p w:rsidR="00D8058F" w:rsidRPr="00606F29" w:rsidRDefault="00D8058F" w:rsidP="00D8058F">
      <w:pPr>
        <w:rPr>
          <w:rFonts w:cs="Times New Roman"/>
          <w:sz w:val="20"/>
          <w:szCs w:val="20"/>
          <w:lang w:val="fr-CA"/>
        </w:rPr>
      </w:pPr>
      <w:r w:rsidRPr="00606F29">
        <w:rPr>
          <w:rFonts w:cs="Times New Roman"/>
          <w:b/>
          <w:sz w:val="20"/>
          <w:szCs w:val="20"/>
          <w:lang w:val="fr-CA"/>
        </w:rPr>
        <w:t>À LA SUITE DES DEMANDES</w:t>
      </w:r>
      <w:r w:rsidRPr="00606F29">
        <w:rPr>
          <w:rFonts w:cs="Times New Roman"/>
          <w:sz w:val="20"/>
          <w:szCs w:val="20"/>
          <w:lang w:val="fr-CA"/>
        </w:rPr>
        <w:t xml:space="preserve"> présentées par la Clinique d’intérêt public et de politique d’internet du Canada Samuelson-</w:t>
      </w:r>
      <w:proofErr w:type="spellStart"/>
      <w:r w:rsidRPr="00606F29">
        <w:rPr>
          <w:rFonts w:cs="Times New Roman"/>
          <w:sz w:val="20"/>
          <w:szCs w:val="20"/>
          <w:lang w:val="fr-CA"/>
        </w:rPr>
        <w:t>Glushko</w:t>
      </w:r>
      <w:proofErr w:type="spellEnd"/>
      <w:r w:rsidRPr="00606F29">
        <w:rPr>
          <w:rFonts w:cs="Times New Roman"/>
          <w:sz w:val="20"/>
          <w:szCs w:val="20"/>
          <w:lang w:val="fr-CA"/>
        </w:rPr>
        <w:t xml:space="preserve"> et par Bell Canada Inc., le Consortium des Opérateurs de Réseaux Canadiens Inc., </w:t>
      </w:r>
      <w:proofErr w:type="spellStart"/>
      <w:r w:rsidRPr="00606F29">
        <w:rPr>
          <w:rFonts w:cs="Times New Roman"/>
          <w:sz w:val="20"/>
          <w:szCs w:val="20"/>
          <w:lang w:val="fr-CA"/>
        </w:rPr>
        <w:t>Cogeco</w:t>
      </w:r>
      <w:proofErr w:type="spellEnd"/>
      <w:r w:rsidRPr="00606F29">
        <w:rPr>
          <w:rFonts w:cs="Times New Roman"/>
          <w:sz w:val="20"/>
          <w:szCs w:val="20"/>
          <w:lang w:val="fr-CA"/>
        </w:rPr>
        <w:t xml:space="preserve"> Inc., </w:t>
      </w:r>
      <w:proofErr w:type="spellStart"/>
      <w:r w:rsidRPr="00606F29">
        <w:rPr>
          <w:rFonts w:cs="Times New Roman"/>
          <w:sz w:val="20"/>
          <w:szCs w:val="20"/>
          <w:lang w:val="fr-CA"/>
        </w:rPr>
        <w:t>Québecor</w:t>
      </w:r>
      <w:proofErr w:type="spellEnd"/>
      <w:r w:rsidRPr="00606F29">
        <w:rPr>
          <w:rFonts w:cs="Times New Roman"/>
          <w:sz w:val="20"/>
          <w:szCs w:val="20"/>
          <w:lang w:val="fr-CA"/>
        </w:rPr>
        <w:t xml:space="preserve"> Média Inc., la Saskatchewan </w:t>
      </w:r>
      <w:proofErr w:type="spellStart"/>
      <w:r w:rsidRPr="00606F29">
        <w:rPr>
          <w:rFonts w:cs="Times New Roman"/>
          <w:sz w:val="20"/>
          <w:szCs w:val="20"/>
          <w:lang w:val="fr-CA"/>
        </w:rPr>
        <w:t>Telecommunications</w:t>
      </w:r>
      <w:proofErr w:type="spellEnd"/>
      <w:r w:rsidRPr="00606F29">
        <w:rPr>
          <w:rFonts w:cs="Times New Roman"/>
          <w:sz w:val="20"/>
          <w:szCs w:val="20"/>
          <w:lang w:val="fr-CA"/>
        </w:rPr>
        <w:t xml:space="preserve"> Holding Corporation, Shaw Communications Inc., </w:t>
      </w:r>
      <w:proofErr w:type="spellStart"/>
      <w:r w:rsidRPr="00606F29">
        <w:rPr>
          <w:rFonts w:cs="Times New Roman"/>
          <w:sz w:val="20"/>
          <w:szCs w:val="20"/>
          <w:lang w:val="fr-CA"/>
        </w:rPr>
        <w:t>TekSavvy</w:t>
      </w:r>
      <w:proofErr w:type="spellEnd"/>
      <w:r w:rsidRPr="00606F29">
        <w:rPr>
          <w:rFonts w:cs="Times New Roman"/>
          <w:sz w:val="20"/>
          <w:szCs w:val="20"/>
          <w:lang w:val="fr-CA"/>
        </w:rPr>
        <w:t xml:space="preserve"> Solutions Inc., </w:t>
      </w:r>
      <w:proofErr w:type="spellStart"/>
      <w:r w:rsidRPr="00606F29">
        <w:rPr>
          <w:rFonts w:cs="Times New Roman"/>
          <w:sz w:val="20"/>
          <w:szCs w:val="20"/>
          <w:lang w:val="fr-CA"/>
        </w:rPr>
        <w:t>Telus</w:t>
      </w:r>
      <w:proofErr w:type="spellEnd"/>
      <w:r w:rsidRPr="00606F29">
        <w:rPr>
          <w:rFonts w:cs="Times New Roman"/>
          <w:sz w:val="20"/>
          <w:szCs w:val="20"/>
          <w:lang w:val="fr-CA"/>
        </w:rPr>
        <w:t xml:space="preserve"> Communications Inc. et </w:t>
      </w:r>
      <w:proofErr w:type="spellStart"/>
      <w:r w:rsidRPr="00606F29">
        <w:rPr>
          <w:rFonts w:cs="Times New Roman"/>
          <w:sz w:val="20"/>
          <w:szCs w:val="20"/>
          <w:lang w:val="fr-CA"/>
        </w:rPr>
        <w:t>Xplornet</w:t>
      </w:r>
      <w:proofErr w:type="spellEnd"/>
      <w:r w:rsidRPr="00606F29">
        <w:rPr>
          <w:rFonts w:cs="Times New Roman"/>
          <w:sz w:val="20"/>
          <w:szCs w:val="20"/>
          <w:lang w:val="fr-CA"/>
        </w:rPr>
        <w:t xml:space="preserve"> Communications Inc. (conjointement), en vue d’intervenir dans l’appel;</w:t>
      </w:r>
    </w:p>
    <w:p w:rsidR="00D8058F" w:rsidRPr="00606F29" w:rsidRDefault="00D8058F" w:rsidP="00D8058F">
      <w:pPr>
        <w:pStyle w:val="ListParagraph"/>
        <w:rPr>
          <w:rFonts w:cs="Times New Roman"/>
          <w:sz w:val="20"/>
          <w:szCs w:val="20"/>
          <w:lang w:val="fr-CA"/>
        </w:rPr>
      </w:pPr>
    </w:p>
    <w:p w:rsidR="00D8058F" w:rsidRPr="00606F29" w:rsidRDefault="00D8058F" w:rsidP="00D8058F">
      <w:pPr>
        <w:rPr>
          <w:rFonts w:cs="Times New Roman"/>
          <w:sz w:val="20"/>
          <w:szCs w:val="20"/>
          <w:lang w:val="fr-CA"/>
        </w:rPr>
      </w:pPr>
      <w:r w:rsidRPr="00606F29">
        <w:rPr>
          <w:rFonts w:cs="Times New Roman"/>
          <w:b/>
          <w:sz w:val="20"/>
          <w:szCs w:val="20"/>
          <w:lang w:val="fr-CA"/>
        </w:rPr>
        <w:t>ET APRÈS EXAMEN</w:t>
      </w:r>
      <w:r w:rsidRPr="00606F29">
        <w:rPr>
          <w:rFonts w:cs="Times New Roman"/>
          <w:sz w:val="20"/>
          <w:szCs w:val="20"/>
          <w:lang w:val="fr-CA"/>
        </w:rPr>
        <w:t xml:space="preserve"> des documents déposés;</w:t>
      </w:r>
    </w:p>
    <w:p w:rsidR="00D8058F" w:rsidRPr="00606F29" w:rsidRDefault="00D8058F" w:rsidP="00D8058F">
      <w:pPr>
        <w:pStyle w:val="ListParagraph"/>
        <w:rPr>
          <w:rFonts w:cs="Times New Roman"/>
          <w:sz w:val="20"/>
          <w:szCs w:val="20"/>
          <w:lang w:val="fr-CA"/>
        </w:rPr>
      </w:pPr>
    </w:p>
    <w:p w:rsidR="00D8058F" w:rsidRPr="00606F29" w:rsidRDefault="00D8058F" w:rsidP="00D8058F">
      <w:pPr>
        <w:rPr>
          <w:rFonts w:cs="Times New Roman"/>
          <w:b/>
          <w:sz w:val="20"/>
          <w:szCs w:val="20"/>
          <w:lang w:val="fr-CA"/>
        </w:rPr>
      </w:pPr>
      <w:r w:rsidRPr="00606F29">
        <w:rPr>
          <w:rFonts w:cs="Times New Roman"/>
          <w:b/>
          <w:sz w:val="20"/>
          <w:szCs w:val="20"/>
          <w:lang w:val="fr-CA"/>
        </w:rPr>
        <w:t>IL EST ORDONNÉ CE QUI SUIT :</w:t>
      </w:r>
    </w:p>
    <w:p w:rsidR="00D8058F" w:rsidRPr="00606F29" w:rsidRDefault="00D8058F" w:rsidP="00D8058F">
      <w:pPr>
        <w:pStyle w:val="ListParagraph"/>
        <w:rPr>
          <w:rFonts w:cs="Times New Roman"/>
          <w:sz w:val="20"/>
          <w:szCs w:val="20"/>
          <w:lang w:val="fr-CA"/>
        </w:rPr>
      </w:pPr>
    </w:p>
    <w:p w:rsidR="00D8058F" w:rsidRPr="00606F29" w:rsidRDefault="00D8058F" w:rsidP="00D8058F">
      <w:pPr>
        <w:rPr>
          <w:rFonts w:cs="Times New Roman"/>
          <w:sz w:val="20"/>
          <w:szCs w:val="20"/>
          <w:lang w:val="fr-CA"/>
        </w:rPr>
      </w:pPr>
      <w:r w:rsidRPr="00606F29">
        <w:rPr>
          <w:rFonts w:cs="Times New Roman"/>
          <w:sz w:val="20"/>
          <w:szCs w:val="20"/>
          <w:lang w:val="fr-CA"/>
        </w:rPr>
        <w:t>Les deux requêtes en autorisation d’intervenir sont accueillies et les intervenantes agissant seule, d’une part, ou conjointement, d’autre part, sont chacune autorisées à signifier et déposer un mémoire d’au plus dix (10) pages au plus tard le 18 avril 2018.</w:t>
      </w:r>
    </w:p>
    <w:p w:rsidR="00D8058F" w:rsidRPr="00606F29" w:rsidRDefault="00D8058F" w:rsidP="00D8058F">
      <w:pPr>
        <w:pStyle w:val="ListParagraph"/>
        <w:rPr>
          <w:rFonts w:cs="Times New Roman"/>
          <w:sz w:val="20"/>
          <w:szCs w:val="20"/>
          <w:lang w:val="fr-CA"/>
        </w:rPr>
      </w:pPr>
    </w:p>
    <w:p w:rsidR="00D8058F" w:rsidRPr="00606F29" w:rsidRDefault="00D8058F" w:rsidP="00D8058F">
      <w:pPr>
        <w:rPr>
          <w:rFonts w:cs="Times New Roman"/>
          <w:sz w:val="20"/>
          <w:szCs w:val="20"/>
          <w:lang w:val="fr-CA"/>
        </w:rPr>
      </w:pPr>
      <w:r w:rsidRPr="00606F29">
        <w:rPr>
          <w:rFonts w:cs="Times New Roman"/>
          <w:sz w:val="20"/>
          <w:szCs w:val="20"/>
          <w:lang w:val="fr-CA"/>
        </w:rPr>
        <w:t>Les intervenantes agissant seule, d’une part, ou conjointement, d’autre part, sont chacune autorisées à présenter une plaidoirie orale d’au plus cinq (5) minutes lors de l’audition de l’appel.</w:t>
      </w:r>
    </w:p>
    <w:p w:rsidR="00D8058F" w:rsidRPr="00606F29" w:rsidRDefault="00D8058F" w:rsidP="00D8058F">
      <w:pPr>
        <w:rPr>
          <w:rFonts w:cs="Times New Roman"/>
          <w:sz w:val="20"/>
          <w:szCs w:val="20"/>
          <w:lang w:val="fr-CA"/>
        </w:rPr>
      </w:pPr>
    </w:p>
    <w:p w:rsidR="00D8058F" w:rsidRPr="00606F29" w:rsidRDefault="00D8058F" w:rsidP="00D8058F">
      <w:pPr>
        <w:spacing w:line="233" w:lineRule="auto"/>
        <w:rPr>
          <w:rFonts w:cs="Times New Roman"/>
          <w:sz w:val="20"/>
          <w:szCs w:val="20"/>
          <w:lang w:val="fr-CA"/>
        </w:rPr>
      </w:pPr>
      <w:r w:rsidRPr="00606F29">
        <w:rPr>
          <w:rFonts w:cs="Times New Roman"/>
          <w:sz w:val="20"/>
          <w:szCs w:val="20"/>
          <w:lang w:val="fr-CA"/>
        </w:rPr>
        <w:t xml:space="preserve">Les intimées sont autorisées à déposer un mémoire en réplique d’au plus dix (10) pages au plus tard le 24 avril 2018. </w:t>
      </w:r>
    </w:p>
    <w:p w:rsidR="00D8058F" w:rsidRPr="00606F29" w:rsidRDefault="00D8058F" w:rsidP="00D8058F">
      <w:pPr>
        <w:spacing w:line="228" w:lineRule="auto"/>
        <w:rPr>
          <w:rFonts w:cs="Times New Roman"/>
          <w:sz w:val="20"/>
          <w:szCs w:val="20"/>
          <w:lang w:val="fr-CA"/>
        </w:rPr>
      </w:pPr>
    </w:p>
    <w:p w:rsidR="00D8058F" w:rsidRPr="00606F29" w:rsidRDefault="00D8058F" w:rsidP="00D8058F">
      <w:pPr>
        <w:rPr>
          <w:rFonts w:cs="Times New Roman"/>
          <w:sz w:val="20"/>
          <w:szCs w:val="20"/>
          <w:lang w:val="fr-CA"/>
        </w:rPr>
      </w:pPr>
      <w:r w:rsidRPr="00606F29">
        <w:rPr>
          <w:rFonts w:cs="Times New Roman"/>
          <w:sz w:val="20"/>
          <w:szCs w:val="20"/>
          <w:lang w:val="fr-CA"/>
        </w:rPr>
        <w:t>Les intervenantes n’ont pas le droit de soulever de nouvelles questions, de produire d’autres éléments de preuve ni de compléter de quelque autre façon le dossier des parties.</w:t>
      </w:r>
    </w:p>
    <w:p w:rsidR="00D8058F" w:rsidRPr="00606F29" w:rsidRDefault="00D8058F" w:rsidP="00D8058F">
      <w:pPr>
        <w:pStyle w:val="ListParagraph"/>
        <w:rPr>
          <w:rFonts w:cs="Times New Roman"/>
          <w:sz w:val="20"/>
          <w:szCs w:val="20"/>
          <w:lang w:val="fr-CA"/>
        </w:rPr>
      </w:pPr>
    </w:p>
    <w:p w:rsidR="00D8058F" w:rsidRPr="00606F29" w:rsidRDefault="00D8058F" w:rsidP="00D8058F">
      <w:pPr>
        <w:rPr>
          <w:rFonts w:cs="Times New Roman"/>
          <w:sz w:val="20"/>
          <w:szCs w:val="20"/>
          <w:lang w:val="fr-CA"/>
        </w:rPr>
      </w:pPr>
      <w:r w:rsidRPr="00606F29">
        <w:rPr>
          <w:rFonts w:cs="Times New Roman"/>
          <w:sz w:val="20"/>
          <w:szCs w:val="20"/>
          <w:lang w:val="fr-CA"/>
        </w:rPr>
        <w:t>Conformément à l’alinéa 59(1)</w:t>
      </w:r>
      <w:r w:rsidRPr="00606F29">
        <w:rPr>
          <w:rFonts w:cs="Times New Roman"/>
          <w:i/>
          <w:sz w:val="20"/>
          <w:szCs w:val="20"/>
          <w:lang w:val="fr-CA"/>
        </w:rPr>
        <w:t>a</w:t>
      </w:r>
      <w:r w:rsidRPr="00606F29">
        <w:rPr>
          <w:rFonts w:cs="Times New Roman"/>
          <w:sz w:val="20"/>
          <w:szCs w:val="20"/>
          <w:lang w:val="fr-CA"/>
        </w:rPr>
        <w:t xml:space="preserve">) des </w:t>
      </w:r>
      <w:r w:rsidRPr="00606F29">
        <w:rPr>
          <w:rFonts w:cs="Times New Roman"/>
          <w:i/>
          <w:sz w:val="20"/>
          <w:szCs w:val="20"/>
          <w:lang w:val="fr-CA"/>
        </w:rPr>
        <w:t>Règles de la Cour suprême du Canada</w:t>
      </w:r>
      <w:r w:rsidRPr="00606F29">
        <w:rPr>
          <w:rFonts w:cs="Times New Roman"/>
          <w:sz w:val="20"/>
          <w:szCs w:val="20"/>
          <w:lang w:val="fr-CA"/>
        </w:rPr>
        <w:t>, les intervenantes paieront à l’appelante et aux intimées tous dépens supplémentaires résultant de leur intervention.</w:t>
      </w:r>
    </w:p>
    <w:p w:rsidR="00D8058F" w:rsidRPr="00606F29" w:rsidRDefault="00D8058F" w:rsidP="00D8058F">
      <w:pPr>
        <w:rPr>
          <w:rFonts w:cs="Times New Roman"/>
          <w:sz w:val="20"/>
          <w:szCs w:val="20"/>
          <w:lang w:val="fr-CA"/>
        </w:rPr>
      </w:pPr>
    </w:p>
    <w:p w:rsidR="00D7372A" w:rsidRPr="00606F29" w:rsidRDefault="009813FB" w:rsidP="00D7372A">
      <w:pPr>
        <w:rPr>
          <w:rFonts w:eastAsia="Times New Roman" w:cs="Times New Roman"/>
          <w:sz w:val="20"/>
          <w:szCs w:val="20"/>
          <w:lang w:val="fr-CA" w:eastAsia="en-CA"/>
        </w:rPr>
      </w:pPr>
      <w:r>
        <w:rPr>
          <w:rFonts w:eastAsia="Times New Roman" w:cs="Times New Roman"/>
          <w:sz w:val="20"/>
          <w:szCs w:val="20"/>
          <w:lang w:val="fr-CA" w:eastAsia="en-CA"/>
        </w:rPr>
        <w:pict>
          <v:rect id="_x0000_i1038" style="width:2in;height:1pt" o:hrpct="0" o:hralign="center" o:hrstd="t" o:hrnoshade="t" o:hr="t" fillcolor="black [3213]" stroked="f"/>
        </w:pict>
      </w:r>
    </w:p>
    <w:p w:rsidR="00D8058F" w:rsidRPr="00606F29" w:rsidRDefault="00D8058F" w:rsidP="00D8058F">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br w:type="page"/>
      </w:r>
      <w:r w:rsidRPr="00606F29">
        <w:rPr>
          <w:rFonts w:eastAsia="Times New Roman" w:cs="Times New Roman"/>
          <w:sz w:val="20"/>
          <w:szCs w:val="20"/>
          <w:lang w:val="fr-CA" w:eastAsia="en-CA"/>
        </w:rPr>
        <w:lastRenderedPageBreak/>
        <w:t>14.03.2018</w:t>
      </w:r>
    </w:p>
    <w:p w:rsidR="00D8058F" w:rsidRPr="00606F29" w:rsidRDefault="00D8058F" w:rsidP="00D8058F">
      <w:pPr>
        <w:tabs>
          <w:tab w:val="left" w:pos="-1440"/>
          <w:tab w:val="left" w:pos="-720"/>
        </w:tabs>
        <w:jc w:val="both"/>
        <w:rPr>
          <w:rFonts w:eastAsia="Times New Roman" w:cs="Times New Roman"/>
          <w:sz w:val="20"/>
          <w:szCs w:val="20"/>
          <w:lang w:val="fr-CA" w:eastAsia="en-CA"/>
        </w:rPr>
      </w:pPr>
    </w:p>
    <w:p w:rsidR="00D8058F" w:rsidRPr="00606F29" w:rsidRDefault="00D8058F" w:rsidP="00D8058F">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CÔTÉ J. / LA JUGE CÔTÉ</w:t>
      </w:r>
    </w:p>
    <w:p w:rsidR="00D8058F" w:rsidRPr="00606F29" w:rsidRDefault="00D8058F" w:rsidP="00D8058F">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037711" w:rsidRPr="009813FB" w:rsidTr="00E00CF1">
        <w:tc>
          <w:tcPr>
            <w:tcW w:w="4263" w:type="dxa"/>
            <w:gridSpan w:val="2"/>
          </w:tcPr>
          <w:p w:rsidR="00037711" w:rsidRPr="00606F29" w:rsidRDefault="00037711" w:rsidP="00037711">
            <w:pPr>
              <w:rPr>
                <w:b/>
                <w:sz w:val="20"/>
                <w:szCs w:val="20"/>
              </w:rPr>
            </w:pPr>
            <w:r w:rsidRPr="00606F29">
              <w:rPr>
                <w:rFonts w:cs="Times New Roman"/>
                <w:b/>
                <w:bCs/>
                <w:color w:val="000000"/>
                <w:sz w:val="20"/>
                <w:szCs w:val="20"/>
                <w:lang w:val="en-GB"/>
              </w:rPr>
              <w:t>Motion for an extension of time for leave to intervene and for leave to intervene</w:t>
            </w:r>
          </w:p>
        </w:tc>
        <w:tc>
          <w:tcPr>
            <w:tcW w:w="1137" w:type="dxa"/>
          </w:tcPr>
          <w:p w:rsidR="00037711" w:rsidRPr="00606F29" w:rsidRDefault="00037711" w:rsidP="00037711">
            <w:pPr>
              <w:rPr>
                <w:sz w:val="20"/>
                <w:szCs w:val="20"/>
              </w:rPr>
            </w:pPr>
          </w:p>
          <w:p w:rsidR="00037711" w:rsidRPr="00606F29" w:rsidRDefault="00037711" w:rsidP="00037711">
            <w:pPr>
              <w:rPr>
                <w:sz w:val="20"/>
                <w:szCs w:val="20"/>
              </w:rPr>
            </w:pPr>
          </w:p>
        </w:tc>
        <w:tc>
          <w:tcPr>
            <w:tcW w:w="4219" w:type="dxa"/>
          </w:tcPr>
          <w:p w:rsidR="00037711" w:rsidRPr="00606F29" w:rsidRDefault="00037711" w:rsidP="00037711">
            <w:pPr>
              <w:jc w:val="both"/>
              <w:rPr>
                <w:rFonts w:cs="Times New Roman"/>
                <w:b/>
                <w:bCs/>
                <w:color w:val="000000"/>
                <w:sz w:val="20"/>
                <w:szCs w:val="20"/>
                <w:lang w:val="fr-CA"/>
              </w:rPr>
            </w:pPr>
            <w:r w:rsidRPr="00606F29">
              <w:rPr>
                <w:rFonts w:cs="Times New Roman"/>
                <w:b/>
                <w:bCs/>
                <w:color w:val="000000"/>
                <w:sz w:val="20"/>
                <w:szCs w:val="20"/>
                <w:lang w:val="fr-CA"/>
              </w:rPr>
              <w:t>Requête en prorogation du délai pour demander l’autorisation d’intervenir et en autorisation d’intervenir</w:t>
            </w:r>
          </w:p>
        </w:tc>
      </w:tr>
      <w:tr w:rsidR="00D8058F" w:rsidRPr="00606F29" w:rsidTr="00D8058F">
        <w:trPr>
          <w:trHeight w:hRule="exact" w:val="558"/>
        </w:trPr>
        <w:tc>
          <w:tcPr>
            <w:tcW w:w="1346" w:type="dxa"/>
          </w:tcPr>
          <w:p w:rsidR="00D8058F" w:rsidRPr="00606F29" w:rsidRDefault="00D8058F" w:rsidP="00E00CF1">
            <w:pPr>
              <w:rPr>
                <w:sz w:val="20"/>
                <w:szCs w:val="20"/>
              </w:rPr>
            </w:pPr>
            <w:r w:rsidRPr="00606F29">
              <w:rPr>
                <w:sz w:val="20"/>
                <w:szCs w:val="20"/>
              </w:rPr>
              <w:t>BY / PAR</w:t>
            </w:r>
          </w:p>
        </w:tc>
        <w:tc>
          <w:tcPr>
            <w:tcW w:w="2917" w:type="dxa"/>
          </w:tcPr>
          <w:p w:rsidR="00D8058F" w:rsidRPr="00606F29" w:rsidRDefault="00D8058F" w:rsidP="00E00CF1">
            <w:pPr>
              <w:rPr>
                <w:sz w:val="20"/>
                <w:szCs w:val="20"/>
              </w:rPr>
            </w:pPr>
            <w:r w:rsidRPr="00606F29">
              <w:rPr>
                <w:rFonts w:cs="Times New Roman"/>
                <w:sz w:val="20"/>
              </w:rPr>
              <w:t>Criminal Lawyers’ Association (Ontario)</w:t>
            </w:r>
          </w:p>
        </w:tc>
        <w:tc>
          <w:tcPr>
            <w:tcW w:w="1137" w:type="dxa"/>
          </w:tcPr>
          <w:p w:rsidR="00D8058F" w:rsidRPr="00606F29" w:rsidRDefault="00D8058F" w:rsidP="00E00CF1">
            <w:pPr>
              <w:rPr>
                <w:sz w:val="20"/>
                <w:szCs w:val="20"/>
              </w:rPr>
            </w:pPr>
          </w:p>
        </w:tc>
        <w:tc>
          <w:tcPr>
            <w:tcW w:w="4219" w:type="dxa"/>
          </w:tcPr>
          <w:p w:rsidR="00D8058F" w:rsidRPr="00606F29" w:rsidRDefault="00D8058F" w:rsidP="00E00CF1">
            <w:pPr>
              <w:rPr>
                <w:sz w:val="20"/>
                <w:szCs w:val="20"/>
              </w:rPr>
            </w:pPr>
          </w:p>
        </w:tc>
      </w:tr>
      <w:tr w:rsidR="00D8058F" w:rsidRPr="00606F29" w:rsidTr="00E00CF1">
        <w:tc>
          <w:tcPr>
            <w:tcW w:w="1346" w:type="dxa"/>
          </w:tcPr>
          <w:p w:rsidR="00D8058F" w:rsidRPr="00606F29" w:rsidRDefault="00D8058F" w:rsidP="00E00CF1">
            <w:pPr>
              <w:rPr>
                <w:sz w:val="20"/>
                <w:szCs w:val="20"/>
              </w:rPr>
            </w:pPr>
            <w:r w:rsidRPr="00606F29">
              <w:rPr>
                <w:sz w:val="20"/>
                <w:szCs w:val="20"/>
              </w:rPr>
              <w:t>IN / DANS :</w:t>
            </w:r>
          </w:p>
        </w:tc>
        <w:tc>
          <w:tcPr>
            <w:tcW w:w="2917" w:type="dxa"/>
          </w:tcPr>
          <w:p w:rsidR="00D8058F" w:rsidRPr="00606F29" w:rsidRDefault="00D8058F" w:rsidP="00E00CF1">
            <w:pPr>
              <w:tabs>
                <w:tab w:val="left" w:pos="-1440"/>
                <w:tab w:val="left" w:pos="-720"/>
              </w:tabs>
              <w:jc w:val="both"/>
              <w:rPr>
                <w:sz w:val="20"/>
                <w:lang w:val="en-US"/>
              </w:rPr>
            </w:pPr>
            <w:r w:rsidRPr="00606F29">
              <w:rPr>
                <w:sz w:val="20"/>
                <w:lang w:val="en-US"/>
              </w:rPr>
              <w:t>Her Majesty the Queen</w:t>
            </w:r>
          </w:p>
          <w:p w:rsidR="00D8058F" w:rsidRPr="00606F29" w:rsidRDefault="00D8058F" w:rsidP="00E00CF1">
            <w:pPr>
              <w:tabs>
                <w:tab w:val="left" w:pos="-1440"/>
                <w:tab w:val="left" w:pos="-720"/>
              </w:tabs>
              <w:jc w:val="both"/>
              <w:rPr>
                <w:sz w:val="20"/>
                <w:lang w:val="en-US"/>
              </w:rPr>
            </w:pPr>
          </w:p>
          <w:p w:rsidR="00D8058F" w:rsidRPr="00606F29" w:rsidRDefault="00D8058F" w:rsidP="00E00CF1">
            <w:pPr>
              <w:tabs>
                <w:tab w:val="left" w:pos="-1440"/>
                <w:tab w:val="left" w:pos="-720"/>
              </w:tabs>
              <w:jc w:val="both"/>
              <w:rPr>
                <w:sz w:val="20"/>
                <w:lang w:val="en-US"/>
              </w:rPr>
            </w:pPr>
            <w:r w:rsidRPr="00606F29">
              <w:rPr>
                <w:sz w:val="20"/>
                <w:lang w:val="en-US"/>
              </w:rPr>
              <w:tab/>
              <w:t>v. (37833)</w:t>
            </w:r>
          </w:p>
          <w:p w:rsidR="00D8058F" w:rsidRPr="00606F29" w:rsidRDefault="00D8058F" w:rsidP="00E00CF1">
            <w:pPr>
              <w:tabs>
                <w:tab w:val="left" w:pos="-1440"/>
                <w:tab w:val="left" w:pos="-720"/>
              </w:tabs>
              <w:jc w:val="both"/>
              <w:rPr>
                <w:sz w:val="20"/>
                <w:lang w:val="en-US"/>
              </w:rPr>
            </w:pPr>
          </w:p>
          <w:p w:rsidR="00D8058F" w:rsidRPr="00606F29" w:rsidRDefault="00D8058F" w:rsidP="00D8058F">
            <w:pPr>
              <w:rPr>
                <w:sz w:val="20"/>
                <w:szCs w:val="20"/>
                <w:lang w:val="en-US"/>
              </w:rPr>
            </w:pPr>
            <w:r w:rsidRPr="00606F29">
              <w:rPr>
                <w:sz w:val="20"/>
                <w:lang w:val="fr-CA"/>
              </w:rPr>
              <w:t xml:space="preserve">Ryan Jarvis </w:t>
            </w:r>
            <w:r w:rsidRPr="00606F29">
              <w:rPr>
                <w:sz w:val="20"/>
                <w:lang w:val="en-US"/>
              </w:rPr>
              <w:t>(Ont.)</w:t>
            </w:r>
          </w:p>
        </w:tc>
        <w:tc>
          <w:tcPr>
            <w:tcW w:w="1137" w:type="dxa"/>
          </w:tcPr>
          <w:p w:rsidR="00D8058F" w:rsidRPr="00606F29" w:rsidRDefault="00D8058F" w:rsidP="00E00CF1">
            <w:pPr>
              <w:rPr>
                <w:sz w:val="20"/>
                <w:szCs w:val="20"/>
                <w:lang w:val="en-US"/>
              </w:rPr>
            </w:pPr>
          </w:p>
        </w:tc>
        <w:tc>
          <w:tcPr>
            <w:tcW w:w="4219" w:type="dxa"/>
          </w:tcPr>
          <w:p w:rsidR="00D8058F" w:rsidRPr="00606F29" w:rsidRDefault="00D8058F" w:rsidP="00E00CF1">
            <w:pPr>
              <w:rPr>
                <w:sz w:val="20"/>
                <w:szCs w:val="20"/>
                <w:lang w:val="en-US"/>
              </w:rPr>
            </w:pPr>
          </w:p>
        </w:tc>
      </w:tr>
    </w:tbl>
    <w:p w:rsidR="00D8058F" w:rsidRPr="00606F29" w:rsidRDefault="00D8058F" w:rsidP="00D8058F">
      <w:pPr>
        <w:tabs>
          <w:tab w:val="left" w:pos="-1440"/>
          <w:tab w:val="left" w:pos="-720"/>
        </w:tabs>
        <w:jc w:val="both"/>
        <w:rPr>
          <w:rFonts w:eastAsia="Times New Roman" w:cs="Times New Roman"/>
          <w:b/>
          <w:sz w:val="20"/>
          <w:szCs w:val="20"/>
          <w:lang w:val="en-US" w:eastAsia="en-CA"/>
        </w:rPr>
      </w:pPr>
    </w:p>
    <w:p w:rsidR="00D8058F" w:rsidRPr="00606F29" w:rsidRDefault="00D8058F" w:rsidP="00D8058F">
      <w:pPr>
        <w:rPr>
          <w:rFonts w:eastAsia="Times New Roman" w:cs="Times New Roman"/>
          <w:b/>
          <w:sz w:val="20"/>
          <w:szCs w:val="20"/>
          <w:lang w:val="en-US" w:eastAsia="en-CA"/>
        </w:rPr>
      </w:pPr>
      <w:r w:rsidRPr="00606F29">
        <w:rPr>
          <w:rFonts w:eastAsia="Times New Roman" w:cs="Times New Roman"/>
          <w:b/>
          <w:sz w:val="20"/>
          <w:szCs w:val="20"/>
          <w:lang w:val="en-US" w:eastAsia="en-CA"/>
        </w:rPr>
        <w:t>ALLOWED / ACCUEILLIE</w:t>
      </w:r>
    </w:p>
    <w:p w:rsidR="00D8058F" w:rsidRPr="00606F29" w:rsidRDefault="00D8058F" w:rsidP="00D8058F">
      <w:pPr>
        <w:tabs>
          <w:tab w:val="left" w:pos="-1440"/>
          <w:tab w:val="left" w:pos="-720"/>
        </w:tabs>
        <w:jc w:val="both"/>
        <w:rPr>
          <w:rFonts w:eastAsia="Times New Roman" w:cs="Times New Roman"/>
          <w:sz w:val="20"/>
          <w:szCs w:val="20"/>
          <w:lang w:val="en-US" w:eastAsia="en-CA"/>
        </w:rPr>
      </w:pPr>
    </w:p>
    <w:p w:rsidR="00D8058F" w:rsidRPr="00606F29" w:rsidRDefault="00D8058F" w:rsidP="00D8058F">
      <w:pPr>
        <w:spacing w:line="233" w:lineRule="auto"/>
        <w:rPr>
          <w:rFonts w:cs="Times New Roman"/>
          <w:sz w:val="20"/>
        </w:rPr>
      </w:pPr>
      <w:r w:rsidRPr="00606F29">
        <w:rPr>
          <w:rFonts w:cs="Times New Roman"/>
          <w:b/>
          <w:bCs/>
          <w:sz w:val="20"/>
        </w:rPr>
        <w:t xml:space="preserve">UPON APPLICATION </w:t>
      </w:r>
      <w:r w:rsidRPr="00606F29">
        <w:rPr>
          <w:rFonts w:cs="Times New Roman"/>
          <w:bCs/>
          <w:sz w:val="20"/>
        </w:rPr>
        <w:t xml:space="preserve">by </w:t>
      </w:r>
      <w:r w:rsidRPr="00606F29">
        <w:rPr>
          <w:rFonts w:cs="Times New Roman"/>
          <w:sz w:val="20"/>
        </w:rPr>
        <w:t>the Criminal Lawyers’ Association (Ontario) for an extension of time to serve and file a motion for leave to intervene and for leave to intervene in the above appeal;</w:t>
      </w:r>
    </w:p>
    <w:p w:rsidR="00D8058F" w:rsidRPr="00606F29" w:rsidRDefault="00D8058F" w:rsidP="00D8058F">
      <w:pPr>
        <w:spacing w:line="233" w:lineRule="auto"/>
        <w:rPr>
          <w:rFonts w:cs="Times New Roman"/>
          <w:sz w:val="20"/>
        </w:rPr>
      </w:pPr>
    </w:p>
    <w:p w:rsidR="00D8058F" w:rsidRPr="00606F29" w:rsidRDefault="00D8058F" w:rsidP="00D8058F">
      <w:pPr>
        <w:spacing w:line="233" w:lineRule="auto"/>
        <w:rPr>
          <w:rFonts w:cs="Times New Roman"/>
          <w:sz w:val="20"/>
        </w:rPr>
      </w:pPr>
      <w:r w:rsidRPr="00606F29">
        <w:rPr>
          <w:rFonts w:cs="Times New Roman"/>
          <w:b/>
          <w:bCs/>
          <w:sz w:val="20"/>
        </w:rPr>
        <w:t>AND THE MATERIAL FILED</w:t>
      </w:r>
      <w:r w:rsidRPr="00606F29">
        <w:rPr>
          <w:rFonts w:cs="Times New Roman"/>
          <w:sz w:val="20"/>
        </w:rPr>
        <w:t xml:space="preserve"> having been read;</w:t>
      </w:r>
    </w:p>
    <w:p w:rsidR="00D8058F" w:rsidRPr="00606F29" w:rsidRDefault="00D8058F" w:rsidP="00D8058F">
      <w:pPr>
        <w:spacing w:line="233" w:lineRule="auto"/>
        <w:rPr>
          <w:rFonts w:cs="Times New Roman"/>
          <w:sz w:val="20"/>
        </w:rPr>
      </w:pPr>
    </w:p>
    <w:p w:rsidR="00D8058F" w:rsidRPr="00606F29" w:rsidRDefault="00D8058F" w:rsidP="00D8058F">
      <w:pPr>
        <w:spacing w:line="233" w:lineRule="auto"/>
        <w:rPr>
          <w:rFonts w:cs="Times New Roman"/>
          <w:sz w:val="20"/>
        </w:rPr>
      </w:pPr>
      <w:r w:rsidRPr="00606F29">
        <w:rPr>
          <w:rFonts w:cs="Times New Roman"/>
          <w:b/>
          <w:bCs/>
          <w:sz w:val="20"/>
        </w:rPr>
        <w:t>IT IS HEREBY ORDERED THAT:</w:t>
      </w:r>
    </w:p>
    <w:p w:rsidR="00D8058F" w:rsidRPr="00606F29" w:rsidRDefault="00D8058F" w:rsidP="00D8058F">
      <w:pPr>
        <w:spacing w:line="233" w:lineRule="auto"/>
        <w:rPr>
          <w:rFonts w:cs="Times New Roman"/>
          <w:sz w:val="20"/>
        </w:rPr>
      </w:pPr>
    </w:p>
    <w:p w:rsidR="00D8058F" w:rsidRPr="00606F29" w:rsidRDefault="00D8058F" w:rsidP="00D8058F">
      <w:pPr>
        <w:spacing w:line="232" w:lineRule="auto"/>
        <w:rPr>
          <w:rFonts w:cs="Times New Roman"/>
          <w:sz w:val="20"/>
        </w:rPr>
      </w:pPr>
      <w:r w:rsidRPr="00606F29">
        <w:rPr>
          <w:rFonts w:cs="Times New Roman"/>
          <w:sz w:val="20"/>
        </w:rPr>
        <w:t>The motion for extension of time to serve and file a motion for leave to intervene is granted.</w:t>
      </w:r>
    </w:p>
    <w:p w:rsidR="00D8058F" w:rsidRPr="00606F29" w:rsidRDefault="00D8058F" w:rsidP="00D8058F">
      <w:pPr>
        <w:spacing w:line="232" w:lineRule="auto"/>
        <w:rPr>
          <w:rFonts w:cs="Times New Roman"/>
          <w:sz w:val="20"/>
        </w:rPr>
      </w:pPr>
    </w:p>
    <w:p w:rsidR="00D8058F" w:rsidRPr="00606F29" w:rsidRDefault="00D8058F" w:rsidP="00D8058F">
      <w:pPr>
        <w:spacing w:line="232" w:lineRule="auto"/>
        <w:rPr>
          <w:rFonts w:cs="Times New Roman"/>
          <w:sz w:val="20"/>
        </w:rPr>
      </w:pPr>
      <w:r w:rsidRPr="00606F29">
        <w:rPr>
          <w:rFonts w:cs="Times New Roman"/>
          <w:sz w:val="20"/>
        </w:rPr>
        <w:t>The motion for leave to intervene is granted and the said intervener shall be entitled to serve and file a factum not to exceed ten (10) pages in length on or before April 6, 2018.</w:t>
      </w:r>
    </w:p>
    <w:p w:rsidR="00D8058F" w:rsidRPr="00606F29" w:rsidRDefault="00D8058F" w:rsidP="00D8058F">
      <w:pPr>
        <w:spacing w:line="232" w:lineRule="auto"/>
        <w:rPr>
          <w:rFonts w:cs="Times New Roman"/>
          <w:sz w:val="20"/>
        </w:rPr>
      </w:pPr>
    </w:p>
    <w:p w:rsidR="00D8058F" w:rsidRPr="00606F29" w:rsidRDefault="00D8058F" w:rsidP="00D8058F">
      <w:pPr>
        <w:spacing w:line="228" w:lineRule="auto"/>
        <w:rPr>
          <w:rFonts w:cs="Times New Roman"/>
          <w:sz w:val="20"/>
        </w:rPr>
      </w:pPr>
      <w:r w:rsidRPr="00606F29">
        <w:rPr>
          <w:rFonts w:cs="Times New Roman"/>
          <w:bCs/>
          <w:sz w:val="20"/>
        </w:rPr>
        <w:t>The said intervener</w:t>
      </w:r>
      <w:r w:rsidRPr="00606F29">
        <w:rPr>
          <w:rFonts w:cs="Times New Roman"/>
          <w:sz w:val="20"/>
        </w:rPr>
        <w:t xml:space="preserve"> is granted permission to present oral arguments not exceeding five (5) minutes at the hearing of the appeal.</w:t>
      </w:r>
    </w:p>
    <w:p w:rsidR="00D8058F" w:rsidRPr="00606F29" w:rsidRDefault="00D8058F" w:rsidP="00D8058F">
      <w:pPr>
        <w:spacing w:line="232" w:lineRule="auto"/>
        <w:rPr>
          <w:rFonts w:cs="Times New Roman"/>
          <w:sz w:val="20"/>
        </w:rPr>
      </w:pPr>
    </w:p>
    <w:p w:rsidR="00D8058F" w:rsidRPr="00606F29" w:rsidRDefault="00D8058F" w:rsidP="00D8058F">
      <w:pPr>
        <w:spacing w:line="232" w:lineRule="auto"/>
        <w:rPr>
          <w:rFonts w:cs="Times New Roman"/>
          <w:bCs/>
          <w:sz w:val="20"/>
        </w:rPr>
      </w:pPr>
      <w:r w:rsidRPr="00606F29">
        <w:rPr>
          <w:rFonts w:cs="Times New Roman"/>
          <w:sz w:val="20"/>
        </w:rPr>
        <w:fldChar w:fldCharType="begin"/>
      </w:r>
      <w:r w:rsidRPr="00606F29">
        <w:rPr>
          <w:rFonts w:cs="Times New Roman"/>
          <w:sz w:val="20"/>
        </w:rPr>
        <w:instrText xml:space="preserve"> SEQ CHAPTER \h \r 1</w:instrText>
      </w:r>
      <w:r w:rsidRPr="00606F29">
        <w:rPr>
          <w:rFonts w:cs="Times New Roman"/>
          <w:sz w:val="20"/>
        </w:rPr>
        <w:fldChar w:fldCharType="end"/>
      </w:r>
      <w:r w:rsidRPr="00606F29">
        <w:rPr>
          <w:rFonts w:cs="Times New Roman"/>
          <w:bCs/>
          <w:sz w:val="20"/>
        </w:rPr>
        <w:t>The intervener is not entitled to raise new issues or to adduce further evidence or otherwise to supplement the record of the parties.</w:t>
      </w:r>
    </w:p>
    <w:p w:rsidR="00D8058F" w:rsidRPr="00606F29" w:rsidRDefault="00D8058F" w:rsidP="00D8058F">
      <w:pPr>
        <w:spacing w:line="232" w:lineRule="auto"/>
        <w:rPr>
          <w:rFonts w:cs="Times New Roman"/>
          <w:b/>
          <w:bCs/>
          <w:sz w:val="20"/>
        </w:rPr>
      </w:pPr>
    </w:p>
    <w:p w:rsidR="00D8058F" w:rsidRPr="00606F29" w:rsidRDefault="00D8058F" w:rsidP="00D8058F">
      <w:pPr>
        <w:spacing w:line="232" w:lineRule="auto"/>
        <w:rPr>
          <w:rFonts w:cs="Times New Roman"/>
          <w:sz w:val="20"/>
        </w:rPr>
      </w:pPr>
      <w:r w:rsidRPr="00606F29">
        <w:rPr>
          <w:rFonts w:cs="Times New Roman"/>
          <w:sz w:val="20"/>
        </w:rPr>
        <w:t>Pursuant to Rule 59(1</w:t>
      </w:r>
      <w:proofErr w:type="gramStart"/>
      <w:r w:rsidRPr="00606F29">
        <w:rPr>
          <w:rFonts w:cs="Times New Roman"/>
          <w:sz w:val="20"/>
        </w:rPr>
        <w:t>)(</w:t>
      </w:r>
      <w:proofErr w:type="gramEnd"/>
      <w:r w:rsidRPr="00606F29">
        <w:rPr>
          <w:rFonts w:cs="Times New Roman"/>
          <w:i/>
          <w:iCs/>
          <w:sz w:val="20"/>
        </w:rPr>
        <w:t>a</w:t>
      </w:r>
      <w:r w:rsidRPr="00606F29">
        <w:rPr>
          <w:rFonts w:cs="Times New Roman"/>
          <w:sz w:val="20"/>
        </w:rPr>
        <w:t xml:space="preserve">) of the </w:t>
      </w:r>
      <w:r w:rsidRPr="00606F29">
        <w:rPr>
          <w:rFonts w:cs="Times New Roman"/>
          <w:i/>
          <w:iCs/>
          <w:sz w:val="20"/>
        </w:rPr>
        <w:t>Rules of the Supreme Court of Canada</w:t>
      </w:r>
      <w:r w:rsidRPr="00606F29">
        <w:rPr>
          <w:rFonts w:cs="Times New Roman"/>
          <w:sz w:val="20"/>
        </w:rPr>
        <w:t>, the intervener shall pay to the appellant and respondent any additional disbursements occasioned to the appellant and respondent by its intervention.</w:t>
      </w:r>
    </w:p>
    <w:p w:rsidR="00D8058F" w:rsidRPr="00606F29" w:rsidRDefault="00D8058F" w:rsidP="00D8058F">
      <w:pPr>
        <w:rPr>
          <w:rFonts w:cs="Times New Roman"/>
          <w:b/>
          <w:bCs/>
          <w:sz w:val="20"/>
        </w:rPr>
      </w:pPr>
    </w:p>
    <w:p w:rsidR="00D8058F" w:rsidRPr="00606F29" w:rsidRDefault="00D8058F" w:rsidP="00D8058F">
      <w:pPr>
        <w:rPr>
          <w:rFonts w:cs="Times New Roman"/>
          <w:b/>
          <w:bCs/>
          <w:sz w:val="20"/>
        </w:rPr>
      </w:pPr>
    </w:p>
    <w:p w:rsidR="00D8058F" w:rsidRPr="00606F29" w:rsidRDefault="00D8058F" w:rsidP="00D8058F">
      <w:pPr>
        <w:rPr>
          <w:rFonts w:cs="Times New Roman"/>
          <w:sz w:val="20"/>
          <w:lang w:val="fr-CA"/>
        </w:rPr>
      </w:pPr>
      <w:r w:rsidRPr="00606F29">
        <w:rPr>
          <w:rFonts w:cs="Times New Roman"/>
          <w:b/>
          <w:sz w:val="20"/>
          <w:lang w:val="fr-CA"/>
        </w:rPr>
        <w:t>À LA SUITE DE LA DEMANDE</w:t>
      </w:r>
      <w:r w:rsidRPr="00606F29">
        <w:rPr>
          <w:rFonts w:cs="Times New Roman"/>
          <w:sz w:val="20"/>
          <w:lang w:val="fr-CA"/>
        </w:rPr>
        <w:t xml:space="preserve"> présentée par la </w:t>
      </w:r>
      <w:proofErr w:type="spellStart"/>
      <w:r w:rsidRPr="00606F29">
        <w:rPr>
          <w:rFonts w:cs="Times New Roman"/>
          <w:sz w:val="20"/>
          <w:lang w:val="fr-CA"/>
        </w:rPr>
        <w:t>Criminal</w:t>
      </w:r>
      <w:proofErr w:type="spellEnd"/>
      <w:r w:rsidRPr="00606F29">
        <w:rPr>
          <w:rFonts w:cs="Times New Roman"/>
          <w:sz w:val="20"/>
          <w:lang w:val="fr-CA"/>
        </w:rPr>
        <w:t xml:space="preserve"> </w:t>
      </w:r>
      <w:proofErr w:type="spellStart"/>
      <w:r w:rsidRPr="00606F29">
        <w:rPr>
          <w:rFonts w:cs="Times New Roman"/>
          <w:sz w:val="20"/>
          <w:lang w:val="fr-CA"/>
        </w:rPr>
        <w:t>Lawyers</w:t>
      </w:r>
      <w:proofErr w:type="spellEnd"/>
      <w:r w:rsidRPr="00606F29">
        <w:rPr>
          <w:rFonts w:cs="Times New Roman"/>
          <w:sz w:val="20"/>
          <w:lang w:val="fr-CA"/>
        </w:rPr>
        <w:t>’ Association (Ontario), en prorogation du délai pour signifier et déposer une requête en autorisation d’intervenir et en autorisation d’intervenir dans l’appel;</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b/>
          <w:sz w:val="20"/>
          <w:lang w:val="fr-CA"/>
        </w:rPr>
        <w:t xml:space="preserve">ET APRÈS EXAMEN </w:t>
      </w:r>
      <w:r w:rsidRPr="00606F29">
        <w:rPr>
          <w:rFonts w:cs="Times New Roman"/>
          <w:sz w:val="20"/>
          <w:lang w:val="fr-CA"/>
        </w:rPr>
        <w:t>des documents déposés;</w:t>
      </w:r>
    </w:p>
    <w:p w:rsidR="00D8058F" w:rsidRPr="00606F29" w:rsidRDefault="00D8058F" w:rsidP="00D8058F">
      <w:pPr>
        <w:rPr>
          <w:rFonts w:cs="Times New Roman"/>
          <w:sz w:val="20"/>
          <w:lang w:val="fr-CA"/>
        </w:rPr>
      </w:pPr>
    </w:p>
    <w:p w:rsidR="00D8058F" w:rsidRPr="00606F29" w:rsidRDefault="00D8058F" w:rsidP="00D8058F">
      <w:pPr>
        <w:rPr>
          <w:rFonts w:cs="Times New Roman"/>
          <w:b/>
          <w:sz w:val="20"/>
          <w:lang w:val="fr-CA"/>
        </w:rPr>
      </w:pPr>
      <w:r w:rsidRPr="00606F29">
        <w:rPr>
          <w:rFonts w:cs="Times New Roman"/>
          <w:b/>
          <w:sz w:val="20"/>
          <w:lang w:val="fr-CA"/>
        </w:rPr>
        <w:t>IL EST ORDONNÉ CE QUI SUIT :</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sz w:val="20"/>
          <w:lang w:val="fr-CA"/>
        </w:rPr>
        <w:t>La requête en prorogation du délai pour signifier et déposer une requête en autorisation d’intervenir est accueillie.</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sz w:val="20"/>
          <w:lang w:val="fr-CA"/>
        </w:rPr>
        <w:t>La requête en autorisation d’intervenir est accueillie et cette intervenante pourra signifier et déposer un mémoire d’au plus dix (10) pages au plus tard le 6 avril 2018.</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sz w:val="20"/>
          <w:lang w:val="fr-CA"/>
        </w:rPr>
        <w:t>L’intervenante est autorisée à présenter une plaidoirie orale d’au plus cinq (5) minutes lors de l’audition de l’appel.</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sz w:val="20"/>
          <w:lang w:val="fr-CA"/>
        </w:rPr>
        <w:t>L’intervenante n’a pas le droit de soulever de nouvelles questions, de produire d’autres éléments de preuve ni de compléter de quelque autre façon le dossier des parties.</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sz w:val="20"/>
          <w:lang w:val="fr-CA"/>
        </w:rPr>
        <w:lastRenderedPageBreak/>
        <w:t>Conformément à l’alinéa 59(1)</w:t>
      </w:r>
      <w:r w:rsidRPr="00606F29">
        <w:rPr>
          <w:rFonts w:cs="Times New Roman"/>
          <w:i/>
          <w:sz w:val="20"/>
          <w:lang w:val="fr-CA"/>
        </w:rPr>
        <w:t>a</w:t>
      </w:r>
      <w:r w:rsidRPr="00606F29">
        <w:rPr>
          <w:rFonts w:cs="Times New Roman"/>
          <w:sz w:val="20"/>
          <w:lang w:val="fr-CA"/>
        </w:rPr>
        <w:t xml:space="preserve">) des </w:t>
      </w:r>
      <w:r w:rsidRPr="00606F29">
        <w:rPr>
          <w:rFonts w:cs="Times New Roman"/>
          <w:i/>
          <w:sz w:val="20"/>
          <w:lang w:val="fr-CA"/>
        </w:rPr>
        <w:t>Règles de la Cour suprême du Canada</w:t>
      </w:r>
      <w:r w:rsidRPr="00606F29">
        <w:rPr>
          <w:rFonts w:cs="Times New Roman"/>
          <w:sz w:val="20"/>
          <w:lang w:val="fr-CA"/>
        </w:rPr>
        <w:t>, l’intervenante paiera à l’appelante et à l’intimé tous dépens supplémentaires résultant de son intervention.</w:t>
      </w:r>
    </w:p>
    <w:p w:rsidR="00D8058F" w:rsidRPr="00606F29" w:rsidRDefault="00D8058F" w:rsidP="00D7372A">
      <w:pPr>
        <w:rPr>
          <w:rFonts w:eastAsia="Times New Roman" w:cs="Times New Roman"/>
          <w:sz w:val="16"/>
          <w:szCs w:val="20"/>
          <w:lang w:val="fr-CA" w:eastAsia="en-CA"/>
        </w:rPr>
      </w:pPr>
    </w:p>
    <w:p w:rsidR="00D8058F" w:rsidRPr="00606F29" w:rsidRDefault="009813FB" w:rsidP="00D7372A">
      <w:pPr>
        <w:rPr>
          <w:rFonts w:eastAsia="Times New Roman" w:cs="Times New Roman"/>
          <w:sz w:val="20"/>
          <w:szCs w:val="20"/>
          <w:lang w:val="fr-CA" w:eastAsia="en-CA"/>
        </w:rPr>
      </w:pPr>
      <w:r>
        <w:rPr>
          <w:rFonts w:eastAsia="Times New Roman" w:cs="Times New Roman"/>
          <w:sz w:val="20"/>
          <w:szCs w:val="20"/>
          <w:lang w:val="fr-CA" w:eastAsia="en-CA"/>
        </w:rPr>
        <w:pict>
          <v:rect id="_x0000_i1039" style="width:2in;height:1pt" o:hrpct="0" o:hralign="center" o:hrstd="t" o:hrnoshade="t" o:hr="t" fillcolor="black [3213]" stroked="f"/>
        </w:pict>
      </w:r>
    </w:p>
    <w:p w:rsidR="00D8058F" w:rsidRPr="00606F29" w:rsidRDefault="00D8058F" w:rsidP="00D8058F">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t>22.03.2018</w:t>
      </w:r>
    </w:p>
    <w:p w:rsidR="00D8058F" w:rsidRPr="00606F29" w:rsidRDefault="00D8058F" w:rsidP="00D8058F">
      <w:pPr>
        <w:tabs>
          <w:tab w:val="left" w:pos="-1440"/>
          <w:tab w:val="left" w:pos="-720"/>
        </w:tabs>
        <w:jc w:val="both"/>
        <w:rPr>
          <w:rFonts w:eastAsia="Times New Roman" w:cs="Times New Roman"/>
          <w:sz w:val="20"/>
          <w:szCs w:val="20"/>
          <w:lang w:val="fr-CA" w:eastAsia="en-CA"/>
        </w:rPr>
      </w:pPr>
    </w:p>
    <w:p w:rsidR="00D8058F" w:rsidRPr="00606F29" w:rsidRDefault="00D8058F" w:rsidP="00D8058F">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KARAKATSANIS J. / LA JUGE KARAKATSANIS</w:t>
      </w:r>
    </w:p>
    <w:p w:rsidR="00D8058F" w:rsidRPr="00606F29" w:rsidRDefault="00D8058F" w:rsidP="00D8058F">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D8058F" w:rsidRPr="00606F29" w:rsidTr="00E00CF1">
        <w:tc>
          <w:tcPr>
            <w:tcW w:w="4263" w:type="dxa"/>
            <w:gridSpan w:val="2"/>
          </w:tcPr>
          <w:p w:rsidR="00D8058F" w:rsidRPr="00606F29" w:rsidRDefault="00D8058F" w:rsidP="00D8058F">
            <w:pPr>
              <w:rPr>
                <w:b/>
                <w:sz w:val="20"/>
                <w:szCs w:val="20"/>
              </w:rPr>
            </w:pPr>
            <w:r w:rsidRPr="00606F29">
              <w:rPr>
                <w:b/>
                <w:sz w:val="20"/>
                <w:szCs w:val="20"/>
              </w:rPr>
              <w:t>Motion for leave to intervene</w:t>
            </w:r>
            <w:r w:rsidRPr="00606F29">
              <w:rPr>
                <w:sz w:val="20"/>
                <w:szCs w:val="20"/>
              </w:rPr>
              <w:fldChar w:fldCharType="begin"/>
            </w:r>
            <w:r w:rsidRPr="00606F29">
              <w:rPr>
                <w:sz w:val="20"/>
                <w:szCs w:val="20"/>
              </w:rPr>
              <w:instrText xml:space="preserve"> SEQ CHAPTER \h \r 1</w:instrText>
            </w:r>
            <w:r w:rsidRPr="00606F29">
              <w:rPr>
                <w:sz w:val="20"/>
                <w:szCs w:val="20"/>
              </w:rPr>
              <w:fldChar w:fldCharType="end"/>
            </w:r>
          </w:p>
        </w:tc>
        <w:tc>
          <w:tcPr>
            <w:tcW w:w="1137" w:type="dxa"/>
          </w:tcPr>
          <w:p w:rsidR="00D8058F" w:rsidRPr="00606F29" w:rsidRDefault="00D8058F" w:rsidP="00D8058F">
            <w:pPr>
              <w:rPr>
                <w:sz w:val="20"/>
                <w:szCs w:val="20"/>
              </w:rPr>
            </w:pPr>
          </w:p>
          <w:p w:rsidR="00D8058F" w:rsidRPr="00606F29" w:rsidRDefault="00D8058F" w:rsidP="00D8058F">
            <w:pPr>
              <w:rPr>
                <w:sz w:val="20"/>
                <w:szCs w:val="20"/>
              </w:rPr>
            </w:pPr>
          </w:p>
        </w:tc>
        <w:tc>
          <w:tcPr>
            <w:tcW w:w="4219" w:type="dxa"/>
          </w:tcPr>
          <w:p w:rsidR="00D8058F" w:rsidRPr="00606F29" w:rsidRDefault="00D8058F" w:rsidP="00D8058F">
            <w:pPr>
              <w:rPr>
                <w:b/>
                <w:sz w:val="20"/>
                <w:szCs w:val="20"/>
                <w:lang w:val="fr-CA"/>
              </w:rPr>
            </w:pPr>
            <w:r w:rsidRPr="00606F29">
              <w:rPr>
                <w:b/>
                <w:bCs/>
                <w:sz w:val="20"/>
                <w:szCs w:val="20"/>
                <w:lang w:val="fr-CA"/>
              </w:rPr>
              <w:t>Requête en autorisation d’intervenir</w:t>
            </w:r>
          </w:p>
        </w:tc>
      </w:tr>
      <w:tr w:rsidR="00D8058F" w:rsidRPr="00606F29" w:rsidTr="00D8058F">
        <w:trPr>
          <w:trHeight w:hRule="exact" w:val="1044"/>
        </w:trPr>
        <w:tc>
          <w:tcPr>
            <w:tcW w:w="1346" w:type="dxa"/>
          </w:tcPr>
          <w:p w:rsidR="00D8058F" w:rsidRPr="00606F29" w:rsidRDefault="00D8058F" w:rsidP="00E00CF1">
            <w:pPr>
              <w:rPr>
                <w:sz w:val="20"/>
                <w:szCs w:val="20"/>
              </w:rPr>
            </w:pPr>
            <w:r w:rsidRPr="00606F29">
              <w:rPr>
                <w:sz w:val="20"/>
                <w:szCs w:val="20"/>
              </w:rPr>
              <w:t>BY / PAR</w:t>
            </w:r>
          </w:p>
        </w:tc>
        <w:tc>
          <w:tcPr>
            <w:tcW w:w="2917" w:type="dxa"/>
          </w:tcPr>
          <w:p w:rsidR="00D8058F" w:rsidRPr="00606F29" w:rsidRDefault="00D8058F" w:rsidP="00E00CF1">
            <w:pPr>
              <w:rPr>
                <w:sz w:val="20"/>
                <w:szCs w:val="20"/>
              </w:rPr>
            </w:pPr>
            <w:r w:rsidRPr="00606F29">
              <w:rPr>
                <w:rFonts w:cs="Times New Roman"/>
                <w:sz w:val="20"/>
              </w:rPr>
              <w:t>Natural Health Products Protection Association and the Rocky Mountain Civil Liberties Association (jointly)</w:t>
            </w:r>
          </w:p>
        </w:tc>
        <w:tc>
          <w:tcPr>
            <w:tcW w:w="1137" w:type="dxa"/>
          </w:tcPr>
          <w:p w:rsidR="00D8058F" w:rsidRPr="00606F29" w:rsidRDefault="00D8058F" w:rsidP="00E00CF1">
            <w:pPr>
              <w:rPr>
                <w:sz w:val="20"/>
                <w:szCs w:val="20"/>
              </w:rPr>
            </w:pPr>
          </w:p>
        </w:tc>
        <w:tc>
          <w:tcPr>
            <w:tcW w:w="4219" w:type="dxa"/>
          </w:tcPr>
          <w:p w:rsidR="00D8058F" w:rsidRPr="00606F29" w:rsidRDefault="00D8058F" w:rsidP="00E00CF1">
            <w:pPr>
              <w:rPr>
                <w:sz w:val="20"/>
                <w:szCs w:val="20"/>
              </w:rPr>
            </w:pPr>
          </w:p>
        </w:tc>
      </w:tr>
      <w:tr w:rsidR="00D8058F" w:rsidRPr="00606F29" w:rsidTr="00E00CF1">
        <w:tc>
          <w:tcPr>
            <w:tcW w:w="1346" w:type="dxa"/>
          </w:tcPr>
          <w:p w:rsidR="00D8058F" w:rsidRPr="00606F29" w:rsidRDefault="00D8058F" w:rsidP="00D8058F">
            <w:pPr>
              <w:rPr>
                <w:sz w:val="20"/>
                <w:szCs w:val="20"/>
              </w:rPr>
            </w:pPr>
            <w:r w:rsidRPr="00606F29">
              <w:rPr>
                <w:sz w:val="20"/>
                <w:szCs w:val="20"/>
              </w:rPr>
              <w:t>IN / DANS :</w:t>
            </w:r>
          </w:p>
        </w:tc>
        <w:tc>
          <w:tcPr>
            <w:tcW w:w="2917" w:type="dxa"/>
          </w:tcPr>
          <w:p w:rsidR="00D8058F" w:rsidRPr="00606F29" w:rsidRDefault="00D8058F" w:rsidP="00D8058F">
            <w:pPr>
              <w:rPr>
                <w:sz w:val="20"/>
                <w:szCs w:val="20"/>
              </w:rPr>
            </w:pPr>
            <w:r w:rsidRPr="00606F29">
              <w:rPr>
                <w:sz w:val="20"/>
                <w:szCs w:val="20"/>
              </w:rPr>
              <w:t>Collet Dawn Stephan</w:t>
            </w:r>
          </w:p>
          <w:p w:rsidR="00D8058F" w:rsidRPr="00606F29" w:rsidRDefault="00D8058F" w:rsidP="00D8058F">
            <w:pPr>
              <w:rPr>
                <w:sz w:val="20"/>
                <w:szCs w:val="20"/>
              </w:rPr>
            </w:pPr>
          </w:p>
          <w:p w:rsidR="00D8058F" w:rsidRPr="00606F29" w:rsidRDefault="00D8058F" w:rsidP="00D8058F">
            <w:pPr>
              <w:rPr>
                <w:sz w:val="20"/>
                <w:szCs w:val="20"/>
              </w:rPr>
            </w:pPr>
            <w:r w:rsidRPr="00606F29">
              <w:rPr>
                <w:sz w:val="20"/>
                <w:szCs w:val="20"/>
              </w:rPr>
              <w:tab/>
              <w:t>v. (37845)</w:t>
            </w:r>
          </w:p>
          <w:p w:rsidR="00D8058F" w:rsidRPr="00606F29" w:rsidRDefault="00D8058F" w:rsidP="00D8058F">
            <w:pPr>
              <w:ind w:firstLine="720"/>
              <w:rPr>
                <w:sz w:val="20"/>
                <w:szCs w:val="20"/>
              </w:rPr>
            </w:pPr>
          </w:p>
          <w:p w:rsidR="00D8058F" w:rsidRPr="00606F29" w:rsidRDefault="00D8058F" w:rsidP="00D8058F">
            <w:pPr>
              <w:rPr>
                <w:sz w:val="20"/>
                <w:szCs w:val="20"/>
              </w:rPr>
            </w:pPr>
            <w:r w:rsidRPr="00606F29">
              <w:rPr>
                <w:sz w:val="20"/>
                <w:szCs w:val="20"/>
              </w:rPr>
              <w:t>Her Majesty the Queen (Alta.)</w:t>
            </w:r>
          </w:p>
          <w:p w:rsidR="00D8058F" w:rsidRPr="00606F29" w:rsidRDefault="00D8058F" w:rsidP="00D8058F">
            <w:pPr>
              <w:rPr>
                <w:sz w:val="20"/>
                <w:szCs w:val="20"/>
              </w:rPr>
            </w:pPr>
          </w:p>
          <w:p w:rsidR="00D8058F" w:rsidRPr="00606F29" w:rsidRDefault="00D8058F" w:rsidP="00D8058F">
            <w:pPr>
              <w:rPr>
                <w:sz w:val="20"/>
                <w:szCs w:val="20"/>
              </w:rPr>
            </w:pPr>
            <w:r w:rsidRPr="00606F29">
              <w:rPr>
                <w:sz w:val="20"/>
                <w:szCs w:val="20"/>
              </w:rPr>
              <w:t xml:space="preserve">- and between - </w:t>
            </w:r>
          </w:p>
          <w:p w:rsidR="00D8058F" w:rsidRPr="00606F29" w:rsidRDefault="00D8058F" w:rsidP="00D8058F">
            <w:pPr>
              <w:rPr>
                <w:sz w:val="20"/>
                <w:szCs w:val="20"/>
              </w:rPr>
            </w:pPr>
          </w:p>
          <w:p w:rsidR="00D8058F" w:rsidRPr="00606F29" w:rsidRDefault="00D8058F" w:rsidP="00D8058F">
            <w:pPr>
              <w:rPr>
                <w:sz w:val="20"/>
                <w:szCs w:val="20"/>
              </w:rPr>
            </w:pPr>
            <w:r w:rsidRPr="00606F29">
              <w:rPr>
                <w:sz w:val="20"/>
                <w:szCs w:val="20"/>
              </w:rPr>
              <w:t>David Robert Stephan</w:t>
            </w:r>
          </w:p>
          <w:p w:rsidR="00D8058F" w:rsidRPr="00606F29" w:rsidRDefault="00D8058F" w:rsidP="00D8058F">
            <w:pPr>
              <w:rPr>
                <w:sz w:val="20"/>
                <w:szCs w:val="20"/>
              </w:rPr>
            </w:pPr>
          </w:p>
          <w:p w:rsidR="00D8058F" w:rsidRPr="00606F29" w:rsidRDefault="00D8058F" w:rsidP="00D8058F">
            <w:pPr>
              <w:rPr>
                <w:sz w:val="20"/>
                <w:szCs w:val="20"/>
              </w:rPr>
            </w:pPr>
            <w:r w:rsidRPr="00606F29">
              <w:rPr>
                <w:sz w:val="20"/>
                <w:szCs w:val="20"/>
              </w:rPr>
              <w:tab/>
              <w:t>v. (37846)</w:t>
            </w:r>
          </w:p>
          <w:p w:rsidR="00D8058F" w:rsidRPr="00606F29" w:rsidRDefault="00D8058F" w:rsidP="00D8058F">
            <w:pPr>
              <w:rPr>
                <w:sz w:val="20"/>
                <w:szCs w:val="20"/>
              </w:rPr>
            </w:pPr>
          </w:p>
          <w:p w:rsidR="00D8058F" w:rsidRPr="00606F29" w:rsidRDefault="00D8058F" w:rsidP="00D8058F">
            <w:pPr>
              <w:rPr>
                <w:sz w:val="20"/>
                <w:szCs w:val="20"/>
              </w:rPr>
            </w:pPr>
            <w:r w:rsidRPr="00606F29">
              <w:rPr>
                <w:sz w:val="20"/>
                <w:szCs w:val="20"/>
              </w:rPr>
              <w:t>Her Majesty the Queen (Alta.)</w:t>
            </w:r>
          </w:p>
        </w:tc>
        <w:tc>
          <w:tcPr>
            <w:tcW w:w="1137" w:type="dxa"/>
          </w:tcPr>
          <w:p w:rsidR="00D8058F" w:rsidRPr="00606F29" w:rsidRDefault="00D8058F" w:rsidP="00D8058F">
            <w:pPr>
              <w:rPr>
                <w:sz w:val="20"/>
                <w:szCs w:val="20"/>
                <w:lang w:val="en-US"/>
              </w:rPr>
            </w:pPr>
          </w:p>
        </w:tc>
        <w:tc>
          <w:tcPr>
            <w:tcW w:w="4219" w:type="dxa"/>
          </w:tcPr>
          <w:p w:rsidR="00D8058F" w:rsidRPr="00606F29" w:rsidRDefault="00D8058F" w:rsidP="00D8058F">
            <w:pPr>
              <w:rPr>
                <w:sz w:val="20"/>
                <w:szCs w:val="20"/>
                <w:lang w:val="en-US"/>
              </w:rPr>
            </w:pPr>
          </w:p>
        </w:tc>
      </w:tr>
    </w:tbl>
    <w:p w:rsidR="00D8058F" w:rsidRPr="00606F29" w:rsidRDefault="00D8058F" w:rsidP="00D8058F">
      <w:pPr>
        <w:tabs>
          <w:tab w:val="left" w:pos="-1440"/>
          <w:tab w:val="left" w:pos="-720"/>
        </w:tabs>
        <w:jc w:val="both"/>
        <w:rPr>
          <w:rFonts w:eastAsia="Times New Roman" w:cs="Times New Roman"/>
          <w:b/>
          <w:sz w:val="20"/>
          <w:szCs w:val="20"/>
          <w:lang w:val="en-US" w:eastAsia="en-CA"/>
        </w:rPr>
      </w:pPr>
    </w:p>
    <w:p w:rsidR="00D8058F" w:rsidRPr="00606F29" w:rsidRDefault="00D8058F" w:rsidP="00D8058F">
      <w:pPr>
        <w:rPr>
          <w:rFonts w:eastAsia="Times New Roman" w:cs="Times New Roman"/>
          <w:b/>
          <w:sz w:val="20"/>
          <w:szCs w:val="20"/>
          <w:lang w:val="en-US" w:eastAsia="en-CA"/>
        </w:rPr>
      </w:pPr>
      <w:r w:rsidRPr="00606F29">
        <w:rPr>
          <w:rFonts w:eastAsia="Times New Roman" w:cs="Times New Roman"/>
          <w:b/>
          <w:sz w:val="20"/>
          <w:szCs w:val="20"/>
          <w:lang w:val="en-US" w:eastAsia="en-CA"/>
        </w:rPr>
        <w:t>DISMISSED / REJETÉ</w:t>
      </w:r>
      <w:r w:rsidR="00A013E3" w:rsidRPr="00606F29">
        <w:rPr>
          <w:rFonts w:eastAsia="Times New Roman" w:cs="Times New Roman"/>
          <w:b/>
          <w:sz w:val="20"/>
          <w:szCs w:val="20"/>
          <w:lang w:val="en-US" w:eastAsia="en-CA"/>
        </w:rPr>
        <w:t>E</w:t>
      </w:r>
    </w:p>
    <w:p w:rsidR="00D8058F" w:rsidRPr="00606F29" w:rsidRDefault="00D8058F" w:rsidP="00D8058F">
      <w:pPr>
        <w:tabs>
          <w:tab w:val="left" w:pos="-1440"/>
          <w:tab w:val="left" w:pos="-720"/>
        </w:tabs>
        <w:jc w:val="both"/>
        <w:rPr>
          <w:rFonts w:eastAsia="Times New Roman" w:cs="Times New Roman"/>
          <w:sz w:val="20"/>
          <w:szCs w:val="20"/>
          <w:lang w:val="en-US" w:eastAsia="en-CA"/>
        </w:rPr>
      </w:pPr>
    </w:p>
    <w:p w:rsidR="00D8058F" w:rsidRPr="00606F29" w:rsidRDefault="00D8058F" w:rsidP="00D8058F">
      <w:pPr>
        <w:rPr>
          <w:rFonts w:cs="Times New Roman"/>
          <w:sz w:val="20"/>
        </w:rPr>
      </w:pPr>
      <w:r w:rsidRPr="00606F29">
        <w:rPr>
          <w:rFonts w:cs="Times New Roman"/>
          <w:b/>
          <w:bCs/>
          <w:sz w:val="20"/>
        </w:rPr>
        <w:t xml:space="preserve">UPON APPLICATION </w:t>
      </w:r>
      <w:r w:rsidRPr="00606F29">
        <w:rPr>
          <w:rFonts w:cs="Times New Roman"/>
          <w:sz w:val="20"/>
        </w:rPr>
        <w:t>by the Natural Health Products Protection Association and the Rocky Mountain Civil Liberties Association (jointly) for leave to intervene in the above appeals;</w:t>
      </w:r>
    </w:p>
    <w:p w:rsidR="00D8058F" w:rsidRPr="00606F29" w:rsidRDefault="00D8058F" w:rsidP="00D8058F">
      <w:pPr>
        <w:rPr>
          <w:rFonts w:cs="Times New Roman"/>
          <w:sz w:val="20"/>
        </w:rPr>
      </w:pPr>
    </w:p>
    <w:p w:rsidR="00D8058F" w:rsidRPr="00606F29" w:rsidRDefault="00D8058F" w:rsidP="00D8058F">
      <w:pPr>
        <w:spacing w:line="230" w:lineRule="auto"/>
        <w:rPr>
          <w:rFonts w:cs="Times New Roman"/>
          <w:sz w:val="20"/>
        </w:rPr>
      </w:pPr>
      <w:r w:rsidRPr="00606F29">
        <w:rPr>
          <w:rFonts w:cs="Times New Roman"/>
          <w:b/>
          <w:bCs/>
          <w:sz w:val="20"/>
        </w:rPr>
        <w:t>AND THE MATERIAL FILED</w:t>
      </w:r>
      <w:r w:rsidRPr="00606F29">
        <w:rPr>
          <w:rFonts w:cs="Times New Roman"/>
          <w:sz w:val="20"/>
        </w:rPr>
        <w:t xml:space="preserve"> having been read;</w:t>
      </w:r>
    </w:p>
    <w:p w:rsidR="00D8058F" w:rsidRPr="00606F29" w:rsidRDefault="00D8058F" w:rsidP="00D8058F">
      <w:pPr>
        <w:spacing w:line="230" w:lineRule="auto"/>
        <w:rPr>
          <w:rFonts w:cs="Times New Roman"/>
          <w:sz w:val="20"/>
        </w:rPr>
      </w:pPr>
    </w:p>
    <w:p w:rsidR="00D8058F" w:rsidRPr="00606F29" w:rsidRDefault="00D8058F" w:rsidP="00D8058F">
      <w:pPr>
        <w:spacing w:line="230" w:lineRule="auto"/>
        <w:rPr>
          <w:rFonts w:cs="Times New Roman"/>
          <w:b/>
          <w:bCs/>
          <w:sz w:val="20"/>
        </w:rPr>
      </w:pPr>
      <w:r w:rsidRPr="00606F29">
        <w:rPr>
          <w:rFonts w:cs="Times New Roman"/>
          <w:b/>
          <w:bCs/>
          <w:sz w:val="20"/>
        </w:rPr>
        <w:t>IT IS HEREBY ORDERED THAT:</w:t>
      </w:r>
    </w:p>
    <w:p w:rsidR="00D8058F" w:rsidRPr="00606F29" w:rsidRDefault="00D8058F" w:rsidP="00D8058F">
      <w:pPr>
        <w:spacing w:line="230" w:lineRule="auto"/>
        <w:rPr>
          <w:rFonts w:cs="Times New Roman"/>
          <w:sz w:val="20"/>
        </w:rPr>
      </w:pPr>
    </w:p>
    <w:p w:rsidR="00D8058F" w:rsidRPr="00606F29" w:rsidRDefault="00D8058F" w:rsidP="00D8058F">
      <w:pPr>
        <w:pStyle w:val="SCCSsocParty"/>
        <w:jc w:val="both"/>
        <w:rPr>
          <w:i w:val="0"/>
          <w:sz w:val="20"/>
        </w:rPr>
      </w:pPr>
      <w:r w:rsidRPr="00606F29">
        <w:rPr>
          <w:i w:val="0"/>
          <w:sz w:val="20"/>
        </w:rPr>
        <w:t>The motion for leave to intervene is dismissed.</w:t>
      </w:r>
    </w:p>
    <w:p w:rsidR="00D8058F" w:rsidRPr="00606F29" w:rsidRDefault="00D8058F" w:rsidP="00D8058F">
      <w:pPr>
        <w:pStyle w:val="SCCSsocParty"/>
        <w:jc w:val="both"/>
        <w:rPr>
          <w:i w:val="0"/>
          <w:sz w:val="20"/>
        </w:rPr>
      </w:pPr>
    </w:p>
    <w:p w:rsidR="00D8058F" w:rsidRPr="00606F29" w:rsidRDefault="00D8058F" w:rsidP="00D8058F">
      <w:pPr>
        <w:rPr>
          <w:rFonts w:cs="Times New Roman"/>
          <w:b/>
          <w:sz w:val="20"/>
          <w:lang w:val="en-US"/>
        </w:rPr>
      </w:pPr>
    </w:p>
    <w:p w:rsidR="00D8058F" w:rsidRPr="00606F29" w:rsidRDefault="00D8058F" w:rsidP="00D8058F">
      <w:pPr>
        <w:rPr>
          <w:rFonts w:cs="Times New Roman"/>
          <w:sz w:val="20"/>
          <w:lang w:val="fr-CA"/>
        </w:rPr>
      </w:pPr>
      <w:r w:rsidRPr="00606F29">
        <w:rPr>
          <w:rFonts w:cs="Times New Roman"/>
          <w:b/>
          <w:sz w:val="20"/>
          <w:lang w:val="fr-CA"/>
        </w:rPr>
        <w:t>À LA SUITE DE LA DEMANDE</w:t>
      </w:r>
      <w:r w:rsidRPr="00606F29">
        <w:rPr>
          <w:rFonts w:cs="Times New Roman"/>
          <w:sz w:val="20"/>
          <w:lang w:val="fr-CA"/>
        </w:rPr>
        <w:t xml:space="preserve"> présentée par la Natural </w:t>
      </w:r>
      <w:proofErr w:type="spellStart"/>
      <w:r w:rsidRPr="00606F29">
        <w:rPr>
          <w:rFonts w:cs="Times New Roman"/>
          <w:sz w:val="20"/>
          <w:lang w:val="fr-CA"/>
        </w:rPr>
        <w:t>Health</w:t>
      </w:r>
      <w:proofErr w:type="spellEnd"/>
      <w:r w:rsidRPr="00606F29">
        <w:rPr>
          <w:rFonts w:cs="Times New Roman"/>
          <w:sz w:val="20"/>
          <w:lang w:val="fr-CA"/>
        </w:rPr>
        <w:t xml:space="preserve"> </w:t>
      </w:r>
      <w:proofErr w:type="spellStart"/>
      <w:r w:rsidRPr="00606F29">
        <w:rPr>
          <w:rFonts w:cs="Times New Roman"/>
          <w:sz w:val="20"/>
          <w:lang w:val="fr-CA"/>
        </w:rPr>
        <w:t>Products</w:t>
      </w:r>
      <w:proofErr w:type="spellEnd"/>
      <w:r w:rsidRPr="00606F29">
        <w:rPr>
          <w:rFonts w:cs="Times New Roman"/>
          <w:sz w:val="20"/>
          <w:lang w:val="fr-CA"/>
        </w:rPr>
        <w:t xml:space="preserve"> Protection Association et la Rocky </w:t>
      </w:r>
      <w:proofErr w:type="spellStart"/>
      <w:r w:rsidRPr="00606F29">
        <w:rPr>
          <w:rFonts w:cs="Times New Roman"/>
          <w:sz w:val="20"/>
          <w:lang w:val="fr-CA"/>
        </w:rPr>
        <w:t>Mountain</w:t>
      </w:r>
      <w:proofErr w:type="spellEnd"/>
      <w:r w:rsidRPr="00606F29">
        <w:rPr>
          <w:rFonts w:cs="Times New Roman"/>
          <w:sz w:val="20"/>
          <w:lang w:val="fr-CA"/>
        </w:rPr>
        <w:t xml:space="preserve"> Civil </w:t>
      </w:r>
      <w:proofErr w:type="spellStart"/>
      <w:r w:rsidRPr="00606F29">
        <w:rPr>
          <w:rFonts w:cs="Times New Roman"/>
          <w:sz w:val="20"/>
          <w:lang w:val="fr-CA"/>
        </w:rPr>
        <w:t>Liberties</w:t>
      </w:r>
      <w:proofErr w:type="spellEnd"/>
      <w:r w:rsidRPr="00606F29">
        <w:rPr>
          <w:rFonts w:cs="Times New Roman"/>
          <w:sz w:val="20"/>
          <w:lang w:val="fr-CA"/>
        </w:rPr>
        <w:t xml:space="preserve"> Association (conjointement) en vue d’intervenir dans les appels en intitulé;</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b/>
          <w:sz w:val="20"/>
          <w:lang w:val="fr-CA"/>
        </w:rPr>
        <w:t>ET APRÈS EXAMEN</w:t>
      </w:r>
      <w:r w:rsidRPr="00606F29">
        <w:rPr>
          <w:rFonts w:cs="Times New Roman"/>
          <w:sz w:val="20"/>
          <w:lang w:val="fr-CA"/>
        </w:rPr>
        <w:t xml:space="preserve"> des documents déposés;</w:t>
      </w:r>
    </w:p>
    <w:p w:rsidR="00D8058F" w:rsidRPr="00606F29" w:rsidRDefault="00D8058F" w:rsidP="00D8058F">
      <w:pPr>
        <w:rPr>
          <w:rFonts w:cs="Times New Roman"/>
          <w:sz w:val="20"/>
          <w:lang w:val="fr-CA"/>
        </w:rPr>
      </w:pPr>
    </w:p>
    <w:p w:rsidR="00D8058F" w:rsidRPr="00606F29" w:rsidRDefault="00D8058F" w:rsidP="00D8058F">
      <w:pPr>
        <w:rPr>
          <w:rFonts w:cs="Times New Roman"/>
          <w:b/>
          <w:sz w:val="20"/>
          <w:lang w:val="fr-CA"/>
        </w:rPr>
      </w:pPr>
      <w:r w:rsidRPr="00606F29">
        <w:rPr>
          <w:rFonts w:cs="Times New Roman"/>
          <w:b/>
          <w:sz w:val="20"/>
          <w:lang w:val="fr-CA"/>
        </w:rPr>
        <w:t>IL EST ORDONNÉ CE QUI SUIT :</w:t>
      </w:r>
    </w:p>
    <w:p w:rsidR="00D8058F" w:rsidRPr="00606F29" w:rsidRDefault="00D8058F" w:rsidP="00D8058F">
      <w:pPr>
        <w:rPr>
          <w:rFonts w:cs="Times New Roman"/>
          <w:sz w:val="20"/>
          <w:lang w:val="fr-CA"/>
        </w:rPr>
      </w:pPr>
    </w:p>
    <w:p w:rsidR="00D8058F" w:rsidRPr="00606F29" w:rsidRDefault="00D8058F" w:rsidP="00D8058F">
      <w:pPr>
        <w:rPr>
          <w:rFonts w:cs="Times New Roman"/>
          <w:sz w:val="20"/>
          <w:lang w:val="fr-CA"/>
        </w:rPr>
      </w:pPr>
      <w:r w:rsidRPr="00606F29">
        <w:rPr>
          <w:rFonts w:cs="Times New Roman"/>
          <w:sz w:val="20"/>
          <w:lang w:val="fr-CA"/>
        </w:rPr>
        <w:t>La requête en intervention est rejetée.</w:t>
      </w:r>
    </w:p>
    <w:p w:rsidR="00D8058F" w:rsidRPr="00606F29" w:rsidRDefault="00D8058F" w:rsidP="00D8058F">
      <w:pPr>
        <w:rPr>
          <w:rFonts w:cs="Times New Roman"/>
          <w:lang w:val="fr-CA"/>
        </w:rPr>
      </w:pPr>
    </w:p>
    <w:p w:rsidR="00D8058F" w:rsidRPr="00606F29" w:rsidRDefault="00D8058F">
      <w:pPr>
        <w:rPr>
          <w:rFonts w:eastAsia="Times New Roman" w:cs="Times New Roman"/>
          <w:sz w:val="20"/>
          <w:szCs w:val="20"/>
          <w:lang w:val="fr-CA" w:eastAsia="en-CA"/>
        </w:rPr>
      </w:pPr>
    </w:p>
    <w:p w:rsidR="00D8058F" w:rsidRPr="00606F29" w:rsidRDefault="00D8058F" w:rsidP="00D7372A">
      <w:pPr>
        <w:rPr>
          <w:rFonts w:eastAsia="Times New Roman" w:cs="Times New Roman"/>
          <w:sz w:val="20"/>
          <w:szCs w:val="20"/>
          <w:lang w:val="fr-CA" w:eastAsia="en-CA"/>
        </w:rPr>
      </w:pPr>
    </w:p>
    <w:p w:rsidR="00D8058F" w:rsidRPr="00606F29" w:rsidRDefault="009813FB" w:rsidP="00D7372A">
      <w:pPr>
        <w:rPr>
          <w:rFonts w:eastAsia="Times New Roman" w:cs="Times New Roman"/>
          <w:sz w:val="20"/>
          <w:szCs w:val="20"/>
          <w:lang w:val="fr-CA"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D8058F" w:rsidRPr="00606F29" w:rsidRDefault="00D8058F">
      <w:pPr>
        <w:rPr>
          <w:rFonts w:eastAsia="Times New Roman" w:cs="Times New Roman"/>
          <w:sz w:val="20"/>
          <w:szCs w:val="20"/>
          <w:lang w:val="fr-CA" w:eastAsia="en-CA"/>
        </w:rPr>
      </w:pPr>
      <w:r w:rsidRPr="00606F29">
        <w:rPr>
          <w:rFonts w:eastAsia="Times New Roman" w:cs="Times New Roman"/>
          <w:sz w:val="20"/>
          <w:szCs w:val="20"/>
          <w:lang w:val="fr-CA" w:eastAsia="en-CA"/>
        </w:rPr>
        <w:br w:type="page"/>
      </w:r>
    </w:p>
    <w:p w:rsidR="003A2D2F" w:rsidRPr="00606F29" w:rsidRDefault="003A2D2F" w:rsidP="003A2D2F">
      <w:pPr>
        <w:tabs>
          <w:tab w:val="left" w:pos="-1440"/>
          <w:tab w:val="left" w:pos="-720"/>
        </w:tabs>
        <w:jc w:val="both"/>
        <w:rPr>
          <w:rFonts w:eastAsia="Times New Roman" w:cs="Times New Roman"/>
          <w:sz w:val="20"/>
          <w:szCs w:val="20"/>
          <w:lang w:val="fr-CA" w:eastAsia="en-CA"/>
        </w:rPr>
      </w:pPr>
      <w:r w:rsidRPr="00606F29">
        <w:rPr>
          <w:rFonts w:eastAsia="Times New Roman" w:cs="Times New Roman"/>
          <w:sz w:val="20"/>
          <w:szCs w:val="20"/>
          <w:lang w:val="fr-CA" w:eastAsia="en-CA"/>
        </w:rPr>
        <w:lastRenderedPageBreak/>
        <w:t>19.03.2018</w:t>
      </w:r>
    </w:p>
    <w:p w:rsidR="003A2D2F" w:rsidRPr="00606F29" w:rsidRDefault="003A2D2F" w:rsidP="003A2D2F">
      <w:pPr>
        <w:tabs>
          <w:tab w:val="left" w:pos="-1440"/>
          <w:tab w:val="left" w:pos="-720"/>
        </w:tabs>
        <w:jc w:val="both"/>
        <w:rPr>
          <w:rFonts w:eastAsia="Times New Roman" w:cs="Times New Roman"/>
          <w:sz w:val="20"/>
          <w:szCs w:val="20"/>
          <w:lang w:val="fr-CA" w:eastAsia="en-CA"/>
        </w:rPr>
      </w:pPr>
    </w:p>
    <w:p w:rsidR="003A2D2F" w:rsidRPr="00606F29" w:rsidRDefault="003A2D2F" w:rsidP="003A2D2F">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THE</w:t>
      </w:r>
      <w:r w:rsidR="00754DD1" w:rsidRPr="00606F29">
        <w:rPr>
          <w:rFonts w:eastAsia="Times New Roman" w:cs="Times New Roman"/>
          <w:sz w:val="20"/>
          <w:szCs w:val="20"/>
          <w:lang w:val="fr-CA" w:eastAsia="en-CA"/>
        </w:rPr>
        <w:t xml:space="preserve"> DEPUTY</w:t>
      </w:r>
      <w:r w:rsidRPr="00606F29">
        <w:rPr>
          <w:rFonts w:eastAsia="Times New Roman" w:cs="Times New Roman"/>
          <w:sz w:val="20"/>
          <w:szCs w:val="20"/>
          <w:lang w:val="fr-CA" w:eastAsia="en-CA"/>
        </w:rPr>
        <w:t xml:space="preserve"> REGISTRAR / LE REGISTRAIRE</w:t>
      </w:r>
      <w:r w:rsidR="00754DD1" w:rsidRPr="00606F29">
        <w:rPr>
          <w:rFonts w:eastAsia="Times New Roman" w:cs="Times New Roman"/>
          <w:sz w:val="20"/>
          <w:szCs w:val="20"/>
          <w:lang w:val="fr-CA" w:eastAsia="en-CA"/>
        </w:rPr>
        <w:t xml:space="preserve"> ADJOINT</w:t>
      </w:r>
    </w:p>
    <w:p w:rsidR="003A2D2F" w:rsidRPr="00606F29" w:rsidRDefault="003A2D2F" w:rsidP="003A2D2F">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A2D2F" w:rsidRPr="00606F29" w:rsidTr="00E00CF1">
        <w:tc>
          <w:tcPr>
            <w:tcW w:w="4338" w:type="dxa"/>
          </w:tcPr>
          <w:p w:rsidR="003A2D2F" w:rsidRPr="00606F29" w:rsidRDefault="003A2D2F" w:rsidP="003A2D2F">
            <w:pPr>
              <w:tabs>
                <w:tab w:val="left" w:pos="-1440"/>
                <w:tab w:val="left" w:pos="-720"/>
                <w:tab w:val="left" w:pos="1210"/>
              </w:tabs>
              <w:jc w:val="both"/>
              <w:rPr>
                <w:b/>
                <w:lang w:val="fr-CA"/>
              </w:rPr>
            </w:pPr>
            <w:proofErr w:type="spellStart"/>
            <w:r w:rsidRPr="00606F29">
              <w:rPr>
                <w:b/>
                <w:bCs/>
                <w:lang w:val="fr-CA"/>
              </w:rPr>
              <w:t>Order</w:t>
            </w:r>
            <w:proofErr w:type="spellEnd"/>
            <w:r w:rsidRPr="00606F29">
              <w:rPr>
                <w:b/>
                <w:bCs/>
                <w:lang w:val="fr-CA"/>
              </w:rPr>
              <w:tab/>
            </w:r>
          </w:p>
        </w:tc>
        <w:tc>
          <w:tcPr>
            <w:tcW w:w="1170" w:type="dxa"/>
          </w:tcPr>
          <w:p w:rsidR="003A2D2F" w:rsidRPr="00606F29" w:rsidRDefault="003A2D2F" w:rsidP="00E00CF1">
            <w:pPr>
              <w:tabs>
                <w:tab w:val="left" w:pos="-1440"/>
                <w:tab w:val="left" w:pos="-720"/>
              </w:tabs>
              <w:jc w:val="both"/>
              <w:rPr>
                <w:lang w:val="fr-CA"/>
              </w:rPr>
            </w:pPr>
          </w:p>
          <w:p w:rsidR="003A2D2F" w:rsidRPr="00606F29" w:rsidRDefault="003A2D2F" w:rsidP="00E00CF1">
            <w:pPr>
              <w:tabs>
                <w:tab w:val="left" w:pos="-1440"/>
                <w:tab w:val="left" w:pos="-720"/>
              </w:tabs>
              <w:jc w:val="both"/>
              <w:rPr>
                <w:lang w:val="fr-CA"/>
              </w:rPr>
            </w:pPr>
          </w:p>
        </w:tc>
        <w:tc>
          <w:tcPr>
            <w:tcW w:w="4327" w:type="dxa"/>
          </w:tcPr>
          <w:p w:rsidR="003A2D2F" w:rsidRPr="00606F29" w:rsidRDefault="003A2D2F" w:rsidP="00E00CF1">
            <w:pPr>
              <w:tabs>
                <w:tab w:val="left" w:pos="-1440"/>
                <w:tab w:val="left" w:pos="-720"/>
              </w:tabs>
              <w:jc w:val="both"/>
              <w:rPr>
                <w:lang w:val="fr-CA"/>
              </w:rPr>
            </w:pPr>
            <w:r w:rsidRPr="00606F29">
              <w:rPr>
                <w:b/>
                <w:bCs/>
                <w:lang w:val="fr-CA"/>
              </w:rPr>
              <w:t>Ordonnance</w:t>
            </w:r>
          </w:p>
        </w:tc>
      </w:tr>
      <w:tr w:rsidR="003A2D2F" w:rsidRPr="00606F29" w:rsidTr="00E00CF1">
        <w:tc>
          <w:tcPr>
            <w:tcW w:w="4338" w:type="dxa"/>
          </w:tcPr>
          <w:p w:rsidR="003A2D2F" w:rsidRPr="00606F29" w:rsidRDefault="003A2D2F" w:rsidP="00E00CF1">
            <w:pPr>
              <w:tabs>
                <w:tab w:val="left" w:pos="-1440"/>
                <w:tab w:val="left" w:pos="-720"/>
              </w:tabs>
              <w:jc w:val="both"/>
              <w:rPr>
                <w:lang w:val="en-US"/>
              </w:rPr>
            </w:pPr>
            <w:r w:rsidRPr="00606F29">
              <w:rPr>
                <w:lang w:val="en-US"/>
              </w:rPr>
              <w:t>Attorney General of Canada</w:t>
            </w:r>
          </w:p>
          <w:p w:rsidR="003A2D2F" w:rsidRPr="00606F29" w:rsidRDefault="003A2D2F" w:rsidP="00E00CF1">
            <w:pPr>
              <w:tabs>
                <w:tab w:val="left" w:pos="-1440"/>
                <w:tab w:val="left" w:pos="-720"/>
              </w:tabs>
              <w:jc w:val="both"/>
              <w:rPr>
                <w:lang w:val="en-US"/>
              </w:rPr>
            </w:pPr>
          </w:p>
          <w:p w:rsidR="003A2D2F" w:rsidRPr="00606F29" w:rsidRDefault="003A2D2F" w:rsidP="00E00CF1">
            <w:pPr>
              <w:tabs>
                <w:tab w:val="left" w:pos="-1440"/>
                <w:tab w:val="left" w:pos="-720"/>
              </w:tabs>
              <w:jc w:val="both"/>
              <w:rPr>
                <w:lang w:val="en-US"/>
              </w:rPr>
            </w:pPr>
            <w:r w:rsidRPr="00606F29">
              <w:rPr>
                <w:lang w:val="en-US"/>
              </w:rPr>
              <w:tab/>
              <w:t>v. (37964)</w:t>
            </w:r>
          </w:p>
          <w:p w:rsidR="003A2D2F" w:rsidRPr="00606F29" w:rsidRDefault="003A2D2F" w:rsidP="00E00CF1">
            <w:pPr>
              <w:tabs>
                <w:tab w:val="left" w:pos="-1440"/>
                <w:tab w:val="left" w:pos="-720"/>
              </w:tabs>
              <w:jc w:val="both"/>
              <w:rPr>
                <w:lang w:val="en-US"/>
              </w:rPr>
            </w:pPr>
          </w:p>
          <w:p w:rsidR="003A2D2F" w:rsidRPr="00606F29" w:rsidRDefault="003A2D2F" w:rsidP="003A2D2F">
            <w:pPr>
              <w:tabs>
                <w:tab w:val="left" w:pos="-1440"/>
                <w:tab w:val="left" w:pos="-720"/>
              </w:tabs>
              <w:jc w:val="both"/>
              <w:rPr>
                <w:lang w:val="en-US"/>
              </w:rPr>
            </w:pPr>
            <w:r w:rsidRPr="00606F29">
              <w:rPr>
                <w:lang w:val="en-US"/>
              </w:rPr>
              <w:t xml:space="preserve">Oleg </w:t>
            </w:r>
            <w:proofErr w:type="spellStart"/>
            <w:r w:rsidRPr="00606F29">
              <w:rPr>
                <w:lang w:val="en-US"/>
              </w:rPr>
              <w:t>Shakov</w:t>
            </w:r>
            <w:proofErr w:type="spellEnd"/>
            <w:r w:rsidRPr="00606F29">
              <w:rPr>
                <w:lang w:val="en-US"/>
              </w:rPr>
              <w:t xml:space="preserve"> et al. (F.C.)</w:t>
            </w:r>
          </w:p>
        </w:tc>
        <w:tc>
          <w:tcPr>
            <w:tcW w:w="1170" w:type="dxa"/>
          </w:tcPr>
          <w:p w:rsidR="003A2D2F" w:rsidRPr="00606F29" w:rsidRDefault="003A2D2F" w:rsidP="00E00CF1">
            <w:pPr>
              <w:tabs>
                <w:tab w:val="left" w:pos="-1440"/>
                <w:tab w:val="left" w:pos="-720"/>
              </w:tabs>
              <w:jc w:val="both"/>
              <w:rPr>
                <w:lang w:val="en-US"/>
              </w:rPr>
            </w:pPr>
          </w:p>
        </w:tc>
        <w:tc>
          <w:tcPr>
            <w:tcW w:w="4327" w:type="dxa"/>
          </w:tcPr>
          <w:p w:rsidR="003A2D2F" w:rsidRPr="00606F29" w:rsidRDefault="003A2D2F" w:rsidP="00E00CF1">
            <w:pPr>
              <w:tabs>
                <w:tab w:val="left" w:pos="-1440"/>
                <w:tab w:val="left" w:pos="-720"/>
              </w:tabs>
              <w:jc w:val="both"/>
              <w:rPr>
                <w:lang w:val="en-US"/>
              </w:rPr>
            </w:pPr>
          </w:p>
        </w:tc>
      </w:tr>
    </w:tbl>
    <w:p w:rsidR="003A2D2F" w:rsidRPr="00606F29" w:rsidRDefault="003A2D2F" w:rsidP="003A2D2F">
      <w:pPr>
        <w:rPr>
          <w:rFonts w:eastAsia="Times New Roman" w:cs="Times New Roman"/>
          <w:sz w:val="20"/>
          <w:szCs w:val="20"/>
          <w:lang w:val="en-US" w:eastAsia="en-CA"/>
        </w:rPr>
      </w:pPr>
    </w:p>
    <w:p w:rsidR="003A2D2F" w:rsidRPr="00606F29" w:rsidRDefault="003A2D2F" w:rsidP="003A2D2F">
      <w:pPr>
        <w:rPr>
          <w:rFonts w:eastAsia="Times New Roman" w:cs="Times New Roman"/>
          <w:b/>
          <w:sz w:val="20"/>
          <w:szCs w:val="20"/>
          <w:lang w:val="en-US" w:eastAsia="en-CA"/>
        </w:rPr>
      </w:pPr>
      <w:r w:rsidRPr="00606F29">
        <w:rPr>
          <w:rFonts w:eastAsia="Times New Roman" w:cs="Times New Roman"/>
          <w:b/>
          <w:sz w:val="20"/>
          <w:szCs w:val="20"/>
          <w:lang w:val="en-US" w:eastAsia="en-CA"/>
        </w:rPr>
        <w:t>ALLOWED / ACCUEILLIE</w:t>
      </w:r>
    </w:p>
    <w:p w:rsidR="003A2D2F" w:rsidRPr="00606F29" w:rsidRDefault="003A2D2F" w:rsidP="003A2D2F">
      <w:pPr>
        <w:rPr>
          <w:rFonts w:eastAsia="Times New Roman" w:cs="Times New Roman"/>
          <w:sz w:val="20"/>
          <w:szCs w:val="20"/>
          <w:lang w:val="en-US" w:eastAsia="en-CA"/>
        </w:rPr>
      </w:pPr>
    </w:p>
    <w:p w:rsidR="00D8058F" w:rsidRPr="00606F29" w:rsidRDefault="00D8058F" w:rsidP="00D7372A">
      <w:pPr>
        <w:rPr>
          <w:rFonts w:eastAsia="Times New Roman" w:cs="Times New Roman"/>
          <w:sz w:val="12"/>
          <w:szCs w:val="20"/>
          <w:lang w:val="en-US" w:eastAsia="en-CA"/>
        </w:rPr>
      </w:pPr>
    </w:p>
    <w:p w:rsidR="003A2D2F" w:rsidRPr="00606F29" w:rsidRDefault="003A2D2F" w:rsidP="003A2D2F">
      <w:pPr>
        <w:spacing w:line="232" w:lineRule="auto"/>
        <w:jc w:val="both"/>
        <w:rPr>
          <w:rFonts w:cs="Times New Roman"/>
          <w:sz w:val="20"/>
          <w:szCs w:val="24"/>
        </w:rPr>
      </w:pPr>
      <w:r w:rsidRPr="00606F29">
        <w:rPr>
          <w:rFonts w:cs="Times New Roman"/>
          <w:b/>
          <w:bCs/>
          <w:sz w:val="20"/>
          <w:szCs w:val="24"/>
        </w:rPr>
        <w:t xml:space="preserve">UPON APPLICATION </w:t>
      </w:r>
      <w:r w:rsidRPr="00606F29">
        <w:rPr>
          <w:rFonts w:cs="Times New Roman"/>
          <w:bCs/>
          <w:sz w:val="20"/>
          <w:szCs w:val="24"/>
        </w:rPr>
        <w:t xml:space="preserve">by the respondents, the Office of the Commissioner for Federal Judicial Affairs, Marc Giroux and Nikki </w:t>
      </w:r>
      <w:proofErr w:type="spellStart"/>
      <w:r w:rsidRPr="00606F29">
        <w:rPr>
          <w:rFonts w:cs="Times New Roman"/>
          <w:bCs/>
          <w:sz w:val="20"/>
          <w:szCs w:val="24"/>
        </w:rPr>
        <w:t>Clemenhagen</w:t>
      </w:r>
      <w:proofErr w:type="spellEnd"/>
      <w:r w:rsidRPr="00606F29">
        <w:rPr>
          <w:rFonts w:cs="Times New Roman"/>
          <w:bCs/>
          <w:sz w:val="20"/>
          <w:szCs w:val="24"/>
        </w:rPr>
        <w:t>, for an order</w:t>
      </w:r>
      <w:r w:rsidRPr="00606F29">
        <w:rPr>
          <w:rFonts w:cs="Times New Roman"/>
          <w:b/>
          <w:bCs/>
          <w:sz w:val="20"/>
          <w:szCs w:val="24"/>
        </w:rPr>
        <w:t xml:space="preserve"> </w:t>
      </w:r>
      <w:r w:rsidRPr="00606F29">
        <w:rPr>
          <w:rFonts w:cs="Times New Roman"/>
          <w:bCs/>
          <w:sz w:val="20"/>
          <w:szCs w:val="24"/>
        </w:rPr>
        <w:t xml:space="preserve">extending the time to serve and file their response to the application for leave to appeal to April 11, 2018, and for an order extending the time for the applicant to serve and file their reply to the respondents’ response to April 27, 2018, pursuant to </w:t>
      </w:r>
      <w:r w:rsidRPr="00606F29">
        <w:rPr>
          <w:rFonts w:cs="Times New Roman"/>
          <w:sz w:val="20"/>
          <w:szCs w:val="24"/>
          <w:lang w:eastAsia="fr-FR"/>
        </w:rPr>
        <w:t>Rules 6 and 47 of the</w:t>
      </w:r>
      <w:r w:rsidRPr="00606F29">
        <w:rPr>
          <w:rFonts w:cs="Times New Roman"/>
          <w:i/>
          <w:sz w:val="20"/>
          <w:szCs w:val="24"/>
          <w:lang w:eastAsia="fr-FR"/>
        </w:rPr>
        <w:t xml:space="preserve"> Rules of the Supreme Court of Canada</w:t>
      </w:r>
      <w:r w:rsidRPr="00606F29">
        <w:rPr>
          <w:rFonts w:cs="Times New Roman"/>
          <w:sz w:val="20"/>
          <w:szCs w:val="24"/>
          <w:lang w:eastAsia="fr-FR"/>
        </w:rPr>
        <w:t>;</w:t>
      </w:r>
    </w:p>
    <w:p w:rsidR="003A2D2F" w:rsidRPr="00606F29" w:rsidRDefault="003A2D2F" w:rsidP="003A2D2F">
      <w:pPr>
        <w:spacing w:line="232" w:lineRule="auto"/>
        <w:jc w:val="both"/>
        <w:rPr>
          <w:rFonts w:cs="Times New Roman"/>
          <w:sz w:val="20"/>
          <w:szCs w:val="24"/>
        </w:rPr>
      </w:pPr>
    </w:p>
    <w:p w:rsidR="003A2D2F" w:rsidRPr="00606F29" w:rsidRDefault="003A2D2F" w:rsidP="003A2D2F">
      <w:pPr>
        <w:spacing w:line="232" w:lineRule="auto"/>
        <w:jc w:val="both"/>
        <w:rPr>
          <w:rFonts w:cs="Times New Roman"/>
          <w:sz w:val="20"/>
          <w:szCs w:val="24"/>
        </w:rPr>
      </w:pPr>
      <w:r w:rsidRPr="00606F29">
        <w:rPr>
          <w:rFonts w:cs="Times New Roman"/>
          <w:b/>
          <w:bCs/>
          <w:sz w:val="20"/>
          <w:szCs w:val="24"/>
        </w:rPr>
        <w:t xml:space="preserve">AND THE MATERIAL FILED </w:t>
      </w:r>
      <w:r w:rsidRPr="00606F29">
        <w:rPr>
          <w:rFonts w:cs="Times New Roman"/>
          <w:bCs/>
          <w:sz w:val="20"/>
          <w:szCs w:val="24"/>
        </w:rPr>
        <w:t>having been read;</w:t>
      </w:r>
    </w:p>
    <w:p w:rsidR="003A2D2F" w:rsidRPr="00606F29" w:rsidRDefault="003A2D2F" w:rsidP="003A2D2F">
      <w:pPr>
        <w:spacing w:line="232" w:lineRule="auto"/>
        <w:jc w:val="both"/>
        <w:rPr>
          <w:rFonts w:cs="Times New Roman"/>
          <w:sz w:val="20"/>
          <w:szCs w:val="24"/>
        </w:rPr>
      </w:pPr>
    </w:p>
    <w:p w:rsidR="003A2D2F" w:rsidRPr="00606F29" w:rsidRDefault="003A2D2F" w:rsidP="003A2D2F">
      <w:pPr>
        <w:jc w:val="both"/>
        <w:rPr>
          <w:rFonts w:cs="Times New Roman"/>
          <w:sz w:val="20"/>
          <w:szCs w:val="24"/>
        </w:rPr>
      </w:pPr>
      <w:r w:rsidRPr="00606F29">
        <w:rPr>
          <w:rFonts w:cs="Times New Roman"/>
          <w:b/>
          <w:sz w:val="20"/>
          <w:szCs w:val="24"/>
        </w:rPr>
        <w:t>AND NOTING THAT</w:t>
      </w:r>
      <w:r w:rsidRPr="00606F29">
        <w:rPr>
          <w:rFonts w:cs="Times New Roman"/>
          <w:sz w:val="20"/>
          <w:szCs w:val="24"/>
        </w:rPr>
        <w:t xml:space="preserve"> all parties consent to the motion;</w:t>
      </w:r>
    </w:p>
    <w:p w:rsidR="003A2D2F" w:rsidRPr="00606F29" w:rsidRDefault="003A2D2F" w:rsidP="003A2D2F">
      <w:pPr>
        <w:spacing w:line="232" w:lineRule="auto"/>
        <w:jc w:val="both"/>
        <w:rPr>
          <w:rFonts w:cs="Times New Roman"/>
          <w:sz w:val="20"/>
          <w:szCs w:val="24"/>
        </w:rPr>
      </w:pPr>
    </w:p>
    <w:p w:rsidR="003A2D2F" w:rsidRPr="00606F29" w:rsidRDefault="003A2D2F" w:rsidP="003A2D2F">
      <w:pPr>
        <w:spacing w:line="232" w:lineRule="auto"/>
        <w:jc w:val="both"/>
        <w:rPr>
          <w:rFonts w:cs="Times New Roman"/>
          <w:sz w:val="20"/>
          <w:szCs w:val="24"/>
        </w:rPr>
      </w:pPr>
      <w:r w:rsidRPr="00606F29">
        <w:rPr>
          <w:rFonts w:cs="Times New Roman"/>
          <w:b/>
          <w:bCs/>
          <w:sz w:val="20"/>
          <w:szCs w:val="24"/>
        </w:rPr>
        <w:t xml:space="preserve">IT IS HEREBY ORDERED THAT: </w:t>
      </w:r>
    </w:p>
    <w:p w:rsidR="003A2D2F" w:rsidRPr="00606F29" w:rsidRDefault="003A2D2F" w:rsidP="003A2D2F">
      <w:pPr>
        <w:spacing w:line="232" w:lineRule="auto"/>
        <w:jc w:val="both"/>
        <w:rPr>
          <w:rFonts w:cs="Times New Roman"/>
          <w:sz w:val="20"/>
          <w:szCs w:val="24"/>
        </w:rPr>
      </w:pPr>
    </w:p>
    <w:p w:rsidR="003A2D2F" w:rsidRPr="00606F29" w:rsidRDefault="003A2D2F" w:rsidP="003A2D2F">
      <w:pPr>
        <w:spacing w:line="232" w:lineRule="auto"/>
        <w:rPr>
          <w:rFonts w:cs="Times New Roman"/>
          <w:sz w:val="20"/>
          <w:szCs w:val="24"/>
          <w:lang w:val="fr-CA"/>
        </w:rPr>
      </w:pPr>
      <w:r w:rsidRPr="00606F29">
        <w:rPr>
          <w:rFonts w:cs="Times New Roman"/>
          <w:sz w:val="20"/>
          <w:szCs w:val="24"/>
          <w:lang w:val="fr-CA"/>
        </w:rPr>
        <w:t xml:space="preserve">The motion </w:t>
      </w:r>
      <w:proofErr w:type="spellStart"/>
      <w:r w:rsidRPr="00606F29">
        <w:rPr>
          <w:rFonts w:cs="Times New Roman"/>
          <w:sz w:val="20"/>
          <w:szCs w:val="24"/>
          <w:lang w:val="fr-CA"/>
        </w:rPr>
        <w:t>is</w:t>
      </w:r>
      <w:proofErr w:type="spellEnd"/>
      <w:r w:rsidRPr="00606F29">
        <w:rPr>
          <w:rFonts w:cs="Times New Roman"/>
          <w:sz w:val="20"/>
          <w:szCs w:val="24"/>
          <w:lang w:val="fr-CA"/>
        </w:rPr>
        <w:t xml:space="preserve"> </w:t>
      </w:r>
      <w:proofErr w:type="spellStart"/>
      <w:r w:rsidRPr="00606F29">
        <w:rPr>
          <w:rFonts w:cs="Times New Roman"/>
          <w:sz w:val="20"/>
          <w:szCs w:val="24"/>
          <w:lang w:val="fr-CA"/>
        </w:rPr>
        <w:t>granted</w:t>
      </w:r>
      <w:proofErr w:type="spellEnd"/>
      <w:r w:rsidRPr="00606F29">
        <w:rPr>
          <w:rFonts w:cs="Times New Roman"/>
          <w:sz w:val="20"/>
          <w:szCs w:val="24"/>
          <w:lang w:val="fr-CA"/>
        </w:rPr>
        <w:t>.</w:t>
      </w:r>
    </w:p>
    <w:p w:rsidR="003A2D2F" w:rsidRPr="00606F29" w:rsidRDefault="003A2D2F" w:rsidP="003A2D2F">
      <w:pPr>
        <w:spacing w:line="232" w:lineRule="auto"/>
        <w:rPr>
          <w:rFonts w:cs="Times New Roman"/>
          <w:sz w:val="20"/>
          <w:szCs w:val="24"/>
          <w:lang w:val="fr-CA"/>
        </w:rPr>
      </w:pPr>
    </w:p>
    <w:p w:rsidR="003A2D2F" w:rsidRPr="00606F29" w:rsidRDefault="003A2D2F" w:rsidP="003A2D2F">
      <w:pPr>
        <w:rPr>
          <w:rFonts w:cs="Times New Roman"/>
          <w:sz w:val="20"/>
          <w:szCs w:val="24"/>
          <w:lang w:val="fr-CA"/>
        </w:rPr>
      </w:pPr>
      <w:r w:rsidRPr="00606F29">
        <w:rPr>
          <w:rFonts w:cs="Times New Roman"/>
          <w:b/>
          <w:sz w:val="20"/>
          <w:szCs w:val="24"/>
          <w:lang w:val="fr-CA"/>
        </w:rPr>
        <w:t>À LA SUITE DE LA DEMANDE</w:t>
      </w:r>
      <w:r w:rsidRPr="00606F29">
        <w:rPr>
          <w:rFonts w:cs="Times New Roman"/>
          <w:sz w:val="20"/>
          <w:szCs w:val="24"/>
          <w:lang w:val="fr-CA"/>
        </w:rPr>
        <w:t xml:space="preserve"> présentée par les intimés le Commissariat à la magistrature fédérale, Marc Giroux et Nikki </w:t>
      </w:r>
      <w:proofErr w:type="spellStart"/>
      <w:r w:rsidRPr="00606F29">
        <w:rPr>
          <w:rFonts w:cs="Times New Roman"/>
          <w:sz w:val="20"/>
          <w:szCs w:val="24"/>
          <w:lang w:val="fr-CA"/>
        </w:rPr>
        <w:t>Clemenhagen</w:t>
      </w:r>
      <w:proofErr w:type="spellEnd"/>
      <w:r w:rsidRPr="00606F29">
        <w:rPr>
          <w:rFonts w:cs="Times New Roman"/>
          <w:sz w:val="20"/>
          <w:szCs w:val="24"/>
          <w:lang w:val="fr-CA"/>
        </w:rPr>
        <w:t xml:space="preserve">, en prorogation du délai pour signifier et déposer leur réponse à la demande d’autorisation d’appel au 11 avril 2018 et en prorogation du délai pour que le demandeur signifie et dépose sa réplique à la réponse des intimés au 27 avril 2018 en application des règles 6 et 47 des </w:t>
      </w:r>
      <w:r w:rsidRPr="00606F29">
        <w:rPr>
          <w:rFonts w:cs="Times New Roman"/>
          <w:i/>
          <w:sz w:val="20"/>
          <w:szCs w:val="24"/>
          <w:lang w:val="fr-CA"/>
        </w:rPr>
        <w:t>Règles de la Cour suprême du Canada</w:t>
      </w:r>
      <w:r w:rsidRPr="00606F29">
        <w:rPr>
          <w:rFonts w:cs="Times New Roman"/>
          <w:sz w:val="20"/>
          <w:szCs w:val="24"/>
          <w:lang w:val="fr-CA"/>
        </w:rPr>
        <w:t>;</w:t>
      </w:r>
    </w:p>
    <w:p w:rsidR="003A2D2F" w:rsidRPr="00606F29" w:rsidRDefault="003A2D2F" w:rsidP="003A2D2F">
      <w:pPr>
        <w:rPr>
          <w:rFonts w:cs="Times New Roman"/>
          <w:sz w:val="20"/>
          <w:szCs w:val="24"/>
          <w:lang w:val="fr-CA"/>
        </w:rPr>
      </w:pPr>
    </w:p>
    <w:p w:rsidR="003A2D2F" w:rsidRPr="00606F29" w:rsidRDefault="003A2D2F" w:rsidP="003A2D2F">
      <w:pPr>
        <w:rPr>
          <w:rFonts w:cs="Times New Roman"/>
          <w:sz w:val="20"/>
          <w:szCs w:val="24"/>
          <w:lang w:val="fr-CA"/>
        </w:rPr>
      </w:pPr>
      <w:r w:rsidRPr="00606F29">
        <w:rPr>
          <w:rFonts w:cs="Times New Roman"/>
          <w:b/>
          <w:sz w:val="20"/>
          <w:szCs w:val="24"/>
          <w:lang w:val="fr-CA"/>
        </w:rPr>
        <w:t>ET APRÈS EXAMEN</w:t>
      </w:r>
      <w:r w:rsidRPr="00606F29">
        <w:rPr>
          <w:rFonts w:cs="Times New Roman"/>
          <w:sz w:val="20"/>
          <w:szCs w:val="24"/>
          <w:lang w:val="fr-CA"/>
        </w:rPr>
        <w:t xml:space="preserve"> des documents déposés;</w:t>
      </w:r>
    </w:p>
    <w:p w:rsidR="003A2D2F" w:rsidRPr="00606F29" w:rsidRDefault="003A2D2F" w:rsidP="003A2D2F">
      <w:pPr>
        <w:rPr>
          <w:rFonts w:cs="Times New Roman"/>
          <w:sz w:val="20"/>
          <w:szCs w:val="24"/>
          <w:lang w:val="fr-CA"/>
        </w:rPr>
      </w:pPr>
    </w:p>
    <w:p w:rsidR="003A2D2F" w:rsidRPr="00606F29" w:rsidRDefault="003A2D2F" w:rsidP="003A2D2F">
      <w:pPr>
        <w:rPr>
          <w:rFonts w:cs="Times New Roman"/>
          <w:sz w:val="20"/>
          <w:szCs w:val="24"/>
          <w:lang w:val="fr-CA"/>
        </w:rPr>
      </w:pPr>
      <w:r w:rsidRPr="00606F29">
        <w:rPr>
          <w:rFonts w:cs="Times New Roman"/>
          <w:b/>
          <w:sz w:val="20"/>
          <w:szCs w:val="24"/>
          <w:lang w:val="fr-CA"/>
        </w:rPr>
        <w:t>ET COMPTE TENU</w:t>
      </w:r>
      <w:r w:rsidRPr="00606F29">
        <w:rPr>
          <w:rFonts w:cs="Times New Roman"/>
          <w:sz w:val="20"/>
          <w:szCs w:val="24"/>
          <w:lang w:val="fr-CA"/>
        </w:rPr>
        <w:t xml:space="preserve"> du consentement de toutes les parties;</w:t>
      </w:r>
    </w:p>
    <w:p w:rsidR="003A2D2F" w:rsidRPr="00606F29" w:rsidRDefault="003A2D2F" w:rsidP="003A2D2F">
      <w:pPr>
        <w:rPr>
          <w:rFonts w:cs="Times New Roman"/>
          <w:sz w:val="20"/>
          <w:szCs w:val="24"/>
          <w:lang w:val="fr-CA"/>
        </w:rPr>
      </w:pPr>
    </w:p>
    <w:p w:rsidR="003A2D2F" w:rsidRPr="00606F29" w:rsidRDefault="003A2D2F" w:rsidP="003A2D2F">
      <w:pPr>
        <w:rPr>
          <w:rFonts w:cs="Times New Roman"/>
          <w:b/>
          <w:sz w:val="20"/>
          <w:szCs w:val="24"/>
          <w:lang w:val="fr-CA"/>
        </w:rPr>
      </w:pPr>
      <w:r w:rsidRPr="00606F29">
        <w:rPr>
          <w:rFonts w:cs="Times New Roman"/>
          <w:b/>
          <w:sz w:val="20"/>
          <w:szCs w:val="24"/>
          <w:lang w:val="fr-CA"/>
        </w:rPr>
        <w:t>IL EST ORDONNÉ CE QUI SUIT :</w:t>
      </w:r>
    </w:p>
    <w:p w:rsidR="003A2D2F" w:rsidRPr="00606F29" w:rsidRDefault="003A2D2F" w:rsidP="003A2D2F">
      <w:pPr>
        <w:spacing w:line="232" w:lineRule="auto"/>
        <w:jc w:val="both"/>
        <w:rPr>
          <w:rFonts w:cs="Times New Roman"/>
          <w:b/>
          <w:bCs/>
          <w:sz w:val="20"/>
          <w:szCs w:val="24"/>
          <w:lang w:val="fr-CA"/>
        </w:rPr>
      </w:pPr>
    </w:p>
    <w:p w:rsidR="003A2D2F" w:rsidRPr="00606F29" w:rsidRDefault="003A2D2F" w:rsidP="003A2D2F">
      <w:pPr>
        <w:spacing w:line="232" w:lineRule="auto"/>
        <w:jc w:val="both"/>
        <w:rPr>
          <w:rFonts w:cs="Times New Roman"/>
          <w:bCs/>
          <w:sz w:val="20"/>
          <w:szCs w:val="24"/>
          <w:lang w:val="fr-CA"/>
        </w:rPr>
      </w:pPr>
      <w:r w:rsidRPr="00606F29">
        <w:rPr>
          <w:rFonts w:cs="Times New Roman"/>
          <w:bCs/>
          <w:sz w:val="20"/>
          <w:szCs w:val="24"/>
          <w:lang w:val="fr-CA"/>
        </w:rPr>
        <w:t>La requête est accueillie.</w:t>
      </w:r>
    </w:p>
    <w:p w:rsidR="007C4ADC" w:rsidRPr="00606F29" w:rsidRDefault="007C4ADC" w:rsidP="003A2D2F">
      <w:pPr>
        <w:spacing w:line="232" w:lineRule="auto"/>
        <w:jc w:val="both"/>
        <w:rPr>
          <w:rFonts w:cs="Times New Roman"/>
          <w:bCs/>
          <w:sz w:val="20"/>
          <w:szCs w:val="24"/>
          <w:lang w:val="fr-CA"/>
        </w:rPr>
      </w:pPr>
    </w:p>
    <w:p w:rsidR="003A2D2F" w:rsidRPr="00606F29" w:rsidRDefault="009813FB" w:rsidP="00D7372A">
      <w:pPr>
        <w:rPr>
          <w:rFonts w:eastAsia="Times New Roman" w:cs="Times New Roman"/>
          <w:sz w:val="16"/>
          <w:szCs w:val="20"/>
          <w:lang w:val="fr-CA" w:eastAsia="en-CA"/>
        </w:rPr>
        <w:sectPr w:rsidR="003A2D2F" w:rsidRPr="00606F29" w:rsidSect="00831CA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r>
        <w:rPr>
          <w:rFonts w:eastAsia="Times New Roman" w:cs="Times New Roman"/>
          <w:sz w:val="20"/>
          <w:szCs w:val="20"/>
          <w:lang w:val="fr-CA" w:eastAsia="en-CA"/>
        </w:rPr>
        <w:pict>
          <v:rect id="_x0000_i1043" style="width:2in;height:1pt" o:hrpct="0" o:hralign="center" o:hrstd="t" o:hrnoshade="t" o:hr="t" fillcolor="black [3213]" stroked="f"/>
        </w:pict>
      </w: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9813FB" w:rsidTr="00EB2B90">
        <w:tc>
          <w:tcPr>
            <w:tcW w:w="4200" w:type="dxa"/>
            <w:shd w:val="clear" w:color="auto" w:fill="auto"/>
            <w:tcMar>
              <w:left w:w="0" w:type="dxa"/>
              <w:right w:w="0" w:type="dxa"/>
            </w:tcMar>
          </w:tcPr>
          <w:p w:rsidR="00F40249" w:rsidRPr="00606F29" w:rsidRDefault="00F40249" w:rsidP="00EB2B90">
            <w:pPr>
              <w:rPr>
                <w:b/>
                <w:szCs w:val="24"/>
              </w:rPr>
            </w:pPr>
            <w:r w:rsidRPr="00606F29">
              <w:rPr>
                <w:b/>
                <w:szCs w:val="24"/>
                <w:lang w:val="en-US"/>
              </w:rPr>
              <w:lastRenderedPageBreak/>
              <w:t>NOTICES OF A</w:t>
            </w:r>
            <w:r w:rsidRPr="00606F29">
              <w:rPr>
                <w:b/>
                <w:szCs w:val="24"/>
              </w:rPr>
              <w:t>PPEAL FILED SINCE LAST ISSUE</w:t>
            </w:r>
          </w:p>
        </w:tc>
        <w:tc>
          <w:tcPr>
            <w:tcW w:w="1200" w:type="dxa"/>
            <w:shd w:val="clear" w:color="auto" w:fill="auto"/>
            <w:tcMar>
              <w:left w:w="0" w:type="dxa"/>
              <w:right w:w="0" w:type="dxa"/>
            </w:tcMar>
          </w:tcPr>
          <w:p w:rsidR="00F40249" w:rsidRPr="00606F29" w:rsidRDefault="00F40249" w:rsidP="00F40249">
            <w:pPr>
              <w:jc w:val="center"/>
              <w:rPr>
                <w:szCs w:val="24"/>
              </w:rPr>
            </w:pPr>
          </w:p>
          <w:p w:rsidR="00F33CCE" w:rsidRPr="00606F29" w:rsidRDefault="00F33CCE" w:rsidP="00F40249">
            <w:pPr>
              <w:jc w:val="center"/>
              <w:rPr>
                <w:szCs w:val="24"/>
              </w:rPr>
            </w:pPr>
          </w:p>
          <w:p w:rsidR="00F33CCE" w:rsidRPr="00606F29" w:rsidRDefault="00F33CCE" w:rsidP="00F40249">
            <w:pPr>
              <w:jc w:val="center"/>
              <w:rPr>
                <w:szCs w:val="24"/>
              </w:rPr>
            </w:pPr>
          </w:p>
        </w:tc>
        <w:tc>
          <w:tcPr>
            <w:tcW w:w="4230" w:type="dxa"/>
            <w:shd w:val="clear" w:color="auto" w:fill="auto"/>
            <w:tcMar>
              <w:left w:w="0" w:type="dxa"/>
              <w:right w:w="0" w:type="dxa"/>
            </w:tcMar>
          </w:tcPr>
          <w:p w:rsidR="00F40249" w:rsidRPr="00606F29" w:rsidRDefault="00F40249" w:rsidP="00EB2B90">
            <w:pPr>
              <w:rPr>
                <w:b/>
                <w:szCs w:val="24"/>
                <w:lang w:val="fr-CA"/>
              </w:rPr>
            </w:pPr>
            <w:r w:rsidRPr="00606F29">
              <w:rPr>
                <w:b/>
                <w:szCs w:val="24"/>
                <w:lang w:val="fr-CA"/>
              </w:rPr>
              <w:t>AVIS D’APPEL DÉPOSÉS DEPUIS LA DERNIÈRE PARUTION</w:t>
            </w:r>
          </w:p>
        </w:tc>
      </w:tr>
    </w:tbl>
    <w:p w:rsidR="00F40249" w:rsidRPr="00606F2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06F29" w:rsidTr="005F1ED8">
        <w:trPr>
          <w:cantSplit/>
        </w:trPr>
        <w:tc>
          <w:tcPr>
            <w:tcW w:w="2206" w:type="pct"/>
            <w:tcMar>
              <w:left w:w="0" w:type="dxa"/>
              <w:right w:w="0" w:type="dxa"/>
            </w:tcMar>
          </w:tcPr>
          <w:p w:rsidR="0086340B" w:rsidRPr="00606F29" w:rsidRDefault="00DE3CDA" w:rsidP="005F1ED8">
            <w:pPr>
              <w:rPr>
                <w:sz w:val="20"/>
                <w:szCs w:val="20"/>
                <w:lang w:val="fr-CA"/>
              </w:rPr>
            </w:pPr>
            <w:r w:rsidRPr="00606F29">
              <w:rPr>
                <w:sz w:val="20"/>
                <w:szCs w:val="20"/>
                <w:lang w:val="fr-CA"/>
              </w:rPr>
              <w:t>08</w:t>
            </w:r>
            <w:r w:rsidR="0086340B" w:rsidRPr="00606F29">
              <w:rPr>
                <w:sz w:val="20"/>
                <w:szCs w:val="20"/>
                <w:lang w:val="fr-CA"/>
              </w:rPr>
              <w:t>.</w:t>
            </w:r>
            <w:r w:rsidR="00E8544A" w:rsidRPr="00606F29">
              <w:rPr>
                <w:sz w:val="20"/>
                <w:szCs w:val="20"/>
                <w:lang w:val="fr-CA"/>
              </w:rPr>
              <w:t>0</w:t>
            </w:r>
            <w:r w:rsidRPr="00606F29">
              <w:rPr>
                <w:sz w:val="20"/>
                <w:szCs w:val="20"/>
                <w:lang w:val="fr-CA"/>
              </w:rPr>
              <w:t>3</w:t>
            </w:r>
            <w:r w:rsidR="0086340B" w:rsidRPr="00606F29">
              <w:rPr>
                <w:sz w:val="20"/>
                <w:szCs w:val="20"/>
                <w:lang w:val="fr-CA"/>
              </w:rPr>
              <w:t>.201</w:t>
            </w:r>
            <w:r w:rsidRPr="00606F29">
              <w:rPr>
                <w:sz w:val="20"/>
                <w:szCs w:val="20"/>
                <w:lang w:val="fr-CA"/>
              </w:rPr>
              <w:t>8</w:t>
            </w:r>
          </w:p>
          <w:p w:rsidR="009404DB" w:rsidRPr="00606F29" w:rsidRDefault="009404DB" w:rsidP="005F1ED8">
            <w:pPr>
              <w:rPr>
                <w:b/>
                <w:sz w:val="20"/>
                <w:szCs w:val="20"/>
                <w:lang w:val="fr-CA"/>
              </w:rPr>
            </w:pPr>
          </w:p>
          <w:p w:rsidR="0086340B" w:rsidRPr="00606F29" w:rsidRDefault="00DE3CDA" w:rsidP="005F1ED8">
            <w:pPr>
              <w:rPr>
                <w:b/>
                <w:sz w:val="20"/>
                <w:szCs w:val="20"/>
                <w:lang w:val="fr-CA"/>
              </w:rPr>
            </w:pPr>
            <w:r w:rsidRPr="00606F29">
              <w:rPr>
                <w:b/>
                <w:sz w:val="20"/>
                <w:szCs w:val="20"/>
                <w:lang w:val="fr-CA"/>
              </w:rPr>
              <w:t>Sa Majesté la Reine</w:t>
            </w:r>
          </w:p>
          <w:p w:rsidR="0086340B" w:rsidRPr="00606F29" w:rsidRDefault="0086340B" w:rsidP="005F1ED8">
            <w:pPr>
              <w:rPr>
                <w:b/>
                <w:sz w:val="20"/>
                <w:szCs w:val="20"/>
                <w:lang w:val="fr-CA"/>
              </w:rPr>
            </w:pPr>
          </w:p>
          <w:p w:rsidR="0086340B" w:rsidRPr="00606F29" w:rsidRDefault="0086340B" w:rsidP="005F1ED8">
            <w:pPr>
              <w:rPr>
                <w:b/>
                <w:sz w:val="20"/>
                <w:szCs w:val="20"/>
                <w:lang w:val="fr-CA"/>
              </w:rPr>
            </w:pPr>
            <w:r w:rsidRPr="00606F29">
              <w:rPr>
                <w:b/>
                <w:sz w:val="20"/>
                <w:szCs w:val="20"/>
                <w:lang w:val="fr-CA"/>
              </w:rPr>
              <w:tab/>
            </w:r>
            <w:r w:rsidR="00DE3CDA" w:rsidRPr="00606F29">
              <w:rPr>
                <w:b/>
                <w:sz w:val="20"/>
                <w:szCs w:val="20"/>
                <w:lang w:val="fr-CA"/>
              </w:rPr>
              <w:t>c</w:t>
            </w:r>
            <w:r w:rsidR="009404DB" w:rsidRPr="00606F29">
              <w:rPr>
                <w:b/>
                <w:sz w:val="20"/>
                <w:szCs w:val="20"/>
                <w:lang w:val="fr-CA"/>
              </w:rPr>
              <w:t>. (37984</w:t>
            </w:r>
            <w:r w:rsidRPr="00606F29">
              <w:rPr>
                <w:b/>
                <w:sz w:val="20"/>
                <w:szCs w:val="20"/>
                <w:lang w:val="fr-CA"/>
              </w:rPr>
              <w:t>)</w:t>
            </w:r>
          </w:p>
          <w:p w:rsidR="0086340B" w:rsidRPr="00606F29" w:rsidRDefault="0086340B" w:rsidP="00DE3CDA">
            <w:pPr>
              <w:ind w:firstLine="720"/>
              <w:rPr>
                <w:b/>
                <w:sz w:val="20"/>
                <w:szCs w:val="20"/>
                <w:lang w:val="fr-CA"/>
              </w:rPr>
            </w:pPr>
          </w:p>
          <w:p w:rsidR="0086340B" w:rsidRPr="00606F29" w:rsidRDefault="00DE3CDA" w:rsidP="005F1ED8">
            <w:pPr>
              <w:rPr>
                <w:b/>
                <w:sz w:val="20"/>
                <w:szCs w:val="20"/>
                <w:lang w:val="fr-CA"/>
              </w:rPr>
            </w:pPr>
            <w:proofErr w:type="spellStart"/>
            <w:r w:rsidRPr="00606F29">
              <w:rPr>
                <w:b/>
                <w:sz w:val="20"/>
                <w:szCs w:val="20"/>
                <w:lang w:val="fr-CA"/>
              </w:rPr>
              <w:t>Sivaloganathan</w:t>
            </w:r>
            <w:proofErr w:type="spellEnd"/>
            <w:r w:rsidRPr="00606F29">
              <w:rPr>
                <w:b/>
                <w:sz w:val="20"/>
                <w:szCs w:val="20"/>
                <w:lang w:val="fr-CA"/>
              </w:rPr>
              <w:t xml:space="preserve"> </w:t>
            </w:r>
            <w:proofErr w:type="spellStart"/>
            <w:r w:rsidRPr="00606F29">
              <w:rPr>
                <w:b/>
                <w:sz w:val="20"/>
                <w:szCs w:val="20"/>
                <w:lang w:val="fr-CA"/>
              </w:rPr>
              <w:t>Thanabalasingham</w:t>
            </w:r>
            <w:proofErr w:type="spellEnd"/>
            <w:r w:rsidR="0086340B" w:rsidRPr="00606F29">
              <w:rPr>
                <w:b/>
                <w:sz w:val="20"/>
                <w:szCs w:val="20"/>
                <w:lang w:val="fr-CA"/>
              </w:rPr>
              <w:t xml:space="preserve"> (</w:t>
            </w:r>
            <w:proofErr w:type="spellStart"/>
            <w:r w:rsidRPr="00606F29">
              <w:rPr>
                <w:b/>
                <w:sz w:val="20"/>
                <w:szCs w:val="20"/>
                <w:lang w:val="fr-CA"/>
              </w:rPr>
              <w:t>Qc</w:t>
            </w:r>
            <w:proofErr w:type="spellEnd"/>
            <w:r w:rsidR="0086340B" w:rsidRPr="00606F29">
              <w:rPr>
                <w:b/>
                <w:sz w:val="20"/>
                <w:szCs w:val="20"/>
                <w:lang w:val="fr-CA"/>
              </w:rPr>
              <w:t>)</w:t>
            </w:r>
          </w:p>
          <w:p w:rsidR="0086340B" w:rsidRPr="00606F29" w:rsidRDefault="0086340B" w:rsidP="005F1ED8">
            <w:pPr>
              <w:rPr>
                <w:sz w:val="20"/>
                <w:szCs w:val="20"/>
                <w:lang w:val="fr-CA"/>
              </w:rPr>
            </w:pPr>
          </w:p>
          <w:p w:rsidR="0086340B" w:rsidRPr="00606F29" w:rsidRDefault="0086340B" w:rsidP="005F1ED8">
            <w:pPr>
              <w:rPr>
                <w:sz w:val="20"/>
                <w:szCs w:val="20"/>
                <w:lang w:val="fr-CA"/>
              </w:rPr>
            </w:pPr>
            <w:r w:rsidRPr="00606F29">
              <w:rPr>
                <w:sz w:val="20"/>
                <w:szCs w:val="20"/>
                <w:lang w:val="fr-CA"/>
              </w:rPr>
              <w:t>(</w:t>
            </w:r>
            <w:r w:rsidR="009404DB" w:rsidRPr="00606F29">
              <w:rPr>
                <w:sz w:val="20"/>
                <w:szCs w:val="20"/>
                <w:lang w:val="fr-CA"/>
              </w:rPr>
              <w:t>De plein droit</w:t>
            </w:r>
            <w:r w:rsidRPr="00606F29">
              <w:rPr>
                <w:sz w:val="20"/>
                <w:szCs w:val="20"/>
                <w:lang w:val="fr-CA"/>
              </w:rPr>
              <w:t>)</w:t>
            </w:r>
          </w:p>
          <w:p w:rsidR="0086340B" w:rsidRPr="00606F29" w:rsidRDefault="0086340B" w:rsidP="005F1ED8">
            <w:pPr>
              <w:rPr>
                <w:sz w:val="20"/>
                <w:szCs w:val="20"/>
                <w:lang w:val="fr-CA"/>
              </w:rPr>
            </w:pPr>
          </w:p>
          <w:p w:rsidR="0086340B" w:rsidRPr="00606F29" w:rsidRDefault="009813FB" w:rsidP="005F1ED8">
            <w:pPr>
              <w:rPr>
                <w:sz w:val="20"/>
                <w:szCs w:val="20"/>
                <w:lang w:val="fr-CA"/>
              </w:rPr>
            </w:pPr>
            <w:r>
              <w:rPr>
                <w:sz w:val="20"/>
                <w:szCs w:val="20"/>
                <w:lang w:val="fr-CA"/>
              </w:rPr>
              <w:pict>
                <v:rect id="_x0000_i1044" style="width:106.1pt;height:1pt" o:hrpct="500" o:hralign="center" o:hrstd="t" o:hrnoshade="t" o:hr="t" fillcolor="black [3213]" stroked="f"/>
              </w:pict>
            </w:r>
          </w:p>
        </w:tc>
        <w:tc>
          <w:tcPr>
            <w:tcW w:w="588" w:type="pct"/>
          </w:tcPr>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tc>
        <w:tc>
          <w:tcPr>
            <w:tcW w:w="2206" w:type="pct"/>
          </w:tcPr>
          <w:p w:rsidR="0086340B" w:rsidRPr="00606F29" w:rsidRDefault="0086340B" w:rsidP="005F1ED8">
            <w:pPr>
              <w:rPr>
                <w:sz w:val="20"/>
                <w:szCs w:val="20"/>
              </w:rPr>
            </w:pPr>
          </w:p>
        </w:tc>
      </w:tr>
      <w:tr w:rsidR="0086340B" w:rsidRPr="00606F29" w:rsidTr="005F1ED8">
        <w:trPr>
          <w:cantSplit/>
        </w:trPr>
        <w:tc>
          <w:tcPr>
            <w:tcW w:w="2206" w:type="pct"/>
            <w:tcMar>
              <w:left w:w="0" w:type="dxa"/>
              <w:right w:w="0" w:type="dxa"/>
            </w:tcMar>
          </w:tcPr>
          <w:p w:rsidR="00DE3CDA" w:rsidRPr="00606F29" w:rsidRDefault="00DE3CDA" w:rsidP="00DE3CDA">
            <w:pPr>
              <w:rPr>
                <w:sz w:val="20"/>
                <w:szCs w:val="20"/>
              </w:rPr>
            </w:pPr>
          </w:p>
          <w:p w:rsidR="0086340B" w:rsidRPr="00606F29" w:rsidRDefault="0086340B" w:rsidP="005F1ED8">
            <w:pPr>
              <w:rPr>
                <w:sz w:val="20"/>
                <w:szCs w:val="20"/>
              </w:rPr>
            </w:pPr>
          </w:p>
        </w:tc>
        <w:tc>
          <w:tcPr>
            <w:tcW w:w="588" w:type="pct"/>
          </w:tcPr>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p w:rsidR="0086340B" w:rsidRPr="00606F29" w:rsidRDefault="0086340B" w:rsidP="005F1ED8">
            <w:pPr>
              <w:jc w:val="center"/>
              <w:rPr>
                <w:sz w:val="20"/>
                <w:szCs w:val="20"/>
              </w:rPr>
            </w:pPr>
          </w:p>
        </w:tc>
        <w:tc>
          <w:tcPr>
            <w:tcW w:w="2206" w:type="pct"/>
          </w:tcPr>
          <w:p w:rsidR="0086340B" w:rsidRPr="00606F29" w:rsidRDefault="0086340B" w:rsidP="005F1ED8">
            <w:pPr>
              <w:rPr>
                <w:sz w:val="20"/>
                <w:szCs w:val="20"/>
                <w:lang w:val="fr-CA"/>
              </w:rPr>
            </w:pPr>
          </w:p>
        </w:tc>
      </w:tr>
    </w:tbl>
    <w:p w:rsidR="00F40249" w:rsidRPr="00606F29" w:rsidRDefault="00F40249" w:rsidP="00F40249">
      <w:pPr>
        <w:rPr>
          <w:sz w:val="20"/>
          <w:szCs w:val="20"/>
        </w:rPr>
      </w:pPr>
    </w:p>
    <w:p w:rsidR="0010587F" w:rsidRPr="00606F29" w:rsidRDefault="0010587F" w:rsidP="00F40249">
      <w:pPr>
        <w:rPr>
          <w:sz w:val="20"/>
          <w:szCs w:val="20"/>
        </w:rPr>
      </w:pPr>
    </w:p>
    <w:p w:rsidR="00EB2B90" w:rsidRPr="00606F29" w:rsidRDefault="00EB2B90" w:rsidP="00F40249">
      <w:pPr>
        <w:rPr>
          <w:sz w:val="20"/>
          <w:szCs w:val="20"/>
        </w:rPr>
        <w:sectPr w:rsidR="00EB2B90" w:rsidRPr="00606F29" w:rsidSect="00F4024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813FB" w:rsidTr="0085476B">
        <w:trPr>
          <w:cantSplit/>
        </w:trPr>
        <w:tc>
          <w:tcPr>
            <w:tcW w:w="4410" w:type="dxa"/>
            <w:tcMar>
              <w:left w:w="0" w:type="dxa"/>
              <w:right w:w="0" w:type="dxa"/>
            </w:tcMar>
          </w:tcPr>
          <w:p w:rsidR="00C1697B" w:rsidRPr="00606F29" w:rsidRDefault="00732DB7" w:rsidP="00697C62">
            <w:pPr>
              <w:keepNext/>
              <w:keepLines/>
              <w:widowControl w:val="0"/>
              <w:jc w:val="both"/>
              <w:rPr>
                <w:b/>
                <w:szCs w:val="24"/>
              </w:rPr>
            </w:pPr>
            <w:r w:rsidRPr="00606F29">
              <w:rPr>
                <w:b/>
                <w:szCs w:val="24"/>
              </w:rPr>
              <w:lastRenderedPageBreak/>
              <w:t>APPEALS HEARD SINCE LAST ISSUE AND DISPOSITION</w:t>
            </w:r>
          </w:p>
          <w:p w:rsidR="00732DB7" w:rsidRPr="00606F29" w:rsidRDefault="00732DB7" w:rsidP="00C1697B">
            <w:pPr>
              <w:tabs>
                <w:tab w:val="left" w:pos="1116"/>
              </w:tabs>
              <w:rPr>
                <w:szCs w:val="24"/>
              </w:rPr>
            </w:pPr>
          </w:p>
        </w:tc>
        <w:tc>
          <w:tcPr>
            <w:tcW w:w="720" w:type="dxa"/>
            <w:tcMar>
              <w:left w:w="0" w:type="dxa"/>
              <w:right w:w="0" w:type="dxa"/>
            </w:tcMar>
          </w:tcPr>
          <w:p w:rsidR="00732DB7" w:rsidRPr="00606F29" w:rsidRDefault="00732DB7" w:rsidP="00732DB7">
            <w:pPr>
              <w:keepNext/>
              <w:keepLines/>
              <w:widowControl w:val="0"/>
              <w:jc w:val="center"/>
              <w:rPr>
                <w:b/>
                <w:szCs w:val="24"/>
              </w:rPr>
            </w:pPr>
          </w:p>
          <w:p w:rsidR="00732DB7" w:rsidRPr="00606F29" w:rsidRDefault="00732DB7" w:rsidP="00732DB7">
            <w:pPr>
              <w:keepNext/>
              <w:keepLines/>
              <w:widowControl w:val="0"/>
              <w:jc w:val="center"/>
              <w:rPr>
                <w:b/>
                <w:szCs w:val="24"/>
              </w:rPr>
            </w:pPr>
          </w:p>
          <w:p w:rsidR="00732DB7" w:rsidRPr="00606F29" w:rsidRDefault="00732DB7" w:rsidP="00732DB7">
            <w:pPr>
              <w:keepNext/>
              <w:keepLines/>
              <w:widowControl w:val="0"/>
              <w:jc w:val="center"/>
              <w:rPr>
                <w:b/>
                <w:szCs w:val="24"/>
              </w:rPr>
            </w:pPr>
          </w:p>
        </w:tc>
        <w:tc>
          <w:tcPr>
            <w:tcW w:w="4350" w:type="dxa"/>
            <w:tcMar>
              <w:left w:w="0" w:type="dxa"/>
              <w:right w:w="0" w:type="dxa"/>
            </w:tcMar>
          </w:tcPr>
          <w:p w:rsidR="00732DB7" w:rsidRPr="00606F29" w:rsidRDefault="00732DB7" w:rsidP="00697C62">
            <w:pPr>
              <w:keepNext/>
              <w:keepLines/>
              <w:widowControl w:val="0"/>
              <w:jc w:val="both"/>
              <w:rPr>
                <w:b/>
                <w:szCs w:val="24"/>
                <w:lang w:val="fr-CA"/>
              </w:rPr>
            </w:pPr>
            <w:r w:rsidRPr="00606F29">
              <w:rPr>
                <w:b/>
                <w:szCs w:val="24"/>
                <w:lang w:val="fr-CA"/>
              </w:rPr>
              <w:t>APPELS ENTENDUS DEPUIS LA DERNIÈRE PARUTION ET RÉSULTAT</w:t>
            </w:r>
          </w:p>
        </w:tc>
      </w:tr>
    </w:tbl>
    <w:p w:rsidR="00732DB7" w:rsidRPr="00606F29" w:rsidRDefault="00732DB7" w:rsidP="00732DB7">
      <w:pPr>
        <w:widowControl w:val="0"/>
        <w:rPr>
          <w:sz w:val="20"/>
          <w:szCs w:val="20"/>
          <w:lang w:val="fr-CA"/>
        </w:rPr>
      </w:pPr>
    </w:p>
    <w:p w:rsidR="004124B2" w:rsidRPr="00606F29" w:rsidRDefault="004124B2" w:rsidP="004124B2">
      <w:pPr>
        <w:rPr>
          <w:sz w:val="20"/>
          <w:szCs w:val="20"/>
          <w:lang w:val="en-US"/>
        </w:rPr>
      </w:pPr>
      <w:r w:rsidRPr="00606F29">
        <w:rPr>
          <w:sz w:val="20"/>
          <w:szCs w:val="20"/>
          <w:lang w:val="en-US"/>
        </w:rPr>
        <w:t>23.03.2018</w:t>
      </w:r>
    </w:p>
    <w:p w:rsidR="004124B2" w:rsidRPr="00606F29" w:rsidRDefault="004124B2" w:rsidP="004124B2">
      <w:pPr>
        <w:widowControl w:val="0"/>
        <w:rPr>
          <w:sz w:val="20"/>
          <w:szCs w:val="20"/>
          <w:lang w:val="en-US"/>
        </w:rPr>
      </w:pPr>
    </w:p>
    <w:p w:rsidR="004124B2" w:rsidRPr="00606F29" w:rsidRDefault="004124B2" w:rsidP="004124B2">
      <w:pPr>
        <w:widowControl w:val="0"/>
        <w:ind w:left="720" w:hanging="720"/>
        <w:rPr>
          <w:sz w:val="20"/>
          <w:szCs w:val="20"/>
          <w:lang w:val="en-US"/>
        </w:rPr>
      </w:pPr>
      <w:r w:rsidRPr="00606F29">
        <w:rPr>
          <w:sz w:val="20"/>
          <w:szCs w:val="20"/>
          <w:lang w:val="en-US"/>
        </w:rPr>
        <w:t xml:space="preserve">Coram: </w:t>
      </w:r>
      <w:r w:rsidRPr="00606F29">
        <w:rPr>
          <w:sz w:val="20"/>
          <w:szCs w:val="20"/>
          <w:lang w:val="en-US"/>
        </w:rPr>
        <w:tab/>
      </w:r>
      <w:proofErr w:type="spellStart"/>
      <w:r w:rsidRPr="00606F29">
        <w:rPr>
          <w:sz w:val="20"/>
          <w:szCs w:val="20"/>
          <w:u w:val="single"/>
          <w:lang w:val="en-US"/>
        </w:rPr>
        <w:t>Moldaver</w:t>
      </w:r>
      <w:proofErr w:type="spellEnd"/>
      <w:r w:rsidRPr="00606F29">
        <w:rPr>
          <w:sz w:val="20"/>
          <w:szCs w:val="20"/>
          <w:u w:val="single"/>
          <w:lang w:val="en-US"/>
        </w:rPr>
        <w:t xml:space="preserve">, </w:t>
      </w:r>
      <w:proofErr w:type="spellStart"/>
      <w:r w:rsidRPr="00606F29">
        <w:rPr>
          <w:sz w:val="20"/>
          <w:szCs w:val="20"/>
          <w:u w:val="single"/>
          <w:lang w:val="en-US"/>
        </w:rPr>
        <w:t>Karakatsanis</w:t>
      </w:r>
      <w:proofErr w:type="spellEnd"/>
      <w:r w:rsidRPr="00606F29">
        <w:rPr>
          <w:sz w:val="20"/>
          <w:szCs w:val="20"/>
          <w:u w:val="single"/>
          <w:lang w:val="en-US"/>
        </w:rPr>
        <w:t xml:space="preserve">, </w:t>
      </w:r>
      <w:proofErr w:type="spellStart"/>
      <w:r w:rsidRPr="00606F29">
        <w:rPr>
          <w:sz w:val="20"/>
          <w:szCs w:val="20"/>
          <w:u w:val="single"/>
          <w:lang w:val="en-US"/>
        </w:rPr>
        <w:t>Gascon</w:t>
      </w:r>
      <w:proofErr w:type="spellEnd"/>
      <w:r w:rsidRPr="00606F29">
        <w:rPr>
          <w:sz w:val="20"/>
          <w:szCs w:val="20"/>
          <w:u w:val="single"/>
          <w:lang w:val="en-US"/>
        </w:rPr>
        <w:t xml:space="preserve">, </w:t>
      </w:r>
      <w:proofErr w:type="spellStart"/>
      <w:r w:rsidRPr="00606F29">
        <w:rPr>
          <w:sz w:val="20"/>
          <w:szCs w:val="20"/>
          <w:u w:val="single"/>
          <w:lang w:val="en-US"/>
        </w:rPr>
        <w:t>Côté</w:t>
      </w:r>
      <w:proofErr w:type="spellEnd"/>
      <w:r w:rsidRPr="00606F29">
        <w:rPr>
          <w:sz w:val="20"/>
          <w:szCs w:val="20"/>
          <w:u w:val="single"/>
          <w:lang w:val="en-US"/>
        </w:rPr>
        <w:t xml:space="preserve"> and Rowe JJ.</w:t>
      </w:r>
    </w:p>
    <w:p w:rsidR="004124B2" w:rsidRPr="00606F29" w:rsidRDefault="004124B2" w:rsidP="004124B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124B2" w:rsidRPr="00606F29" w:rsidTr="006358B9">
        <w:tc>
          <w:tcPr>
            <w:tcW w:w="4380" w:type="dxa"/>
            <w:tcMar>
              <w:left w:w="0" w:type="dxa"/>
              <w:right w:w="0" w:type="dxa"/>
            </w:tcMar>
          </w:tcPr>
          <w:p w:rsidR="004124B2" w:rsidRPr="00606F29" w:rsidRDefault="004124B2" w:rsidP="006358B9">
            <w:pPr>
              <w:widowControl w:val="0"/>
              <w:rPr>
                <w:b/>
                <w:sz w:val="20"/>
                <w:szCs w:val="20"/>
                <w:lang w:val="en-US"/>
              </w:rPr>
            </w:pPr>
            <w:r w:rsidRPr="00606F29">
              <w:rPr>
                <w:b/>
                <w:sz w:val="20"/>
                <w:szCs w:val="20"/>
                <w:lang w:val="en-US"/>
              </w:rPr>
              <w:t>R.A.</w:t>
            </w:r>
          </w:p>
          <w:p w:rsidR="004124B2" w:rsidRPr="00606F29" w:rsidRDefault="004124B2" w:rsidP="006358B9">
            <w:pPr>
              <w:widowControl w:val="0"/>
              <w:rPr>
                <w:b/>
                <w:sz w:val="20"/>
                <w:szCs w:val="20"/>
                <w:lang w:val="en-US"/>
              </w:rPr>
            </w:pPr>
          </w:p>
          <w:p w:rsidR="004124B2" w:rsidRPr="00606F29" w:rsidRDefault="004124B2" w:rsidP="006358B9">
            <w:pPr>
              <w:widowControl w:val="0"/>
              <w:rPr>
                <w:b/>
                <w:sz w:val="20"/>
                <w:szCs w:val="20"/>
                <w:lang w:val="en-US"/>
              </w:rPr>
            </w:pPr>
            <w:r w:rsidRPr="00606F29">
              <w:rPr>
                <w:b/>
                <w:sz w:val="20"/>
                <w:szCs w:val="20"/>
                <w:lang w:val="en-US"/>
              </w:rPr>
              <w:tab/>
              <w:t xml:space="preserve">v. </w:t>
            </w:r>
            <w:r w:rsidRPr="00606F29">
              <w:rPr>
                <w:sz w:val="20"/>
                <w:szCs w:val="20"/>
                <w:lang w:val="en-US"/>
              </w:rPr>
              <w:t>(</w:t>
            </w:r>
            <w:hyperlink r:id="rId67" w:history="1">
              <w:r w:rsidRPr="00606F29">
                <w:rPr>
                  <w:rStyle w:val="Hyperlink"/>
                  <w:sz w:val="20"/>
                  <w:szCs w:val="20"/>
                  <w:lang w:val="en-US"/>
                </w:rPr>
                <w:t>37757</w:t>
              </w:r>
            </w:hyperlink>
            <w:r w:rsidRPr="00606F29">
              <w:rPr>
                <w:sz w:val="20"/>
                <w:szCs w:val="20"/>
                <w:lang w:val="en-US"/>
              </w:rPr>
              <w:t>)</w:t>
            </w:r>
          </w:p>
          <w:p w:rsidR="004124B2" w:rsidRPr="00606F29" w:rsidRDefault="004124B2" w:rsidP="006358B9">
            <w:pPr>
              <w:widowControl w:val="0"/>
              <w:rPr>
                <w:b/>
                <w:sz w:val="20"/>
                <w:szCs w:val="20"/>
                <w:lang w:val="en-US"/>
              </w:rPr>
            </w:pPr>
          </w:p>
          <w:p w:rsidR="004124B2" w:rsidRPr="00606F29" w:rsidRDefault="004124B2" w:rsidP="006358B9">
            <w:pPr>
              <w:widowControl w:val="0"/>
              <w:rPr>
                <w:sz w:val="20"/>
                <w:szCs w:val="20"/>
                <w:lang w:val="en-US"/>
              </w:rPr>
            </w:pPr>
            <w:r w:rsidRPr="00606F29">
              <w:rPr>
                <w:b/>
                <w:sz w:val="20"/>
                <w:szCs w:val="20"/>
                <w:lang w:val="en-US"/>
              </w:rPr>
              <w:t>Her Majesty the Queen (Ont.) (Criminal) (As of Right)</w:t>
            </w:r>
            <w:r w:rsidRPr="00606F29">
              <w:rPr>
                <w:sz w:val="20"/>
                <w:szCs w:val="20"/>
                <w:lang w:val="en-US"/>
              </w:rPr>
              <w:t xml:space="preserve"> </w:t>
            </w:r>
          </w:p>
        </w:tc>
        <w:tc>
          <w:tcPr>
            <w:tcW w:w="720" w:type="dxa"/>
            <w:tcMar>
              <w:left w:w="0" w:type="dxa"/>
              <w:right w:w="0" w:type="dxa"/>
            </w:tcMar>
          </w:tcPr>
          <w:p w:rsidR="004124B2" w:rsidRPr="00606F29" w:rsidRDefault="004124B2" w:rsidP="006358B9">
            <w:pPr>
              <w:widowControl w:val="0"/>
              <w:rPr>
                <w:sz w:val="20"/>
                <w:szCs w:val="20"/>
                <w:lang w:val="en-US"/>
              </w:rPr>
            </w:pPr>
          </w:p>
        </w:tc>
        <w:tc>
          <w:tcPr>
            <w:tcW w:w="4380" w:type="dxa"/>
            <w:tcMar>
              <w:left w:w="0" w:type="dxa"/>
              <w:right w:w="0" w:type="dxa"/>
            </w:tcMar>
          </w:tcPr>
          <w:p w:rsidR="004124B2" w:rsidRPr="00606F29" w:rsidRDefault="004124B2" w:rsidP="006358B9">
            <w:pPr>
              <w:widowControl w:val="0"/>
              <w:rPr>
                <w:sz w:val="20"/>
                <w:szCs w:val="20"/>
                <w:lang w:val="en-US"/>
              </w:rPr>
            </w:pPr>
            <w:r w:rsidRPr="00606F29">
              <w:rPr>
                <w:sz w:val="20"/>
                <w:szCs w:val="20"/>
                <w:lang w:val="en-US"/>
              </w:rPr>
              <w:t xml:space="preserve">Howard L. </w:t>
            </w:r>
            <w:proofErr w:type="spellStart"/>
            <w:r w:rsidRPr="00606F29">
              <w:rPr>
                <w:sz w:val="20"/>
                <w:szCs w:val="20"/>
                <w:lang w:val="en-US"/>
              </w:rPr>
              <w:t>Krongold</w:t>
            </w:r>
            <w:proofErr w:type="spellEnd"/>
            <w:r w:rsidRPr="00606F29">
              <w:rPr>
                <w:sz w:val="20"/>
                <w:szCs w:val="20"/>
                <w:lang w:val="en-US"/>
              </w:rPr>
              <w:t xml:space="preserve"> for the Appellant R.A.</w:t>
            </w:r>
          </w:p>
          <w:p w:rsidR="004124B2" w:rsidRPr="00606F29" w:rsidRDefault="004124B2" w:rsidP="006358B9">
            <w:pPr>
              <w:widowControl w:val="0"/>
              <w:rPr>
                <w:sz w:val="20"/>
                <w:szCs w:val="20"/>
                <w:lang w:val="en-US"/>
              </w:rPr>
            </w:pPr>
          </w:p>
          <w:p w:rsidR="004124B2" w:rsidRPr="00606F29" w:rsidRDefault="004124B2" w:rsidP="006358B9">
            <w:pPr>
              <w:widowControl w:val="0"/>
              <w:rPr>
                <w:sz w:val="20"/>
                <w:szCs w:val="20"/>
                <w:lang w:val="en-US"/>
              </w:rPr>
            </w:pPr>
            <w:r w:rsidRPr="00606F29">
              <w:rPr>
                <w:sz w:val="20"/>
                <w:szCs w:val="20"/>
                <w:lang w:val="en-US"/>
              </w:rPr>
              <w:t>Rachel Young and Alexander Alvaro for the Respondent Her Majesty the Queen.</w:t>
            </w:r>
          </w:p>
        </w:tc>
      </w:tr>
    </w:tbl>
    <w:p w:rsidR="004124B2" w:rsidRPr="00606F29" w:rsidRDefault="004124B2" w:rsidP="004124B2">
      <w:pPr>
        <w:widowControl w:val="0"/>
        <w:rPr>
          <w:sz w:val="20"/>
          <w:szCs w:val="20"/>
          <w:lang w:val="en-US"/>
        </w:rPr>
      </w:pPr>
    </w:p>
    <w:p w:rsidR="004124B2" w:rsidRPr="00606F29" w:rsidRDefault="004124B2" w:rsidP="004124B2">
      <w:pPr>
        <w:rPr>
          <w:b/>
          <w:sz w:val="20"/>
          <w:szCs w:val="20"/>
          <w:lang w:val="fr-CA"/>
        </w:rPr>
      </w:pPr>
      <w:r w:rsidRPr="00606F29">
        <w:rPr>
          <w:b/>
          <w:sz w:val="20"/>
          <w:szCs w:val="20"/>
          <w:lang w:val="fr-CA"/>
        </w:rPr>
        <w:t xml:space="preserve">DISMISSED, Gascon J </w:t>
      </w:r>
      <w:proofErr w:type="spellStart"/>
      <w:r w:rsidRPr="00606F29">
        <w:rPr>
          <w:b/>
          <w:sz w:val="20"/>
          <w:szCs w:val="20"/>
          <w:lang w:val="fr-CA"/>
        </w:rPr>
        <w:t>dissenting</w:t>
      </w:r>
      <w:proofErr w:type="spellEnd"/>
      <w:r w:rsidRPr="00606F29">
        <w:rPr>
          <w:b/>
          <w:sz w:val="20"/>
          <w:szCs w:val="20"/>
          <w:lang w:val="fr-CA"/>
        </w:rPr>
        <w:t xml:space="preserve"> / REJETÉ, le juge Gascon est dissident</w:t>
      </w:r>
    </w:p>
    <w:p w:rsidR="004124B2" w:rsidRPr="00606F29" w:rsidRDefault="004124B2" w:rsidP="004124B2">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124B2" w:rsidRPr="009813FB" w:rsidTr="006358B9">
        <w:tc>
          <w:tcPr>
            <w:tcW w:w="4380" w:type="dxa"/>
            <w:tcMar>
              <w:left w:w="0" w:type="dxa"/>
              <w:right w:w="0" w:type="dxa"/>
            </w:tcMar>
          </w:tcPr>
          <w:p w:rsidR="004124B2" w:rsidRPr="00606F29" w:rsidRDefault="004124B2" w:rsidP="006358B9">
            <w:pPr>
              <w:widowControl w:val="0"/>
              <w:jc w:val="both"/>
              <w:rPr>
                <w:b/>
                <w:sz w:val="20"/>
                <w:szCs w:val="20"/>
                <w:u w:val="single"/>
              </w:rPr>
            </w:pPr>
            <w:r w:rsidRPr="00606F29">
              <w:rPr>
                <w:b/>
                <w:sz w:val="20"/>
                <w:szCs w:val="20"/>
                <w:u w:val="single"/>
              </w:rPr>
              <w:t>Judgment:</w:t>
            </w:r>
          </w:p>
          <w:p w:rsidR="004124B2" w:rsidRPr="00606F29" w:rsidRDefault="004124B2" w:rsidP="006358B9">
            <w:pPr>
              <w:widowControl w:val="0"/>
              <w:jc w:val="both"/>
              <w:rPr>
                <w:b/>
                <w:sz w:val="20"/>
                <w:szCs w:val="20"/>
                <w:u w:val="single"/>
              </w:rPr>
            </w:pPr>
          </w:p>
          <w:p w:rsidR="004124B2" w:rsidRPr="00606F29" w:rsidRDefault="004124B2" w:rsidP="004124B2">
            <w:pPr>
              <w:jc w:val="both"/>
              <w:rPr>
                <w:sz w:val="20"/>
              </w:rPr>
            </w:pPr>
            <w:r w:rsidRPr="00606F29">
              <w:rPr>
                <w:sz w:val="20"/>
              </w:rPr>
              <w:t xml:space="preserve">The appeal from the judgment of the Court of Appeal for Ontario, Number C61946, 2017 ONCA 714, dated September 14, 2017, was heard on March 23, 2018, and the Court on that day delivered the following judgment orally: </w:t>
            </w:r>
          </w:p>
          <w:p w:rsidR="004124B2" w:rsidRPr="00606F29" w:rsidRDefault="004124B2" w:rsidP="004124B2">
            <w:pPr>
              <w:jc w:val="both"/>
              <w:rPr>
                <w:sz w:val="20"/>
              </w:rPr>
            </w:pPr>
          </w:p>
          <w:p w:rsidR="004124B2" w:rsidRPr="00606F29" w:rsidRDefault="004124B2" w:rsidP="004124B2">
            <w:pPr>
              <w:jc w:val="both"/>
              <w:rPr>
                <w:sz w:val="20"/>
              </w:rPr>
            </w:pPr>
          </w:p>
          <w:p w:rsidR="004124B2" w:rsidRPr="00606F29" w:rsidRDefault="004124B2" w:rsidP="004124B2">
            <w:pPr>
              <w:widowControl w:val="0"/>
              <w:jc w:val="both"/>
              <w:rPr>
                <w:b/>
                <w:sz w:val="16"/>
                <w:szCs w:val="20"/>
                <w:u w:val="single"/>
              </w:rPr>
            </w:pPr>
            <w:proofErr w:type="spellStart"/>
            <w:r w:rsidRPr="00606F29">
              <w:rPr>
                <w:smallCaps/>
                <w:sz w:val="20"/>
              </w:rPr>
              <w:t>Moldaver</w:t>
            </w:r>
            <w:proofErr w:type="spellEnd"/>
            <w:r w:rsidRPr="00606F29">
              <w:rPr>
                <w:sz w:val="20"/>
              </w:rPr>
              <w:t xml:space="preserve"> J. </w:t>
            </w:r>
            <w:r w:rsidRPr="00606F29">
              <w:rPr>
                <w:rFonts w:cs="Times New Roman"/>
                <w:sz w:val="20"/>
              </w:rPr>
              <w:t>—</w:t>
            </w:r>
            <w:r w:rsidRPr="00606F29">
              <w:rPr>
                <w:sz w:val="20"/>
              </w:rPr>
              <w:t xml:space="preserve"> A majority of the Court would dismiss the appeal, substantially for the reasons of the majority of the Court of Appeal. Justice </w:t>
            </w:r>
            <w:proofErr w:type="spellStart"/>
            <w:r w:rsidRPr="00606F29">
              <w:rPr>
                <w:sz w:val="20"/>
              </w:rPr>
              <w:t>Gascon</w:t>
            </w:r>
            <w:proofErr w:type="spellEnd"/>
            <w:r w:rsidRPr="00606F29">
              <w:rPr>
                <w:sz w:val="20"/>
              </w:rPr>
              <w:t>, dissenting, would have allowed the appeal for the reasons of Justice Trotter.</w:t>
            </w:r>
          </w:p>
          <w:p w:rsidR="004124B2" w:rsidRPr="00606F29" w:rsidRDefault="004124B2" w:rsidP="006358B9">
            <w:pPr>
              <w:widowControl w:val="0"/>
              <w:jc w:val="both"/>
              <w:rPr>
                <w:b/>
                <w:sz w:val="20"/>
                <w:szCs w:val="20"/>
                <w:u w:val="single"/>
              </w:rPr>
            </w:pPr>
          </w:p>
        </w:tc>
        <w:tc>
          <w:tcPr>
            <w:tcW w:w="720" w:type="dxa"/>
            <w:tcMar>
              <w:left w:w="0" w:type="dxa"/>
              <w:right w:w="0" w:type="dxa"/>
            </w:tcMar>
          </w:tcPr>
          <w:p w:rsidR="004124B2" w:rsidRPr="00606F29" w:rsidRDefault="004124B2" w:rsidP="006358B9">
            <w:pPr>
              <w:widowControl w:val="0"/>
              <w:jc w:val="center"/>
              <w:rPr>
                <w:sz w:val="20"/>
                <w:szCs w:val="20"/>
              </w:rPr>
            </w:pPr>
          </w:p>
        </w:tc>
        <w:tc>
          <w:tcPr>
            <w:tcW w:w="4380" w:type="dxa"/>
            <w:tcMar>
              <w:left w:w="0" w:type="dxa"/>
              <w:right w:w="0" w:type="dxa"/>
            </w:tcMar>
          </w:tcPr>
          <w:p w:rsidR="004124B2" w:rsidRPr="00606F29" w:rsidRDefault="004124B2" w:rsidP="004124B2">
            <w:pPr>
              <w:widowControl w:val="0"/>
              <w:jc w:val="both"/>
              <w:rPr>
                <w:b/>
                <w:sz w:val="20"/>
                <w:szCs w:val="20"/>
                <w:u w:val="single"/>
                <w:lang w:val="fr-CA"/>
              </w:rPr>
            </w:pPr>
            <w:r w:rsidRPr="00606F29">
              <w:rPr>
                <w:b/>
                <w:sz w:val="20"/>
                <w:szCs w:val="20"/>
                <w:u w:val="single"/>
                <w:lang w:val="fr-CA"/>
              </w:rPr>
              <w:t>Jugement:</w:t>
            </w:r>
          </w:p>
          <w:p w:rsidR="004124B2" w:rsidRPr="00606F29" w:rsidRDefault="004124B2" w:rsidP="004124B2">
            <w:pPr>
              <w:jc w:val="both"/>
              <w:rPr>
                <w:sz w:val="20"/>
                <w:lang w:val="fr-CA"/>
              </w:rPr>
            </w:pPr>
          </w:p>
          <w:p w:rsidR="004124B2" w:rsidRPr="00606F29" w:rsidRDefault="004124B2" w:rsidP="004124B2">
            <w:pPr>
              <w:jc w:val="both"/>
              <w:rPr>
                <w:sz w:val="20"/>
                <w:lang w:val="fr-CA"/>
              </w:rPr>
            </w:pPr>
            <w:r w:rsidRPr="00606F29">
              <w:rPr>
                <w:sz w:val="20"/>
                <w:lang w:val="fr-CA"/>
              </w:rPr>
              <w:t>L’appel interjeté contre l’arrêt de la Cour d’appel de l’Ontario, numéro C61946, 2017 ONCA 714, daté du 14 septembre 2017, a été entendu le 23 mars 2018 et la Cour a prononcé oralement le même jour le jugement suivant :</w:t>
            </w:r>
          </w:p>
          <w:p w:rsidR="004124B2" w:rsidRPr="00606F29" w:rsidRDefault="004124B2" w:rsidP="004124B2">
            <w:pPr>
              <w:jc w:val="both"/>
              <w:rPr>
                <w:sz w:val="20"/>
                <w:lang w:val="fr-CA"/>
              </w:rPr>
            </w:pPr>
          </w:p>
          <w:p w:rsidR="004124B2" w:rsidRPr="00606F29" w:rsidRDefault="004124B2" w:rsidP="004124B2">
            <w:pPr>
              <w:jc w:val="both"/>
              <w:rPr>
                <w:sz w:val="20"/>
                <w:lang w:val="fr-CA"/>
              </w:rPr>
            </w:pPr>
            <w:r w:rsidRPr="00606F29">
              <w:rPr>
                <w:sz w:val="20"/>
                <w:lang w:val="fr-CA"/>
              </w:rPr>
              <w:t>[</w:t>
            </w:r>
            <w:r w:rsidRPr="00606F29">
              <w:rPr>
                <w:smallCaps/>
                <w:sz w:val="20"/>
                <w:lang w:val="fr-CA"/>
              </w:rPr>
              <w:t>traduction</w:t>
            </w:r>
            <w:r w:rsidRPr="00606F29">
              <w:rPr>
                <w:sz w:val="20"/>
                <w:lang w:val="fr-CA"/>
              </w:rPr>
              <w:t>]</w:t>
            </w:r>
          </w:p>
          <w:p w:rsidR="004124B2" w:rsidRPr="00606F29" w:rsidRDefault="004124B2" w:rsidP="004124B2">
            <w:pPr>
              <w:widowControl w:val="0"/>
              <w:jc w:val="both"/>
              <w:rPr>
                <w:b/>
                <w:sz w:val="20"/>
                <w:szCs w:val="20"/>
                <w:u w:val="single"/>
                <w:lang w:val="fr-CA"/>
              </w:rPr>
            </w:pPr>
            <w:r w:rsidRPr="00606F29">
              <w:rPr>
                <w:smallCaps/>
                <w:sz w:val="20"/>
                <w:lang w:val="fr-CA"/>
              </w:rPr>
              <w:t xml:space="preserve">Le juge </w:t>
            </w:r>
            <w:proofErr w:type="spellStart"/>
            <w:r w:rsidRPr="00606F29">
              <w:rPr>
                <w:smallCaps/>
                <w:sz w:val="20"/>
                <w:lang w:val="fr-CA"/>
              </w:rPr>
              <w:t>Moldaver</w:t>
            </w:r>
            <w:proofErr w:type="spellEnd"/>
            <w:r w:rsidRPr="00606F29">
              <w:rPr>
                <w:sz w:val="20"/>
                <w:lang w:val="fr-CA"/>
              </w:rPr>
              <w:t xml:space="preserve"> </w:t>
            </w:r>
            <w:r w:rsidRPr="00606F29">
              <w:rPr>
                <w:rFonts w:cs="Times New Roman"/>
                <w:sz w:val="20"/>
                <w:lang w:val="fr-CA"/>
              </w:rPr>
              <w:t>—</w:t>
            </w:r>
            <w:r w:rsidRPr="00606F29">
              <w:rPr>
                <w:sz w:val="20"/>
                <w:lang w:val="fr-CA"/>
              </w:rPr>
              <w:t xml:space="preserve"> La Cour, à la majorité, rejette le pourvoi essentiellement pour les motifs des juges majoritaires de la Cour d’appel. Le juge Gascon, dissident, aurait accueilli le pourvoi pour les motifs exposés par le juge Trotter.</w:t>
            </w:r>
          </w:p>
        </w:tc>
      </w:tr>
      <w:tr w:rsidR="004124B2" w:rsidRPr="009813FB" w:rsidTr="006358B9">
        <w:tc>
          <w:tcPr>
            <w:tcW w:w="4380" w:type="dxa"/>
            <w:tcMar>
              <w:left w:w="0" w:type="dxa"/>
              <w:right w:w="0" w:type="dxa"/>
            </w:tcMar>
          </w:tcPr>
          <w:p w:rsidR="004124B2" w:rsidRPr="00606F29" w:rsidRDefault="004124B2" w:rsidP="006358B9">
            <w:pPr>
              <w:widowControl w:val="0"/>
              <w:jc w:val="both"/>
              <w:rPr>
                <w:b/>
                <w:sz w:val="20"/>
                <w:szCs w:val="20"/>
                <w:u w:val="single"/>
              </w:rPr>
            </w:pPr>
            <w:r w:rsidRPr="00606F29">
              <w:rPr>
                <w:b/>
                <w:sz w:val="20"/>
                <w:szCs w:val="20"/>
                <w:u w:val="single"/>
              </w:rPr>
              <w:t>Nature of the case:</w:t>
            </w:r>
          </w:p>
          <w:p w:rsidR="004124B2" w:rsidRPr="00606F29" w:rsidRDefault="004124B2" w:rsidP="006358B9">
            <w:pPr>
              <w:widowControl w:val="0"/>
              <w:jc w:val="both"/>
              <w:rPr>
                <w:b/>
                <w:sz w:val="20"/>
                <w:szCs w:val="20"/>
              </w:rPr>
            </w:pPr>
          </w:p>
          <w:p w:rsidR="004124B2" w:rsidRPr="00606F29" w:rsidRDefault="004124B2" w:rsidP="006358B9">
            <w:pPr>
              <w:widowControl w:val="0"/>
              <w:jc w:val="both"/>
              <w:rPr>
                <w:sz w:val="20"/>
                <w:szCs w:val="20"/>
              </w:rPr>
            </w:pPr>
            <w:r w:rsidRPr="00606F29">
              <w:rPr>
                <w:sz w:val="20"/>
                <w:szCs w:val="20"/>
              </w:rPr>
              <w:t>Criminal law - Judgments and orders, Reasons for judgment - Criminal law - Trials - Judgments - Reasons for judgment - Sufficiency of reasons - Whether Court of Appeal erred in rejecting accused’s argument that trial judge’s reasons were insufficient.</w:t>
            </w:r>
          </w:p>
        </w:tc>
        <w:tc>
          <w:tcPr>
            <w:tcW w:w="720" w:type="dxa"/>
            <w:tcMar>
              <w:left w:w="0" w:type="dxa"/>
              <w:right w:w="0" w:type="dxa"/>
            </w:tcMar>
          </w:tcPr>
          <w:p w:rsidR="004124B2" w:rsidRPr="00606F29" w:rsidRDefault="004124B2" w:rsidP="006358B9">
            <w:pPr>
              <w:widowControl w:val="0"/>
              <w:jc w:val="center"/>
              <w:rPr>
                <w:sz w:val="20"/>
                <w:szCs w:val="20"/>
              </w:rPr>
            </w:pPr>
          </w:p>
        </w:tc>
        <w:tc>
          <w:tcPr>
            <w:tcW w:w="4380" w:type="dxa"/>
            <w:tcMar>
              <w:left w:w="0" w:type="dxa"/>
              <w:right w:w="0" w:type="dxa"/>
            </w:tcMar>
          </w:tcPr>
          <w:p w:rsidR="004124B2" w:rsidRPr="00606F29" w:rsidRDefault="004124B2" w:rsidP="006358B9">
            <w:pPr>
              <w:widowControl w:val="0"/>
              <w:jc w:val="both"/>
              <w:rPr>
                <w:b/>
                <w:sz w:val="20"/>
                <w:szCs w:val="20"/>
                <w:u w:val="single"/>
                <w:lang w:val="fr-CA"/>
              </w:rPr>
            </w:pPr>
            <w:r w:rsidRPr="00606F29">
              <w:rPr>
                <w:b/>
                <w:sz w:val="20"/>
                <w:szCs w:val="20"/>
                <w:u w:val="single"/>
                <w:lang w:val="fr-CA"/>
              </w:rPr>
              <w:t>Nature de la cause :</w:t>
            </w:r>
          </w:p>
          <w:p w:rsidR="004124B2" w:rsidRPr="00606F29" w:rsidRDefault="004124B2" w:rsidP="006358B9">
            <w:pPr>
              <w:widowControl w:val="0"/>
              <w:jc w:val="both"/>
              <w:rPr>
                <w:sz w:val="20"/>
                <w:szCs w:val="20"/>
                <w:lang w:val="fr-CA"/>
              </w:rPr>
            </w:pPr>
          </w:p>
          <w:p w:rsidR="004124B2" w:rsidRPr="00606F29" w:rsidRDefault="004124B2" w:rsidP="006358B9">
            <w:pPr>
              <w:widowControl w:val="0"/>
              <w:jc w:val="both"/>
              <w:rPr>
                <w:sz w:val="20"/>
                <w:szCs w:val="20"/>
                <w:lang w:val="fr-CA"/>
              </w:rPr>
            </w:pPr>
            <w:r w:rsidRPr="00606F29">
              <w:rPr>
                <w:sz w:val="20"/>
                <w:szCs w:val="20"/>
                <w:lang w:val="fr-CA"/>
              </w:rPr>
              <w:t>Droit criminel - Jugements et ordonnances, Motifs - Droit criminel - Procès - Jugements - Motifs de jugement - Suffisance des motifs - La Cour d’appel a-t-elle commis une erreur en rejetant l’argument de l’accusé selon lequel les motifs du juge du procès étaient insuffisants?</w:t>
            </w:r>
          </w:p>
        </w:tc>
      </w:tr>
    </w:tbl>
    <w:p w:rsidR="00D004FC" w:rsidRPr="00606F29" w:rsidRDefault="00D004FC" w:rsidP="00732DB7">
      <w:pPr>
        <w:widowControl w:val="0"/>
        <w:rPr>
          <w:sz w:val="20"/>
          <w:szCs w:val="20"/>
          <w:lang w:val="fr-CA"/>
        </w:rPr>
      </w:pPr>
    </w:p>
    <w:p w:rsidR="0056248C" w:rsidRPr="00606F29" w:rsidRDefault="0056248C" w:rsidP="00732DB7">
      <w:pPr>
        <w:widowControl w:val="0"/>
        <w:rPr>
          <w:sz w:val="20"/>
          <w:szCs w:val="20"/>
          <w:lang w:val="fr-CA"/>
        </w:rPr>
      </w:pPr>
    </w:p>
    <w:p w:rsidR="00732DB7" w:rsidRPr="00606F29" w:rsidRDefault="00732DB7" w:rsidP="00732DB7">
      <w:pPr>
        <w:widowControl w:val="0"/>
        <w:rPr>
          <w:sz w:val="20"/>
          <w:szCs w:val="20"/>
          <w:lang w:val="fr-CA"/>
        </w:rPr>
      </w:pPr>
    </w:p>
    <w:p w:rsidR="00732DB7" w:rsidRPr="00606F29" w:rsidRDefault="00732DB7" w:rsidP="00732DB7">
      <w:pPr>
        <w:widowControl w:val="0"/>
        <w:rPr>
          <w:sz w:val="20"/>
          <w:szCs w:val="20"/>
          <w:lang w:val="fr-CA"/>
        </w:rPr>
        <w:sectPr w:rsidR="00732DB7" w:rsidRPr="00606F29" w:rsidSect="00732DB7">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9813FB" w:rsidTr="0085476B">
        <w:tc>
          <w:tcPr>
            <w:tcW w:w="4320" w:type="dxa"/>
            <w:shd w:val="clear" w:color="auto" w:fill="auto"/>
          </w:tcPr>
          <w:p w:rsidR="006B6926" w:rsidRPr="00606F29" w:rsidRDefault="006B6926" w:rsidP="006B6926">
            <w:pPr>
              <w:keepNext/>
              <w:keepLines/>
              <w:rPr>
                <w:b/>
                <w:bCs/>
                <w:szCs w:val="24"/>
                <w:lang w:val="en-GB"/>
              </w:rPr>
            </w:pPr>
            <w:r w:rsidRPr="00606F29">
              <w:rPr>
                <w:b/>
                <w:bCs/>
                <w:szCs w:val="24"/>
                <w:lang w:val="en-GB"/>
              </w:rPr>
              <w:lastRenderedPageBreak/>
              <w:t>SUPREME COURT REPORTS</w:t>
            </w:r>
          </w:p>
        </w:tc>
        <w:tc>
          <w:tcPr>
            <w:tcW w:w="840" w:type="dxa"/>
            <w:shd w:val="clear" w:color="auto" w:fill="auto"/>
          </w:tcPr>
          <w:p w:rsidR="006B6926" w:rsidRPr="00606F29" w:rsidRDefault="006B6926" w:rsidP="006B6926">
            <w:pPr>
              <w:jc w:val="center"/>
              <w:rPr>
                <w:b/>
                <w:bCs/>
                <w:szCs w:val="24"/>
                <w:lang w:val="en-GB"/>
              </w:rPr>
            </w:pPr>
          </w:p>
          <w:p w:rsidR="006B6926" w:rsidRPr="00606F29" w:rsidRDefault="006B6926" w:rsidP="006B6926">
            <w:pPr>
              <w:jc w:val="center"/>
              <w:rPr>
                <w:b/>
                <w:bCs/>
                <w:szCs w:val="24"/>
                <w:lang w:val="en-GB"/>
              </w:rPr>
            </w:pPr>
          </w:p>
          <w:p w:rsidR="006B6926" w:rsidRPr="00606F29" w:rsidRDefault="006B6926" w:rsidP="006B6926">
            <w:pPr>
              <w:jc w:val="center"/>
              <w:rPr>
                <w:b/>
                <w:bCs/>
                <w:szCs w:val="24"/>
                <w:lang w:val="en-GB"/>
              </w:rPr>
            </w:pPr>
          </w:p>
        </w:tc>
        <w:tc>
          <w:tcPr>
            <w:tcW w:w="4320" w:type="dxa"/>
            <w:shd w:val="clear" w:color="auto" w:fill="auto"/>
          </w:tcPr>
          <w:p w:rsidR="006B6926" w:rsidRPr="00606F29" w:rsidRDefault="006B6926" w:rsidP="006B6926">
            <w:pPr>
              <w:keepNext/>
              <w:keepLines/>
              <w:rPr>
                <w:b/>
                <w:bCs/>
                <w:szCs w:val="24"/>
                <w:lang w:val="fr-CA"/>
              </w:rPr>
            </w:pPr>
            <w:r w:rsidRPr="00606F29">
              <w:rPr>
                <w:b/>
                <w:bCs/>
                <w:szCs w:val="24"/>
                <w:lang w:val="fr-CA"/>
              </w:rPr>
              <w:t>RECUEIL DES ARRÊTS DE LA COUR SUPRÊME</w:t>
            </w:r>
          </w:p>
        </w:tc>
      </w:tr>
    </w:tbl>
    <w:p w:rsidR="00C01FCB" w:rsidRPr="00606F29" w:rsidRDefault="00C01FCB" w:rsidP="00C01FC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9813FB" w:rsidTr="006D031A">
        <w:trPr>
          <w:cantSplit/>
          <w:trHeight w:val="1152"/>
        </w:trPr>
        <w:tc>
          <w:tcPr>
            <w:tcW w:w="4320" w:type="dxa"/>
            <w:tcBorders>
              <w:top w:val="nil"/>
              <w:left w:val="nil"/>
              <w:bottom w:val="nil"/>
              <w:right w:val="nil"/>
            </w:tcBorders>
          </w:tcPr>
          <w:p w:rsidR="00C01FCB" w:rsidRPr="00606F29" w:rsidRDefault="00C01FCB" w:rsidP="006D031A">
            <w:pPr>
              <w:keepNext/>
              <w:keepLines/>
              <w:jc w:val="both"/>
              <w:rPr>
                <w:rFonts w:cs="Times New Roman"/>
                <w:sz w:val="20"/>
                <w:szCs w:val="20"/>
                <w:lang w:val="en-GB"/>
              </w:rPr>
            </w:pPr>
            <w:r w:rsidRPr="00606F2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606F29" w:rsidRDefault="00C01FCB" w:rsidP="006D031A">
            <w:pPr>
              <w:rPr>
                <w:rFonts w:cs="Times New Roman"/>
                <w:b/>
                <w:bCs/>
                <w:sz w:val="20"/>
                <w:szCs w:val="20"/>
                <w:lang w:val="en-GB"/>
              </w:rPr>
            </w:pPr>
          </w:p>
        </w:tc>
        <w:tc>
          <w:tcPr>
            <w:tcW w:w="4320" w:type="dxa"/>
            <w:tcBorders>
              <w:top w:val="nil"/>
              <w:left w:val="nil"/>
              <w:bottom w:val="nil"/>
              <w:right w:val="nil"/>
            </w:tcBorders>
          </w:tcPr>
          <w:p w:rsidR="00C01FCB" w:rsidRPr="00606F29" w:rsidRDefault="00C01FCB" w:rsidP="006D031A">
            <w:pPr>
              <w:keepNext/>
              <w:keepLines/>
              <w:jc w:val="both"/>
              <w:rPr>
                <w:rFonts w:cs="Times New Roman"/>
                <w:b/>
                <w:bCs/>
                <w:sz w:val="20"/>
                <w:szCs w:val="20"/>
                <w:lang w:val="fr-CA"/>
              </w:rPr>
            </w:pPr>
            <w:r w:rsidRPr="00606F29">
              <w:rPr>
                <w:rFonts w:cs="Times New Roman"/>
                <w:b/>
                <w:bCs/>
                <w:sz w:val="20"/>
                <w:szCs w:val="20"/>
                <w:lang w:val="fr-CA"/>
              </w:rPr>
              <w:t>LES INTITULÉS UTILISÉS DANS CETTE TABLE SONT LES INTITULÉS NORMALISÉS DE LA RUBRIQUE "RÉPERTORIÉ" DANS CHAQUE ARRÊT.</w:t>
            </w:r>
          </w:p>
        </w:tc>
      </w:tr>
      <w:tr w:rsidR="00C01FCB" w:rsidRPr="00606F29" w:rsidTr="006D031A">
        <w:tc>
          <w:tcPr>
            <w:tcW w:w="4320" w:type="dxa"/>
            <w:tcBorders>
              <w:top w:val="nil"/>
              <w:left w:val="nil"/>
              <w:bottom w:val="nil"/>
              <w:right w:val="nil"/>
            </w:tcBorders>
          </w:tcPr>
          <w:p w:rsidR="00C01FCB" w:rsidRPr="00606F29" w:rsidRDefault="00C01FCB" w:rsidP="006D031A">
            <w:pPr>
              <w:rPr>
                <w:rFonts w:cs="Times New Roman"/>
                <w:sz w:val="20"/>
                <w:szCs w:val="20"/>
                <w:lang w:val="en-GB"/>
              </w:rPr>
            </w:pPr>
            <w:r w:rsidRPr="00606F29">
              <w:rPr>
                <w:rFonts w:cs="Times New Roman"/>
                <w:b/>
                <w:bCs/>
                <w:sz w:val="20"/>
                <w:szCs w:val="20"/>
                <w:lang w:val="en-GB"/>
              </w:rPr>
              <w:t>Judgments reported in [201</w:t>
            </w:r>
            <w:r w:rsidR="007C4ADC" w:rsidRPr="00606F29">
              <w:rPr>
                <w:rFonts w:cs="Times New Roman"/>
                <w:b/>
                <w:bCs/>
                <w:sz w:val="20"/>
                <w:szCs w:val="20"/>
                <w:lang w:val="en-GB"/>
              </w:rPr>
              <w:t>7</w:t>
            </w:r>
            <w:r w:rsidRPr="00606F29">
              <w:rPr>
                <w:rFonts w:cs="Times New Roman"/>
                <w:b/>
                <w:bCs/>
                <w:sz w:val="20"/>
                <w:szCs w:val="20"/>
                <w:lang w:val="en-GB"/>
              </w:rPr>
              <w:t xml:space="preserve">] </w:t>
            </w:r>
            <w:r w:rsidR="007C4ADC" w:rsidRPr="00606F29">
              <w:rPr>
                <w:rFonts w:cs="Times New Roman"/>
                <w:b/>
                <w:bCs/>
                <w:sz w:val="20"/>
                <w:szCs w:val="20"/>
                <w:lang w:val="en-GB"/>
              </w:rPr>
              <w:t>2 S.C.R. Part 3</w:t>
            </w:r>
          </w:p>
          <w:p w:rsidR="00C01FCB" w:rsidRPr="00606F29" w:rsidRDefault="00C01FCB" w:rsidP="006D031A">
            <w:pPr>
              <w:rPr>
                <w:rFonts w:cs="Times New Roman"/>
                <w:sz w:val="20"/>
                <w:szCs w:val="20"/>
                <w:lang w:val="en-GB"/>
              </w:rPr>
            </w:pPr>
          </w:p>
          <w:p w:rsidR="00F701BF" w:rsidRPr="00606F29" w:rsidRDefault="00F701BF" w:rsidP="00F701BF">
            <w:pPr>
              <w:rPr>
                <w:rFonts w:cs="Times New Roman"/>
                <w:sz w:val="20"/>
                <w:szCs w:val="20"/>
                <w:lang w:val="fr-CA"/>
              </w:rPr>
            </w:pPr>
            <w:r w:rsidRPr="00606F29">
              <w:rPr>
                <w:rFonts w:cs="Times New Roman"/>
                <w:sz w:val="20"/>
                <w:szCs w:val="20"/>
                <w:lang w:val="fr-CA"/>
              </w:rPr>
              <w:t xml:space="preserve">R. </w:t>
            </w:r>
            <w:r w:rsidRPr="00606F29">
              <w:rPr>
                <w:rFonts w:cs="Times New Roman"/>
                <w:i/>
                <w:sz w:val="20"/>
                <w:szCs w:val="20"/>
                <w:lang w:val="fr-CA"/>
              </w:rPr>
              <w:t>v.</w:t>
            </w:r>
            <w:r w:rsidRPr="00606F29">
              <w:rPr>
                <w:rFonts w:cs="Times New Roman"/>
                <w:sz w:val="20"/>
                <w:szCs w:val="20"/>
                <w:lang w:val="fr-CA"/>
              </w:rPr>
              <w:t xml:space="preserve"> Sciascia,</w:t>
            </w:r>
          </w:p>
          <w:p w:rsidR="00F701BF" w:rsidRPr="00606F29" w:rsidRDefault="00F701BF" w:rsidP="00F701BF">
            <w:pPr>
              <w:autoSpaceDE w:val="0"/>
              <w:autoSpaceDN w:val="0"/>
              <w:adjustRightInd w:val="0"/>
              <w:rPr>
                <w:rFonts w:cs="Times New Roman"/>
                <w:sz w:val="20"/>
                <w:szCs w:val="20"/>
                <w:lang w:val="fr-CA"/>
              </w:rPr>
            </w:pPr>
            <w:r w:rsidRPr="00606F29">
              <w:rPr>
                <w:rFonts w:cs="Times New Roman"/>
                <w:sz w:val="20"/>
                <w:szCs w:val="20"/>
                <w:lang w:val="fr-CA"/>
              </w:rPr>
              <w:t>2017 SCC 57, [2017] 2 S.C.R. 539</w:t>
            </w:r>
          </w:p>
          <w:p w:rsidR="00F701BF" w:rsidRPr="00606F29" w:rsidRDefault="00F701BF" w:rsidP="00F701BF">
            <w:pPr>
              <w:autoSpaceDE w:val="0"/>
              <w:autoSpaceDN w:val="0"/>
              <w:adjustRightInd w:val="0"/>
              <w:rPr>
                <w:rFonts w:cs="Times New Roman"/>
                <w:sz w:val="20"/>
                <w:szCs w:val="20"/>
                <w:lang w:val="fr-CA"/>
              </w:rPr>
            </w:pPr>
          </w:p>
          <w:p w:rsidR="00F701BF" w:rsidRPr="00606F29" w:rsidRDefault="00F701BF" w:rsidP="00F701BF">
            <w:pPr>
              <w:autoSpaceDE w:val="0"/>
              <w:autoSpaceDN w:val="0"/>
              <w:adjustRightInd w:val="0"/>
              <w:rPr>
                <w:rFonts w:cs="Times New Roman"/>
                <w:sz w:val="20"/>
                <w:szCs w:val="20"/>
              </w:rPr>
            </w:pPr>
            <w:r w:rsidRPr="00606F29">
              <w:rPr>
                <w:rFonts w:cs="Times New Roman"/>
                <w:sz w:val="20"/>
                <w:szCs w:val="20"/>
              </w:rPr>
              <w:t xml:space="preserve">First Nation of Nacho </w:t>
            </w:r>
            <w:proofErr w:type="spellStart"/>
            <w:r w:rsidRPr="00606F29">
              <w:rPr>
                <w:rFonts w:cs="Times New Roman"/>
                <w:sz w:val="20"/>
                <w:szCs w:val="20"/>
              </w:rPr>
              <w:t>Nyak</w:t>
            </w:r>
            <w:proofErr w:type="spellEnd"/>
            <w:r w:rsidRPr="00606F29">
              <w:rPr>
                <w:rFonts w:cs="Times New Roman"/>
                <w:sz w:val="20"/>
                <w:szCs w:val="20"/>
              </w:rPr>
              <w:t xml:space="preserve"> Dun </w:t>
            </w:r>
            <w:r w:rsidRPr="00606F29">
              <w:rPr>
                <w:rFonts w:cs="Times New Roman"/>
                <w:i/>
                <w:sz w:val="20"/>
                <w:szCs w:val="20"/>
              </w:rPr>
              <w:t>v.</w:t>
            </w:r>
            <w:r w:rsidRPr="00606F29">
              <w:rPr>
                <w:rFonts w:cs="Times New Roman"/>
                <w:sz w:val="20"/>
                <w:szCs w:val="20"/>
              </w:rPr>
              <w:t xml:space="preserve"> Yukon, </w:t>
            </w:r>
          </w:p>
          <w:p w:rsidR="00F701BF" w:rsidRPr="00606F29" w:rsidRDefault="00F701BF" w:rsidP="00F701BF">
            <w:pPr>
              <w:autoSpaceDE w:val="0"/>
              <w:autoSpaceDN w:val="0"/>
              <w:adjustRightInd w:val="0"/>
              <w:rPr>
                <w:rFonts w:cs="Times New Roman"/>
                <w:sz w:val="20"/>
                <w:szCs w:val="20"/>
                <w:lang w:val="fr-CA"/>
              </w:rPr>
            </w:pPr>
            <w:r w:rsidRPr="00606F29">
              <w:rPr>
                <w:rFonts w:cs="Times New Roman"/>
                <w:sz w:val="20"/>
                <w:szCs w:val="20"/>
                <w:lang w:val="fr-CA"/>
              </w:rPr>
              <w:t>2017 SCC 58, [2017] 2 S.C.R. 576</w:t>
            </w:r>
          </w:p>
          <w:p w:rsidR="00F701BF" w:rsidRPr="00606F29" w:rsidRDefault="00F701BF" w:rsidP="00F701BF">
            <w:pPr>
              <w:autoSpaceDE w:val="0"/>
              <w:autoSpaceDN w:val="0"/>
              <w:adjustRightInd w:val="0"/>
              <w:rPr>
                <w:rFonts w:cs="Times New Roman"/>
                <w:sz w:val="20"/>
                <w:szCs w:val="20"/>
                <w:lang w:val="fr-CA"/>
              </w:rPr>
            </w:pPr>
          </w:p>
          <w:p w:rsidR="00F701BF" w:rsidRPr="00606F29" w:rsidRDefault="00F701BF" w:rsidP="00F701BF">
            <w:pPr>
              <w:rPr>
                <w:rFonts w:cs="Times New Roman"/>
                <w:sz w:val="20"/>
                <w:szCs w:val="20"/>
                <w:lang w:val="fr-CA"/>
              </w:rPr>
            </w:pPr>
            <w:r w:rsidRPr="00606F29">
              <w:rPr>
                <w:rFonts w:cs="Times New Roman"/>
                <w:sz w:val="20"/>
                <w:szCs w:val="20"/>
                <w:lang w:val="fr-CA"/>
              </w:rPr>
              <w:t xml:space="preserve">R. </w:t>
            </w:r>
            <w:r w:rsidRPr="00606F29">
              <w:rPr>
                <w:rFonts w:cs="Times New Roman"/>
                <w:i/>
                <w:sz w:val="20"/>
                <w:szCs w:val="20"/>
                <w:lang w:val="fr-CA"/>
              </w:rPr>
              <w:t>v.</w:t>
            </w:r>
            <w:r w:rsidRPr="00606F29">
              <w:rPr>
                <w:rFonts w:cs="Times New Roman"/>
                <w:sz w:val="20"/>
                <w:szCs w:val="20"/>
                <w:lang w:val="fr-CA"/>
              </w:rPr>
              <w:t xml:space="preserve"> </w:t>
            </w:r>
            <w:proofErr w:type="spellStart"/>
            <w:r w:rsidRPr="00606F29">
              <w:rPr>
                <w:rFonts w:cs="Times New Roman"/>
                <w:sz w:val="20"/>
                <w:szCs w:val="20"/>
                <w:lang w:val="fr-CA"/>
              </w:rPr>
              <w:t>Marakah</w:t>
            </w:r>
            <w:proofErr w:type="spellEnd"/>
            <w:r w:rsidRPr="00606F29">
              <w:rPr>
                <w:rFonts w:cs="Times New Roman"/>
                <w:sz w:val="20"/>
                <w:szCs w:val="20"/>
                <w:lang w:val="fr-CA"/>
              </w:rPr>
              <w:t xml:space="preserve">, </w:t>
            </w:r>
          </w:p>
          <w:p w:rsidR="00F701BF" w:rsidRPr="00606F29" w:rsidRDefault="00F701BF" w:rsidP="00F701BF">
            <w:pPr>
              <w:autoSpaceDE w:val="0"/>
              <w:autoSpaceDN w:val="0"/>
              <w:adjustRightInd w:val="0"/>
              <w:rPr>
                <w:rFonts w:cs="Times New Roman"/>
                <w:sz w:val="20"/>
                <w:szCs w:val="20"/>
                <w:lang w:val="fr-CA"/>
              </w:rPr>
            </w:pPr>
            <w:r w:rsidRPr="00606F29">
              <w:rPr>
                <w:rFonts w:cs="Times New Roman"/>
                <w:sz w:val="20"/>
                <w:szCs w:val="20"/>
                <w:lang w:val="fr-CA"/>
              </w:rPr>
              <w:t>2017 SCC 59, [2017] 2 S.C.R. 608</w:t>
            </w:r>
          </w:p>
          <w:p w:rsidR="00C01FCB" w:rsidRPr="00606F29" w:rsidRDefault="00C01FCB" w:rsidP="00F701BF">
            <w:pPr>
              <w:rPr>
                <w:rFonts w:cs="Times New Roman"/>
                <w:sz w:val="20"/>
                <w:szCs w:val="20"/>
                <w:lang w:val="fr-CA"/>
              </w:rPr>
            </w:pPr>
          </w:p>
          <w:p w:rsidR="00F701BF" w:rsidRPr="00606F29" w:rsidRDefault="00F701BF" w:rsidP="006D031A">
            <w:pPr>
              <w:rPr>
                <w:rFonts w:cs="Times New Roman"/>
                <w:sz w:val="20"/>
                <w:szCs w:val="20"/>
                <w:lang w:val="fr-CA"/>
              </w:rPr>
            </w:pPr>
            <w:r w:rsidRPr="00606F29">
              <w:rPr>
                <w:rFonts w:cs="Times New Roman"/>
                <w:sz w:val="20"/>
                <w:szCs w:val="20"/>
                <w:lang w:val="fr-CA"/>
              </w:rPr>
              <w:t>R.</w:t>
            </w:r>
            <w:r w:rsidRPr="00606F29">
              <w:rPr>
                <w:rFonts w:cs="Times New Roman"/>
                <w:b/>
                <w:sz w:val="20"/>
                <w:szCs w:val="20"/>
                <w:lang w:val="fr-CA"/>
              </w:rPr>
              <w:t xml:space="preserve"> </w:t>
            </w:r>
            <w:r w:rsidRPr="00606F29">
              <w:rPr>
                <w:rFonts w:cs="Times New Roman"/>
                <w:i/>
                <w:sz w:val="20"/>
                <w:szCs w:val="20"/>
                <w:lang w:val="fr-CA"/>
              </w:rPr>
              <w:t>v.</w:t>
            </w:r>
            <w:r w:rsidRPr="00606F29">
              <w:rPr>
                <w:rFonts w:cs="Times New Roman"/>
                <w:sz w:val="20"/>
                <w:szCs w:val="20"/>
                <w:lang w:val="fr-CA"/>
              </w:rPr>
              <w:t xml:space="preserve"> Jones,</w:t>
            </w:r>
          </w:p>
          <w:p w:rsidR="00C01FCB" w:rsidRPr="00606F29" w:rsidRDefault="00F701BF" w:rsidP="006D031A">
            <w:pPr>
              <w:rPr>
                <w:rFonts w:cs="Times New Roman"/>
                <w:sz w:val="20"/>
                <w:szCs w:val="20"/>
                <w:lang w:val="en-US"/>
              </w:rPr>
            </w:pPr>
            <w:r w:rsidRPr="00606F29">
              <w:rPr>
                <w:rFonts w:cs="Times New Roman"/>
                <w:sz w:val="20"/>
                <w:szCs w:val="20"/>
                <w:lang w:val="en-US"/>
              </w:rPr>
              <w:t>2017 SCC 60, [2017] 2 S.C.R. 696</w:t>
            </w:r>
          </w:p>
          <w:p w:rsidR="00F701BF" w:rsidRPr="00606F29" w:rsidRDefault="00F701BF" w:rsidP="006D031A">
            <w:pPr>
              <w:rPr>
                <w:rFonts w:cs="Times New Roman"/>
                <w:sz w:val="20"/>
                <w:szCs w:val="20"/>
                <w:lang w:val="en-US"/>
              </w:rPr>
            </w:pPr>
          </w:p>
          <w:p w:rsidR="00F701BF" w:rsidRPr="00606F29" w:rsidRDefault="00F701BF" w:rsidP="006D031A">
            <w:pPr>
              <w:rPr>
                <w:rFonts w:cs="Times New Roman"/>
                <w:sz w:val="20"/>
                <w:szCs w:val="20"/>
              </w:rPr>
            </w:pPr>
            <w:r w:rsidRPr="00606F29">
              <w:rPr>
                <w:rFonts w:cs="Times New Roman"/>
                <w:sz w:val="20"/>
                <w:szCs w:val="20"/>
              </w:rPr>
              <w:t xml:space="preserve">Cowper-Smith </w:t>
            </w:r>
            <w:r w:rsidRPr="00606F29">
              <w:rPr>
                <w:rFonts w:cs="Times New Roman"/>
                <w:i/>
                <w:sz w:val="20"/>
                <w:szCs w:val="20"/>
              </w:rPr>
              <w:t>v.</w:t>
            </w:r>
            <w:r w:rsidRPr="00606F29">
              <w:rPr>
                <w:rFonts w:cs="Times New Roman"/>
                <w:sz w:val="20"/>
                <w:szCs w:val="20"/>
              </w:rPr>
              <w:t xml:space="preserve"> Morgan, </w:t>
            </w:r>
          </w:p>
          <w:p w:rsidR="00F701BF" w:rsidRPr="00606F29" w:rsidRDefault="00F701BF" w:rsidP="006D031A">
            <w:pPr>
              <w:rPr>
                <w:rFonts w:cs="Times New Roman"/>
                <w:sz w:val="20"/>
                <w:szCs w:val="20"/>
                <w:lang w:val="en-US"/>
              </w:rPr>
            </w:pPr>
            <w:r w:rsidRPr="00606F29">
              <w:rPr>
                <w:rFonts w:cs="Times New Roman"/>
                <w:sz w:val="20"/>
                <w:szCs w:val="20"/>
              </w:rPr>
              <w:t>2017 SCC 61</w:t>
            </w:r>
            <w:r w:rsidRPr="00606F29">
              <w:rPr>
                <w:rFonts w:cs="Times New Roman"/>
                <w:sz w:val="20"/>
                <w:szCs w:val="20"/>
                <w:lang w:val="en-US"/>
              </w:rPr>
              <w:t>, [2017] 2 S.C.R. 754</w:t>
            </w:r>
          </w:p>
          <w:p w:rsidR="00F701BF" w:rsidRPr="00606F29" w:rsidRDefault="00F701BF" w:rsidP="006D031A">
            <w:pPr>
              <w:rPr>
                <w:rFonts w:cs="Times New Roman"/>
                <w:sz w:val="20"/>
                <w:szCs w:val="20"/>
                <w:lang w:val="en-US"/>
              </w:rPr>
            </w:pPr>
          </w:p>
          <w:p w:rsidR="00C01FCB" w:rsidRPr="00606F29" w:rsidRDefault="009813FB" w:rsidP="006D031A">
            <w:pPr>
              <w:keepNext/>
              <w:keepLines/>
              <w:rPr>
                <w:rFonts w:cs="Times New Roman"/>
                <w:bCs/>
                <w:sz w:val="20"/>
                <w:szCs w:val="20"/>
                <w:lang w:val="fr-CA"/>
              </w:rPr>
            </w:pPr>
            <w:r>
              <w:rPr>
                <w:rFonts w:cs="Times New Roman"/>
                <w:sz w:val="20"/>
                <w:szCs w:val="20"/>
              </w:rPr>
              <w:pict>
                <v:rect id="_x0000_i1049" style="width:129.6pt;height:1pt" o:hrpct="600" o:hralign="center" o:hrstd="t" o:hrnoshade="t" o:hr="t" fillcolor="black [3213]" stroked="f"/>
              </w:pict>
            </w:r>
          </w:p>
          <w:p w:rsidR="00C01FCB" w:rsidRPr="00606F29" w:rsidRDefault="00C01FCB" w:rsidP="006D031A">
            <w:pPr>
              <w:keepNext/>
              <w:keepLines/>
              <w:rPr>
                <w:rFonts w:cs="Times New Roman"/>
                <w:bCs/>
                <w:sz w:val="20"/>
                <w:szCs w:val="20"/>
                <w:lang w:val="fr-CA"/>
              </w:rPr>
            </w:pPr>
          </w:p>
        </w:tc>
        <w:tc>
          <w:tcPr>
            <w:tcW w:w="840" w:type="dxa"/>
            <w:tcBorders>
              <w:top w:val="nil"/>
              <w:left w:val="nil"/>
              <w:bottom w:val="nil"/>
              <w:right w:val="nil"/>
            </w:tcBorders>
          </w:tcPr>
          <w:p w:rsidR="00C01FCB" w:rsidRPr="00606F29" w:rsidRDefault="00C01FCB" w:rsidP="006D031A">
            <w:pPr>
              <w:rPr>
                <w:rFonts w:cs="Times New Roman"/>
                <w:b/>
                <w:bCs/>
                <w:sz w:val="20"/>
                <w:szCs w:val="20"/>
                <w:lang w:val="fr-CA"/>
              </w:rPr>
            </w:pPr>
          </w:p>
        </w:tc>
        <w:tc>
          <w:tcPr>
            <w:tcW w:w="4320" w:type="dxa"/>
            <w:tcBorders>
              <w:top w:val="nil"/>
              <w:left w:val="nil"/>
              <w:bottom w:val="nil"/>
              <w:right w:val="nil"/>
            </w:tcBorders>
          </w:tcPr>
          <w:p w:rsidR="00C01FCB" w:rsidRPr="00606F29" w:rsidRDefault="007C4ADC" w:rsidP="006D031A">
            <w:pPr>
              <w:rPr>
                <w:rFonts w:cs="Times New Roman"/>
                <w:b/>
                <w:bCs/>
                <w:sz w:val="20"/>
                <w:szCs w:val="20"/>
                <w:lang w:val="fr-CA"/>
              </w:rPr>
            </w:pPr>
            <w:r w:rsidRPr="00606F29">
              <w:rPr>
                <w:rFonts w:cs="Times New Roman"/>
                <w:b/>
                <w:bCs/>
                <w:sz w:val="20"/>
                <w:szCs w:val="20"/>
                <w:lang w:val="fr-CA"/>
              </w:rPr>
              <w:t>Jugements publiés dans [2017</w:t>
            </w:r>
            <w:r w:rsidR="00C01FCB" w:rsidRPr="00606F29">
              <w:rPr>
                <w:rFonts w:cs="Times New Roman"/>
                <w:b/>
                <w:bCs/>
                <w:sz w:val="20"/>
                <w:szCs w:val="20"/>
                <w:lang w:val="fr-CA"/>
              </w:rPr>
              <w:t xml:space="preserve">] </w:t>
            </w:r>
            <w:r w:rsidRPr="00606F29">
              <w:rPr>
                <w:rFonts w:cs="Times New Roman"/>
                <w:b/>
                <w:bCs/>
                <w:sz w:val="20"/>
                <w:szCs w:val="20"/>
                <w:lang w:val="fr-CA"/>
              </w:rPr>
              <w:t>2</w:t>
            </w:r>
            <w:r w:rsidR="00C01FCB" w:rsidRPr="00606F29">
              <w:rPr>
                <w:rFonts w:cs="Times New Roman"/>
                <w:b/>
                <w:bCs/>
                <w:sz w:val="20"/>
                <w:szCs w:val="20"/>
                <w:lang w:val="fr-CA"/>
              </w:rPr>
              <w:t xml:space="preserve"> R.C.S. Partie </w:t>
            </w:r>
            <w:r w:rsidRPr="00606F29">
              <w:rPr>
                <w:rFonts w:cs="Times New Roman"/>
                <w:b/>
                <w:bCs/>
                <w:sz w:val="20"/>
                <w:szCs w:val="20"/>
                <w:lang w:val="fr-CA"/>
              </w:rPr>
              <w:t>3</w:t>
            </w:r>
          </w:p>
          <w:p w:rsidR="00C01FCB" w:rsidRPr="00606F29" w:rsidRDefault="00C01FCB" w:rsidP="006D031A">
            <w:pPr>
              <w:rPr>
                <w:rFonts w:cs="Times New Roman"/>
                <w:b/>
                <w:bCs/>
                <w:sz w:val="20"/>
                <w:szCs w:val="20"/>
                <w:lang w:val="fr-CA"/>
              </w:rPr>
            </w:pPr>
          </w:p>
          <w:p w:rsidR="00F701BF" w:rsidRPr="00606F29" w:rsidRDefault="00F701BF" w:rsidP="00F701BF">
            <w:pPr>
              <w:keepNext/>
              <w:keepLines/>
              <w:rPr>
                <w:rFonts w:cs="Times New Roman"/>
                <w:sz w:val="20"/>
                <w:szCs w:val="20"/>
                <w:lang w:val="fr-CA"/>
              </w:rPr>
            </w:pPr>
            <w:r w:rsidRPr="00606F29">
              <w:rPr>
                <w:rFonts w:cs="Times New Roman"/>
                <w:sz w:val="20"/>
                <w:szCs w:val="20"/>
                <w:lang w:val="fr-CA"/>
              </w:rPr>
              <w:t xml:space="preserve">R. </w:t>
            </w:r>
            <w:r w:rsidRPr="00606F29">
              <w:rPr>
                <w:rFonts w:cs="Times New Roman"/>
                <w:i/>
                <w:sz w:val="20"/>
                <w:szCs w:val="20"/>
                <w:lang w:val="fr-CA"/>
              </w:rPr>
              <w:t>c.</w:t>
            </w:r>
            <w:r w:rsidRPr="00606F29">
              <w:rPr>
                <w:rFonts w:cs="Times New Roman"/>
                <w:sz w:val="20"/>
                <w:szCs w:val="20"/>
                <w:lang w:val="fr-CA"/>
              </w:rPr>
              <w:t xml:space="preserve"> Sciascia,</w:t>
            </w:r>
          </w:p>
          <w:p w:rsidR="00C01FCB" w:rsidRPr="00606F29" w:rsidRDefault="00F701BF" w:rsidP="00F701B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Times New Roman"/>
                <w:sz w:val="20"/>
                <w:szCs w:val="20"/>
                <w:lang w:val="fr-CA"/>
              </w:rPr>
            </w:pPr>
            <w:r w:rsidRPr="00606F29">
              <w:rPr>
                <w:rFonts w:cs="Times New Roman"/>
                <w:sz w:val="20"/>
                <w:szCs w:val="20"/>
                <w:lang w:val="fr-CA"/>
              </w:rPr>
              <w:t>2017 CSC 57, [2017] 2 R.C.S. 539</w:t>
            </w:r>
          </w:p>
          <w:p w:rsidR="00C01FCB" w:rsidRPr="00606F29" w:rsidRDefault="00C01FCB" w:rsidP="006D031A">
            <w:pPr>
              <w:rPr>
                <w:rFonts w:cs="Times New Roman"/>
                <w:sz w:val="20"/>
                <w:szCs w:val="20"/>
                <w:lang w:val="fr-CA"/>
              </w:rPr>
            </w:pPr>
          </w:p>
          <w:p w:rsidR="00F701BF" w:rsidRPr="00606F29" w:rsidRDefault="00F701BF" w:rsidP="006D031A">
            <w:pPr>
              <w:keepNext/>
              <w:keepLines/>
              <w:rPr>
                <w:rFonts w:cs="Times New Roman"/>
                <w:bCs/>
                <w:sz w:val="20"/>
                <w:szCs w:val="20"/>
                <w:lang w:val="en-US"/>
              </w:rPr>
            </w:pPr>
            <w:r w:rsidRPr="00606F29">
              <w:rPr>
                <w:rFonts w:cs="Times New Roman"/>
                <w:bCs/>
                <w:sz w:val="20"/>
                <w:szCs w:val="20"/>
                <w:lang w:val="en-US"/>
              </w:rPr>
              <w:t xml:space="preserve">First Nation of Nacho </w:t>
            </w:r>
            <w:proofErr w:type="spellStart"/>
            <w:r w:rsidRPr="00606F29">
              <w:rPr>
                <w:rFonts w:cs="Times New Roman"/>
                <w:bCs/>
                <w:sz w:val="20"/>
                <w:szCs w:val="20"/>
                <w:lang w:val="en-US"/>
              </w:rPr>
              <w:t>Nyak</w:t>
            </w:r>
            <w:proofErr w:type="spellEnd"/>
            <w:r w:rsidRPr="00606F29">
              <w:rPr>
                <w:rFonts w:cs="Times New Roman"/>
                <w:bCs/>
                <w:sz w:val="20"/>
                <w:szCs w:val="20"/>
                <w:lang w:val="en-US"/>
              </w:rPr>
              <w:t xml:space="preserve"> Dun </w:t>
            </w:r>
            <w:r w:rsidRPr="00606F29">
              <w:rPr>
                <w:rFonts w:cs="Times New Roman"/>
                <w:bCs/>
                <w:i/>
                <w:sz w:val="20"/>
                <w:szCs w:val="20"/>
                <w:lang w:val="en-US"/>
              </w:rPr>
              <w:t>c.</w:t>
            </w:r>
            <w:r w:rsidRPr="00606F29">
              <w:rPr>
                <w:rFonts w:cs="Times New Roman"/>
                <w:bCs/>
                <w:sz w:val="20"/>
                <w:szCs w:val="20"/>
                <w:lang w:val="en-US"/>
              </w:rPr>
              <w:t xml:space="preserve"> Yukon, </w:t>
            </w:r>
          </w:p>
          <w:p w:rsidR="00C01FCB" w:rsidRPr="00606F29" w:rsidRDefault="00F701BF" w:rsidP="006D031A">
            <w:pPr>
              <w:keepNext/>
              <w:keepLines/>
              <w:rPr>
                <w:rFonts w:cs="Times New Roman"/>
                <w:sz w:val="20"/>
                <w:szCs w:val="20"/>
                <w:lang w:val="en-US"/>
              </w:rPr>
            </w:pPr>
            <w:r w:rsidRPr="00606F29">
              <w:rPr>
                <w:rFonts w:cs="Times New Roman"/>
                <w:bCs/>
                <w:sz w:val="20"/>
                <w:szCs w:val="20"/>
                <w:lang w:val="en-US"/>
              </w:rPr>
              <w:t xml:space="preserve">2017 CSC 58, </w:t>
            </w:r>
            <w:r w:rsidRPr="00606F29">
              <w:rPr>
                <w:rFonts w:cs="Times New Roman"/>
                <w:sz w:val="20"/>
                <w:szCs w:val="20"/>
                <w:lang w:val="en-US"/>
              </w:rPr>
              <w:t>[2017] 2 R.C.S. 576</w:t>
            </w:r>
          </w:p>
          <w:p w:rsidR="00F701BF" w:rsidRPr="00606F29" w:rsidRDefault="00F701BF" w:rsidP="006D031A">
            <w:pPr>
              <w:keepNext/>
              <w:keepLines/>
              <w:rPr>
                <w:rFonts w:cs="Times New Roman"/>
                <w:sz w:val="20"/>
                <w:szCs w:val="20"/>
                <w:lang w:val="en-US"/>
              </w:rPr>
            </w:pPr>
          </w:p>
          <w:p w:rsidR="00F701BF" w:rsidRPr="00606F29" w:rsidRDefault="00F701BF" w:rsidP="006D031A">
            <w:pPr>
              <w:keepNext/>
              <w:keepLines/>
              <w:rPr>
                <w:rFonts w:cs="Times New Roman"/>
                <w:sz w:val="20"/>
                <w:szCs w:val="20"/>
                <w:lang w:val="en-US"/>
              </w:rPr>
            </w:pPr>
            <w:r w:rsidRPr="00606F29">
              <w:rPr>
                <w:rFonts w:cs="Times New Roman"/>
                <w:sz w:val="20"/>
                <w:szCs w:val="20"/>
                <w:lang w:val="en-US"/>
              </w:rPr>
              <w:t xml:space="preserve">R. </w:t>
            </w:r>
            <w:r w:rsidRPr="00606F29">
              <w:rPr>
                <w:rFonts w:cs="Times New Roman"/>
                <w:i/>
                <w:sz w:val="20"/>
                <w:szCs w:val="20"/>
                <w:lang w:val="en-US"/>
              </w:rPr>
              <w:t>c.</w:t>
            </w:r>
            <w:r w:rsidRPr="00606F29">
              <w:rPr>
                <w:rFonts w:cs="Times New Roman"/>
                <w:sz w:val="20"/>
                <w:szCs w:val="20"/>
                <w:lang w:val="en-US"/>
              </w:rPr>
              <w:t xml:space="preserve"> </w:t>
            </w:r>
            <w:proofErr w:type="spellStart"/>
            <w:r w:rsidRPr="00606F29">
              <w:rPr>
                <w:rFonts w:cs="Times New Roman"/>
                <w:sz w:val="20"/>
                <w:szCs w:val="20"/>
                <w:lang w:val="en-US"/>
              </w:rPr>
              <w:t>Marakah</w:t>
            </w:r>
            <w:proofErr w:type="spellEnd"/>
            <w:r w:rsidRPr="00606F29">
              <w:rPr>
                <w:rFonts w:cs="Times New Roman"/>
                <w:sz w:val="20"/>
                <w:szCs w:val="20"/>
                <w:lang w:val="en-US"/>
              </w:rPr>
              <w:t xml:space="preserve">, </w:t>
            </w:r>
          </w:p>
          <w:p w:rsidR="00F701BF" w:rsidRPr="00606F29" w:rsidRDefault="00F701BF" w:rsidP="006D031A">
            <w:pPr>
              <w:keepNext/>
              <w:keepLines/>
              <w:rPr>
                <w:rFonts w:cs="Times New Roman"/>
                <w:sz w:val="20"/>
                <w:szCs w:val="20"/>
                <w:lang w:val="en-US"/>
              </w:rPr>
            </w:pPr>
            <w:r w:rsidRPr="00606F29">
              <w:rPr>
                <w:rFonts w:cs="Times New Roman"/>
                <w:sz w:val="20"/>
                <w:szCs w:val="20"/>
                <w:lang w:val="en-US"/>
              </w:rPr>
              <w:t>2017 CSC 59</w:t>
            </w:r>
            <w:r w:rsidRPr="00606F29">
              <w:rPr>
                <w:rFonts w:cs="Times New Roman"/>
                <w:bCs/>
                <w:sz w:val="20"/>
                <w:szCs w:val="20"/>
                <w:lang w:val="en-US"/>
              </w:rPr>
              <w:t xml:space="preserve">, </w:t>
            </w:r>
            <w:r w:rsidRPr="00606F29">
              <w:rPr>
                <w:rFonts w:cs="Times New Roman"/>
                <w:sz w:val="20"/>
                <w:szCs w:val="20"/>
                <w:lang w:val="en-US"/>
              </w:rPr>
              <w:t>[2017] 2 R.C.S. 608</w:t>
            </w:r>
          </w:p>
          <w:p w:rsidR="00F701BF" w:rsidRPr="00606F29" w:rsidRDefault="00F701BF" w:rsidP="006D031A">
            <w:pPr>
              <w:keepNext/>
              <w:keepLines/>
              <w:rPr>
                <w:rFonts w:cs="Times New Roman"/>
                <w:sz w:val="20"/>
                <w:szCs w:val="20"/>
                <w:lang w:val="en-US"/>
              </w:rPr>
            </w:pPr>
          </w:p>
          <w:p w:rsidR="00F701BF" w:rsidRPr="00606F29" w:rsidRDefault="00F701BF" w:rsidP="006D031A">
            <w:pPr>
              <w:keepNext/>
              <w:keepLines/>
              <w:rPr>
                <w:rFonts w:cs="Times New Roman"/>
                <w:sz w:val="20"/>
                <w:szCs w:val="20"/>
                <w:lang w:val="fr-CA"/>
              </w:rPr>
            </w:pPr>
            <w:r w:rsidRPr="00606F29">
              <w:rPr>
                <w:rFonts w:cs="Times New Roman"/>
                <w:sz w:val="20"/>
                <w:szCs w:val="20"/>
                <w:lang w:val="fr-CA"/>
              </w:rPr>
              <w:t xml:space="preserve">R. </w:t>
            </w:r>
            <w:r w:rsidRPr="00606F29">
              <w:rPr>
                <w:rFonts w:cs="Times New Roman"/>
                <w:i/>
                <w:sz w:val="20"/>
                <w:szCs w:val="20"/>
                <w:lang w:val="fr-CA"/>
              </w:rPr>
              <w:t>c.</w:t>
            </w:r>
            <w:r w:rsidRPr="00606F29">
              <w:rPr>
                <w:rFonts w:cs="Times New Roman"/>
                <w:sz w:val="20"/>
                <w:szCs w:val="20"/>
                <w:lang w:val="fr-CA"/>
              </w:rPr>
              <w:t xml:space="preserve"> Jones, </w:t>
            </w:r>
          </w:p>
          <w:p w:rsidR="00F701BF" w:rsidRPr="00606F29" w:rsidRDefault="00F701BF" w:rsidP="006D031A">
            <w:pPr>
              <w:keepNext/>
              <w:keepLines/>
              <w:rPr>
                <w:rFonts w:cs="Times New Roman"/>
                <w:sz w:val="20"/>
                <w:szCs w:val="20"/>
                <w:lang w:val="fr-CA"/>
              </w:rPr>
            </w:pPr>
            <w:r w:rsidRPr="00606F29">
              <w:rPr>
                <w:rFonts w:cs="Times New Roman"/>
                <w:sz w:val="20"/>
                <w:szCs w:val="20"/>
                <w:lang w:val="fr-CA"/>
              </w:rPr>
              <w:t>2017 CSC 60</w:t>
            </w:r>
            <w:r w:rsidRPr="00606F29">
              <w:rPr>
                <w:rFonts w:cs="Times New Roman"/>
                <w:bCs/>
                <w:sz w:val="20"/>
                <w:szCs w:val="20"/>
                <w:lang w:val="fr-CA"/>
              </w:rPr>
              <w:t xml:space="preserve">, </w:t>
            </w:r>
            <w:r w:rsidRPr="00606F29">
              <w:rPr>
                <w:rFonts w:cs="Times New Roman"/>
                <w:sz w:val="20"/>
                <w:szCs w:val="20"/>
                <w:lang w:val="fr-CA"/>
              </w:rPr>
              <w:t>[2017] 2 R.C.S. 696</w:t>
            </w:r>
          </w:p>
          <w:p w:rsidR="00F701BF" w:rsidRPr="00606F29" w:rsidRDefault="00F701BF" w:rsidP="006D031A">
            <w:pPr>
              <w:keepNext/>
              <w:keepLines/>
              <w:rPr>
                <w:rFonts w:cs="Times New Roman"/>
                <w:sz w:val="20"/>
                <w:szCs w:val="20"/>
                <w:lang w:val="fr-CA"/>
              </w:rPr>
            </w:pPr>
          </w:p>
          <w:p w:rsidR="00F701BF" w:rsidRPr="00606F29" w:rsidRDefault="00F701BF" w:rsidP="006D031A">
            <w:pPr>
              <w:keepNext/>
              <w:keepLines/>
              <w:rPr>
                <w:rFonts w:cs="Times New Roman"/>
                <w:sz w:val="20"/>
                <w:szCs w:val="20"/>
              </w:rPr>
            </w:pPr>
            <w:r w:rsidRPr="00606F29">
              <w:rPr>
                <w:rFonts w:cs="Times New Roman"/>
                <w:sz w:val="20"/>
                <w:szCs w:val="20"/>
              </w:rPr>
              <w:t xml:space="preserve">Cowper-Smith </w:t>
            </w:r>
            <w:r w:rsidRPr="00606F29">
              <w:rPr>
                <w:rFonts w:cs="Times New Roman"/>
                <w:i/>
                <w:sz w:val="20"/>
                <w:szCs w:val="20"/>
              </w:rPr>
              <w:t>c.</w:t>
            </w:r>
            <w:r w:rsidRPr="00606F29">
              <w:rPr>
                <w:rFonts w:cs="Times New Roman"/>
                <w:sz w:val="20"/>
                <w:szCs w:val="20"/>
              </w:rPr>
              <w:t xml:space="preserve"> Morgan,</w:t>
            </w:r>
          </w:p>
          <w:p w:rsidR="00F701BF" w:rsidRPr="00606F29" w:rsidRDefault="00F701BF" w:rsidP="006D031A">
            <w:pPr>
              <w:keepNext/>
              <w:keepLines/>
              <w:rPr>
                <w:rFonts w:cs="Times New Roman"/>
                <w:sz w:val="20"/>
                <w:szCs w:val="20"/>
                <w:lang w:val="en-US"/>
              </w:rPr>
            </w:pPr>
            <w:r w:rsidRPr="00606F29">
              <w:rPr>
                <w:rFonts w:cs="Times New Roman"/>
                <w:sz w:val="20"/>
                <w:szCs w:val="20"/>
              </w:rPr>
              <w:t>2017 CSC 61</w:t>
            </w:r>
            <w:r w:rsidRPr="00606F29">
              <w:rPr>
                <w:rFonts w:cs="Times New Roman"/>
                <w:bCs/>
                <w:sz w:val="20"/>
                <w:szCs w:val="20"/>
                <w:lang w:val="en-US"/>
              </w:rPr>
              <w:t xml:space="preserve">, </w:t>
            </w:r>
            <w:r w:rsidRPr="00606F29">
              <w:rPr>
                <w:rFonts w:cs="Times New Roman"/>
                <w:sz w:val="20"/>
                <w:szCs w:val="20"/>
                <w:lang w:val="en-US"/>
              </w:rPr>
              <w:t>[2017] 2 R.C.S. 754</w:t>
            </w:r>
          </w:p>
          <w:p w:rsidR="00F701BF" w:rsidRPr="00606F29" w:rsidRDefault="00F701BF" w:rsidP="006D031A">
            <w:pPr>
              <w:keepNext/>
              <w:keepLines/>
              <w:rPr>
                <w:rFonts w:cs="Times New Roman"/>
                <w:sz w:val="20"/>
                <w:szCs w:val="20"/>
                <w:lang w:val="en-US"/>
              </w:rPr>
            </w:pPr>
          </w:p>
          <w:p w:rsidR="00C01FCB" w:rsidRPr="00606F29" w:rsidRDefault="009813FB" w:rsidP="006D031A">
            <w:pPr>
              <w:rPr>
                <w:rFonts w:cs="Times New Roman"/>
                <w:sz w:val="20"/>
                <w:szCs w:val="20"/>
              </w:rPr>
            </w:pPr>
            <w:r>
              <w:rPr>
                <w:rFonts w:cs="Times New Roman"/>
                <w:sz w:val="20"/>
                <w:szCs w:val="20"/>
              </w:rPr>
              <w:pict>
                <v:rect id="_x0000_i1050" style="width:129.6pt;height:1pt" o:hrpct="600" o:hralign="center" o:hrstd="t" o:hrnoshade="t" o:hr="t" fillcolor="black [3213]" stroked="f"/>
              </w:pict>
            </w:r>
          </w:p>
          <w:p w:rsidR="00C01FCB" w:rsidRPr="00606F29" w:rsidRDefault="00C01FCB" w:rsidP="006D031A">
            <w:pPr>
              <w:keepNext/>
              <w:keepLines/>
              <w:rPr>
                <w:rFonts w:cs="Times New Roman"/>
                <w:bCs/>
                <w:sz w:val="20"/>
                <w:szCs w:val="20"/>
                <w:lang w:val="en-US"/>
              </w:rPr>
            </w:pPr>
          </w:p>
        </w:tc>
      </w:tr>
    </w:tbl>
    <w:p w:rsidR="00C01FCB" w:rsidRPr="00606F29" w:rsidRDefault="00C01FCB" w:rsidP="00C01FCB">
      <w:pPr>
        <w:rPr>
          <w:sz w:val="20"/>
          <w:szCs w:val="20"/>
          <w:lang w:val="en-US"/>
        </w:rPr>
      </w:pPr>
    </w:p>
    <w:p w:rsidR="00C01FCB" w:rsidRPr="00606F29" w:rsidRDefault="00C01FCB" w:rsidP="00C01FCB">
      <w:pPr>
        <w:rPr>
          <w:sz w:val="20"/>
          <w:szCs w:val="20"/>
          <w:lang w:val="en-US"/>
        </w:rPr>
      </w:pPr>
    </w:p>
    <w:p w:rsidR="00C01FCB" w:rsidRPr="00606F29" w:rsidRDefault="00C01FCB" w:rsidP="00C01FCB">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9813FB" w:rsidTr="006D031A">
        <w:trPr>
          <w:cantSplit/>
          <w:trHeight w:val="1152"/>
        </w:trPr>
        <w:tc>
          <w:tcPr>
            <w:tcW w:w="4320" w:type="dxa"/>
            <w:tcBorders>
              <w:top w:val="nil"/>
              <w:left w:val="nil"/>
              <w:bottom w:val="nil"/>
              <w:right w:val="nil"/>
            </w:tcBorders>
          </w:tcPr>
          <w:p w:rsidR="00C01FCB" w:rsidRPr="00606F29" w:rsidRDefault="00C01FCB" w:rsidP="006D031A">
            <w:pPr>
              <w:keepNext/>
              <w:keepLines/>
              <w:jc w:val="both"/>
              <w:rPr>
                <w:rFonts w:cs="Times New Roman"/>
                <w:sz w:val="20"/>
                <w:szCs w:val="20"/>
                <w:lang w:val="en-GB"/>
              </w:rPr>
            </w:pPr>
            <w:r w:rsidRPr="00606F2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606F29" w:rsidRDefault="00C01FCB" w:rsidP="006D031A">
            <w:pPr>
              <w:rPr>
                <w:rFonts w:cs="Times New Roman"/>
                <w:b/>
                <w:bCs/>
                <w:sz w:val="20"/>
                <w:szCs w:val="20"/>
                <w:lang w:val="en-GB"/>
              </w:rPr>
            </w:pPr>
          </w:p>
        </w:tc>
        <w:tc>
          <w:tcPr>
            <w:tcW w:w="4320" w:type="dxa"/>
            <w:tcBorders>
              <w:top w:val="nil"/>
              <w:left w:val="nil"/>
              <w:bottom w:val="nil"/>
              <w:right w:val="nil"/>
            </w:tcBorders>
          </w:tcPr>
          <w:p w:rsidR="00C01FCB" w:rsidRPr="00606F29" w:rsidRDefault="00C01FCB" w:rsidP="006D031A">
            <w:pPr>
              <w:keepNext/>
              <w:keepLines/>
              <w:jc w:val="both"/>
              <w:rPr>
                <w:rFonts w:cs="Times New Roman"/>
                <w:b/>
                <w:bCs/>
                <w:sz w:val="20"/>
                <w:szCs w:val="20"/>
                <w:lang w:val="fr-CA"/>
              </w:rPr>
            </w:pPr>
            <w:r w:rsidRPr="00606F29">
              <w:rPr>
                <w:rFonts w:cs="Times New Roman"/>
                <w:b/>
                <w:bCs/>
                <w:sz w:val="20"/>
                <w:szCs w:val="20"/>
                <w:lang w:val="fr-CA"/>
              </w:rPr>
              <w:t>LES INTITULÉS UTILISÉS DANS CETTE TABLE SONT LES INTITULÉS NORMALISÉS DE LA RUBRIQUE "RÉPERTORIÉ" DANS CHAQUE ARRÊT.</w:t>
            </w:r>
          </w:p>
        </w:tc>
      </w:tr>
      <w:tr w:rsidR="00C01FCB" w:rsidRPr="00C31C83" w:rsidTr="006D031A">
        <w:tc>
          <w:tcPr>
            <w:tcW w:w="4320" w:type="dxa"/>
            <w:tcBorders>
              <w:top w:val="nil"/>
              <w:left w:val="nil"/>
              <w:bottom w:val="nil"/>
              <w:right w:val="nil"/>
            </w:tcBorders>
          </w:tcPr>
          <w:p w:rsidR="00C01FCB" w:rsidRPr="00606F29" w:rsidRDefault="00C01FCB" w:rsidP="006D031A">
            <w:pPr>
              <w:rPr>
                <w:rFonts w:cs="Times New Roman"/>
                <w:sz w:val="20"/>
                <w:szCs w:val="20"/>
                <w:lang w:val="en-GB"/>
              </w:rPr>
            </w:pPr>
            <w:r w:rsidRPr="00606F29">
              <w:rPr>
                <w:rFonts w:cs="Times New Roman"/>
                <w:b/>
                <w:bCs/>
                <w:sz w:val="20"/>
                <w:szCs w:val="20"/>
                <w:lang w:val="en-GB"/>
              </w:rPr>
              <w:t>Judgments reported in [201</w:t>
            </w:r>
            <w:r w:rsidR="00F701BF" w:rsidRPr="00606F29">
              <w:rPr>
                <w:rFonts w:cs="Times New Roman"/>
                <w:b/>
                <w:bCs/>
                <w:sz w:val="20"/>
                <w:szCs w:val="20"/>
                <w:lang w:val="en-GB"/>
              </w:rPr>
              <w:t>7</w:t>
            </w:r>
            <w:r w:rsidRPr="00606F29">
              <w:rPr>
                <w:rFonts w:cs="Times New Roman"/>
                <w:b/>
                <w:bCs/>
                <w:sz w:val="20"/>
                <w:szCs w:val="20"/>
                <w:lang w:val="en-GB"/>
              </w:rPr>
              <w:t xml:space="preserve">] </w:t>
            </w:r>
            <w:r w:rsidR="00F701BF" w:rsidRPr="00606F29">
              <w:rPr>
                <w:rFonts w:cs="Times New Roman"/>
                <w:b/>
                <w:bCs/>
                <w:sz w:val="20"/>
                <w:szCs w:val="20"/>
                <w:lang w:val="en-GB"/>
              </w:rPr>
              <w:t>2</w:t>
            </w:r>
            <w:r w:rsidRPr="00606F29">
              <w:rPr>
                <w:rFonts w:cs="Times New Roman"/>
                <w:b/>
                <w:bCs/>
                <w:sz w:val="20"/>
                <w:szCs w:val="20"/>
                <w:lang w:val="en-GB"/>
              </w:rPr>
              <w:t xml:space="preserve"> S.C.R. Part </w:t>
            </w:r>
            <w:r w:rsidR="00F701BF" w:rsidRPr="00606F29">
              <w:rPr>
                <w:rFonts w:cs="Times New Roman"/>
                <w:b/>
                <w:bCs/>
                <w:sz w:val="20"/>
                <w:szCs w:val="20"/>
                <w:lang w:val="en-GB"/>
              </w:rPr>
              <w:t>4</w:t>
            </w:r>
          </w:p>
          <w:p w:rsidR="00C01FCB" w:rsidRPr="00606F29" w:rsidRDefault="00C01FCB" w:rsidP="006D031A">
            <w:pPr>
              <w:rPr>
                <w:rFonts w:cs="Times New Roman"/>
                <w:sz w:val="20"/>
                <w:szCs w:val="20"/>
                <w:lang w:val="en-GB"/>
              </w:rPr>
            </w:pPr>
          </w:p>
          <w:p w:rsidR="00C01FCB" w:rsidRPr="00606F29" w:rsidRDefault="00F701BF" w:rsidP="006D031A">
            <w:pPr>
              <w:keepNext/>
              <w:keepLines/>
              <w:rPr>
                <w:rFonts w:cs="Times New Roman"/>
                <w:bCs/>
                <w:sz w:val="20"/>
                <w:szCs w:val="20"/>
                <w:lang w:val="en-US"/>
              </w:rPr>
            </w:pPr>
            <w:r w:rsidRPr="00606F29">
              <w:rPr>
                <w:rFonts w:cs="Times New Roman"/>
                <w:bCs/>
                <w:sz w:val="20"/>
                <w:szCs w:val="20"/>
              </w:rPr>
              <w:t xml:space="preserve">British Columbia Human Rights Tribunal </w:t>
            </w:r>
            <w:r w:rsidRPr="00606F29">
              <w:rPr>
                <w:rFonts w:cs="Times New Roman"/>
                <w:bCs/>
                <w:i/>
                <w:sz w:val="20"/>
                <w:szCs w:val="20"/>
              </w:rPr>
              <w:t>v.</w:t>
            </w:r>
            <w:r w:rsidRPr="00606F29">
              <w:rPr>
                <w:rFonts w:cs="Times New Roman"/>
                <w:bCs/>
                <w:sz w:val="20"/>
                <w:szCs w:val="20"/>
              </w:rPr>
              <w:t xml:space="preserve"> </w:t>
            </w:r>
            <w:proofErr w:type="spellStart"/>
            <w:r w:rsidRPr="00606F29">
              <w:rPr>
                <w:rFonts w:cs="Times New Roman"/>
                <w:bCs/>
                <w:sz w:val="20"/>
                <w:szCs w:val="20"/>
              </w:rPr>
              <w:t>Schrenk</w:t>
            </w:r>
            <w:proofErr w:type="spellEnd"/>
            <w:r w:rsidRPr="00606F29">
              <w:rPr>
                <w:rFonts w:cs="Times New Roman"/>
                <w:bCs/>
                <w:sz w:val="20"/>
                <w:szCs w:val="20"/>
              </w:rPr>
              <w:t>, 2017 SCC 62</w:t>
            </w:r>
            <w:r w:rsidRPr="00606F29">
              <w:rPr>
                <w:rFonts w:cs="Times New Roman"/>
                <w:sz w:val="20"/>
                <w:szCs w:val="20"/>
                <w:lang w:val="en-US"/>
              </w:rPr>
              <w:t>, [2017] 2 S.C.R. 795</w:t>
            </w:r>
          </w:p>
          <w:p w:rsidR="00F701BF" w:rsidRPr="00606F29" w:rsidRDefault="00F701BF" w:rsidP="006D031A">
            <w:pPr>
              <w:keepNext/>
              <w:keepLines/>
              <w:rPr>
                <w:rFonts w:cs="Times New Roman"/>
                <w:bCs/>
                <w:sz w:val="20"/>
                <w:szCs w:val="20"/>
                <w:lang w:val="en-US"/>
              </w:rPr>
            </w:pPr>
          </w:p>
          <w:p w:rsidR="00F701BF" w:rsidRPr="00606F29" w:rsidRDefault="00F701BF" w:rsidP="006D031A">
            <w:pPr>
              <w:keepNext/>
              <w:keepLines/>
              <w:rPr>
                <w:rFonts w:cs="Times New Roman"/>
                <w:bCs/>
                <w:sz w:val="20"/>
                <w:szCs w:val="20"/>
              </w:rPr>
            </w:pPr>
            <w:r w:rsidRPr="00606F29">
              <w:rPr>
                <w:rFonts w:cs="Times New Roman"/>
                <w:bCs/>
                <w:sz w:val="20"/>
                <w:szCs w:val="20"/>
                <w:lang w:val="fr-CA"/>
              </w:rPr>
              <w:t xml:space="preserve">Deloitte &amp; Touche </w:t>
            </w:r>
            <w:r w:rsidRPr="00606F29">
              <w:rPr>
                <w:rFonts w:cs="Times New Roman"/>
                <w:bCs/>
                <w:i/>
                <w:sz w:val="20"/>
                <w:szCs w:val="20"/>
                <w:lang w:val="fr-CA"/>
              </w:rPr>
              <w:t>v.</w:t>
            </w:r>
            <w:r w:rsidRPr="00606F29">
              <w:rPr>
                <w:rFonts w:cs="Times New Roman"/>
                <w:bCs/>
                <w:sz w:val="20"/>
                <w:szCs w:val="20"/>
                <w:lang w:val="fr-CA"/>
              </w:rPr>
              <w:t xml:space="preserve"> </w:t>
            </w:r>
            <w:proofErr w:type="spellStart"/>
            <w:r w:rsidRPr="00606F29">
              <w:rPr>
                <w:rFonts w:cs="Times New Roman"/>
                <w:bCs/>
                <w:sz w:val="20"/>
                <w:szCs w:val="20"/>
                <w:lang w:val="fr-CA"/>
              </w:rPr>
              <w:t>Livent</w:t>
            </w:r>
            <w:proofErr w:type="spellEnd"/>
            <w:r w:rsidRPr="00606F29">
              <w:rPr>
                <w:rFonts w:cs="Times New Roman"/>
                <w:bCs/>
                <w:sz w:val="20"/>
                <w:szCs w:val="20"/>
                <w:lang w:val="fr-CA"/>
              </w:rPr>
              <w:t xml:space="preserve"> Inc. </w:t>
            </w:r>
            <w:r w:rsidRPr="00606F29">
              <w:rPr>
                <w:rFonts w:cs="Times New Roman"/>
                <w:bCs/>
                <w:sz w:val="20"/>
                <w:szCs w:val="20"/>
              </w:rPr>
              <w:t xml:space="preserve">(Receiver of), </w:t>
            </w:r>
          </w:p>
          <w:p w:rsidR="00F701BF" w:rsidRPr="00606F29" w:rsidRDefault="00F701BF" w:rsidP="006D031A">
            <w:pPr>
              <w:keepNext/>
              <w:keepLines/>
              <w:rPr>
                <w:rFonts w:cs="Times New Roman"/>
                <w:bCs/>
                <w:sz w:val="20"/>
                <w:szCs w:val="20"/>
                <w:lang w:val="en-US"/>
              </w:rPr>
            </w:pPr>
            <w:r w:rsidRPr="00606F29">
              <w:rPr>
                <w:rFonts w:cs="Times New Roman"/>
                <w:bCs/>
                <w:sz w:val="20"/>
                <w:szCs w:val="20"/>
                <w:lang w:val="en-US"/>
              </w:rPr>
              <w:t>2017 SCC 63</w:t>
            </w:r>
            <w:r w:rsidRPr="00606F29">
              <w:rPr>
                <w:rFonts w:cs="Times New Roman"/>
                <w:sz w:val="20"/>
                <w:szCs w:val="20"/>
                <w:lang w:val="en-US"/>
              </w:rPr>
              <w:t>, [2017] 2 S.C.R. 855</w:t>
            </w:r>
          </w:p>
          <w:p w:rsidR="00F701BF" w:rsidRPr="00606F29" w:rsidRDefault="00F701BF" w:rsidP="006D031A">
            <w:pPr>
              <w:keepNext/>
              <w:keepLines/>
              <w:rPr>
                <w:rFonts w:cs="Times New Roman"/>
                <w:bCs/>
                <w:sz w:val="20"/>
                <w:szCs w:val="20"/>
                <w:lang w:val="en-US"/>
              </w:rPr>
            </w:pPr>
          </w:p>
          <w:p w:rsidR="00F701BF" w:rsidRPr="00606F29" w:rsidRDefault="00F701BF" w:rsidP="006D031A">
            <w:pPr>
              <w:keepNext/>
              <w:keepLines/>
              <w:rPr>
                <w:rFonts w:cs="Times New Roman"/>
                <w:bCs/>
                <w:sz w:val="20"/>
                <w:szCs w:val="20"/>
                <w:lang w:val="fr-CA"/>
              </w:rPr>
            </w:pPr>
            <w:r w:rsidRPr="00606F29">
              <w:rPr>
                <w:rFonts w:cs="Times New Roman"/>
                <w:bCs/>
                <w:sz w:val="20"/>
                <w:szCs w:val="20"/>
                <w:lang w:val="fr-CA"/>
              </w:rPr>
              <w:t xml:space="preserve">R. </w:t>
            </w:r>
            <w:r w:rsidRPr="00606F29">
              <w:rPr>
                <w:rFonts w:cs="Times New Roman"/>
                <w:bCs/>
                <w:i/>
                <w:sz w:val="20"/>
                <w:szCs w:val="20"/>
                <w:lang w:val="fr-CA"/>
              </w:rPr>
              <w:t>v.</w:t>
            </w:r>
            <w:r w:rsidRPr="00606F29">
              <w:rPr>
                <w:rFonts w:cs="Times New Roman"/>
                <w:bCs/>
                <w:sz w:val="20"/>
                <w:szCs w:val="20"/>
                <w:lang w:val="fr-CA"/>
              </w:rPr>
              <w:t xml:space="preserve"> </w:t>
            </w:r>
            <w:proofErr w:type="spellStart"/>
            <w:r w:rsidRPr="00606F29">
              <w:rPr>
                <w:rFonts w:cs="Times New Roman"/>
                <w:bCs/>
                <w:sz w:val="20"/>
                <w:szCs w:val="20"/>
                <w:lang w:val="fr-CA"/>
              </w:rPr>
              <w:t>Boutilier</w:t>
            </w:r>
            <w:proofErr w:type="spellEnd"/>
            <w:r w:rsidRPr="00606F29">
              <w:rPr>
                <w:rFonts w:cs="Times New Roman"/>
                <w:bCs/>
                <w:sz w:val="20"/>
                <w:szCs w:val="20"/>
                <w:lang w:val="fr-CA"/>
              </w:rPr>
              <w:t xml:space="preserve">, </w:t>
            </w:r>
          </w:p>
          <w:p w:rsidR="00F701BF" w:rsidRPr="00606F29" w:rsidRDefault="00F701BF" w:rsidP="006D031A">
            <w:pPr>
              <w:keepNext/>
              <w:keepLines/>
              <w:rPr>
                <w:rFonts w:cs="Times New Roman"/>
                <w:bCs/>
                <w:sz w:val="20"/>
                <w:szCs w:val="20"/>
                <w:lang w:val="fr-CA"/>
              </w:rPr>
            </w:pPr>
            <w:r w:rsidRPr="00606F29">
              <w:rPr>
                <w:rFonts w:cs="Times New Roman"/>
                <w:bCs/>
                <w:sz w:val="20"/>
                <w:szCs w:val="20"/>
                <w:lang w:val="fr-CA"/>
              </w:rPr>
              <w:t>2017 SCC 64</w:t>
            </w:r>
            <w:r w:rsidRPr="00606F29">
              <w:rPr>
                <w:rFonts w:cs="Times New Roman"/>
                <w:sz w:val="20"/>
                <w:szCs w:val="20"/>
                <w:lang w:val="fr-CA"/>
              </w:rPr>
              <w:t>, [2017] 2 S.C.R. 936</w:t>
            </w:r>
          </w:p>
          <w:p w:rsidR="00C01FCB" w:rsidRPr="00606F29" w:rsidRDefault="009813FB" w:rsidP="006D031A">
            <w:pPr>
              <w:keepNext/>
              <w:keepLines/>
              <w:rPr>
                <w:rFonts w:cs="Times New Roman"/>
                <w:bCs/>
                <w:sz w:val="20"/>
                <w:szCs w:val="20"/>
                <w:lang w:val="fr-CA"/>
              </w:rPr>
            </w:pPr>
            <w:r>
              <w:rPr>
                <w:rFonts w:cs="Times New Roman"/>
                <w:sz w:val="20"/>
                <w:szCs w:val="20"/>
              </w:rPr>
              <w:pict>
                <v:rect id="_x0000_i1051" style="width:129.6pt;height:1pt" o:hrpct="600" o:hralign="center" o:hrstd="t" o:hrnoshade="t" o:hr="t" fillcolor="black [3213]" stroked="f"/>
              </w:pict>
            </w:r>
          </w:p>
          <w:p w:rsidR="00C01FCB" w:rsidRPr="00606F29" w:rsidRDefault="00C01FCB" w:rsidP="006D031A">
            <w:pPr>
              <w:keepNext/>
              <w:keepLines/>
              <w:rPr>
                <w:rFonts w:cs="Times New Roman"/>
                <w:bCs/>
                <w:sz w:val="20"/>
                <w:szCs w:val="20"/>
                <w:lang w:val="fr-CA"/>
              </w:rPr>
            </w:pPr>
          </w:p>
        </w:tc>
        <w:tc>
          <w:tcPr>
            <w:tcW w:w="840" w:type="dxa"/>
            <w:tcBorders>
              <w:top w:val="nil"/>
              <w:left w:val="nil"/>
              <w:bottom w:val="nil"/>
              <w:right w:val="nil"/>
            </w:tcBorders>
          </w:tcPr>
          <w:p w:rsidR="00C01FCB" w:rsidRPr="00606F29" w:rsidRDefault="00C01FCB" w:rsidP="006D031A">
            <w:pPr>
              <w:rPr>
                <w:rFonts w:cs="Times New Roman"/>
                <w:b/>
                <w:bCs/>
                <w:sz w:val="20"/>
                <w:szCs w:val="20"/>
                <w:lang w:val="fr-CA"/>
              </w:rPr>
            </w:pPr>
          </w:p>
        </w:tc>
        <w:tc>
          <w:tcPr>
            <w:tcW w:w="4320" w:type="dxa"/>
            <w:tcBorders>
              <w:top w:val="nil"/>
              <w:left w:val="nil"/>
              <w:bottom w:val="nil"/>
              <w:right w:val="nil"/>
            </w:tcBorders>
          </w:tcPr>
          <w:p w:rsidR="00C01FCB" w:rsidRPr="00606F29" w:rsidRDefault="00C01FCB" w:rsidP="006D031A">
            <w:pPr>
              <w:rPr>
                <w:rFonts w:cs="Times New Roman"/>
                <w:b/>
                <w:bCs/>
                <w:sz w:val="20"/>
                <w:szCs w:val="20"/>
                <w:lang w:val="fr-CA"/>
              </w:rPr>
            </w:pPr>
            <w:r w:rsidRPr="00606F29">
              <w:rPr>
                <w:rFonts w:cs="Times New Roman"/>
                <w:b/>
                <w:bCs/>
                <w:sz w:val="20"/>
                <w:szCs w:val="20"/>
                <w:lang w:val="fr-CA"/>
              </w:rPr>
              <w:t>Jugements publiés dans [201</w:t>
            </w:r>
            <w:r w:rsidR="00F701BF" w:rsidRPr="00606F29">
              <w:rPr>
                <w:rFonts w:cs="Times New Roman"/>
                <w:b/>
                <w:bCs/>
                <w:sz w:val="20"/>
                <w:szCs w:val="20"/>
                <w:lang w:val="fr-CA"/>
              </w:rPr>
              <w:t>7] 2</w:t>
            </w:r>
            <w:r w:rsidRPr="00606F29">
              <w:rPr>
                <w:rFonts w:cs="Times New Roman"/>
                <w:b/>
                <w:bCs/>
                <w:sz w:val="20"/>
                <w:szCs w:val="20"/>
                <w:lang w:val="fr-CA"/>
              </w:rPr>
              <w:t xml:space="preserve"> R.C.S. Partie </w:t>
            </w:r>
            <w:r w:rsidR="00F701BF" w:rsidRPr="00606F29">
              <w:rPr>
                <w:rFonts w:cs="Times New Roman"/>
                <w:b/>
                <w:bCs/>
                <w:sz w:val="20"/>
                <w:szCs w:val="20"/>
                <w:lang w:val="fr-CA"/>
              </w:rPr>
              <w:t>4</w:t>
            </w:r>
          </w:p>
          <w:p w:rsidR="00C01FCB" w:rsidRPr="00606F29" w:rsidRDefault="00C01FCB" w:rsidP="006D031A">
            <w:pPr>
              <w:rPr>
                <w:rFonts w:cs="Times New Roman"/>
                <w:b/>
                <w:bCs/>
                <w:sz w:val="20"/>
                <w:szCs w:val="20"/>
                <w:lang w:val="fr-CA"/>
              </w:rPr>
            </w:pPr>
          </w:p>
          <w:p w:rsidR="00C01FCB" w:rsidRPr="00606F29" w:rsidRDefault="00F701BF" w:rsidP="006D031A">
            <w:pPr>
              <w:keepNext/>
              <w:keepLines/>
              <w:rPr>
                <w:rFonts w:cs="Times New Roman"/>
                <w:sz w:val="20"/>
                <w:szCs w:val="20"/>
                <w:lang w:val="en-US"/>
              </w:rPr>
            </w:pPr>
            <w:r w:rsidRPr="00606F29">
              <w:rPr>
                <w:rFonts w:cs="Times New Roman"/>
                <w:bCs/>
                <w:sz w:val="20"/>
                <w:szCs w:val="20"/>
                <w:lang w:val="en-US"/>
              </w:rPr>
              <w:t xml:space="preserve">British Columbia Human Rights Tribunal </w:t>
            </w:r>
            <w:r w:rsidRPr="00606F29">
              <w:rPr>
                <w:rFonts w:cs="Times New Roman"/>
                <w:bCs/>
                <w:i/>
                <w:sz w:val="20"/>
                <w:szCs w:val="20"/>
                <w:lang w:val="en-US"/>
              </w:rPr>
              <w:t>c.</w:t>
            </w:r>
            <w:r w:rsidRPr="00606F29">
              <w:rPr>
                <w:rFonts w:cs="Times New Roman"/>
                <w:bCs/>
                <w:sz w:val="20"/>
                <w:szCs w:val="20"/>
                <w:lang w:val="en-US"/>
              </w:rPr>
              <w:t xml:space="preserve"> </w:t>
            </w:r>
            <w:proofErr w:type="spellStart"/>
            <w:r w:rsidRPr="00606F29">
              <w:rPr>
                <w:rFonts w:cs="Times New Roman"/>
                <w:bCs/>
                <w:sz w:val="20"/>
                <w:szCs w:val="20"/>
                <w:lang w:val="en-US"/>
              </w:rPr>
              <w:t>Schrenk</w:t>
            </w:r>
            <w:proofErr w:type="spellEnd"/>
            <w:r w:rsidRPr="00606F29">
              <w:rPr>
                <w:rFonts w:cs="Times New Roman"/>
                <w:bCs/>
                <w:sz w:val="20"/>
                <w:szCs w:val="20"/>
                <w:lang w:val="en-US"/>
              </w:rPr>
              <w:t xml:space="preserve">, 2017 CSC 62, </w:t>
            </w:r>
            <w:r w:rsidRPr="00606F29">
              <w:rPr>
                <w:rFonts w:cs="Times New Roman"/>
                <w:sz w:val="20"/>
                <w:szCs w:val="20"/>
                <w:lang w:val="en-US"/>
              </w:rPr>
              <w:t>[2017] 2 R.C.S. 795</w:t>
            </w:r>
          </w:p>
          <w:p w:rsidR="00F701BF" w:rsidRPr="00606F29" w:rsidRDefault="00F701BF" w:rsidP="006D031A">
            <w:pPr>
              <w:keepNext/>
              <w:keepLines/>
              <w:rPr>
                <w:rFonts w:cs="Times New Roman"/>
                <w:sz w:val="20"/>
                <w:szCs w:val="20"/>
                <w:lang w:val="en-US"/>
              </w:rPr>
            </w:pPr>
          </w:p>
          <w:p w:rsidR="00F701BF" w:rsidRPr="00606F29" w:rsidRDefault="00F701BF" w:rsidP="006D031A">
            <w:pPr>
              <w:keepNext/>
              <w:keepLines/>
              <w:rPr>
                <w:rFonts w:cs="Times New Roman"/>
                <w:sz w:val="20"/>
                <w:szCs w:val="20"/>
                <w:lang w:val="fr-CA"/>
              </w:rPr>
            </w:pPr>
            <w:r w:rsidRPr="00606F29">
              <w:rPr>
                <w:rFonts w:cs="Times New Roman"/>
                <w:sz w:val="20"/>
                <w:szCs w:val="20"/>
                <w:lang w:val="fr-CA"/>
              </w:rPr>
              <w:t xml:space="preserve">Deloitte &amp; Touche </w:t>
            </w:r>
            <w:r w:rsidRPr="00606F29">
              <w:rPr>
                <w:rFonts w:cs="Times New Roman"/>
                <w:i/>
                <w:sz w:val="20"/>
                <w:szCs w:val="20"/>
                <w:lang w:val="fr-CA"/>
              </w:rPr>
              <w:t>c.</w:t>
            </w:r>
            <w:r w:rsidRPr="00606F29">
              <w:rPr>
                <w:rFonts w:cs="Times New Roman"/>
                <w:sz w:val="20"/>
                <w:szCs w:val="20"/>
                <w:lang w:val="fr-CA"/>
              </w:rPr>
              <w:t xml:space="preserve"> </w:t>
            </w:r>
            <w:proofErr w:type="spellStart"/>
            <w:r w:rsidRPr="00606F29">
              <w:rPr>
                <w:rFonts w:cs="Times New Roman"/>
                <w:sz w:val="20"/>
                <w:szCs w:val="20"/>
                <w:lang w:val="fr-CA"/>
              </w:rPr>
              <w:t>Livent</w:t>
            </w:r>
            <w:proofErr w:type="spellEnd"/>
            <w:r w:rsidRPr="00606F29">
              <w:rPr>
                <w:rFonts w:cs="Times New Roman"/>
                <w:sz w:val="20"/>
                <w:szCs w:val="20"/>
                <w:lang w:val="fr-CA"/>
              </w:rPr>
              <w:t xml:space="preserve"> Inc. (Séquestre de), </w:t>
            </w:r>
          </w:p>
          <w:p w:rsidR="00F701BF" w:rsidRPr="00606F29" w:rsidRDefault="00F701BF" w:rsidP="006D031A">
            <w:pPr>
              <w:keepNext/>
              <w:keepLines/>
              <w:rPr>
                <w:rFonts w:cs="Times New Roman"/>
                <w:sz w:val="20"/>
                <w:szCs w:val="20"/>
                <w:lang w:val="fr-CA"/>
              </w:rPr>
            </w:pPr>
            <w:r w:rsidRPr="00606F29">
              <w:rPr>
                <w:rFonts w:cs="Times New Roman"/>
                <w:sz w:val="20"/>
                <w:szCs w:val="20"/>
                <w:lang w:val="fr-CA"/>
              </w:rPr>
              <w:t>2017 CSC 63</w:t>
            </w:r>
            <w:r w:rsidRPr="00606F29">
              <w:rPr>
                <w:rFonts w:cs="Times New Roman"/>
                <w:bCs/>
                <w:sz w:val="20"/>
                <w:szCs w:val="20"/>
                <w:lang w:val="fr-CA"/>
              </w:rPr>
              <w:t xml:space="preserve">, </w:t>
            </w:r>
            <w:r w:rsidRPr="00606F29">
              <w:rPr>
                <w:rFonts w:cs="Times New Roman"/>
                <w:sz w:val="20"/>
                <w:szCs w:val="20"/>
                <w:lang w:val="fr-CA"/>
              </w:rPr>
              <w:t>[2017] 2 R.C.S. 855</w:t>
            </w:r>
          </w:p>
          <w:p w:rsidR="00F701BF" w:rsidRPr="00606F29" w:rsidRDefault="00F701BF" w:rsidP="006D031A">
            <w:pPr>
              <w:keepNext/>
              <w:keepLines/>
              <w:rPr>
                <w:rFonts w:cs="Times New Roman"/>
                <w:sz w:val="20"/>
                <w:szCs w:val="20"/>
                <w:lang w:val="fr-CA"/>
              </w:rPr>
            </w:pPr>
          </w:p>
          <w:p w:rsidR="00F701BF" w:rsidRPr="00606F29" w:rsidRDefault="00F701BF" w:rsidP="006D031A">
            <w:pPr>
              <w:keepNext/>
              <w:keepLines/>
              <w:rPr>
                <w:rFonts w:cs="Times New Roman"/>
                <w:bCs/>
                <w:sz w:val="20"/>
                <w:szCs w:val="20"/>
                <w:lang w:val="fr-CA"/>
              </w:rPr>
            </w:pPr>
            <w:r w:rsidRPr="00606F29">
              <w:rPr>
                <w:rFonts w:cs="Times New Roman"/>
                <w:bCs/>
                <w:sz w:val="20"/>
                <w:szCs w:val="20"/>
                <w:lang w:val="fr-CA"/>
              </w:rPr>
              <w:t xml:space="preserve">R. </w:t>
            </w:r>
            <w:r w:rsidRPr="00606F29">
              <w:rPr>
                <w:rFonts w:cs="Times New Roman"/>
                <w:bCs/>
                <w:i/>
                <w:sz w:val="20"/>
                <w:szCs w:val="20"/>
                <w:lang w:val="fr-CA"/>
              </w:rPr>
              <w:t>c.</w:t>
            </w:r>
            <w:r w:rsidRPr="00606F29">
              <w:rPr>
                <w:rFonts w:cs="Times New Roman"/>
                <w:bCs/>
                <w:sz w:val="20"/>
                <w:szCs w:val="20"/>
                <w:lang w:val="fr-CA"/>
              </w:rPr>
              <w:t xml:space="preserve"> </w:t>
            </w:r>
            <w:proofErr w:type="spellStart"/>
            <w:r w:rsidRPr="00606F29">
              <w:rPr>
                <w:rFonts w:cs="Times New Roman"/>
                <w:bCs/>
                <w:sz w:val="20"/>
                <w:szCs w:val="20"/>
                <w:lang w:val="fr-CA"/>
              </w:rPr>
              <w:t>Boutilier</w:t>
            </w:r>
            <w:proofErr w:type="spellEnd"/>
            <w:r w:rsidRPr="00606F29">
              <w:rPr>
                <w:rFonts w:cs="Times New Roman"/>
                <w:bCs/>
                <w:sz w:val="20"/>
                <w:szCs w:val="20"/>
                <w:lang w:val="fr-CA"/>
              </w:rPr>
              <w:t xml:space="preserve">, </w:t>
            </w:r>
          </w:p>
          <w:p w:rsidR="00F701BF" w:rsidRPr="00606F29" w:rsidRDefault="00F701BF" w:rsidP="006D031A">
            <w:pPr>
              <w:keepNext/>
              <w:keepLines/>
              <w:rPr>
                <w:rFonts w:cs="Times New Roman"/>
                <w:bCs/>
                <w:sz w:val="20"/>
                <w:szCs w:val="20"/>
                <w:lang w:val="fr-CA"/>
              </w:rPr>
            </w:pPr>
            <w:r w:rsidRPr="00606F29">
              <w:rPr>
                <w:rFonts w:cs="Times New Roman"/>
                <w:bCs/>
                <w:sz w:val="20"/>
                <w:szCs w:val="20"/>
                <w:lang w:val="fr-CA"/>
              </w:rPr>
              <w:t xml:space="preserve">2017 CSC 64, </w:t>
            </w:r>
            <w:r w:rsidRPr="00606F29">
              <w:rPr>
                <w:rFonts w:cs="Times New Roman"/>
                <w:sz w:val="20"/>
                <w:szCs w:val="20"/>
                <w:lang w:val="fr-CA"/>
              </w:rPr>
              <w:t>[2017] 2 R.C.S. 936</w:t>
            </w:r>
          </w:p>
          <w:p w:rsidR="00C01FCB" w:rsidRPr="00C31C83" w:rsidRDefault="009813FB" w:rsidP="006D031A">
            <w:pPr>
              <w:rPr>
                <w:rFonts w:cs="Times New Roman"/>
                <w:sz w:val="20"/>
                <w:szCs w:val="20"/>
                <w:lang w:val="fr-CA"/>
              </w:rPr>
            </w:pPr>
            <w:r>
              <w:rPr>
                <w:rFonts w:cs="Times New Roman"/>
                <w:sz w:val="20"/>
                <w:szCs w:val="20"/>
              </w:rPr>
              <w:pict>
                <v:rect id="_x0000_i1052" style="width:129.6pt;height:1pt" o:hrpct="600" o:hralign="center" o:hrstd="t" o:hrnoshade="t" o:hr="t" fillcolor="black [3213]" stroked="f"/>
              </w:pict>
            </w:r>
          </w:p>
          <w:p w:rsidR="00C01FCB" w:rsidRPr="00C31C83" w:rsidRDefault="00C01FCB" w:rsidP="006D031A">
            <w:pPr>
              <w:keepNext/>
              <w:keepLines/>
              <w:rPr>
                <w:rFonts w:cs="Times New Roman"/>
                <w:bCs/>
                <w:sz w:val="20"/>
                <w:szCs w:val="20"/>
                <w:lang w:val="fr-CA"/>
              </w:rPr>
            </w:pPr>
          </w:p>
        </w:tc>
      </w:tr>
    </w:tbl>
    <w:p w:rsidR="00C01FCB" w:rsidRPr="00C31C83" w:rsidRDefault="00C01FCB" w:rsidP="00C01FCB">
      <w:pPr>
        <w:rPr>
          <w:sz w:val="20"/>
          <w:szCs w:val="20"/>
          <w:lang w:val="fr-CA"/>
        </w:rPr>
      </w:pPr>
    </w:p>
    <w:p w:rsidR="00C01FCB" w:rsidRDefault="00C01FCB" w:rsidP="00A956D3">
      <w:pPr>
        <w:rPr>
          <w:sz w:val="20"/>
          <w:szCs w:val="20"/>
          <w:lang w:val="fr-CA"/>
        </w:rPr>
      </w:pPr>
    </w:p>
    <w:p w:rsidR="00C01FCB" w:rsidRDefault="00C01FCB" w:rsidP="00A956D3">
      <w:pPr>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2410B8" w:rsidRPr="0022323B" w:rsidRDefault="002410B8" w:rsidP="004124B2">
      <w:pPr>
        <w:widowControl w:val="0"/>
        <w:spacing w:line="180" w:lineRule="auto"/>
        <w:rPr>
          <w:lang w:val="fr-CA"/>
        </w:rPr>
      </w:pPr>
      <w:bookmarkStart w:id="3" w:name="QuickMark"/>
      <w:bookmarkEnd w:id="3"/>
    </w:p>
    <w:sectPr w:rsidR="002410B8" w:rsidRPr="0022323B" w:rsidSect="00924065">
      <w:headerReference w:type="default" r:id="rId78"/>
      <w:footerReference w:type="default" r:id="rId7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F1" w:rsidRDefault="00E00CF1" w:rsidP="00A87207">
      <w:r>
        <w:separator/>
      </w:r>
    </w:p>
  </w:endnote>
  <w:endnote w:type="continuationSeparator" w:id="0">
    <w:p w:rsidR="00E00CF1" w:rsidRDefault="00E00CF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A87207">
    <w:pPr>
      <w:pStyle w:val="Footer"/>
    </w:pPr>
    <w:r>
      <w:pict>
        <v:rect id="_x0000_i1027" style="width:480.95pt;height:1pt" o:hralign="center" o:hrstd="t" o:hrnoshade="t" o:hr="t" fillcolor="black [3213]" stroked="f"/>
      </w:pict>
    </w:r>
  </w:p>
  <w:p w:rsidR="00E00CF1" w:rsidRPr="00B7374B" w:rsidRDefault="00E00C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EB2B90">
    <w:pPr>
      <w:tabs>
        <w:tab w:val="center" w:pos="4680"/>
      </w:tabs>
    </w:pPr>
    <w:r>
      <w:pict>
        <v:rect id="_x0000_i1042" style="width:480.95pt;height:1pt" o:hralign="center" o:hrstd="t" o:hrnoshade="t" o:hr="t" fillcolor="black [3213]" stroked="f"/>
      </w:pict>
    </w:r>
  </w:p>
  <w:p w:rsidR="00E00CF1" w:rsidRPr="0031432F" w:rsidRDefault="00E00CF1" w:rsidP="00EB2B90">
    <w:pPr>
      <w:tabs>
        <w:tab w:val="center" w:pos="4680"/>
      </w:tabs>
    </w:pPr>
    <w:r>
      <w:tab/>
      <w:t xml:space="preserve">- </w:t>
    </w:r>
    <w:r>
      <w:fldChar w:fldCharType="begin"/>
    </w:r>
    <w:r>
      <w:instrText xml:space="preserve"> PAGE   \* MERGEFORMAT </w:instrText>
    </w:r>
    <w:r>
      <w:fldChar w:fldCharType="separate"/>
    </w:r>
    <w:r w:rsidR="009813FB">
      <w:rPr>
        <w:noProof/>
      </w:rPr>
      <w:t>375</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0CF1" w:rsidRDefault="00E00CF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E00CF1" w:rsidRDefault="00E00CF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pPr>
      <w:pStyle w:val="Footer"/>
      <w:rPr>
        <w:lang w:val="fr-CA"/>
      </w:rPr>
    </w:pPr>
    <w:r>
      <w:rPr>
        <w:lang w:val="fr-CA"/>
      </w:rPr>
      <w:pict>
        <v:rect id="_x0000_i1046" style="width:480.95pt;height:1pt" o:hralign="center" o:hrstd="t" o:hrnoshade="t" o:hr="t" fillcolor="black [3213]" stroked="f"/>
      </w:pict>
    </w:r>
  </w:p>
  <w:p w:rsidR="00E00CF1" w:rsidRDefault="00E00CF1" w:rsidP="00EB2B90">
    <w:pPr>
      <w:tabs>
        <w:tab w:val="center" w:pos="4680"/>
      </w:tabs>
    </w:pPr>
    <w:r>
      <w:tab/>
      <w:t xml:space="preserve">- </w:t>
    </w:r>
    <w:r>
      <w:fldChar w:fldCharType="begin"/>
    </w:r>
    <w:r>
      <w:instrText xml:space="preserve"> PAGE   \* MERGEFORMAT </w:instrText>
    </w:r>
    <w:r>
      <w:fldChar w:fldCharType="separate"/>
    </w:r>
    <w:r w:rsidR="009813FB">
      <w:rPr>
        <w:noProof/>
      </w:rPr>
      <w:t>385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0CF1" w:rsidRDefault="00E00CF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732DB7">
    <w:r>
      <w:pict>
        <v:rect id="_x0000_i1047" style="width:480.95pt;height:1pt" o:hralign="center" o:hrstd="t" o:hrnoshade="t" o:hr="t" fillcolor="black" stroked="f"/>
      </w:pict>
    </w:r>
  </w:p>
  <w:p w:rsidR="00E00CF1" w:rsidRDefault="00E00CF1">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pPr>
      <w:pStyle w:val="Footer"/>
    </w:pPr>
    <w:r>
      <w:pict>
        <v:rect id="_x0000_i1048" style="width:480.95pt;height:1pt" o:hralign="center" o:hrstd="t" o:hrnoshade="t" o:hr="t" fillcolor="black" stroked="f"/>
      </w:pict>
    </w:r>
  </w:p>
  <w:p w:rsidR="00E00CF1" w:rsidRPr="00283C52" w:rsidRDefault="00E00CF1">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
      <w:rPr>
        <w:lang w:val="fr-CA"/>
      </w:rPr>
      <w:pict>
        <v:rect id="_x0000_i1053" style="width:480.95pt;height:1pt" o:hralign="center" o:hrstd="t" o:hrnoshade="t" o:hr="t" fillcolor="black [3213]" stroked="f"/>
      </w:pict>
    </w:r>
  </w:p>
  <w:p w:rsidR="00E00CF1" w:rsidRDefault="00E00CF1" w:rsidP="006B6926">
    <w:pPr>
      <w:tabs>
        <w:tab w:val="center" w:pos="4680"/>
      </w:tabs>
    </w:pPr>
    <w:r>
      <w:tab/>
      <w:t xml:space="preserve">- </w:t>
    </w:r>
    <w:r>
      <w:fldChar w:fldCharType="begin"/>
    </w:r>
    <w:r>
      <w:instrText xml:space="preserve">PAGE </w:instrText>
    </w:r>
    <w:r>
      <w:fldChar w:fldCharType="separate"/>
    </w:r>
    <w:r>
      <w:rPr>
        <w:noProof/>
      </w:rPr>
      <w:t>386</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6B6926">
    <w:pPr>
      <w:tabs>
        <w:tab w:val="center" w:pos="4680"/>
      </w:tabs>
      <w:rPr>
        <w:lang w:val="fr-CA"/>
      </w:rPr>
    </w:pPr>
    <w:r>
      <w:rPr>
        <w:lang w:val="fr-CA"/>
      </w:rPr>
      <w:pict>
        <v:rect id="_x0000_i1054" style="width:480.95pt;height:1pt" o:hralign="center" o:hrstd="t" o:hrnoshade="t" o:hr="t" fillcolor="black [3213]" stroked="f"/>
      </w:pict>
    </w:r>
  </w:p>
  <w:p w:rsidR="00E00CF1" w:rsidRDefault="00E00CF1" w:rsidP="006B6926">
    <w:pPr>
      <w:tabs>
        <w:tab w:val="center" w:pos="4680"/>
      </w:tabs>
    </w:pPr>
    <w:r>
      <w:tab/>
      <w:t xml:space="preserve">- </w:t>
    </w:r>
    <w:r>
      <w:fldChar w:fldCharType="begin"/>
    </w:r>
    <w:r>
      <w:instrText xml:space="preserve">PAGE </w:instrText>
    </w:r>
    <w:r>
      <w:fldChar w:fldCharType="separate"/>
    </w:r>
    <w:r w:rsidR="009813FB">
      <w:rPr>
        <w:noProof/>
      </w:rPr>
      <w:t>387</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Pr="00924065" w:rsidRDefault="00E00CF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755F22">
    <w:pPr>
      <w:tabs>
        <w:tab w:val="left" w:pos="-1440"/>
        <w:tab w:val="left" w:pos="-720"/>
      </w:tabs>
    </w:pPr>
    <w:r>
      <w:pict>
        <v:rect id="_x0000_i1028" style="width:480.95pt;height:1pt" o:hralign="center" o:hrstd="t" o:hrnoshade="t" o:hr="t" fillcolor="black [3213]" stroked="f"/>
      </w:pict>
    </w:r>
  </w:p>
  <w:p w:rsidR="00E00CF1" w:rsidRPr="00954D22" w:rsidRDefault="00E00CF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813FB">
      <w:rPr>
        <w:noProof/>
        <w:szCs w:val="24"/>
      </w:rPr>
      <w:t>358</w:t>
    </w:r>
    <w:r>
      <w:rPr>
        <w:szCs w:val="24"/>
      </w:rPr>
      <w:fldChar w:fldCharType="end"/>
    </w:r>
    <w:r w:rsidRPr="00954D22">
      <w:rPr>
        <w:szCs w:val="24"/>
      </w:rPr>
      <w:t xml:space="preserve"> -</w:t>
    </w:r>
  </w:p>
  <w:p w:rsidR="00E00CF1" w:rsidRDefault="00E00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A87207">
    <w:pPr>
      <w:pStyle w:val="Footer"/>
    </w:pPr>
    <w:r>
      <w:pict>
        <v:rect id="_x0000_i1030" style="width:480.95pt;height:1pt" o:hralign="center" o:hrstd="t" o:hrnoshade="t" o:hr="t" fillcolor="black [3213]" stroked="f"/>
      </w:pict>
    </w:r>
  </w:p>
  <w:p w:rsidR="00E00CF1" w:rsidRPr="00B7374B" w:rsidRDefault="00E00C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E00CF1" w:rsidRPr="00954D22" w:rsidRDefault="00E00CF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813FB">
      <w:rPr>
        <w:noProof/>
        <w:szCs w:val="24"/>
      </w:rPr>
      <w:t>359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0CF1" w:rsidRDefault="00E00CF1">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2" style="width:480.95pt;height:1pt" o:hralign="center" o:hrstd="t" o:hrnoshade="t" o:hr="t" fillcolor="black [3213]" stroked="f"/>
      </w:pict>
    </w:r>
  </w:p>
  <w:p w:rsidR="00E00CF1" w:rsidRPr="0009648D" w:rsidRDefault="00E00CF1" w:rsidP="00ED7E83">
    <w:pPr>
      <w:tabs>
        <w:tab w:val="center" w:pos="4680"/>
      </w:tabs>
    </w:pPr>
    <w:r>
      <w:tab/>
    </w:r>
    <w:r w:rsidRPr="0009648D">
      <w:t xml:space="preserve">- </w:t>
    </w:r>
    <w:r>
      <w:fldChar w:fldCharType="begin"/>
    </w:r>
    <w:r>
      <w:instrText xml:space="preserve"> PAGE   \* MERGEFORMAT </w:instrText>
    </w:r>
    <w:r>
      <w:fldChar w:fldCharType="separate"/>
    </w:r>
    <w:r w:rsidR="009813FB">
      <w:rPr>
        <w:noProof/>
      </w:rPr>
      <w:t>374</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pPr>
      <w:pStyle w:val="Footer"/>
      <w:rPr>
        <w:lang w:val="fr-CA"/>
      </w:rPr>
    </w:pPr>
    <w:r>
      <w:rPr>
        <w:lang w:val="fr-CA"/>
      </w:rPr>
      <w:pict>
        <v:rect id="_x0000_i1033" style="width:480.95pt;height:1pt" o:hralign="center" o:hrstd="t" o:hrnoshade="t" o:hr="t" fillcolor="black [3213]" stroked="f"/>
      </w:pict>
    </w:r>
  </w:p>
  <w:p w:rsidR="00E00CF1" w:rsidRDefault="00E00CF1" w:rsidP="00245129">
    <w:pPr>
      <w:tabs>
        <w:tab w:val="center" w:pos="4680"/>
      </w:tabs>
    </w:pPr>
    <w:r>
      <w:tab/>
    </w:r>
    <w:r w:rsidRPr="0009648D">
      <w:t xml:space="preserve">- </w:t>
    </w:r>
    <w:r>
      <w:fldChar w:fldCharType="begin"/>
    </w:r>
    <w:r>
      <w:instrText xml:space="preserve"> PAGE   \* MERGEFORMAT </w:instrText>
    </w:r>
    <w:r>
      <w:fldChar w:fldCharType="separate"/>
    </w:r>
    <w:r w:rsidR="009813FB">
      <w:rPr>
        <w:noProof/>
      </w:rPr>
      <w:t>360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0CF1" w:rsidRDefault="00E00CF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9813FB" w:rsidP="00755F22">
    <w:pPr>
      <w:tabs>
        <w:tab w:val="left" w:pos="-1440"/>
        <w:tab w:val="left" w:pos="-720"/>
      </w:tabs>
    </w:pPr>
    <w:r>
      <w:pict>
        <v:rect id="_x0000_i1041" style="width:480.95pt;height:1pt" o:hralign="center" o:hrstd="t" o:hrnoshade="t" o:hr="t" fillcolor="black [3213]" stroked="f"/>
      </w:pict>
    </w:r>
  </w:p>
  <w:p w:rsidR="00E00CF1" w:rsidRDefault="00E00CF1" w:rsidP="00EB2B90">
    <w:pPr>
      <w:tabs>
        <w:tab w:val="center" w:pos="4680"/>
      </w:tabs>
    </w:pPr>
    <w:r>
      <w:tab/>
      <w:t xml:space="preserve">- </w:t>
    </w:r>
    <w:r>
      <w:fldChar w:fldCharType="begin"/>
    </w:r>
    <w:r>
      <w:instrText xml:space="preserve"> PAGE   \* MERGEFORMAT </w:instrText>
    </w:r>
    <w:r>
      <w:fldChar w:fldCharType="separate"/>
    </w:r>
    <w:r w:rsidR="009813FB">
      <w:rPr>
        <w:noProof/>
      </w:rPr>
      <w:t>384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F1" w:rsidRDefault="00E00CF1" w:rsidP="00A87207">
      <w:r>
        <w:separator/>
      </w:r>
    </w:p>
  </w:footnote>
  <w:footnote w:type="continuationSeparator" w:id="0">
    <w:p w:rsidR="00E00CF1" w:rsidRDefault="00E00CF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00CF1" w:rsidRPr="0044776A" w:rsidTr="00245129">
      <w:tc>
        <w:tcPr>
          <w:tcW w:w="4290" w:type="dxa"/>
          <w:tcMar>
            <w:left w:w="0" w:type="dxa"/>
            <w:right w:w="0" w:type="dxa"/>
          </w:tcMar>
        </w:tcPr>
        <w:p w:rsidR="00E00CF1" w:rsidRPr="0044776A" w:rsidRDefault="00E00CF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00CF1" w:rsidRPr="0044776A" w:rsidRDefault="00E00CF1" w:rsidP="002E2327">
          <w:pPr>
            <w:keepNext/>
            <w:keepLines/>
            <w:tabs>
              <w:tab w:val="left" w:pos="-1440"/>
              <w:tab w:val="left" w:pos="-720"/>
            </w:tabs>
            <w:jc w:val="center"/>
            <w:rPr>
              <w:sz w:val="20"/>
              <w:szCs w:val="20"/>
            </w:rPr>
          </w:pPr>
        </w:p>
        <w:p w:rsidR="00E00CF1" w:rsidRPr="0044776A" w:rsidRDefault="00E00CF1" w:rsidP="002E2327">
          <w:pPr>
            <w:keepNext/>
            <w:keepLines/>
            <w:tabs>
              <w:tab w:val="left" w:pos="-1440"/>
              <w:tab w:val="left" w:pos="-720"/>
            </w:tabs>
            <w:jc w:val="center"/>
            <w:rPr>
              <w:sz w:val="20"/>
              <w:szCs w:val="20"/>
            </w:rPr>
          </w:pPr>
        </w:p>
        <w:p w:rsidR="00E00CF1" w:rsidRPr="0044776A" w:rsidRDefault="00E00CF1" w:rsidP="002E2327">
          <w:pPr>
            <w:keepNext/>
            <w:keepLines/>
            <w:tabs>
              <w:tab w:val="left" w:pos="-1440"/>
              <w:tab w:val="left" w:pos="-720"/>
            </w:tabs>
            <w:jc w:val="center"/>
            <w:rPr>
              <w:sz w:val="20"/>
              <w:szCs w:val="20"/>
            </w:rPr>
          </w:pPr>
        </w:p>
      </w:tc>
      <w:tc>
        <w:tcPr>
          <w:tcW w:w="4320" w:type="dxa"/>
          <w:tcMar>
            <w:left w:w="0" w:type="dxa"/>
            <w:right w:w="0" w:type="dxa"/>
          </w:tcMar>
        </w:tcPr>
        <w:p w:rsidR="00E00CF1" w:rsidRPr="0044776A" w:rsidRDefault="00E00CF1" w:rsidP="002E2327">
          <w:pPr>
            <w:keepLines/>
            <w:rPr>
              <w:sz w:val="20"/>
              <w:szCs w:val="20"/>
              <w:lang w:val="fr-CA"/>
            </w:rPr>
          </w:pPr>
          <w:r w:rsidRPr="0044776A">
            <w:rPr>
              <w:sz w:val="20"/>
              <w:szCs w:val="20"/>
              <w:lang w:val="fr-CA"/>
            </w:rPr>
            <w:t>DEMANDES D'AUTORISATION D'APPEL DÉPOSÉES</w:t>
          </w:r>
        </w:p>
      </w:tc>
    </w:tr>
  </w:tbl>
  <w:p w:rsidR="00E00CF1" w:rsidRDefault="00E00C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0CF1" w:rsidRPr="009813FB">
      <w:tc>
        <w:tcPr>
          <w:tcW w:w="4200" w:type="dxa"/>
          <w:tcMar>
            <w:left w:w="0" w:type="dxa"/>
            <w:right w:w="0" w:type="dxa"/>
          </w:tcMar>
        </w:tcPr>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0CF1" w:rsidRPr="00B01A03"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00CF1" w:rsidRPr="00B01A03"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00CF1" w:rsidRPr="00B01A03"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00CF1" w:rsidRPr="009813FB" w:rsidTr="00245129">
      <w:tc>
        <w:tcPr>
          <w:tcW w:w="4200" w:type="dxa"/>
          <w:tcMar>
            <w:left w:w="0" w:type="dxa"/>
            <w:right w:w="0" w:type="dxa"/>
          </w:tcMar>
        </w:tcPr>
        <w:p w:rsidR="00E00CF1" w:rsidRPr="00F40249" w:rsidRDefault="00E00CF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00CF1" w:rsidRDefault="00E00CF1" w:rsidP="00102926">
          <w:pPr>
            <w:keepNext/>
            <w:keepLines/>
            <w:tabs>
              <w:tab w:val="left" w:pos="-1440"/>
              <w:tab w:val="left" w:pos="-720"/>
            </w:tabs>
            <w:jc w:val="center"/>
            <w:rPr>
              <w:sz w:val="20"/>
              <w:szCs w:val="20"/>
            </w:rPr>
          </w:pPr>
        </w:p>
        <w:p w:rsidR="00E00CF1" w:rsidRDefault="00E00CF1" w:rsidP="00102926">
          <w:pPr>
            <w:keepNext/>
            <w:keepLines/>
            <w:tabs>
              <w:tab w:val="left" w:pos="-1440"/>
              <w:tab w:val="left" w:pos="-720"/>
            </w:tabs>
            <w:jc w:val="center"/>
            <w:rPr>
              <w:sz w:val="20"/>
              <w:szCs w:val="20"/>
            </w:rPr>
          </w:pPr>
        </w:p>
        <w:p w:rsidR="00E00CF1" w:rsidRPr="00F40249" w:rsidRDefault="00E00CF1" w:rsidP="00102926">
          <w:pPr>
            <w:keepNext/>
            <w:keepLines/>
            <w:tabs>
              <w:tab w:val="left" w:pos="-1440"/>
              <w:tab w:val="left" w:pos="-720"/>
            </w:tabs>
            <w:jc w:val="center"/>
            <w:rPr>
              <w:sz w:val="20"/>
              <w:szCs w:val="20"/>
            </w:rPr>
          </w:pPr>
        </w:p>
      </w:tc>
      <w:tc>
        <w:tcPr>
          <w:tcW w:w="4230" w:type="dxa"/>
          <w:tcMar>
            <w:left w:w="0" w:type="dxa"/>
            <w:right w:w="0" w:type="dxa"/>
          </w:tcMar>
        </w:tcPr>
        <w:p w:rsidR="00E00CF1" w:rsidRPr="00F40249" w:rsidRDefault="00E00CF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00CF1" w:rsidRPr="00B01A03" w:rsidRDefault="00E00CF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0CF1" w:rsidRPr="009813FB">
      <w:tc>
        <w:tcPr>
          <w:tcW w:w="4200" w:type="dxa"/>
          <w:tcMar>
            <w:left w:w="0" w:type="dxa"/>
            <w:right w:w="0" w:type="dxa"/>
          </w:tcMar>
        </w:tcPr>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0CF1" w:rsidRPr="00283C52"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00CF1" w:rsidRPr="00283C52"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00CF1" w:rsidRPr="00283C52"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00CF1" w:rsidRPr="009813FB" w:rsidTr="00245129">
      <w:tc>
        <w:tcPr>
          <w:tcW w:w="4200" w:type="dxa"/>
          <w:tcMar>
            <w:left w:w="0" w:type="dxa"/>
            <w:right w:w="0" w:type="dxa"/>
          </w:tcMar>
        </w:tcPr>
        <w:p w:rsidR="00E00CF1" w:rsidRPr="00732DB7" w:rsidRDefault="00E00CF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00CF1" w:rsidRPr="00732DB7" w:rsidRDefault="00E00CF1" w:rsidP="00732DB7">
          <w:pPr>
            <w:keepNext/>
            <w:keepLines/>
            <w:tabs>
              <w:tab w:val="left" w:pos="-1440"/>
              <w:tab w:val="left" w:pos="-720"/>
            </w:tabs>
            <w:jc w:val="center"/>
            <w:rPr>
              <w:sz w:val="20"/>
              <w:szCs w:val="20"/>
            </w:rPr>
          </w:pPr>
        </w:p>
        <w:p w:rsidR="00E00CF1" w:rsidRPr="00732DB7" w:rsidRDefault="00E00CF1" w:rsidP="00732DB7">
          <w:pPr>
            <w:keepNext/>
            <w:keepLines/>
            <w:tabs>
              <w:tab w:val="left" w:pos="-1440"/>
              <w:tab w:val="left" w:pos="-720"/>
            </w:tabs>
            <w:jc w:val="center"/>
            <w:rPr>
              <w:sz w:val="20"/>
              <w:szCs w:val="20"/>
            </w:rPr>
          </w:pPr>
        </w:p>
        <w:p w:rsidR="00E00CF1" w:rsidRPr="00732DB7" w:rsidRDefault="00E00CF1" w:rsidP="00732DB7">
          <w:pPr>
            <w:keepNext/>
            <w:keepLines/>
            <w:tabs>
              <w:tab w:val="left" w:pos="-1440"/>
              <w:tab w:val="left" w:pos="-720"/>
            </w:tabs>
            <w:jc w:val="center"/>
            <w:rPr>
              <w:sz w:val="20"/>
              <w:szCs w:val="20"/>
            </w:rPr>
          </w:pPr>
        </w:p>
      </w:tc>
      <w:tc>
        <w:tcPr>
          <w:tcW w:w="4080" w:type="dxa"/>
          <w:tcMar>
            <w:left w:w="0" w:type="dxa"/>
            <w:right w:w="0" w:type="dxa"/>
          </w:tcMar>
        </w:tcPr>
        <w:p w:rsidR="00E00CF1" w:rsidRPr="00732DB7" w:rsidRDefault="00E00CF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00CF1" w:rsidRPr="00283C52" w:rsidRDefault="00E00CF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E00CF1" w:rsidRPr="009813FB" w:rsidTr="00245129">
      <w:tc>
        <w:tcPr>
          <w:tcW w:w="4320" w:type="dxa"/>
        </w:tcPr>
        <w:p w:rsidR="00E00CF1" w:rsidRPr="006B6926" w:rsidRDefault="00E00CF1" w:rsidP="006B6926">
          <w:pPr>
            <w:keepNext/>
            <w:keepLines/>
            <w:rPr>
              <w:bCs/>
              <w:sz w:val="20"/>
              <w:szCs w:val="20"/>
              <w:lang w:val="en-GB"/>
            </w:rPr>
          </w:pPr>
          <w:r w:rsidRPr="006B6926">
            <w:rPr>
              <w:bCs/>
              <w:sz w:val="20"/>
              <w:szCs w:val="20"/>
              <w:lang w:val="en-GB"/>
            </w:rPr>
            <w:t>SUPREME COURT REPORTS</w:t>
          </w:r>
        </w:p>
      </w:tc>
      <w:tc>
        <w:tcPr>
          <w:tcW w:w="840" w:type="dxa"/>
        </w:tcPr>
        <w:p w:rsidR="00E00CF1" w:rsidRDefault="00E00CF1" w:rsidP="006B6926">
          <w:pPr>
            <w:jc w:val="center"/>
            <w:rPr>
              <w:bCs/>
              <w:sz w:val="20"/>
              <w:szCs w:val="20"/>
              <w:lang w:val="en-GB"/>
            </w:rPr>
          </w:pPr>
        </w:p>
        <w:p w:rsidR="00E00CF1" w:rsidRPr="006B6926" w:rsidRDefault="00E00CF1" w:rsidP="006B6926">
          <w:pPr>
            <w:jc w:val="center"/>
            <w:rPr>
              <w:bCs/>
              <w:sz w:val="20"/>
              <w:szCs w:val="20"/>
              <w:lang w:val="en-GB"/>
            </w:rPr>
          </w:pPr>
        </w:p>
      </w:tc>
      <w:tc>
        <w:tcPr>
          <w:tcW w:w="4320" w:type="dxa"/>
        </w:tcPr>
        <w:p w:rsidR="00E00CF1" w:rsidRPr="006B6926" w:rsidRDefault="00E00CF1" w:rsidP="006B6926">
          <w:pPr>
            <w:keepNext/>
            <w:keepLines/>
            <w:rPr>
              <w:bCs/>
              <w:sz w:val="20"/>
              <w:szCs w:val="20"/>
              <w:lang w:val="fr-CA"/>
            </w:rPr>
          </w:pPr>
          <w:r w:rsidRPr="006B6926">
            <w:rPr>
              <w:bCs/>
              <w:sz w:val="20"/>
              <w:szCs w:val="20"/>
              <w:lang w:val="fr-CA"/>
            </w:rPr>
            <w:t>RECUEIL DES ARRÊTS DE LA COUR SUPRÊME</w:t>
          </w:r>
        </w:p>
      </w:tc>
    </w:tr>
  </w:tbl>
  <w:p w:rsidR="00E00CF1" w:rsidRPr="000924F7" w:rsidRDefault="00E00CF1">
    <w:pPr>
      <w:pStyle w:val="Header"/>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00CF1" w:rsidRPr="009813FB" w:rsidTr="00245129">
      <w:tc>
        <w:tcPr>
          <w:tcW w:w="4200" w:type="dxa"/>
          <w:tcMar>
            <w:left w:w="0" w:type="dxa"/>
            <w:right w:w="0" w:type="dxa"/>
          </w:tcMar>
        </w:tcPr>
        <w:p w:rsidR="00E00CF1" w:rsidRPr="0044776A" w:rsidRDefault="00E00CF1" w:rsidP="0044776A">
          <w:pPr>
            <w:keepNext/>
            <w:keepLines/>
            <w:widowControl w:val="0"/>
            <w:rPr>
              <w:sz w:val="20"/>
              <w:szCs w:val="20"/>
            </w:rPr>
          </w:pPr>
          <w:r>
            <w:rPr>
              <w:sz w:val="20"/>
              <w:szCs w:val="20"/>
            </w:rPr>
            <w:t>APPLICATIONS FOR LEAVE</w:t>
          </w:r>
        </w:p>
        <w:p w:rsidR="00E00CF1" w:rsidRPr="0044776A" w:rsidRDefault="00E00CF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00CF1" w:rsidRPr="0044776A" w:rsidRDefault="00E00CF1" w:rsidP="0044776A">
          <w:pPr>
            <w:keepNext/>
            <w:keepLines/>
            <w:widowControl w:val="0"/>
            <w:jc w:val="center"/>
            <w:rPr>
              <w:sz w:val="20"/>
              <w:szCs w:val="20"/>
            </w:rPr>
          </w:pPr>
        </w:p>
        <w:p w:rsidR="00E00CF1" w:rsidRPr="0044776A" w:rsidRDefault="00E00CF1" w:rsidP="0044776A">
          <w:pPr>
            <w:keepNext/>
            <w:keepLines/>
            <w:widowControl w:val="0"/>
            <w:jc w:val="center"/>
            <w:rPr>
              <w:sz w:val="20"/>
              <w:szCs w:val="20"/>
            </w:rPr>
          </w:pPr>
        </w:p>
        <w:p w:rsidR="00E00CF1" w:rsidRPr="0044776A" w:rsidRDefault="00E00CF1" w:rsidP="0044776A">
          <w:pPr>
            <w:keepNext/>
            <w:keepLines/>
            <w:widowControl w:val="0"/>
            <w:jc w:val="center"/>
            <w:rPr>
              <w:sz w:val="20"/>
              <w:szCs w:val="20"/>
            </w:rPr>
          </w:pPr>
        </w:p>
      </w:tc>
      <w:tc>
        <w:tcPr>
          <w:tcW w:w="4080" w:type="dxa"/>
          <w:tcMar>
            <w:left w:w="0" w:type="dxa"/>
            <w:right w:w="0" w:type="dxa"/>
          </w:tcMar>
        </w:tcPr>
        <w:p w:rsidR="00E00CF1" w:rsidRPr="0044776A" w:rsidRDefault="00E00CF1" w:rsidP="0044776A">
          <w:pPr>
            <w:keepLines/>
            <w:widowControl w:val="0"/>
            <w:rPr>
              <w:sz w:val="20"/>
              <w:szCs w:val="20"/>
              <w:lang w:val="fr-CA"/>
            </w:rPr>
          </w:pPr>
          <w:r w:rsidRPr="0044776A">
            <w:rPr>
              <w:sz w:val="20"/>
              <w:szCs w:val="20"/>
              <w:lang w:val="fr-CA"/>
            </w:rPr>
            <w:t>DEMANDES SOUMISES À LA COUR DEPUIS LA DERNIÈRE PARUTION</w:t>
          </w:r>
        </w:p>
        <w:p w:rsidR="00E00CF1" w:rsidRPr="0044776A" w:rsidRDefault="00E00CF1" w:rsidP="0044776A">
          <w:pPr>
            <w:widowControl w:val="0"/>
            <w:rPr>
              <w:sz w:val="20"/>
              <w:szCs w:val="20"/>
              <w:lang w:val="fr-CA"/>
            </w:rPr>
          </w:pPr>
        </w:p>
      </w:tc>
    </w:tr>
  </w:tbl>
  <w:p w:rsidR="00E00CF1" w:rsidRPr="002E2327" w:rsidRDefault="00E00CF1">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0CF1" w:rsidRPr="009813FB">
      <w:tc>
        <w:tcPr>
          <w:tcW w:w="4200" w:type="dxa"/>
          <w:tcMar>
            <w:left w:w="0" w:type="dxa"/>
            <w:right w:w="0" w:type="dxa"/>
          </w:tcMar>
        </w:tcPr>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00CF1"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0CF1" w:rsidRPr="00FF6BA5"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00CF1" w:rsidRPr="00FF6BA5"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00CF1" w:rsidRPr="00FF6BA5"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00CF1" w:rsidRPr="00FF6BA5"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00CF1" w:rsidRPr="009813FB" w:rsidTr="00245129">
      <w:tc>
        <w:tcPr>
          <w:tcW w:w="4200" w:type="dxa"/>
          <w:tcMar>
            <w:left w:w="0" w:type="dxa"/>
            <w:right w:w="0" w:type="dxa"/>
          </w:tcMar>
        </w:tcPr>
        <w:p w:rsidR="00E00CF1" w:rsidRPr="00755F22"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00CF1" w:rsidRPr="00755F22"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00CF1" w:rsidRPr="00755F22" w:rsidRDefault="00E00C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00CF1" w:rsidRPr="00755F22" w:rsidRDefault="00E00C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00CF1" w:rsidRPr="00755F22" w:rsidRDefault="00E00CF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00CF1" w:rsidRPr="00755F22"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00CF1" w:rsidRPr="00FF6BA5" w:rsidRDefault="00E00CF1"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1" w:rsidRDefault="00E00C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00CF1">
      <w:tc>
        <w:tcPr>
          <w:tcW w:w="4230" w:type="dxa"/>
          <w:tcMar>
            <w:left w:w="0" w:type="dxa"/>
            <w:right w:w="0" w:type="dxa"/>
          </w:tcMar>
        </w:tcPr>
        <w:p w:rsidR="00E00CF1" w:rsidRDefault="00E00CF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00CF1"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0CF1" w:rsidRDefault="00E00CF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00CF1">
      <w:trPr>
        <w:gridAfter w:val="2"/>
        <w:wAfter w:w="5250" w:type="dxa"/>
      </w:trPr>
      <w:tc>
        <w:tcPr>
          <w:tcW w:w="4230" w:type="dxa"/>
          <w:tcMar>
            <w:left w:w="0" w:type="dxa"/>
            <w:right w:w="0" w:type="dxa"/>
          </w:tcMar>
        </w:tcPr>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00CF1" w:rsidRDefault="00E00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00CF1" w:rsidRPr="00755F22" w:rsidTr="00245129">
      <w:tc>
        <w:tcPr>
          <w:tcW w:w="4230" w:type="dxa"/>
          <w:tcMar>
            <w:left w:w="0" w:type="dxa"/>
            <w:right w:w="0" w:type="dxa"/>
          </w:tcMar>
        </w:tcPr>
        <w:p w:rsidR="00E00CF1" w:rsidRPr="00755F22" w:rsidRDefault="00E00CF1" w:rsidP="00831CA9">
          <w:pPr>
            <w:keepNext/>
            <w:keepLines/>
            <w:rPr>
              <w:sz w:val="20"/>
              <w:szCs w:val="20"/>
            </w:rPr>
          </w:pPr>
          <w:r w:rsidRPr="00755F22">
            <w:rPr>
              <w:sz w:val="20"/>
              <w:szCs w:val="20"/>
            </w:rPr>
            <w:t>MOTIONS</w:t>
          </w:r>
        </w:p>
      </w:tc>
      <w:tc>
        <w:tcPr>
          <w:tcW w:w="1170" w:type="dxa"/>
          <w:tcMar>
            <w:left w:w="0" w:type="dxa"/>
            <w:right w:w="0" w:type="dxa"/>
          </w:tcMar>
        </w:tcPr>
        <w:p w:rsidR="00E00CF1" w:rsidRPr="00755F22" w:rsidRDefault="00E00CF1" w:rsidP="00831CA9">
          <w:pPr>
            <w:keepLines/>
            <w:jc w:val="center"/>
            <w:rPr>
              <w:sz w:val="20"/>
              <w:szCs w:val="20"/>
            </w:rPr>
          </w:pPr>
        </w:p>
        <w:p w:rsidR="00E00CF1" w:rsidRPr="00755F22" w:rsidRDefault="00E00CF1" w:rsidP="00831CA9">
          <w:pPr>
            <w:keepLines/>
            <w:tabs>
              <w:tab w:val="left" w:pos="-1440"/>
              <w:tab w:val="left" w:pos="-720"/>
            </w:tabs>
            <w:jc w:val="center"/>
            <w:rPr>
              <w:sz w:val="20"/>
              <w:szCs w:val="20"/>
            </w:rPr>
          </w:pPr>
        </w:p>
      </w:tc>
      <w:tc>
        <w:tcPr>
          <w:tcW w:w="4080" w:type="dxa"/>
          <w:tcMar>
            <w:left w:w="0" w:type="dxa"/>
            <w:right w:w="0" w:type="dxa"/>
          </w:tcMar>
        </w:tcPr>
        <w:p w:rsidR="00E00CF1" w:rsidRPr="00BA6468" w:rsidRDefault="00E00CF1" w:rsidP="00BA6468">
          <w:pPr>
            <w:keepLines/>
            <w:rPr>
              <w:sz w:val="20"/>
              <w:szCs w:val="20"/>
              <w:lang w:val="fr-CA"/>
            </w:rPr>
          </w:pPr>
          <w:r w:rsidRPr="00BA6468">
            <w:rPr>
              <w:sz w:val="20"/>
              <w:szCs w:val="20"/>
              <w:lang w:val="fr-CA"/>
            </w:rPr>
            <w:t>REQUÊTES</w:t>
          </w:r>
        </w:p>
      </w:tc>
    </w:tr>
  </w:tbl>
  <w:p w:rsidR="00E00CF1" w:rsidRDefault="00E00CF1"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1A"/>
    <w:rsid w:val="00002704"/>
    <w:rsid w:val="00020DC3"/>
    <w:rsid w:val="0003223B"/>
    <w:rsid w:val="000327B2"/>
    <w:rsid w:val="00037711"/>
    <w:rsid w:val="0004137A"/>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5314"/>
    <w:rsid w:val="00164E6D"/>
    <w:rsid w:val="00183454"/>
    <w:rsid w:val="001846BD"/>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92C54"/>
    <w:rsid w:val="002A008C"/>
    <w:rsid w:val="002A27D1"/>
    <w:rsid w:val="002A4AFA"/>
    <w:rsid w:val="002B516C"/>
    <w:rsid w:val="002B6E2D"/>
    <w:rsid w:val="002D72EB"/>
    <w:rsid w:val="002E2327"/>
    <w:rsid w:val="002E3583"/>
    <w:rsid w:val="002E5576"/>
    <w:rsid w:val="0030050B"/>
    <w:rsid w:val="00320379"/>
    <w:rsid w:val="00331B52"/>
    <w:rsid w:val="003359D3"/>
    <w:rsid w:val="00355967"/>
    <w:rsid w:val="00382C47"/>
    <w:rsid w:val="00384384"/>
    <w:rsid w:val="003866AE"/>
    <w:rsid w:val="003A2D2F"/>
    <w:rsid w:val="003B3977"/>
    <w:rsid w:val="003E1D4C"/>
    <w:rsid w:val="004124B2"/>
    <w:rsid w:val="004137A0"/>
    <w:rsid w:val="00422D9A"/>
    <w:rsid w:val="00432989"/>
    <w:rsid w:val="00440E24"/>
    <w:rsid w:val="0044776A"/>
    <w:rsid w:val="00454FFF"/>
    <w:rsid w:val="00460AFC"/>
    <w:rsid w:val="0047471F"/>
    <w:rsid w:val="004B195E"/>
    <w:rsid w:val="004B66B4"/>
    <w:rsid w:val="004B7F60"/>
    <w:rsid w:val="004C1AAC"/>
    <w:rsid w:val="004E1E0A"/>
    <w:rsid w:val="004F090E"/>
    <w:rsid w:val="00501F3C"/>
    <w:rsid w:val="0052229C"/>
    <w:rsid w:val="00522F08"/>
    <w:rsid w:val="00527CC7"/>
    <w:rsid w:val="00551B97"/>
    <w:rsid w:val="0056248C"/>
    <w:rsid w:val="00571CA4"/>
    <w:rsid w:val="00582136"/>
    <w:rsid w:val="005C6840"/>
    <w:rsid w:val="005D0128"/>
    <w:rsid w:val="005F1ED8"/>
    <w:rsid w:val="005F263E"/>
    <w:rsid w:val="00600252"/>
    <w:rsid w:val="00606F29"/>
    <w:rsid w:val="00612A40"/>
    <w:rsid w:val="0062714A"/>
    <w:rsid w:val="006358B9"/>
    <w:rsid w:val="0065352B"/>
    <w:rsid w:val="00675479"/>
    <w:rsid w:val="00680709"/>
    <w:rsid w:val="00681F61"/>
    <w:rsid w:val="00696BF9"/>
    <w:rsid w:val="00697C62"/>
    <w:rsid w:val="006A329B"/>
    <w:rsid w:val="006A7EB8"/>
    <w:rsid w:val="006B044B"/>
    <w:rsid w:val="006B6926"/>
    <w:rsid w:val="006C3F47"/>
    <w:rsid w:val="006C5F7A"/>
    <w:rsid w:val="006D031A"/>
    <w:rsid w:val="006E06AF"/>
    <w:rsid w:val="006F350F"/>
    <w:rsid w:val="00732DB7"/>
    <w:rsid w:val="0074238B"/>
    <w:rsid w:val="00745EF7"/>
    <w:rsid w:val="00754DD1"/>
    <w:rsid w:val="00755F22"/>
    <w:rsid w:val="00766E4A"/>
    <w:rsid w:val="007820CE"/>
    <w:rsid w:val="00782AE4"/>
    <w:rsid w:val="00787964"/>
    <w:rsid w:val="0079724F"/>
    <w:rsid w:val="007974FF"/>
    <w:rsid w:val="007A3EAE"/>
    <w:rsid w:val="007C04FC"/>
    <w:rsid w:val="007C3DB0"/>
    <w:rsid w:val="007C47C2"/>
    <w:rsid w:val="007C4ADC"/>
    <w:rsid w:val="007D3E0F"/>
    <w:rsid w:val="007E4282"/>
    <w:rsid w:val="007F387B"/>
    <w:rsid w:val="00802863"/>
    <w:rsid w:val="008112A9"/>
    <w:rsid w:val="0081473A"/>
    <w:rsid w:val="00815B3C"/>
    <w:rsid w:val="0081610A"/>
    <w:rsid w:val="0082783A"/>
    <w:rsid w:val="00831CA9"/>
    <w:rsid w:val="00850E1F"/>
    <w:rsid w:val="0085476B"/>
    <w:rsid w:val="0086340B"/>
    <w:rsid w:val="00880238"/>
    <w:rsid w:val="008902B1"/>
    <w:rsid w:val="00890FEB"/>
    <w:rsid w:val="0089571A"/>
    <w:rsid w:val="00895E7E"/>
    <w:rsid w:val="008A5C1A"/>
    <w:rsid w:val="008B141B"/>
    <w:rsid w:val="008C7FEE"/>
    <w:rsid w:val="008D292F"/>
    <w:rsid w:val="008E03DC"/>
    <w:rsid w:val="00902E51"/>
    <w:rsid w:val="00912512"/>
    <w:rsid w:val="00924065"/>
    <w:rsid w:val="00930D68"/>
    <w:rsid w:val="00932DB4"/>
    <w:rsid w:val="009404DB"/>
    <w:rsid w:val="00941A4B"/>
    <w:rsid w:val="00946242"/>
    <w:rsid w:val="0095096B"/>
    <w:rsid w:val="00970CD3"/>
    <w:rsid w:val="009723FA"/>
    <w:rsid w:val="009813FB"/>
    <w:rsid w:val="00984546"/>
    <w:rsid w:val="00987576"/>
    <w:rsid w:val="00996510"/>
    <w:rsid w:val="009B17B0"/>
    <w:rsid w:val="009D1F15"/>
    <w:rsid w:val="009D555E"/>
    <w:rsid w:val="009F3024"/>
    <w:rsid w:val="009F39BA"/>
    <w:rsid w:val="00A013E3"/>
    <w:rsid w:val="00A0355E"/>
    <w:rsid w:val="00A375D1"/>
    <w:rsid w:val="00A51D10"/>
    <w:rsid w:val="00A52A83"/>
    <w:rsid w:val="00A6552C"/>
    <w:rsid w:val="00A72807"/>
    <w:rsid w:val="00A768FC"/>
    <w:rsid w:val="00A87207"/>
    <w:rsid w:val="00A935AA"/>
    <w:rsid w:val="00A956D3"/>
    <w:rsid w:val="00AB2201"/>
    <w:rsid w:val="00AD1D34"/>
    <w:rsid w:val="00AD3259"/>
    <w:rsid w:val="00AF1715"/>
    <w:rsid w:val="00AF3904"/>
    <w:rsid w:val="00B010C0"/>
    <w:rsid w:val="00B4740D"/>
    <w:rsid w:val="00B61629"/>
    <w:rsid w:val="00B7374B"/>
    <w:rsid w:val="00B8039D"/>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71A6D"/>
    <w:rsid w:val="00C73D06"/>
    <w:rsid w:val="00C73E1B"/>
    <w:rsid w:val="00C7556C"/>
    <w:rsid w:val="00C759B4"/>
    <w:rsid w:val="00C77713"/>
    <w:rsid w:val="00C85BB7"/>
    <w:rsid w:val="00CA2DEA"/>
    <w:rsid w:val="00CB3520"/>
    <w:rsid w:val="00CB43D5"/>
    <w:rsid w:val="00CC4D84"/>
    <w:rsid w:val="00CE198A"/>
    <w:rsid w:val="00CF08C8"/>
    <w:rsid w:val="00D004FC"/>
    <w:rsid w:val="00D02A82"/>
    <w:rsid w:val="00D04D73"/>
    <w:rsid w:val="00D64901"/>
    <w:rsid w:val="00D7372A"/>
    <w:rsid w:val="00D76BDF"/>
    <w:rsid w:val="00D8058F"/>
    <w:rsid w:val="00D818B6"/>
    <w:rsid w:val="00D862C1"/>
    <w:rsid w:val="00D93B50"/>
    <w:rsid w:val="00D94028"/>
    <w:rsid w:val="00D94670"/>
    <w:rsid w:val="00DA46F6"/>
    <w:rsid w:val="00DA756F"/>
    <w:rsid w:val="00DC0577"/>
    <w:rsid w:val="00DD0B49"/>
    <w:rsid w:val="00DE0502"/>
    <w:rsid w:val="00DE349D"/>
    <w:rsid w:val="00DE3CDA"/>
    <w:rsid w:val="00DF67CD"/>
    <w:rsid w:val="00E00CF1"/>
    <w:rsid w:val="00E06DFA"/>
    <w:rsid w:val="00E153B0"/>
    <w:rsid w:val="00E20A0A"/>
    <w:rsid w:val="00E2298F"/>
    <w:rsid w:val="00E240C2"/>
    <w:rsid w:val="00E356C7"/>
    <w:rsid w:val="00E414CA"/>
    <w:rsid w:val="00E41A5A"/>
    <w:rsid w:val="00E45FE4"/>
    <w:rsid w:val="00E64FA7"/>
    <w:rsid w:val="00E70690"/>
    <w:rsid w:val="00E75CFD"/>
    <w:rsid w:val="00E770CB"/>
    <w:rsid w:val="00E8544A"/>
    <w:rsid w:val="00E903A1"/>
    <w:rsid w:val="00E940EB"/>
    <w:rsid w:val="00E942C2"/>
    <w:rsid w:val="00E9703F"/>
    <w:rsid w:val="00EB2B90"/>
    <w:rsid w:val="00EC549E"/>
    <w:rsid w:val="00ED7E83"/>
    <w:rsid w:val="00EE091F"/>
    <w:rsid w:val="00EF4B63"/>
    <w:rsid w:val="00F0068D"/>
    <w:rsid w:val="00F0576D"/>
    <w:rsid w:val="00F14E6D"/>
    <w:rsid w:val="00F15EA8"/>
    <w:rsid w:val="00F16C8D"/>
    <w:rsid w:val="00F26C61"/>
    <w:rsid w:val="00F33CCE"/>
    <w:rsid w:val="00F40249"/>
    <w:rsid w:val="00F526C8"/>
    <w:rsid w:val="00F701BF"/>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292C54"/>
    <w:pPr>
      <w:jc w:val="both"/>
    </w:pPr>
    <w:rPr>
      <w:rFonts w:eastAsia="Calibri" w:cs="Times New Roman"/>
      <w:smallCaps/>
    </w:rPr>
  </w:style>
  <w:style w:type="character" w:customStyle="1" w:styleId="SCCBanSummaryChar">
    <w:name w:val="SCC.BanSummary Char"/>
    <w:basedOn w:val="DefaultParagraphFont"/>
    <w:link w:val="SCCBanSummary"/>
    <w:rsid w:val="00292C54"/>
    <w:rPr>
      <w:rFonts w:eastAsia="Calibri" w:cs="Times New Roman"/>
      <w:smallCaps/>
      <w:lang w:val="en-CA"/>
    </w:rPr>
  </w:style>
  <w:style w:type="paragraph" w:customStyle="1" w:styleId="SCCLsocSubfileSeparator">
    <w:name w:val="SCC.Lsoc.SubfileSeparator"/>
    <w:basedOn w:val="Normal"/>
    <w:next w:val="Normal"/>
    <w:link w:val="SCCLsocSubfileSeparatorChar"/>
    <w:rsid w:val="00292C54"/>
    <w:pPr>
      <w:jc w:val="both"/>
    </w:pPr>
    <w:rPr>
      <w:rFonts w:cs="Times New Roman"/>
      <w:b/>
      <w:szCs w:val="24"/>
      <w:lang w:val="fr-CA"/>
    </w:rPr>
  </w:style>
  <w:style w:type="character" w:customStyle="1" w:styleId="SCCLsocSubfileSeparatorChar">
    <w:name w:val="SCC.Lsoc.SubfileSeparator Char"/>
    <w:basedOn w:val="DefaultParagraphFont"/>
    <w:link w:val="SCCLsocSubfileSeparator"/>
    <w:rsid w:val="00292C54"/>
    <w:rPr>
      <w:rFonts w:cs="Times New Roman"/>
      <w:b/>
      <w:szCs w:val="24"/>
      <w:lang w:val="fr-CA"/>
    </w:rPr>
  </w:style>
  <w:style w:type="paragraph" w:customStyle="1" w:styleId="SCCSsocParty">
    <w:name w:val="SCC.Ssoc.Party"/>
    <w:basedOn w:val="Normal"/>
    <w:next w:val="Normal"/>
    <w:link w:val="SCCSsocPartyChar"/>
    <w:rsid w:val="00D8058F"/>
    <w:rPr>
      <w:rFonts w:cs="Times New Roman"/>
      <w:i/>
      <w:szCs w:val="24"/>
    </w:rPr>
  </w:style>
  <w:style w:type="character" w:customStyle="1" w:styleId="SCCSsocPartyChar">
    <w:name w:val="SCC.Ssoc.Party Char"/>
    <w:basedOn w:val="DefaultParagraphFont"/>
    <w:link w:val="SCCSsocParty"/>
    <w:rsid w:val="00D8058F"/>
    <w:rPr>
      <w:rFonts w:cs="Times New Roman"/>
      <w:i/>
      <w:szCs w:val="24"/>
      <w:lang w:val="en-CA"/>
    </w:rPr>
  </w:style>
  <w:style w:type="paragraph" w:styleId="BalloonText">
    <w:name w:val="Balloon Text"/>
    <w:basedOn w:val="Normal"/>
    <w:link w:val="BalloonTextChar"/>
    <w:uiPriority w:val="99"/>
    <w:semiHidden/>
    <w:unhideWhenUsed/>
    <w:rsid w:val="008B1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1B"/>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anlii.org/en/on/onca/doc/2017/2017onca567/2017onca567.html?autocompleteStr=2017%20ONCA%20567&amp;autocompletePos=1" TargetMode="External"/><Relationship Id="rId26" Type="http://schemas.openxmlformats.org/officeDocument/2006/relationships/hyperlink" Target="https://www.canlii.org/en/ca/fca/doc/2017/2017fca188/2017fca188.html?autocompleteStr=2017%20FCA%20188&amp;autocompletePos=1" TargetMode="External"/><Relationship Id="rId39" Type="http://schemas.openxmlformats.org/officeDocument/2006/relationships/hyperlink" Target="http://canlii.ca/t/h4lsl" TargetMode="External"/><Relationship Id="rId21" Type="http://schemas.openxmlformats.org/officeDocument/2006/relationships/hyperlink" Target="https://www.canlii.org/en/ca/fct/doc/2016/2016fc393/2016fc393.html?autocompleteStr=2016%20FC%20393&amp;autocompletePos=1" TargetMode="External"/><Relationship Id="rId34" Type="http://schemas.openxmlformats.org/officeDocument/2006/relationships/hyperlink" Target="https://www.canlii.org/fr/qc/qcca/doc/2017/2017qcca1460/2017qcca1460.pdf" TargetMode="External"/><Relationship Id="rId42" Type="http://schemas.openxmlformats.org/officeDocument/2006/relationships/hyperlink" Target="http://canlii.ca/t/h4lsl" TargetMode="External"/><Relationship Id="rId47" Type="http://schemas.openxmlformats.org/officeDocument/2006/relationships/hyperlink" Target="http://canlii.ca/t/gm9qq" TargetMode="Externa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footer" Target="footer11.xml"/><Relationship Id="rId68" Type="http://schemas.openxmlformats.org/officeDocument/2006/relationships/header" Target="header14.xml"/><Relationship Id="rId76" Type="http://schemas.openxmlformats.org/officeDocument/2006/relationships/header" Target="header18.xml"/><Relationship Id="rId7" Type="http://schemas.openxmlformats.org/officeDocument/2006/relationships/image" Target="media/image1.wmf"/><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www.canlii.org/en/mb/mbqb/doc/2015/2015mbqb197/2015mbqb197.html?autocompleteStr=2015%20MBQB%20197&amp;autocompletePos=1" TargetMode="External"/><Relationship Id="rId11" Type="http://schemas.openxmlformats.org/officeDocument/2006/relationships/header" Target="header2.xml"/><Relationship Id="rId24" Type="http://schemas.openxmlformats.org/officeDocument/2006/relationships/hyperlink" Target="https://www.canlii.org/en/ca/fca/doc/2017/2017fca187/2017fca187.html?autocompleteStr=2017%20FCA%20187&amp;autocompletePos=1" TargetMode="External"/><Relationship Id="rId32" Type="http://schemas.openxmlformats.org/officeDocument/2006/relationships/hyperlink" Target="https://www.canlii.org/en/mb/mbca/doc/2017/2017mbca69/2017mbca69.html?autocompleteStr=2017%20MBCA%2069&amp;autocompletePos=1" TargetMode="External"/><Relationship Id="rId37" Type="http://schemas.openxmlformats.org/officeDocument/2006/relationships/hyperlink" Target="http://canlii.ca/t/gk0p7" TargetMode="External"/><Relationship Id="rId40" Type="http://schemas.openxmlformats.org/officeDocument/2006/relationships/hyperlink" Target="http://canlii.ca/t/gk0p7" TargetMode="External"/><Relationship Id="rId45" Type="http://schemas.openxmlformats.org/officeDocument/2006/relationships/hyperlink" Target="http://canlii.ca/t/h4lx4" TargetMode="External"/><Relationship Id="rId53" Type="http://schemas.openxmlformats.org/officeDocument/2006/relationships/header" Target="header7.xm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7.xml"/><Relationship Id="rId79" Type="http://schemas.openxmlformats.org/officeDocument/2006/relationships/footer" Target="footer19.xml"/><Relationship Id="rId5" Type="http://schemas.openxmlformats.org/officeDocument/2006/relationships/footnotes" Target="footnotes.xml"/><Relationship Id="rId61"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s://www.canlii.org/en/on/onsc/doc/2017/2017onsc686/2017onsc686.html?autocompleteStr=2017%20ONSC%20686%20&amp;autocompletePos=1" TargetMode="External"/><Relationship Id="rId31" Type="http://schemas.openxmlformats.org/officeDocument/2006/relationships/hyperlink" Target="https://www.canlii.org/en/mb/mbqb/doc/2015/2015mbqb197/2015mbqb197.html?autocompleteStr=2015%20MBQB%20197&amp;autocompletePos=1" TargetMode="External"/><Relationship Id="rId44" Type="http://schemas.openxmlformats.org/officeDocument/2006/relationships/hyperlink" Target="http://canlii.ca/t/gm9qq" TargetMode="External"/><Relationship Id="rId52" Type="http://schemas.openxmlformats.org/officeDocument/2006/relationships/footer" Target="footer6.xml"/><Relationship Id="rId60" Type="http://schemas.openxmlformats.org/officeDocument/2006/relationships/footer" Target="footer10.xml"/><Relationship Id="rId65" Type="http://schemas.openxmlformats.org/officeDocument/2006/relationships/header" Target="header13.xml"/><Relationship Id="rId73" Type="http://schemas.openxmlformats.org/officeDocument/2006/relationships/footer" Target="footer16.xml"/><Relationship Id="rId78" Type="http://schemas.openxmlformats.org/officeDocument/2006/relationships/header" Target="header19.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anlii.org/en/ca/fca/doc/2017/2017fca187/2017fca187.html?autocompleteStr=2017%20FCA%20187&amp;autocompletePos=1" TargetMode="External"/><Relationship Id="rId27" Type="http://schemas.openxmlformats.org/officeDocument/2006/relationships/hyperlink" Target="https://www.canlii.org/fr/ca/cfpi/doc/2016/2016cf392/2016cf392.html" TargetMode="External"/><Relationship Id="rId30" Type="http://schemas.openxmlformats.org/officeDocument/2006/relationships/hyperlink" Target="https://www.canlii.org/en/mb/mbca/doc/2017/2017mbca69/2017mbca69.html?autocompleteStr=2017%20MBCA%2069&amp;autocompletePos=1" TargetMode="External"/><Relationship Id="rId35" Type="http://schemas.openxmlformats.org/officeDocument/2006/relationships/hyperlink" Target="https://www.canlii.org/fr/qc/qccs/doc/2015/2015qccs3583/2015qccs3583.pdf" TargetMode="External"/><Relationship Id="rId43" Type="http://schemas.openxmlformats.org/officeDocument/2006/relationships/hyperlink" Target="http://canlii.ca/t/gm9qp" TargetMode="External"/><Relationship Id="rId48" Type="http://schemas.openxmlformats.org/officeDocument/2006/relationships/hyperlink" Target="http://canlii.ca/t/h4lx4" TargetMode="External"/><Relationship Id="rId56" Type="http://schemas.openxmlformats.org/officeDocument/2006/relationships/header" Target="header9.xml"/><Relationship Id="rId64" Type="http://schemas.openxmlformats.org/officeDocument/2006/relationships/footer" Target="footer12.xml"/><Relationship Id="rId69" Type="http://schemas.openxmlformats.org/officeDocument/2006/relationships/header" Target="header15.xml"/><Relationship Id="rId77" Type="http://schemas.openxmlformats.org/officeDocument/2006/relationships/footer" Target="footer18.xml"/><Relationship Id="rId8" Type="http://schemas.openxmlformats.org/officeDocument/2006/relationships/hyperlink" Target="http://www.scc-csc.ca" TargetMode="External"/><Relationship Id="rId51" Type="http://schemas.openxmlformats.org/officeDocument/2006/relationships/footer" Target="footer5.xml"/><Relationship Id="rId72" Type="http://schemas.openxmlformats.org/officeDocument/2006/relationships/header" Target="header16.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anlii.org/en/on/onsc/doc/2017/2017onsc686/2017onsc686.html?autocompleteStr=2017%20ONSC%20686%20&amp;autocompletePos=1" TargetMode="External"/><Relationship Id="rId25" Type="http://schemas.openxmlformats.org/officeDocument/2006/relationships/hyperlink" Target="https://www.canlii.org/en/ca/fct/doc/2016/2016fc392/2016fc392.html?autocompleteStr=2016%20FC%20392&amp;autocompletePos=1" TargetMode="External"/><Relationship Id="rId33" Type="http://schemas.openxmlformats.org/officeDocument/2006/relationships/hyperlink" Target="https://www.canlii.org/fr/qc/qccs/doc/2015/2015qccs3583/2015qccs3583.pdf" TargetMode="External"/><Relationship Id="rId38" Type="http://schemas.openxmlformats.org/officeDocument/2006/relationships/hyperlink" Target="http://canlii.ca/t/gp414" TargetMode="External"/><Relationship Id="rId46" Type="http://schemas.openxmlformats.org/officeDocument/2006/relationships/hyperlink" Target="http://canlii.ca/t/gm9qp" TargetMode="External"/><Relationship Id="rId59" Type="http://schemas.openxmlformats.org/officeDocument/2006/relationships/header" Target="header10.xml"/><Relationship Id="rId67" Type="http://schemas.openxmlformats.org/officeDocument/2006/relationships/hyperlink" Target="http://www.scc-csc.ca/case-dossier/info/sum-som-eng.aspx?cas=37757" TargetMode="External"/><Relationship Id="rId20" Type="http://schemas.openxmlformats.org/officeDocument/2006/relationships/hyperlink" Target="https://www.canlii.org/en/on/onca/doc/2017/2017onca567/2017onca567.html?autocompleteStr=2017%20ONCA%20567&amp;autocompletePos=1" TargetMode="External"/><Relationship Id="rId41" Type="http://schemas.openxmlformats.org/officeDocument/2006/relationships/hyperlink" Target="http://canlii.ca/t/gp414" TargetMode="External"/><Relationship Id="rId54" Type="http://schemas.openxmlformats.org/officeDocument/2006/relationships/footer" Target="footer7.xml"/><Relationship Id="rId62" Type="http://schemas.openxmlformats.org/officeDocument/2006/relationships/header" Target="header12.xml"/><Relationship Id="rId70" Type="http://schemas.openxmlformats.org/officeDocument/2006/relationships/footer" Target="footer14.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www.canlii.org/fr/ca/cfpi/doc/2016/2016cf393/2016cf393.html" TargetMode="External"/><Relationship Id="rId28" Type="http://schemas.openxmlformats.org/officeDocument/2006/relationships/hyperlink" Target="https://www.canlii.org/en/ca/fca/doc/2017/2017fca188/2017fca188.html?autocompleteStr=2017%20FCA%20188&amp;autocompletePos=1" TargetMode="External"/><Relationship Id="rId36" Type="http://schemas.openxmlformats.org/officeDocument/2006/relationships/hyperlink" Target="https://www.canlii.org/fr/qc/qcca/doc/2017/2017qcca1460/2017qcca1460.pdf" TargetMode="External"/><Relationship Id="rId49" Type="http://schemas.openxmlformats.org/officeDocument/2006/relationships/header" Target="header5.xml"/><Relationship Id="rId5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33</Pages>
  <Words>11573</Words>
  <Characters>65968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2018-03-26T17:23:00Z</dcterms:created>
  <dcterms:modified xsi:type="dcterms:W3CDTF">2018-04-11T18:55:00Z</dcterms:modified>
</cp:coreProperties>
</file>