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23B2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23B2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23B2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23B2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23B2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23B2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23B2D"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3597A" w:rsidP="00F0068D">
      <w:pPr>
        <w:pBdr>
          <w:bottom w:val="single" w:sz="6" w:space="1" w:color="auto"/>
        </w:pBdr>
        <w:tabs>
          <w:tab w:val="center" w:pos="4680"/>
          <w:tab w:val="right" w:pos="9360"/>
        </w:tabs>
        <w:rPr>
          <w:lang w:val="fr-CA"/>
        </w:rPr>
      </w:pPr>
      <w:r>
        <w:rPr>
          <w:lang w:val="fr-CA"/>
        </w:rPr>
        <w:t>May 4</w:t>
      </w:r>
      <w:r w:rsidR="00440E24" w:rsidRPr="00675479">
        <w:rPr>
          <w:lang w:val="fr-CA"/>
        </w:rPr>
        <w:t>, 201</w:t>
      </w:r>
      <w:r w:rsidR="00DC0577">
        <w:rPr>
          <w:lang w:val="fr-CA"/>
        </w:rPr>
        <w:t>8</w:t>
      </w:r>
      <w:r w:rsidR="00227F09">
        <w:rPr>
          <w:lang w:val="fr-CA"/>
        </w:rPr>
        <w:tab/>
        <w:t>540 - 559</w:t>
      </w:r>
      <w:bookmarkStart w:id="0" w:name="_GoBack"/>
      <w:bookmarkEnd w:id="0"/>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4 mai</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B3597A" w:rsidRDefault="00440E24" w:rsidP="00440E24">
      <w:pPr>
        <w:pBdr>
          <w:bottom w:val="single" w:sz="6" w:space="1" w:color="auto"/>
        </w:pBdr>
        <w:tabs>
          <w:tab w:val="right" w:pos="9360"/>
        </w:tabs>
        <w:rPr>
          <w:sz w:val="18"/>
          <w:szCs w:val="18"/>
          <w:lang w:val="fr-CA"/>
        </w:rPr>
      </w:pPr>
      <w:r w:rsidRPr="00B3597A">
        <w:rPr>
          <w:sz w:val="18"/>
          <w:szCs w:val="18"/>
          <w:lang w:val="fr-CA"/>
        </w:rPr>
        <w:t xml:space="preserve">© </w:t>
      </w:r>
      <w:proofErr w:type="spellStart"/>
      <w:r w:rsidRPr="00B3597A">
        <w:rPr>
          <w:sz w:val="18"/>
          <w:szCs w:val="18"/>
          <w:lang w:val="fr-CA"/>
        </w:rPr>
        <w:t>Supreme</w:t>
      </w:r>
      <w:proofErr w:type="spellEnd"/>
      <w:r w:rsidRPr="00B3597A">
        <w:rPr>
          <w:sz w:val="18"/>
          <w:szCs w:val="18"/>
          <w:lang w:val="fr-CA"/>
        </w:rPr>
        <w:t xml:space="preserve"> Court of Canada (</w:t>
      </w:r>
      <w:r w:rsidR="0030050B" w:rsidRPr="00B3597A">
        <w:rPr>
          <w:sz w:val="18"/>
          <w:szCs w:val="18"/>
          <w:lang w:val="fr-CA"/>
        </w:rPr>
        <w:t>201</w:t>
      </w:r>
      <w:r w:rsidR="004E5524" w:rsidRPr="00B3597A">
        <w:rPr>
          <w:sz w:val="18"/>
          <w:szCs w:val="18"/>
          <w:lang w:val="fr-CA"/>
        </w:rPr>
        <w:t>8</w:t>
      </w:r>
      <w:r w:rsidRPr="00B3597A">
        <w:rPr>
          <w:sz w:val="18"/>
          <w:szCs w:val="18"/>
          <w:lang w:val="fr-CA"/>
        </w:rPr>
        <w:t>)</w:t>
      </w:r>
      <w:r w:rsidRPr="00B3597A">
        <w:rPr>
          <w:sz w:val="18"/>
          <w:szCs w:val="18"/>
          <w:lang w:val="fr-CA"/>
        </w:rPr>
        <w:tab/>
        <w:t>© Cour suprême du Canada (</w:t>
      </w:r>
      <w:r w:rsidR="0030050B" w:rsidRPr="00B3597A">
        <w:rPr>
          <w:sz w:val="18"/>
          <w:szCs w:val="18"/>
          <w:lang w:val="fr-CA"/>
        </w:rPr>
        <w:t>201</w:t>
      </w:r>
      <w:r w:rsidR="004E5524" w:rsidRPr="00B3597A">
        <w:rPr>
          <w:sz w:val="18"/>
          <w:szCs w:val="18"/>
          <w:lang w:val="fr-CA"/>
        </w:rPr>
        <w:t>8</w:t>
      </w:r>
      <w:r w:rsidRPr="00B3597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D17602">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921CEE">
              <w:rPr>
                <w:rFonts w:cs="Times New Roman"/>
                <w:sz w:val="20"/>
                <w:szCs w:val="20"/>
              </w:rPr>
              <w:t>540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1CEE" w:rsidP="0095096B">
            <w:pPr>
              <w:jc w:val="center"/>
              <w:rPr>
                <w:rFonts w:cs="Times New Roman"/>
                <w:sz w:val="20"/>
                <w:szCs w:val="20"/>
              </w:rPr>
            </w:pPr>
            <w:r>
              <w:rPr>
                <w:rFonts w:cs="Times New Roman"/>
                <w:sz w:val="20"/>
                <w:szCs w:val="20"/>
              </w:rPr>
              <w:t>541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1CEE" w:rsidP="0095096B">
            <w:pPr>
              <w:jc w:val="center"/>
              <w:rPr>
                <w:rFonts w:cs="Times New Roman"/>
                <w:sz w:val="20"/>
                <w:szCs w:val="20"/>
              </w:rPr>
            </w:pPr>
            <w:r>
              <w:rPr>
                <w:rFonts w:cs="Times New Roman"/>
                <w:sz w:val="20"/>
                <w:szCs w:val="20"/>
              </w:rPr>
              <w:t xml:space="preserve">542 </w:t>
            </w:r>
            <w:r w:rsidR="0095096B" w:rsidRPr="002E2327">
              <w:rPr>
                <w:rFonts w:cs="Times New Roman"/>
                <w:sz w:val="20"/>
                <w:szCs w:val="20"/>
              </w:rPr>
              <w:t>-</w:t>
            </w:r>
            <w:r>
              <w:rPr>
                <w:rFonts w:cs="Times New Roman"/>
                <w:sz w:val="20"/>
                <w:szCs w:val="20"/>
              </w:rPr>
              <w:t xml:space="preserve"> 545</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921CEE" w:rsidRPr="002E2327" w:rsidRDefault="00921CEE" w:rsidP="0095096B">
            <w:pPr>
              <w:jc w:val="center"/>
              <w:rPr>
                <w:rFonts w:cs="Times New Roman"/>
                <w:sz w:val="20"/>
                <w:szCs w:val="20"/>
              </w:rPr>
            </w:pPr>
            <w:r>
              <w:rPr>
                <w:rFonts w:cs="Times New Roman"/>
                <w:sz w:val="20"/>
                <w:szCs w:val="20"/>
              </w:rPr>
              <w:t>546</w:t>
            </w:r>
          </w:p>
          <w:p w:rsidR="0095096B" w:rsidRPr="002E2327" w:rsidRDefault="0095096B" w:rsidP="0095096B">
            <w:pPr>
              <w:jc w:val="center"/>
              <w:rPr>
                <w:rFonts w:cs="Times New Roman"/>
                <w:sz w:val="20"/>
                <w:szCs w:val="20"/>
              </w:rPr>
            </w:pPr>
          </w:p>
          <w:p w:rsidR="0095096B" w:rsidRPr="002E2327" w:rsidRDefault="00921CEE" w:rsidP="0095096B">
            <w:pPr>
              <w:jc w:val="center"/>
              <w:rPr>
                <w:rFonts w:cs="Times New Roman"/>
                <w:sz w:val="20"/>
                <w:szCs w:val="20"/>
              </w:rPr>
            </w:pPr>
            <w:r>
              <w:rPr>
                <w:rFonts w:cs="Times New Roman"/>
                <w:sz w:val="20"/>
                <w:szCs w:val="20"/>
              </w:rPr>
              <w:t>547</w:t>
            </w:r>
          </w:p>
          <w:p w:rsidR="0095096B" w:rsidRDefault="0095096B" w:rsidP="0095096B">
            <w:pPr>
              <w:jc w:val="center"/>
              <w:rPr>
                <w:rFonts w:cs="Times New Roman"/>
                <w:sz w:val="20"/>
                <w:szCs w:val="20"/>
              </w:rPr>
            </w:pPr>
          </w:p>
          <w:p w:rsidR="00921CEE" w:rsidRDefault="00921CEE" w:rsidP="0095096B">
            <w:pPr>
              <w:jc w:val="center"/>
              <w:rPr>
                <w:rFonts w:cs="Times New Roman"/>
                <w:sz w:val="20"/>
                <w:szCs w:val="20"/>
              </w:rPr>
            </w:pPr>
          </w:p>
          <w:p w:rsidR="0095096B" w:rsidRPr="002E2327" w:rsidRDefault="00921CEE" w:rsidP="0095096B">
            <w:pPr>
              <w:jc w:val="center"/>
              <w:rPr>
                <w:rFonts w:cs="Times New Roman"/>
                <w:sz w:val="20"/>
                <w:szCs w:val="20"/>
              </w:rPr>
            </w:pPr>
            <w:r>
              <w:rPr>
                <w:rFonts w:cs="Times New Roman"/>
                <w:sz w:val="20"/>
                <w:szCs w:val="20"/>
              </w:rPr>
              <w:t>548</w:t>
            </w:r>
          </w:p>
          <w:p w:rsidR="00921CEE" w:rsidRDefault="00921CEE" w:rsidP="00A246F4">
            <w:pPr>
              <w:jc w:val="center"/>
              <w:rPr>
                <w:rFonts w:cs="Times New Roman"/>
                <w:sz w:val="20"/>
                <w:szCs w:val="20"/>
              </w:rPr>
            </w:pPr>
          </w:p>
          <w:p w:rsidR="00A87207" w:rsidRPr="002E2327" w:rsidRDefault="00921CEE" w:rsidP="00A246F4">
            <w:pPr>
              <w:jc w:val="center"/>
              <w:rPr>
                <w:rFonts w:cs="Times New Roman"/>
                <w:sz w:val="20"/>
                <w:szCs w:val="20"/>
              </w:rPr>
            </w:pPr>
            <w:r>
              <w:rPr>
                <w:rFonts w:cs="Times New Roman"/>
                <w:sz w:val="20"/>
                <w:szCs w:val="20"/>
              </w:rPr>
              <w:t xml:space="preserve">549 </w:t>
            </w:r>
            <w:r w:rsidR="0095096B" w:rsidRPr="002E2327">
              <w:rPr>
                <w:rFonts w:cs="Times New Roman"/>
                <w:sz w:val="20"/>
                <w:szCs w:val="20"/>
              </w:rPr>
              <w:t>-</w:t>
            </w:r>
            <w:r w:rsidR="00227F09">
              <w:rPr>
                <w:rFonts w:cs="Times New Roman"/>
                <w:sz w:val="20"/>
                <w:szCs w:val="20"/>
              </w:rPr>
              <w:t xml:space="preserve"> 559</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A87207" w:rsidRPr="002E2327" w:rsidRDefault="00A87207" w:rsidP="00D1760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23B2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519A1" w:rsidRPr="00C21644" w:rsidTr="003B3977">
        <w:tc>
          <w:tcPr>
            <w:tcW w:w="4320" w:type="dxa"/>
            <w:shd w:val="clear" w:color="auto" w:fill="auto"/>
          </w:tcPr>
          <w:p w:rsidR="004519A1" w:rsidRPr="00A935AA" w:rsidRDefault="004519A1" w:rsidP="004519A1">
            <w:pPr>
              <w:rPr>
                <w:b/>
                <w:sz w:val="20"/>
                <w:szCs w:val="20"/>
              </w:rPr>
            </w:pPr>
            <w:r>
              <w:rPr>
                <w:b/>
                <w:sz w:val="20"/>
                <w:szCs w:val="20"/>
              </w:rPr>
              <w:t>Christopher Jonathan Dale Cornell</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David C. Tarnow</w:t>
            </w:r>
          </w:p>
          <w:p w:rsidR="004519A1" w:rsidRPr="004519A1" w:rsidRDefault="004519A1" w:rsidP="004519A1">
            <w:pPr>
              <w:tabs>
                <w:tab w:val="left" w:pos="-1440"/>
                <w:tab w:val="left" w:pos="-720"/>
              </w:tabs>
              <w:rPr>
                <w:sz w:val="20"/>
                <w:szCs w:val="20"/>
                <w:lang w:val="en-US"/>
              </w:rPr>
            </w:pPr>
            <w:r w:rsidRPr="00A935AA">
              <w:rPr>
                <w:sz w:val="20"/>
                <w:szCs w:val="20"/>
              </w:rPr>
              <w:tab/>
            </w:r>
            <w:r>
              <w:rPr>
                <w:sz w:val="20"/>
                <w:szCs w:val="20"/>
                <w:lang w:val="en-US"/>
              </w:rPr>
              <w:t>Tarnow and Company</w:t>
            </w:r>
          </w:p>
          <w:p w:rsidR="004519A1" w:rsidRPr="004519A1" w:rsidRDefault="004519A1" w:rsidP="004519A1">
            <w:pPr>
              <w:tabs>
                <w:tab w:val="left" w:pos="-1440"/>
                <w:tab w:val="left" w:pos="-720"/>
              </w:tabs>
              <w:rPr>
                <w:sz w:val="20"/>
                <w:szCs w:val="20"/>
                <w:lang w:val="en-US"/>
              </w:rPr>
            </w:pPr>
          </w:p>
          <w:p w:rsidR="004519A1" w:rsidRPr="004519A1" w:rsidRDefault="004519A1" w:rsidP="004519A1">
            <w:pPr>
              <w:tabs>
                <w:tab w:val="left" w:pos="-1440"/>
                <w:tab w:val="left" w:pos="-720"/>
              </w:tabs>
              <w:rPr>
                <w:sz w:val="20"/>
                <w:szCs w:val="20"/>
                <w:lang w:val="en-US"/>
              </w:rPr>
            </w:pPr>
            <w:r>
              <w:rPr>
                <w:sz w:val="20"/>
                <w:szCs w:val="20"/>
                <w:lang w:val="en-US"/>
              </w:rPr>
              <w:tab/>
              <w:t>v. (38003</w:t>
            </w:r>
            <w:r w:rsidRPr="004519A1">
              <w:rPr>
                <w:sz w:val="20"/>
                <w:szCs w:val="20"/>
                <w:lang w:val="en-US"/>
              </w:rPr>
              <w:t>)</w:t>
            </w:r>
          </w:p>
          <w:p w:rsidR="004519A1" w:rsidRPr="004519A1" w:rsidRDefault="004519A1" w:rsidP="004519A1">
            <w:pPr>
              <w:tabs>
                <w:tab w:val="left" w:pos="-1440"/>
                <w:tab w:val="left" w:pos="-720"/>
              </w:tabs>
              <w:rPr>
                <w:sz w:val="20"/>
                <w:szCs w:val="20"/>
                <w:lang w:val="en-US"/>
              </w:rPr>
            </w:pPr>
          </w:p>
          <w:p w:rsidR="004519A1" w:rsidRPr="00A935AA" w:rsidRDefault="004519A1" w:rsidP="004519A1">
            <w:pPr>
              <w:tabs>
                <w:tab w:val="left" w:pos="-1440"/>
                <w:tab w:val="left" w:pos="-720"/>
              </w:tabs>
              <w:rPr>
                <w:b/>
                <w:sz w:val="20"/>
                <w:szCs w:val="20"/>
              </w:rPr>
            </w:pPr>
            <w:r>
              <w:rPr>
                <w:b/>
                <w:sz w:val="20"/>
                <w:szCs w:val="20"/>
                <w:lang w:val="en-US"/>
              </w:rPr>
              <w:t>Her Majesty the Queen</w:t>
            </w:r>
            <w:r w:rsidRPr="004519A1">
              <w:rPr>
                <w:sz w:val="20"/>
                <w:szCs w:val="20"/>
                <w:lang w:val="en-US"/>
              </w:rPr>
              <w:t xml:space="preserve"> </w:t>
            </w:r>
            <w:r w:rsidRPr="00A935AA">
              <w:rPr>
                <w:b/>
                <w:sz w:val="20"/>
                <w:szCs w:val="20"/>
              </w:rPr>
              <w:t>(</w:t>
            </w:r>
            <w:r>
              <w:rPr>
                <w:b/>
                <w:sz w:val="20"/>
                <w:szCs w:val="20"/>
              </w:rPr>
              <w:t>Y.T</w:t>
            </w:r>
            <w:r w:rsidRPr="00A935AA">
              <w:rPr>
                <w:b/>
                <w:sz w:val="20"/>
                <w:szCs w:val="20"/>
              </w:rPr>
              <w:t>.)</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John W. Phelps</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Public Prosecution Service of Canada</w:t>
            </w:r>
          </w:p>
          <w:p w:rsidR="004519A1" w:rsidRPr="00A935AA" w:rsidRDefault="004519A1" w:rsidP="004519A1">
            <w:pPr>
              <w:tabs>
                <w:tab w:val="left" w:pos="-1440"/>
                <w:tab w:val="left" w:pos="-720"/>
              </w:tabs>
              <w:rPr>
                <w:sz w:val="20"/>
                <w:szCs w:val="20"/>
              </w:rPr>
            </w:pPr>
          </w:p>
          <w:p w:rsidR="004519A1" w:rsidRPr="00A935AA" w:rsidRDefault="004519A1" w:rsidP="004519A1">
            <w:pPr>
              <w:rPr>
                <w:sz w:val="20"/>
                <w:szCs w:val="20"/>
              </w:rPr>
            </w:pPr>
            <w:r w:rsidRPr="00A935AA">
              <w:rPr>
                <w:sz w:val="20"/>
                <w:szCs w:val="20"/>
              </w:rPr>
              <w:t xml:space="preserve">FILING DATE: </w:t>
            </w:r>
            <w:r>
              <w:rPr>
                <w:sz w:val="20"/>
                <w:szCs w:val="20"/>
              </w:rPr>
              <w:t>12</w:t>
            </w:r>
            <w:r w:rsidRPr="00A935AA">
              <w:rPr>
                <w:sz w:val="20"/>
                <w:szCs w:val="20"/>
              </w:rPr>
              <w:t>.</w:t>
            </w:r>
            <w:r>
              <w:rPr>
                <w:sz w:val="20"/>
                <w:szCs w:val="20"/>
              </w:rPr>
              <w:t>03</w:t>
            </w:r>
            <w:r w:rsidRPr="00A935AA">
              <w:rPr>
                <w:sz w:val="20"/>
                <w:szCs w:val="20"/>
              </w:rPr>
              <w:t>.201</w:t>
            </w:r>
            <w:r>
              <w:rPr>
                <w:sz w:val="20"/>
                <w:szCs w:val="20"/>
              </w:rPr>
              <w:t>8</w:t>
            </w:r>
          </w:p>
          <w:p w:rsidR="004519A1" w:rsidRPr="00A935AA" w:rsidRDefault="00227F09" w:rsidP="004519A1">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p w:rsidR="004519A1" w:rsidRPr="00A935AA" w:rsidRDefault="004519A1" w:rsidP="004519A1">
            <w:pPr>
              <w:jc w:val="center"/>
              <w:rPr>
                <w:sz w:val="20"/>
                <w:szCs w:val="20"/>
              </w:rPr>
            </w:pPr>
          </w:p>
        </w:tc>
        <w:tc>
          <w:tcPr>
            <w:tcW w:w="4320" w:type="dxa"/>
            <w:shd w:val="clear" w:color="auto" w:fill="auto"/>
          </w:tcPr>
          <w:p w:rsidR="004519A1" w:rsidRPr="00A935AA" w:rsidRDefault="004519A1" w:rsidP="004519A1">
            <w:pPr>
              <w:rPr>
                <w:b/>
                <w:sz w:val="20"/>
                <w:szCs w:val="20"/>
              </w:rPr>
            </w:pPr>
            <w:r>
              <w:rPr>
                <w:b/>
                <w:sz w:val="20"/>
                <w:szCs w:val="20"/>
              </w:rPr>
              <w:t>Howard Jeffrey Miller</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Simon Bieber</w:t>
            </w:r>
          </w:p>
          <w:p w:rsidR="004519A1" w:rsidRPr="004519A1" w:rsidRDefault="004519A1" w:rsidP="004519A1">
            <w:pPr>
              <w:tabs>
                <w:tab w:val="left" w:pos="-1440"/>
                <w:tab w:val="left" w:pos="-720"/>
              </w:tabs>
              <w:rPr>
                <w:sz w:val="20"/>
                <w:szCs w:val="20"/>
                <w:lang w:val="en-US"/>
              </w:rPr>
            </w:pPr>
            <w:r w:rsidRPr="00A935AA">
              <w:rPr>
                <w:sz w:val="20"/>
                <w:szCs w:val="20"/>
              </w:rPr>
              <w:tab/>
            </w:r>
            <w:r>
              <w:rPr>
                <w:sz w:val="20"/>
                <w:szCs w:val="20"/>
                <w:lang w:val="en-US"/>
              </w:rPr>
              <w:t xml:space="preserve">Adair </w:t>
            </w:r>
            <w:proofErr w:type="spellStart"/>
            <w:r>
              <w:rPr>
                <w:sz w:val="20"/>
                <w:szCs w:val="20"/>
                <w:lang w:val="en-US"/>
              </w:rPr>
              <w:t>Goldblatt</w:t>
            </w:r>
            <w:proofErr w:type="spellEnd"/>
            <w:r>
              <w:rPr>
                <w:sz w:val="20"/>
                <w:szCs w:val="20"/>
                <w:lang w:val="en-US"/>
              </w:rPr>
              <w:t xml:space="preserve"> Bieber LLP</w:t>
            </w:r>
          </w:p>
          <w:p w:rsidR="004519A1" w:rsidRPr="004519A1" w:rsidRDefault="004519A1" w:rsidP="004519A1">
            <w:pPr>
              <w:tabs>
                <w:tab w:val="left" w:pos="-1440"/>
                <w:tab w:val="left" w:pos="-720"/>
              </w:tabs>
              <w:rPr>
                <w:sz w:val="20"/>
                <w:szCs w:val="20"/>
                <w:lang w:val="en-US"/>
              </w:rPr>
            </w:pPr>
          </w:p>
          <w:p w:rsidR="004519A1" w:rsidRPr="004519A1" w:rsidRDefault="004519A1" w:rsidP="004519A1">
            <w:pPr>
              <w:tabs>
                <w:tab w:val="left" w:pos="-1440"/>
                <w:tab w:val="left" w:pos="-720"/>
              </w:tabs>
              <w:rPr>
                <w:sz w:val="20"/>
                <w:szCs w:val="20"/>
                <w:lang w:val="en-US"/>
              </w:rPr>
            </w:pPr>
            <w:r>
              <w:rPr>
                <w:sz w:val="20"/>
                <w:szCs w:val="20"/>
                <w:lang w:val="en-US"/>
              </w:rPr>
              <w:tab/>
              <w:t>v. (38022</w:t>
            </w:r>
            <w:r w:rsidRPr="004519A1">
              <w:rPr>
                <w:sz w:val="20"/>
                <w:szCs w:val="20"/>
                <w:lang w:val="en-US"/>
              </w:rPr>
              <w:t>)</w:t>
            </w:r>
          </w:p>
          <w:p w:rsidR="004519A1" w:rsidRPr="004519A1" w:rsidRDefault="004519A1" w:rsidP="004519A1">
            <w:pPr>
              <w:tabs>
                <w:tab w:val="left" w:pos="-1440"/>
                <w:tab w:val="left" w:pos="-720"/>
              </w:tabs>
              <w:rPr>
                <w:sz w:val="20"/>
                <w:szCs w:val="20"/>
                <w:lang w:val="en-US"/>
              </w:rPr>
            </w:pPr>
          </w:p>
          <w:p w:rsidR="004519A1" w:rsidRPr="00A935AA" w:rsidRDefault="004519A1" w:rsidP="004519A1">
            <w:pPr>
              <w:tabs>
                <w:tab w:val="left" w:pos="-1440"/>
                <w:tab w:val="left" w:pos="-720"/>
              </w:tabs>
              <w:rPr>
                <w:b/>
                <w:sz w:val="20"/>
                <w:szCs w:val="20"/>
              </w:rPr>
            </w:pPr>
            <w:r>
              <w:rPr>
                <w:b/>
                <w:sz w:val="20"/>
                <w:szCs w:val="20"/>
                <w:lang w:val="en-US"/>
              </w:rPr>
              <w:t xml:space="preserve">Ontario Securities Commission </w:t>
            </w:r>
            <w:r w:rsidRPr="00A935AA">
              <w:rPr>
                <w:b/>
                <w:sz w:val="20"/>
                <w:szCs w:val="20"/>
              </w:rPr>
              <w:t>(</w:t>
            </w:r>
            <w:r>
              <w:rPr>
                <w:b/>
                <w:sz w:val="20"/>
                <w:szCs w:val="20"/>
              </w:rPr>
              <w:t>Ont</w:t>
            </w:r>
            <w:r w:rsidRPr="00A935AA">
              <w:rPr>
                <w:b/>
                <w:sz w:val="20"/>
                <w:szCs w:val="20"/>
              </w:rPr>
              <w:t>.)</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Jennifer M. Lynch</w:t>
            </w:r>
          </w:p>
          <w:p w:rsidR="004519A1" w:rsidRPr="00A935AA" w:rsidRDefault="004519A1" w:rsidP="004519A1">
            <w:pPr>
              <w:tabs>
                <w:tab w:val="left" w:pos="-1440"/>
                <w:tab w:val="left" w:pos="-720"/>
              </w:tabs>
              <w:rPr>
                <w:sz w:val="20"/>
                <w:szCs w:val="20"/>
              </w:rPr>
            </w:pPr>
            <w:r w:rsidRPr="00A935AA">
              <w:rPr>
                <w:sz w:val="20"/>
                <w:szCs w:val="20"/>
              </w:rPr>
              <w:tab/>
            </w:r>
            <w:r>
              <w:rPr>
                <w:sz w:val="20"/>
                <w:szCs w:val="20"/>
              </w:rPr>
              <w:t>Ontario Securities Commission</w:t>
            </w:r>
          </w:p>
          <w:p w:rsidR="004519A1" w:rsidRPr="00A935AA" w:rsidRDefault="004519A1" w:rsidP="004519A1">
            <w:pPr>
              <w:tabs>
                <w:tab w:val="left" w:pos="-1440"/>
                <w:tab w:val="left" w:pos="-720"/>
              </w:tabs>
              <w:rPr>
                <w:sz w:val="20"/>
                <w:szCs w:val="20"/>
              </w:rPr>
            </w:pPr>
          </w:p>
          <w:p w:rsidR="004519A1" w:rsidRPr="00A935AA" w:rsidRDefault="004519A1" w:rsidP="004519A1">
            <w:pPr>
              <w:rPr>
                <w:sz w:val="20"/>
                <w:szCs w:val="20"/>
              </w:rPr>
            </w:pPr>
            <w:r>
              <w:rPr>
                <w:sz w:val="20"/>
                <w:szCs w:val="20"/>
              </w:rPr>
              <w:t>FILING DATE: 22</w:t>
            </w:r>
            <w:r w:rsidRPr="00A935AA">
              <w:rPr>
                <w:sz w:val="20"/>
                <w:szCs w:val="20"/>
              </w:rPr>
              <w:t>.</w:t>
            </w:r>
            <w:r>
              <w:rPr>
                <w:sz w:val="20"/>
                <w:szCs w:val="20"/>
              </w:rPr>
              <w:t>03</w:t>
            </w:r>
            <w:r w:rsidRPr="00A935AA">
              <w:rPr>
                <w:sz w:val="20"/>
                <w:szCs w:val="20"/>
              </w:rPr>
              <w:t>.201</w:t>
            </w:r>
            <w:r>
              <w:rPr>
                <w:sz w:val="20"/>
                <w:szCs w:val="20"/>
              </w:rPr>
              <w:t>8</w:t>
            </w:r>
          </w:p>
          <w:p w:rsidR="004519A1" w:rsidRPr="00A935AA" w:rsidRDefault="00227F09" w:rsidP="004519A1">
            <w:pPr>
              <w:rPr>
                <w:sz w:val="20"/>
                <w:szCs w:val="20"/>
              </w:rPr>
            </w:pPr>
            <w:r>
              <w:rPr>
                <w:sz w:val="20"/>
                <w:szCs w:val="20"/>
                <w:lang w:val="fr-CA"/>
              </w:rPr>
              <w:pict w14:anchorId="244724BB">
                <v:rect id="_x0000_i1026" style="width:108pt;height:1pt" o:hrpct="0" o:hralign="center" o:hrstd="t" o:hrnoshade="t" o:hr="t" fillcolor="black [3213]" stroked="f"/>
              </w:pict>
            </w:r>
          </w:p>
        </w:tc>
      </w:tr>
      <w:tr w:rsidR="003743CC" w:rsidRPr="00A935AA" w:rsidTr="003B3977">
        <w:tc>
          <w:tcPr>
            <w:tcW w:w="4320" w:type="dxa"/>
            <w:shd w:val="clear" w:color="auto" w:fill="auto"/>
          </w:tcPr>
          <w:p w:rsidR="003743CC" w:rsidRPr="00A935AA" w:rsidRDefault="003743CC" w:rsidP="003743CC">
            <w:pPr>
              <w:rPr>
                <w:b/>
                <w:sz w:val="20"/>
                <w:szCs w:val="20"/>
              </w:rPr>
            </w:pPr>
            <w:r>
              <w:rPr>
                <w:b/>
                <w:sz w:val="20"/>
                <w:szCs w:val="20"/>
              </w:rPr>
              <w:t>Man Kin Cheng (a.k.a. Francis Cheng)</w:t>
            </w:r>
          </w:p>
          <w:p w:rsidR="003743CC" w:rsidRPr="00A935AA" w:rsidRDefault="003743CC" w:rsidP="003743CC">
            <w:pPr>
              <w:tabs>
                <w:tab w:val="left" w:pos="-1440"/>
                <w:tab w:val="left" w:pos="-720"/>
              </w:tabs>
              <w:rPr>
                <w:sz w:val="20"/>
                <w:szCs w:val="20"/>
              </w:rPr>
            </w:pPr>
            <w:r w:rsidRPr="00A935AA">
              <w:rPr>
                <w:sz w:val="20"/>
                <w:szCs w:val="20"/>
              </w:rPr>
              <w:tab/>
            </w:r>
            <w:r>
              <w:rPr>
                <w:sz w:val="20"/>
                <w:szCs w:val="20"/>
              </w:rPr>
              <w:t>Janice Wright</w:t>
            </w:r>
          </w:p>
          <w:p w:rsidR="003743CC" w:rsidRPr="004519A1" w:rsidRDefault="003743CC" w:rsidP="003743CC">
            <w:pPr>
              <w:tabs>
                <w:tab w:val="left" w:pos="-1440"/>
                <w:tab w:val="left" w:pos="-720"/>
              </w:tabs>
              <w:rPr>
                <w:sz w:val="20"/>
                <w:szCs w:val="20"/>
                <w:lang w:val="en-US"/>
              </w:rPr>
            </w:pPr>
            <w:r w:rsidRPr="00A935AA">
              <w:rPr>
                <w:sz w:val="20"/>
                <w:szCs w:val="20"/>
              </w:rPr>
              <w:tab/>
            </w:r>
            <w:r>
              <w:rPr>
                <w:sz w:val="20"/>
                <w:szCs w:val="20"/>
                <w:lang w:val="en-US"/>
              </w:rPr>
              <w:t xml:space="preserve">Wright </w:t>
            </w:r>
            <w:proofErr w:type="spellStart"/>
            <w:r>
              <w:rPr>
                <w:sz w:val="20"/>
                <w:szCs w:val="20"/>
                <w:lang w:val="en-US"/>
              </w:rPr>
              <w:t>Temelini</w:t>
            </w:r>
            <w:proofErr w:type="spellEnd"/>
            <w:r>
              <w:rPr>
                <w:sz w:val="20"/>
                <w:szCs w:val="20"/>
                <w:lang w:val="en-US"/>
              </w:rPr>
              <w:t xml:space="preserve"> LLP</w:t>
            </w:r>
          </w:p>
          <w:p w:rsidR="003743CC" w:rsidRPr="004519A1" w:rsidRDefault="003743CC" w:rsidP="003743CC">
            <w:pPr>
              <w:tabs>
                <w:tab w:val="left" w:pos="-1440"/>
                <w:tab w:val="left" w:pos="-720"/>
              </w:tabs>
              <w:rPr>
                <w:sz w:val="20"/>
                <w:szCs w:val="20"/>
                <w:lang w:val="en-US"/>
              </w:rPr>
            </w:pPr>
          </w:p>
          <w:p w:rsidR="003743CC" w:rsidRPr="004519A1" w:rsidRDefault="003743CC" w:rsidP="003743CC">
            <w:pPr>
              <w:tabs>
                <w:tab w:val="left" w:pos="-1440"/>
                <w:tab w:val="left" w:pos="-720"/>
              </w:tabs>
              <w:rPr>
                <w:sz w:val="20"/>
                <w:szCs w:val="20"/>
                <w:lang w:val="en-US"/>
              </w:rPr>
            </w:pPr>
            <w:r>
              <w:rPr>
                <w:sz w:val="20"/>
                <w:szCs w:val="20"/>
                <w:lang w:val="en-US"/>
              </w:rPr>
              <w:tab/>
              <w:t>v. (38023</w:t>
            </w:r>
            <w:r w:rsidRPr="004519A1">
              <w:rPr>
                <w:sz w:val="20"/>
                <w:szCs w:val="20"/>
                <w:lang w:val="en-US"/>
              </w:rPr>
              <w:t>)</w:t>
            </w:r>
          </w:p>
          <w:p w:rsidR="003743CC" w:rsidRPr="004519A1" w:rsidRDefault="003743CC" w:rsidP="003743CC">
            <w:pPr>
              <w:tabs>
                <w:tab w:val="left" w:pos="-1440"/>
                <w:tab w:val="left" w:pos="-720"/>
              </w:tabs>
              <w:rPr>
                <w:sz w:val="20"/>
                <w:szCs w:val="20"/>
                <w:lang w:val="en-US"/>
              </w:rPr>
            </w:pPr>
          </w:p>
          <w:p w:rsidR="003743CC" w:rsidRPr="00A935AA" w:rsidRDefault="00661AD5" w:rsidP="003743CC">
            <w:pPr>
              <w:tabs>
                <w:tab w:val="left" w:pos="-1440"/>
                <w:tab w:val="left" w:pos="-720"/>
              </w:tabs>
              <w:rPr>
                <w:b/>
                <w:sz w:val="20"/>
                <w:szCs w:val="20"/>
              </w:rPr>
            </w:pPr>
            <w:r>
              <w:rPr>
                <w:b/>
                <w:sz w:val="20"/>
                <w:szCs w:val="20"/>
                <w:lang w:val="en-US"/>
              </w:rPr>
              <w:t>Ontario Securities Commission</w:t>
            </w:r>
            <w:r w:rsidR="003743CC" w:rsidRPr="004519A1">
              <w:rPr>
                <w:sz w:val="20"/>
                <w:szCs w:val="20"/>
                <w:lang w:val="en-US"/>
              </w:rPr>
              <w:t xml:space="preserve"> </w:t>
            </w:r>
            <w:r w:rsidR="003743CC" w:rsidRPr="00A935AA">
              <w:rPr>
                <w:b/>
                <w:sz w:val="20"/>
                <w:szCs w:val="20"/>
              </w:rPr>
              <w:t>(</w:t>
            </w:r>
            <w:r w:rsidR="003743CC">
              <w:rPr>
                <w:b/>
                <w:sz w:val="20"/>
                <w:szCs w:val="20"/>
              </w:rPr>
              <w:t>Ont</w:t>
            </w:r>
            <w:r w:rsidR="003743CC" w:rsidRPr="00A935AA">
              <w:rPr>
                <w:b/>
                <w:sz w:val="20"/>
                <w:szCs w:val="20"/>
              </w:rPr>
              <w:t>.)</w:t>
            </w:r>
          </w:p>
          <w:p w:rsidR="003743CC" w:rsidRPr="00A935AA" w:rsidRDefault="003743CC" w:rsidP="003743CC">
            <w:pPr>
              <w:tabs>
                <w:tab w:val="left" w:pos="-1440"/>
                <w:tab w:val="left" w:pos="-720"/>
              </w:tabs>
              <w:rPr>
                <w:sz w:val="20"/>
                <w:szCs w:val="20"/>
              </w:rPr>
            </w:pPr>
            <w:r w:rsidRPr="00A935AA">
              <w:rPr>
                <w:sz w:val="20"/>
                <w:szCs w:val="20"/>
              </w:rPr>
              <w:tab/>
            </w:r>
            <w:r w:rsidR="00661AD5">
              <w:rPr>
                <w:sz w:val="20"/>
                <w:szCs w:val="20"/>
              </w:rPr>
              <w:t>Jennifer M. Lynch</w:t>
            </w:r>
          </w:p>
          <w:p w:rsidR="003743CC" w:rsidRPr="00A935AA" w:rsidRDefault="003743CC" w:rsidP="003743CC">
            <w:pPr>
              <w:tabs>
                <w:tab w:val="left" w:pos="-1440"/>
                <w:tab w:val="left" w:pos="-720"/>
              </w:tabs>
              <w:rPr>
                <w:sz w:val="20"/>
                <w:szCs w:val="20"/>
              </w:rPr>
            </w:pPr>
            <w:r w:rsidRPr="00A935AA">
              <w:rPr>
                <w:sz w:val="20"/>
                <w:szCs w:val="20"/>
              </w:rPr>
              <w:tab/>
            </w:r>
            <w:r w:rsidR="00661AD5">
              <w:rPr>
                <w:sz w:val="20"/>
                <w:szCs w:val="20"/>
              </w:rPr>
              <w:t>Ontario Securities Commission</w:t>
            </w:r>
          </w:p>
          <w:p w:rsidR="003743CC" w:rsidRPr="00A935AA" w:rsidRDefault="003743CC" w:rsidP="003743CC">
            <w:pPr>
              <w:tabs>
                <w:tab w:val="left" w:pos="-1440"/>
                <w:tab w:val="left" w:pos="-720"/>
              </w:tabs>
              <w:rPr>
                <w:sz w:val="20"/>
                <w:szCs w:val="20"/>
              </w:rPr>
            </w:pPr>
          </w:p>
          <w:p w:rsidR="003743CC" w:rsidRPr="00A935AA" w:rsidRDefault="003743CC" w:rsidP="003743CC">
            <w:pPr>
              <w:rPr>
                <w:sz w:val="20"/>
                <w:szCs w:val="20"/>
              </w:rPr>
            </w:pPr>
            <w:r w:rsidRPr="00A935AA">
              <w:rPr>
                <w:sz w:val="20"/>
                <w:szCs w:val="20"/>
              </w:rPr>
              <w:t xml:space="preserve">FILING DATE: </w:t>
            </w:r>
            <w:r>
              <w:rPr>
                <w:sz w:val="20"/>
                <w:szCs w:val="20"/>
              </w:rPr>
              <w:t>23</w:t>
            </w:r>
            <w:r w:rsidRPr="00A935AA">
              <w:rPr>
                <w:sz w:val="20"/>
                <w:szCs w:val="20"/>
              </w:rPr>
              <w:t>.</w:t>
            </w:r>
            <w:r>
              <w:rPr>
                <w:sz w:val="20"/>
                <w:szCs w:val="20"/>
              </w:rPr>
              <w:t>03</w:t>
            </w:r>
            <w:r w:rsidRPr="00A935AA">
              <w:rPr>
                <w:sz w:val="20"/>
                <w:szCs w:val="20"/>
              </w:rPr>
              <w:t>.201</w:t>
            </w:r>
            <w:r>
              <w:rPr>
                <w:sz w:val="20"/>
                <w:szCs w:val="20"/>
              </w:rPr>
              <w:t>8</w:t>
            </w:r>
          </w:p>
          <w:p w:rsidR="003743CC" w:rsidRPr="00A935AA" w:rsidRDefault="00227F09" w:rsidP="003743CC">
            <w:pPr>
              <w:rPr>
                <w:sz w:val="20"/>
                <w:szCs w:val="20"/>
              </w:rPr>
            </w:pPr>
            <w:r>
              <w:rPr>
                <w:sz w:val="20"/>
                <w:szCs w:val="20"/>
                <w:lang w:val="fr-CA"/>
              </w:rPr>
              <w:pict w14:anchorId="3F613F37">
                <v:rect id="_x0000_i1027" style="width:108pt;height:1pt" o:hrpct="0" o:hralign="center" o:hrstd="t" o:hrnoshade="t" o:hr="t" fillcolor="black [3213]" stroked="f"/>
              </w:pict>
            </w:r>
          </w:p>
        </w:tc>
        <w:tc>
          <w:tcPr>
            <w:tcW w:w="1181" w:type="dxa"/>
            <w:shd w:val="clear" w:color="auto" w:fill="auto"/>
          </w:tcPr>
          <w:p w:rsidR="003743CC" w:rsidRPr="00A935AA" w:rsidRDefault="003743CC" w:rsidP="003743CC">
            <w:pPr>
              <w:jc w:val="center"/>
              <w:rPr>
                <w:sz w:val="20"/>
                <w:szCs w:val="20"/>
              </w:rPr>
            </w:pPr>
          </w:p>
        </w:tc>
        <w:tc>
          <w:tcPr>
            <w:tcW w:w="4320" w:type="dxa"/>
            <w:shd w:val="clear" w:color="auto" w:fill="auto"/>
          </w:tcPr>
          <w:p w:rsidR="003743CC" w:rsidRPr="00A935AA" w:rsidRDefault="003743CC" w:rsidP="003743CC">
            <w:pPr>
              <w:rPr>
                <w:b/>
                <w:sz w:val="20"/>
                <w:szCs w:val="20"/>
              </w:rPr>
            </w:pPr>
            <w:r>
              <w:rPr>
                <w:b/>
                <w:sz w:val="20"/>
                <w:szCs w:val="20"/>
              </w:rPr>
              <w:t>General Manager under the Liquor Control and Licensing Act</w:t>
            </w:r>
          </w:p>
          <w:p w:rsidR="003743CC" w:rsidRPr="00A935AA" w:rsidRDefault="003743CC" w:rsidP="003743CC">
            <w:pPr>
              <w:tabs>
                <w:tab w:val="left" w:pos="-1440"/>
                <w:tab w:val="left" w:pos="-720"/>
              </w:tabs>
              <w:rPr>
                <w:sz w:val="20"/>
                <w:szCs w:val="20"/>
              </w:rPr>
            </w:pPr>
            <w:r w:rsidRPr="00A935AA">
              <w:rPr>
                <w:sz w:val="20"/>
                <w:szCs w:val="20"/>
              </w:rPr>
              <w:tab/>
            </w:r>
            <w:proofErr w:type="spellStart"/>
            <w:r>
              <w:rPr>
                <w:sz w:val="20"/>
                <w:szCs w:val="20"/>
              </w:rPr>
              <w:t>Tyna</w:t>
            </w:r>
            <w:proofErr w:type="spellEnd"/>
            <w:r>
              <w:rPr>
                <w:sz w:val="20"/>
                <w:szCs w:val="20"/>
              </w:rPr>
              <w:t xml:space="preserve"> Mason</w:t>
            </w:r>
          </w:p>
          <w:p w:rsidR="003743CC" w:rsidRPr="004519A1" w:rsidRDefault="003743CC" w:rsidP="003743CC">
            <w:pPr>
              <w:tabs>
                <w:tab w:val="left" w:pos="-1440"/>
                <w:tab w:val="left" w:pos="-720"/>
              </w:tabs>
              <w:rPr>
                <w:sz w:val="20"/>
                <w:szCs w:val="20"/>
                <w:lang w:val="en-US"/>
              </w:rPr>
            </w:pPr>
            <w:r w:rsidRPr="00A935AA">
              <w:rPr>
                <w:sz w:val="20"/>
                <w:szCs w:val="20"/>
              </w:rPr>
              <w:tab/>
            </w:r>
            <w:r>
              <w:rPr>
                <w:sz w:val="20"/>
                <w:szCs w:val="20"/>
                <w:lang w:val="en-US"/>
              </w:rPr>
              <w:t>A.G. of British Columbia</w:t>
            </w:r>
          </w:p>
          <w:p w:rsidR="003743CC" w:rsidRPr="004519A1" w:rsidRDefault="003743CC" w:rsidP="003743CC">
            <w:pPr>
              <w:tabs>
                <w:tab w:val="left" w:pos="-1440"/>
                <w:tab w:val="left" w:pos="-720"/>
              </w:tabs>
              <w:rPr>
                <w:sz w:val="20"/>
                <w:szCs w:val="20"/>
                <w:lang w:val="en-US"/>
              </w:rPr>
            </w:pPr>
          </w:p>
          <w:p w:rsidR="003743CC" w:rsidRPr="004519A1" w:rsidRDefault="003743CC" w:rsidP="003743CC">
            <w:pPr>
              <w:tabs>
                <w:tab w:val="left" w:pos="-1440"/>
                <w:tab w:val="left" w:pos="-720"/>
              </w:tabs>
              <w:rPr>
                <w:sz w:val="20"/>
                <w:szCs w:val="20"/>
                <w:lang w:val="en-US"/>
              </w:rPr>
            </w:pPr>
            <w:r>
              <w:rPr>
                <w:sz w:val="20"/>
                <w:szCs w:val="20"/>
                <w:lang w:val="en-US"/>
              </w:rPr>
              <w:tab/>
              <w:t>v. (37976</w:t>
            </w:r>
            <w:r w:rsidRPr="004519A1">
              <w:rPr>
                <w:sz w:val="20"/>
                <w:szCs w:val="20"/>
                <w:lang w:val="en-US"/>
              </w:rPr>
              <w:t>)</w:t>
            </w:r>
          </w:p>
          <w:p w:rsidR="003743CC" w:rsidRPr="004519A1" w:rsidRDefault="003743CC" w:rsidP="003743CC">
            <w:pPr>
              <w:tabs>
                <w:tab w:val="left" w:pos="-1440"/>
                <w:tab w:val="left" w:pos="-720"/>
              </w:tabs>
              <w:rPr>
                <w:sz w:val="20"/>
                <w:szCs w:val="20"/>
                <w:lang w:val="en-US"/>
              </w:rPr>
            </w:pPr>
          </w:p>
          <w:p w:rsidR="003743CC" w:rsidRPr="00A935AA" w:rsidRDefault="003743CC" w:rsidP="003743CC">
            <w:pPr>
              <w:tabs>
                <w:tab w:val="left" w:pos="-1440"/>
                <w:tab w:val="left" w:pos="-720"/>
              </w:tabs>
              <w:rPr>
                <w:b/>
                <w:sz w:val="20"/>
                <w:szCs w:val="20"/>
              </w:rPr>
            </w:pPr>
            <w:r>
              <w:rPr>
                <w:b/>
                <w:sz w:val="20"/>
                <w:szCs w:val="20"/>
                <w:lang w:val="en-US"/>
              </w:rPr>
              <w:t>Thomas Cooper and Dell Lanes Ltd.</w:t>
            </w:r>
            <w:r w:rsidRPr="004519A1">
              <w:rPr>
                <w:sz w:val="20"/>
                <w:szCs w:val="20"/>
                <w:lang w:val="en-US"/>
              </w:rPr>
              <w:t xml:space="preserve"> </w:t>
            </w:r>
            <w:r w:rsidRPr="00A935AA">
              <w:rPr>
                <w:b/>
                <w:sz w:val="20"/>
                <w:szCs w:val="20"/>
              </w:rPr>
              <w:t>(</w:t>
            </w:r>
            <w:r>
              <w:rPr>
                <w:b/>
                <w:sz w:val="20"/>
                <w:szCs w:val="20"/>
              </w:rPr>
              <w:t>B.C.</w:t>
            </w:r>
            <w:r w:rsidRPr="00A935AA">
              <w:rPr>
                <w:b/>
                <w:sz w:val="20"/>
                <w:szCs w:val="20"/>
              </w:rPr>
              <w:t>)</w:t>
            </w:r>
          </w:p>
          <w:p w:rsidR="003743CC" w:rsidRPr="00A935AA" w:rsidRDefault="003743CC" w:rsidP="003743CC">
            <w:pPr>
              <w:tabs>
                <w:tab w:val="left" w:pos="-1440"/>
                <w:tab w:val="left" w:pos="-720"/>
              </w:tabs>
              <w:rPr>
                <w:sz w:val="20"/>
                <w:szCs w:val="20"/>
              </w:rPr>
            </w:pPr>
            <w:r w:rsidRPr="00A935AA">
              <w:rPr>
                <w:sz w:val="20"/>
                <w:szCs w:val="20"/>
              </w:rPr>
              <w:tab/>
            </w:r>
            <w:r>
              <w:rPr>
                <w:sz w:val="20"/>
                <w:szCs w:val="20"/>
              </w:rPr>
              <w:t xml:space="preserve">Andrew D. Gay, Q.C. </w:t>
            </w:r>
          </w:p>
          <w:p w:rsidR="003743CC" w:rsidRPr="00A935AA" w:rsidRDefault="003743CC" w:rsidP="003743CC">
            <w:pPr>
              <w:tabs>
                <w:tab w:val="left" w:pos="-1440"/>
                <w:tab w:val="left" w:pos="-720"/>
              </w:tabs>
              <w:rPr>
                <w:sz w:val="20"/>
                <w:szCs w:val="20"/>
              </w:rPr>
            </w:pPr>
            <w:r w:rsidRPr="00A935AA">
              <w:rPr>
                <w:sz w:val="20"/>
                <w:szCs w:val="20"/>
              </w:rPr>
              <w:tab/>
            </w:r>
            <w:proofErr w:type="spellStart"/>
            <w:r>
              <w:rPr>
                <w:sz w:val="20"/>
                <w:szCs w:val="20"/>
              </w:rPr>
              <w:t>Gudmundseth</w:t>
            </w:r>
            <w:proofErr w:type="spellEnd"/>
            <w:r>
              <w:rPr>
                <w:sz w:val="20"/>
                <w:szCs w:val="20"/>
              </w:rPr>
              <w:t xml:space="preserve"> Mickelson LLP</w:t>
            </w:r>
          </w:p>
          <w:p w:rsidR="003743CC" w:rsidRPr="00A935AA" w:rsidRDefault="003743CC" w:rsidP="003743CC">
            <w:pPr>
              <w:tabs>
                <w:tab w:val="left" w:pos="-1440"/>
                <w:tab w:val="left" w:pos="-720"/>
              </w:tabs>
              <w:rPr>
                <w:sz w:val="20"/>
                <w:szCs w:val="20"/>
              </w:rPr>
            </w:pPr>
          </w:p>
          <w:p w:rsidR="003743CC" w:rsidRPr="00A935AA" w:rsidRDefault="003743CC" w:rsidP="003743CC">
            <w:pPr>
              <w:rPr>
                <w:sz w:val="20"/>
                <w:szCs w:val="20"/>
              </w:rPr>
            </w:pPr>
            <w:r w:rsidRPr="00A935AA">
              <w:rPr>
                <w:sz w:val="20"/>
                <w:szCs w:val="20"/>
              </w:rPr>
              <w:t xml:space="preserve">FILING DATE: </w:t>
            </w:r>
            <w:r>
              <w:rPr>
                <w:sz w:val="20"/>
                <w:szCs w:val="20"/>
              </w:rPr>
              <w:t>26</w:t>
            </w:r>
            <w:r w:rsidRPr="00A935AA">
              <w:rPr>
                <w:sz w:val="20"/>
                <w:szCs w:val="20"/>
              </w:rPr>
              <w:t>.</w:t>
            </w:r>
            <w:r>
              <w:rPr>
                <w:sz w:val="20"/>
                <w:szCs w:val="20"/>
              </w:rPr>
              <w:t>02</w:t>
            </w:r>
            <w:r w:rsidRPr="00A935AA">
              <w:rPr>
                <w:sz w:val="20"/>
                <w:szCs w:val="20"/>
              </w:rPr>
              <w:t>.201</w:t>
            </w:r>
            <w:r>
              <w:rPr>
                <w:sz w:val="20"/>
                <w:szCs w:val="20"/>
              </w:rPr>
              <w:t>8</w:t>
            </w:r>
          </w:p>
          <w:p w:rsidR="003743CC" w:rsidRDefault="00227F09" w:rsidP="003743CC">
            <w:pPr>
              <w:rPr>
                <w:sz w:val="20"/>
                <w:szCs w:val="20"/>
                <w:lang w:val="fr-CA"/>
              </w:rPr>
            </w:pPr>
            <w:r>
              <w:rPr>
                <w:sz w:val="20"/>
                <w:szCs w:val="20"/>
                <w:lang w:val="fr-CA"/>
              </w:rPr>
              <w:pict w14:anchorId="2895B1F0">
                <v:rect id="_x0000_i1028" style="width:108pt;height:1pt" o:hrpct="0" o:hralign="center" o:hrstd="t" o:hrnoshade="t" o:hr="t" fillcolor="black [3213]" stroked="f"/>
              </w:pict>
            </w:r>
          </w:p>
          <w:p w:rsidR="0083576A" w:rsidRPr="00A935AA" w:rsidRDefault="0083576A" w:rsidP="003743CC">
            <w:pPr>
              <w:rPr>
                <w:sz w:val="20"/>
                <w:szCs w:val="20"/>
              </w:rPr>
            </w:pPr>
          </w:p>
        </w:tc>
      </w:tr>
      <w:tr w:rsidR="003743CC" w:rsidRPr="00A935AA" w:rsidTr="003B3977">
        <w:tc>
          <w:tcPr>
            <w:tcW w:w="4320" w:type="dxa"/>
            <w:shd w:val="clear" w:color="auto" w:fill="auto"/>
          </w:tcPr>
          <w:p w:rsidR="0083576A" w:rsidRPr="00D23B2D" w:rsidRDefault="0083576A" w:rsidP="0083576A">
            <w:pPr>
              <w:rPr>
                <w:b/>
                <w:sz w:val="20"/>
                <w:szCs w:val="20"/>
                <w:lang w:val="fr-CA"/>
              </w:rPr>
            </w:pPr>
            <w:proofErr w:type="spellStart"/>
            <w:r w:rsidRPr="00D23B2D">
              <w:rPr>
                <w:b/>
                <w:sz w:val="20"/>
                <w:szCs w:val="20"/>
                <w:lang w:val="fr-CA"/>
              </w:rPr>
              <w:t>Qingrong</w:t>
            </w:r>
            <w:proofErr w:type="spellEnd"/>
            <w:r w:rsidRPr="00D23B2D">
              <w:rPr>
                <w:b/>
                <w:sz w:val="20"/>
                <w:szCs w:val="20"/>
                <w:lang w:val="fr-CA"/>
              </w:rPr>
              <w:t xml:space="preserve"> Qiu et al.</w:t>
            </w:r>
          </w:p>
          <w:p w:rsidR="0083576A" w:rsidRPr="00D23B2D" w:rsidRDefault="0083576A" w:rsidP="0083576A">
            <w:pPr>
              <w:tabs>
                <w:tab w:val="left" w:pos="-1440"/>
                <w:tab w:val="left" w:pos="-720"/>
              </w:tabs>
              <w:rPr>
                <w:sz w:val="20"/>
                <w:szCs w:val="20"/>
                <w:lang w:val="fr-CA"/>
              </w:rPr>
            </w:pPr>
            <w:r w:rsidRPr="00D23B2D">
              <w:rPr>
                <w:sz w:val="20"/>
                <w:szCs w:val="20"/>
                <w:lang w:val="fr-CA"/>
              </w:rPr>
              <w:tab/>
            </w:r>
            <w:proofErr w:type="spellStart"/>
            <w:r w:rsidRPr="00D23B2D">
              <w:rPr>
                <w:sz w:val="20"/>
                <w:szCs w:val="20"/>
                <w:lang w:val="fr-CA"/>
              </w:rPr>
              <w:t>Qingrong</w:t>
            </w:r>
            <w:proofErr w:type="spellEnd"/>
            <w:r w:rsidRPr="00D23B2D">
              <w:rPr>
                <w:sz w:val="20"/>
                <w:szCs w:val="20"/>
                <w:lang w:val="fr-CA"/>
              </w:rPr>
              <w:t xml:space="preserve"> Qiu</w:t>
            </w:r>
          </w:p>
          <w:p w:rsidR="0083576A" w:rsidRPr="00D23B2D" w:rsidRDefault="0083576A" w:rsidP="0083576A">
            <w:pPr>
              <w:tabs>
                <w:tab w:val="left" w:pos="-1440"/>
                <w:tab w:val="left" w:pos="-720"/>
              </w:tabs>
              <w:rPr>
                <w:sz w:val="20"/>
                <w:szCs w:val="20"/>
                <w:lang w:val="fr-CA"/>
              </w:rPr>
            </w:pPr>
          </w:p>
          <w:p w:rsidR="0083576A" w:rsidRPr="00D23B2D" w:rsidRDefault="0083576A" w:rsidP="0083576A">
            <w:pPr>
              <w:tabs>
                <w:tab w:val="left" w:pos="-1440"/>
                <w:tab w:val="left" w:pos="-720"/>
              </w:tabs>
              <w:rPr>
                <w:sz w:val="20"/>
                <w:szCs w:val="20"/>
                <w:lang w:val="fr-CA"/>
              </w:rPr>
            </w:pPr>
            <w:r w:rsidRPr="00D23B2D">
              <w:rPr>
                <w:sz w:val="20"/>
                <w:szCs w:val="20"/>
                <w:lang w:val="fr-CA"/>
              </w:rPr>
              <w:tab/>
              <w:t>v. (38072)</w:t>
            </w:r>
          </w:p>
          <w:p w:rsidR="0083576A" w:rsidRPr="00D23B2D" w:rsidRDefault="0083576A" w:rsidP="0083576A">
            <w:pPr>
              <w:tabs>
                <w:tab w:val="left" w:pos="-1440"/>
                <w:tab w:val="left" w:pos="-720"/>
              </w:tabs>
              <w:rPr>
                <w:sz w:val="20"/>
                <w:szCs w:val="20"/>
                <w:lang w:val="fr-CA"/>
              </w:rPr>
            </w:pPr>
          </w:p>
          <w:p w:rsidR="0083576A" w:rsidRPr="00D23B2D" w:rsidRDefault="0083576A" w:rsidP="0083576A">
            <w:pPr>
              <w:tabs>
                <w:tab w:val="left" w:pos="-1440"/>
                <w:tab w:val="left" w:pos="-720"/>
              </w:tabs>
              <w:rPr>
                <w:b/>
                <w:sz w:val="20"/>
                <w:szCs w:val="20"/>
                <w:lang w:val="en-US"/>
              </w:rPr>
            </w:pPr>
            <w:r w:rsidRPr="0083576A">
              <w:rPr>
                <w:b/>
                <w:sz w:val="20"/>
                <w:szCs w:val="20"/>
                <w:lang w:val="fr-CA"/>
              </w:rPr>
              <w:t xml:space="preserve">Tim </w:t>
            </w:r>
            <w:proofErr w:type="spellStart"/>
            <w:r w:rsidRPr="0083576A">
              <w:rPr>
                <w:b/>
                <w:sz w:val="20"/>
                <w:szCs w:val="20"/>
                <w:lang w:val="fr-CA"/>
              </w:rPr>
              <w:t>Hortons</w:t>
            </w:r>
            <w:proofErr w:type="spellEnd"/>
            <w:r w:rsidRPr="0083576A">
              <w:rPr>
                <w:b/>
                <w:sz w:val="20"/>
                <w:szCs w:val="20"/>
                <w:lang w:val="fr-CA"/>
              </w:rPr>
              <w:t xml:space="preserve"> et al.</w:t>
            </w:r>
            <w:r w:rsidRPr="0083576A">
              <w:rPr>
                <w:sz w:val="20"/>
                <w:szCs w:val="20"/>
                <w:lang w:val="fr-CA"/>
              </w:rPr>
              <w:t xml:space="preserve"> </w:t>
            </w:r>
            <w:r w:rsidRPr="00D23B2D">
              <w:rPr>
                <w:b/>
                <w:sz w:val="20"/>
                <w:szCs w:val="20"/>
                <w:lang w:val="en-US"/>
              </w:rPr>
              <w:t>(Ont.)</w:t>
            </w:r>
          </w:p>
          <w:p w:rsidR="0083576A" w:rsidRPr="00A935AA" w:rsidRDefault="0083576A" w:rsidP="0083576A">
            <w:pPr>
              <w:tabs>
                <w:tab w:val="left" w:pos="-1440"/>
                <w:tab w:val="left" w:pos="-720"/>
              </w:tabs>
              <w:rPr>
                <w:sz w:val="20"/>
                <w:szCs w:val="20"/>
              </w:rPr>
            </w:pPr>
            <w:r w:rsidRPr="00D23B2D">
              <w:rPr>
                <w:sz w:val="20"/>
                <w:szCs w:val="20"/>
                <w:lang w:val="en-US"/>
              </w:rPr>
              <w:tab/>
            </w:r>
            <w:r>
              <w:rPr>
                <w:sz w:val="20"/>
                <w:szCs w:val="20"/>
              </w:rPr>
              <w:t>James D. Heeney</w:t>
            </w:r>
          </w:p>
          <w:p w:rsidR="0083576A" w:rsidRPr="00A935AA" w:rsidRDefault="0083576A" w:rsidP="0083576A">
            <w:pPr>
              <w:tabs>
                <w:tab w:val="left" w:pos="-1440"/>
                <w:tab w:val="left" w:pos="-720"/>
              </w:tabs>
              <w:rPr>
                <w:sz w:val="20"/>
                <w:szCs w:val="20"/>
              </w:rPr>
            </w:pPr>
            <w:r w:rsidRPr="00A935AA">
              <w:rPr>
                <w:sz w:val="20"/>
                <w:szCs w:val="20"/>
              </w:rPr>
              <w:tab/>
            </w:r>
            <w:r>
              <w:rPr>
                <w:sz w:val="20"/>
                <w:szCs w:val="20"/>
              </w:rPr>
              <w:t>Robinson Heeney LLP</w:t>
            </w:r>
          </w:p>
          <w:p w:rsidR="0083576A" w:rsidRPr="00A935AA" w:rsidRDefault="0083576A" w:rsidP="0083576A">
            <w:pPr>
              <w:tabs>
                <w:tab w:val="left" w:pos="-1440"/>
                <w:tab w:val="left" w:pos="-720"/>
              </w:tabs>
              <w:rPr>
                <w:sz w:val="20"/>
                <w:szCs w:val="20"/>
              </w:rPr>
            </w:pPr>
          </w:p>
          <w:p w:rsidR="0083576A" w:rsidRPr="00A935AA" w:rsidRDefault="0083576A" w:rsidP="0083576A">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03</w:t>
            </w:r>
            <w:r w:rsidRPr="00A935AA">
              <w:rPr>
                <w:sz w:val="20"/>
                <w:szCs w:val="20"/>
              </w:rPr>
              <w:t>.201</w:t>
            </w:r>
            <w:r>
              <w:rPr>
                <w:sz w:val="20"/>
                <w:szCs w:val="20"/>
              </w:rPr>
              <w:t>8</w:t>
            </w:r>
          </w:p>
          <w:p w:rsidR="003743CC" w:rsidRPr="00A935AA" w:rsidRDefault="00227F09" w:rsidP="0083576A">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743CC" w:rsidRPr="00A935AA" w:rsidRDefault="003743CC" w:rsidP="003743CC">
            <w:pPr>
              <w:jc w:val="center"/>
              <w:rPr>
                <w:sz w:val="20"/>
                <w:szCs w:val="20"/>
              </w:rPr>
            </w:pPr>
          </w:p>
        </w:tc>
        <w:tc>
          <w:tcPr>
            <w:tcW w:w="4320" w:type="dxa"/>
            <w:shd w:val="clear" w:color="auto" w:fill="auto"/>
          </w:tcPr>
          <w:p w:rsidR="003743CC" w:rsidRPr="00A935AA" w:rsidRDefault="003743CC" w:rsidP="003743CC">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246F4">
          <w:headerReference w:type="default" r:id="rId11"/>
          <w:footerReference w:type="default" r:id="rId12"/>
          <w:headerReference w:type="first" r:id="rId13"/>
          <w:footerReference w:type="first" r:id="rId14"/>
          <w:pgSz w:w="12240" w:h="15840"/>
          <w:pgMar w:top="720" w:right="965" w:bottom="1080" w:left="1656" w:header="706" w:footer="706" w:gutter="0"/>
          <w:pgNumType w:start="54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23B2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D23B2D">
              <w:rPr>
                <w:b/>
                <w:szCs w:val="24"/>
                <w:lang w:val="fr-CA"/>
              </w:rPr>
              <w:t>DEMANDES SOUMISES À LA COUR DEPUIS LA DE</w:t>
            </w:r>
            <w:r w:rsidRPr="00834003">
              <w:rPr>
                <w:b/>
                <w:szCs w:val="24"/>
                <w:lang w:val="fr-CA"/>
              </w:rPr>
              <w:t xml:space="preserve">RNIÈRE </w:t>
            </w:r>
            <w:r w:rsidRPr="001D0D5F">
              <w:rPr>
                <w:b/>
                <w:szCs w:val="24"/>
                <w:lang w:val="fr-CA"/>
              </w:rPr>
              <w:t>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34003" w:rsidP="00CB3520">
      <w:pPr>
        <w:widowControl w:val="0"/>
        <w:rPr>
          <w:b/>
          <w:sz w:val="20"/>
          <w:szCs w:val="20"/>
        </w:rPr>
      </w:pPr>
      <w:r>
        <w:rPr>
          <w:b/>
          <w:sz w:val="20"/>
          <w:szCs w:val="20"/>
        </w:rPr>
        <w:t>APRIL 30</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30 AVRIL</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FA3656" w:rsidP="00CB3520">
      <w:pPr>
        <w:pStyle w:val="ListParagraph"/>
        <w:widowControl w:val="0"/>
        <w:numPr>
          <w:ilvl w:val="0"/>
          <w:numId w:val="1"/>
        </w:numPr>
        <w:ind w:hanging="720"/>
        <w:jc w:val="both"/>
        <w:rPr>
          <w:sz w:val="20"/>
          <w:szCs w:val="20"/>
        </w:rPr>
      </w:pPr>
      <w:r>
        <w:rPr>
          <w:i/>
          <w:sz w:val="20"/>
          <w:szCs w:val="20"/>
        </w:rPr>
        <w:t>Gerald O’Reilly v. Her Majesty the Queen</w:t>
      </w:r>
      <w:r w:rsidR="00CB3520" w:rsidRPr="009C5D38">
        <w:rPr>
          <w:sz w:val="20"/>
          <w:szCs w:val="20"/>
        </w:rPr>
        <w:t xml:space="preserve"> (Que.) (Crim</w:t>
      </w:r>
      <w:r>
        <w:rPr>
          <w:sz w:val="20"/>
          <w:szCs w:val="20"/>
        </w:rPr>
        <w:t>inal</w:t>
      </w:r>
      <w:r w:rsidR="00CB3520" w:rsidRPr="009C5D38">
        <w:rPr>
          <w:sz w:val="20"/>
          <w:szCs w:val="20"/>
        </w:rPr>
        <w:t>) (By Leave)</w:t>
      </w:r>
      <w:r w:rsidR="00CB3520" w:rsidRPr="00C50A5C">
        <w:rPr>
          <w:sz w:val="20"/>
          <w:szCs w:val="20"/>
        </w:rPr>
        <w:t xml:space="preserve"> (</w:t>
      </w:r>
      <w:r>
        <w:rPr>
          <w:sz w:val="20"/>
          <w:szCs w:val="20"/>
        </w:rPr>
        <w:t>37736</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FA3656" w:rsidP="00CB3520">
      <w:pPr>
        <w:pStyle w:val="ListParagraph"/>
        <w:widowControl w:val="0"/>
        <w:numPr>
          <w:ilvl w:val="0"/>
          <w:numId w:val="1"/>
        </w:numPr>
        <w:ind w:hanging="720"/>
        <w:jc w:val="both"/>
        <w:rPr>
          <w:sz w:val="20"/>
          <w:szCs w:val="20"/>
        </w:rPr>
      </w:pPr>
      <w:r>
        <w:rPr>
          <w:i/>
          <w:sz w:val="20"/>
          <w:szCs w:val="20"/>
        </w:rPr>
        <w:t>Gerald O’Reilly et al. v. Her Majesty the Queen</w:t>
      </w:r>
      <w:r w:rsidR="00CB3520" w:rsidRPr="009C5D38">
        <w:rPr>
          <w:sz w:val="20"/>
          <w:szCs w:val="20"/>
        </w:rPr>
        <w:t xml:space="preserve"> (</w:t>
      </w:r>
      <w:r>
        <w:rPr>
          <w:sz w:val="20"/>
          <w:szCs w:val="20"/>
        </w:rPr>
        <w:t>Que</w:t>
      </w:r>
      <w:r w:rsidR="00CB3520" w:rsidRPr="009C5D38">
        <w:rPr>
          <w:sz w:val="20"/>
          <w:szCs w:val="20"/>
        </w:rPr>
        <w:t>.) (</w:t>
      </w:r>
      <w:r>
        <w:rPr>
          <w:sz w:val="20"/>
          <w:szCs w:val="20"/>
        </w:rPr>
        <w:t>Crimina</w:t>
      </w:r>
      <w:r w:rsidR="00CB3520" w:rsidRPr="009C5D38">
        <w:rPr>
          <w:sz w:val="20"/>
          <w:szCs w:val="20"/>
        </w:rPr>
        <w:t>l) (By Leave)</w:t>
      </w:r>
      <w:r w:rsidR="00CB3520" w:rsidRPr="00C612D0">
        <w:rPr>
          <w:sz w:val="20"/>
          <w:szCs w:val="20"/>
        </w:rPr>
        <w:t xml:space="preserve"> </w:t>
      </w:r>
      <w:r>
        <w:rPr>
          <w:sz w:val="20"/>
          <w:szCs w:val="20"/>
        </w:rPr>
        <w:t>(37737</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FA3656" w:rsidP="00CB3520">
      <w:pPr>
        <w:pStyle w:val="ListParagraph"/>
        <w:widowControl w:val="0"/>
        <w:numPr>
          <w:ilvl w:val="0"/>
          <w:numId w:val="1"/>
        </w:numPr>
        <w:ind w:hanging="720"/>
        <w:jc w:val="both"/>
        <w:rPr>
          <w:sz w:val="20"/>
          <w:szCs w:val="20"/>
        </w:rPr>
      </w:pPr>
      <w:r w:rsidRPr="00FA3656">
        <w:rPr>
          <w:i/>
          <w:sz w:val="20"/>
          <w:szCs w:val="20"/>
          <w:lang w:val="en-US"/>
        </w:rPr>
        <w:t xml:space="preserve">Brenda Berge v. </w:t>
      </w:r>
      <w:r w:rsidRPr="00FA3656">
        <w:rPr>
          <w:i/>
          <w:sz w:val="20"/>
          <w:szCs w:val="20"/>
        </w:rPr>
        <w:t>College of Audiologists and Speech-Language Pathologists of Ontario, et al.</w:t>
      </w:r>
      <w:r w:rsidR="00CB3520" w:rsidRPr="00FA3656">
        <w:rPr>
          <w:sz w:val="20"/>
          <w:szCs w:val="20"/>
          <w:lang w:val="en-US"/>
        </w:rPr>
        <w:t xml:space="preserve"> </w:t>
      </w:r>
      <w:r w:rsidR="00CB3520" w:rsidRPr="00FA3656">
        <w:rPr>
          <w:sz w:val="20"/>
          <w:szCs w:val="20"/>
          <w:lang w:val="fr-CA"/>
        </w:rPr>
        <w:t>(</w:t>
      </w:r>
      <w:r>
        <w:rPr>
          <w:sz w:val="20"/>
          <w:szCs w:val="20"/>
          <w:lang w:val="fr-CA"/>
        </w:rPr>
        <w:t>Ont</w:t>
      </w:r>
      <w:r w:rsidR="00CB3520" w:rsidRPr="00FA3656">
        <w:rPr>
          <w:sz w:val="20"/>
          <w:szCs w:val="20"/>
          <w:lang w:val="fr-CA"/>
        </w:rPr>
        <w:t xml:space="preserve">.) </w:t>
      </w:r>
      <w:r w:rsidR="00CB3520" w:rsidRPr="009C5D38">
        <w:rPr>
          <w:sz w:val="20"/>
          <w:szCs w:val="20"/>
        </w:rPr>
        <w:t>(Civil) (By Leave)</w:t>
      </w:r>
      <w:r w:rsidR="00CB3520" w:rsidRPr="00940CAD">
        <w:rPr>
          <w:sz w:val="20"/>
          <w:szCs w:val="20"/>
        </w:rPr>
        <w:t xml:space="preserve"> (</w:t>
      </w:r>
      <w:r>
        <w:rPr>
          <w:sz w:val="20"/>
          <w:szCs w:val="20"/>
        </w:rPr>
        <w:t>37851</w:t>
      </w:r>
      <w:r w:rsidR="00CB3520" w:rsidRPr="00940CAD">
        <w:rPr>
          <w:sz w:val="20"/>
          <w:szCs w:val="20"/>
        </w:rPr>
        <w:t>)</w:t>
      </w:r>
    </w:p>
    <w:p w:rsidR="00CB3520" w:rsidRPr="00C50A5C" w:rsidRDefault="00CB3520" w:rsidP="00CB3520">
      <w:pPr>
        <w:widowControl w:val="0"/>
        <w:rPr>
          <w:sz w:val="20"/>
          <w:szCs w:val="20"/>
        </w:rPr>
      </w:pPr>
    </w:p>
    <w:p w:rsidR="00CB3520" w:rsidRPr="00C50A5C" w:rsidRDefault="00FA3656" w:rsidP="00CB3520">
      <w:pPr>
        <w:pStyle w:val="ListParagraph"/>
        <w:widowControl w:val="0"/>
        <w:numPr>
          <w:ilvl w:val="0"/>
          <w:numId w:val="1"/>
        </w:numPr>
        <w:ind w:hanging="720"/>
        <w:jc w:val="both"/>
        <w:rPr>
          <w:sz w:val="20"/>
          <w:szCs w:val="20"/>
        </w:rPr>
      </w:pPr>
      <w:r>
        <w:rPr>
          <w:i/>
          <w:sz w:val="20"/>
          <w:szCs w:val="20"/>
        </w:rPr>
        <w:t xml:space="preserve">Derek Thompson v. International Union of Operating Engineers Local No. 955 et al. </w:t>
      </w:r>
      <w:r w:rsidR="00CB3520" w:rsidRPr="009C5D38">
        <w:rPr>
          <w:sz w:val="20"/>
          <w:szCs w:val="20"/>
        </w:rPr>
        <w:t>(</w:t>
      </w:r>
      <w:r>
        <w:rPr>
          <w:sz w:val="20"/>
          <w:szCs w:val="20"/>
        </w:rPr>
        <w:t>Alta</w:t>
      </w:r>
      <w:r w:rsidR="00CB3520" w:rsidRPr="009C5D38">
        <w:rPr>
          <w:sz w:val="20"/>
          <w:szCs w:val="20"/>
        </w:rPr>
        <w:t>.) (Civil) (By Leave)</w:t>
      </w:r>
      <w:r w:rsidR="00CB3520" w:rsidRPr="00C50A5C">
        <w:rPr>
          <w:sz w:val="20"/>
          <w:szCs w:val="20"/>
        </w:rPr>
        <w:t xml:space="preserve"> (</w:t>
      </w:r>
      <w:r>
        <w:rPr>
          <w:sz w:val="20"/>
          <w:szCs w:val="20"/>
        </w:rPr>
        <w:t>37974</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1F1A8B" w:rsidRDefault="00CB3520" w:rsidP="00CB3520">
      <w:pPr>
        <w:widowControl w:val="0"/>
        <w:jc w:val="center"/>
        <w:rPr>
          <w:b/>
          <w:sz w:val="20"/>
          <w:szCs w:val="20"/>
          <w:lang w:val="fr-CA"/>
        </w:rPr>
      </w:pPr>
      <w:r w:rsidRPr="001F1A8B">
        <w:rPr>
          <w:b/>
          <w:sz w:val="20"/>
          <w:szCs w:val="20"/>
          <w:lang w:val="fr-CA"/>
        </w:rPr>
        <w:t xml:space="preserve">Les juges </w:t>
      </w:r>
      <w:r w:rsidR="00FA3373" w:rsidRPr="001F1A8B">
        <w:rPr>
          <w:b/>
          <w:sz w:val="20"/>
          <w:szCs w:val="20"/>
          <w:lang w:val="fr-CA"/>
        </w:rPr>
        <w:t>Abella</w:t>
      </w:r>
      <w:r w:rsidRPr="001F1A8B">
        <w:rPr>
          <w:b/>
          <w:sz w:val="20"/>
          <w:szCs w:val="20"/>
          <w:lang w:val="fr-CA"/>
        </w:rPr>
        <w:t xml:space="preserve">, </w:t>
      </w:r>
      <w:r w:rsidR="00195F99" w:rsidRPr="001F1A8B">
        <w:rPr>
          <w:b/>
          <w:sz w:val="20"/>
          <w:szCs w:val="20"/>
          <w:lang w:val="fr-CA"/>
        </w:rPr>
        <w:t>Gascon</w:t>
      </w:r>
      <w:r w:rsidRPr="001F1A8B">
        <w:rPr>
          <w:b/>
          <w:sz w:val="20"/>
          <w:szCs w:val="20"/>
          <w:lang w:val="fr-CA"/>
        </w:rPr>
        <w:t xml:space="preserve"> et </w:t>
      </w:r>
      <w:r w:rsidR="00E942C2" w:rsidRPr="001F1A8B">
        <w:rPr>
          <w:b/>
          <w:sz w:val="20"/>
          <w:szCs w:val="20"/>
          <w:lang w:val="fr-CA"/>
        </w:rPr>
        <w:t>Brown</w:t>
      </w:r>
    </w:p>
    <w:p w:rsidR="00CB3520" w:rsidRPr="001F1A8B" w:rsidRDefault="00CB3520" w:rsidP="00CB3520">
      <w:pPr>
        <w:widowControl w:val="0"/>
        <w:jc w:val="both"/>
        <w:rPr>
          <w:sz w:val="20"/>
          <w:szCs w:val="20"/>
          <w:lang w:val="fr-CA"/>
        </w:rPr>
      </w:pPr>
    </w:p>
    <w:p w:rsidR="00CB3520" w:rsidRPr="00FA3656" w:rsidRDefault="00FA3656" w:rsidP="00CB3520">
      <w:pPr>
        <w:pStyle w:val="ListParagraph"/>
        <w:widowControl w:val="0"/>
        <w:numPr>
          <w:ilvl w:val="0"/>
          <w:numId w:val="1"/>
        </w:numPr>
        <w:ind w:hanging="720"/>
        <w:jc w:val="both"/>
        <w:rPr>
          <w:sz w:val="20"/>
          <w:szCs w:val="20"/>
          <w:lang w:val="en-US"/>
        </w:rPr>
      </w:pPr>
      <w:r>
        <w:rPr>
          <w:i/>
          <w:sz w:val="20"/>
          <w:szCs w:val="20"/>
        </w:rPr>
        <w:t xml:space="preserve">James </w:t>
      </w:r>
      <w:proofErr w:type="spellStart"/>
      <w:r>
        <w:rPr>
          <w:i/>
          <w:sz w:val="20"/>
          <w:szCs w:val="20"/>
        </w:rPr>
        <w:t>Rajbhandari</w:t>
      </w:r>
      <w:proofErr w:type="spellEnd"/>
      <w:r>
        <w:rPr>
          <w:i/>
          <w:sz w:val="20"/>
          <w:szCs w:val="20"/>
        </w:rPr>
        <w:t xml:space="preserve"> v. Her Majesty the Queen</w:t>
      </w:r>
      <w:r w:rsidR="00CB3520" w:rsidRPr="009C5D38">
        <w:rPr>
          <w:sz w:val="20"/>
          <w:szCs w:val="20"/>
        </w:rPr>
        <w:t xml:space="preserve"> (</w:t>
      </w:r>
      <w:r>
        <w:rPr>
          <w:sz w:val="20"/>
          <w:szCs w:val="20"/>
        </w:rPr>
        <w:t>Alta.</w:t>
      </w:r>
      <w:r w:rsidR="00CB3520" w:rsidRPr="009C5D38">
        <w:rPr>
          <w:sz w:val="20"/>
          <w:szCs w:val="20"/>
        </w:rPr>
        <w:t xml:space="preserve">) </w:t>
      </w:r>
      <w:r>
        <w:rPr>
          <w:sz w:val="20"/>
          <w:szCs w:val="20"/>
        </w:rPr>
        <w:t>(Crimina</w:t>
      </w:r>
      <w:r w:rsidR="00CB3520" w:rsidRPr="009C5D38">
        <w:rPr>
          <w:sz w:val="20"/>
          <w:szCs w:val="20"/>
        </w:rPr>
        <w:t>l) (By Leave)</w:t>
      </w:r>
      <w:r w:rsidR="00CB3520" w:rsidRPr="00FA3656">
        <w:rPr>
          <w:sz w:val="20"/>
          <w:szCs w:val="20"/>
          <w:lang w:val="en-US"/>
        </w:rPr>
        <w:t xml:space="preserve"> (</w:t>
      </w:r>
      <w:r>
        <w:rPr>
          <w:sz w:val="20"/>
          <w:szCs w:val="20"/>
          <w:lang w:val="en-US"/>
        </w:rPr>
        <w:t>37935</w:t>
      </w:r>
      <w:r w:rsidR="00CB3520" w:rsidRPr="00FA3656">
        <w:rPr>
          <w:sz w:val="20"/>
          <w:szCs w:val="20"/>
          <w:lang w:val="en-US"/>
        </w:rPr>
        <w:t>)</w:t>
      </w:r>
    </w:p>
    <w:p w:rsidR="00CB3520" w:rsidRPr="00FA3656" w:rsidRDefault="00CB3520" w:rsidP="00CB3520">
      <w:pPr>
        <w:widowControl w:val="0"/>
        <w:jc w:val="both"/>
        <w:rPr>
          <w:sz w:val="20"/>
          <w:szCs w:val="20"/>
          <w:lang w:val="en-US"/>
        </w:rPr>
      </w:pPr>
    </w:p>
    <w:p w:rsidR="00CB3520" w:rsidRPr="009C5D38" w:rsidRDefault="00D23B2D" w:rsidP="00CB3520">
      <w:pPr>
        <w:pStyle w:val="ListParagraph"/>
        <w:widowControl w:val="0"/>
        <w:numPr>
          <w:ilvl w:val="0"/>
          <w:numId w:val="1"/>
        </w:numPr>
        <w:ind w:hanging="720"/>
        <w:jc w:val="both"/>
        <w:rPr>
          <w:sz w:val="20"/>
          <w:szCs w:val="20"/>
        </w:rPr>
      </w:pPr>
      <w:r>
        <w:rPr>
          <w:i/>
          <w:sz w:val="20"/>
          <w:szCs w:val="20"/>
        </w:rPr>
        <w:t xml:space="preserve">Hai </w:t>
      </w:r>
      <w:proofErr w:type="spellStart"/>
      <w:r>
        <w:rPr>
          <w:i/>
          <w:sz w:val="20"/>
          <w:szCs w:val="20"/>
        </w:rPr>
        <w:t>Xiong</w:t>
      </w:r>
      <w:proofErr w:type="spellEnd"/>
      <w:r>
        <w:rPr>
          <w:i/>
          <w:sz w:val="20"/>
          <w:szCs w:val="20"/>
        </w:rPr>
        <w:t xml:space="preserve"> (Hanson) </w:t>
      </w:r>
      <w:proofErr w:type="spellStart"/>
      <w:r>
        <w:rPr>
          <w:i/>
          <w:sz w:val="20"/>
          <w:szCs w:val="20"/>
        </w:rPr>
        <w:t>Ruan</w:t>
      </w:r>
      <w:proofErr w:type="spellEnd"/>
      <w:r>
        <w:rPr>
          <w:i/>
          <w:sz w:val="20"/>
          <w:szCs w:val="20"/>
        </w:rPr>
        <w:t xml:space="preserve"> v. Her Majesty the Queen </w:t>
      </w:r>
      <w:r w:rsidR="00CB3520" w:rsidRPr="009C5D38">
        <w:rPr>
          <w:sz w:val="20"/>
          <w:szCs w:val="20"/>
        </w:rPr>
        <w:t>(</w:t>
      </w:r>
      <w:r w:rsidR="00FA3656">
        <w:rPr>
          <w:sz w:val="20"/>
          <w:szCs w:val="20"/>
        </w:rPr>
        <w:t>B.C</w:t>
      </w:r>
      <w:r w:rsidR="00CB3520" w:rsidRPr="009C5D38">
        <w:rPr>
          <w:sz w:val="20"/>
          <w:szCs w:val="20"/>
        </w:rPr>
        <w:t>.) (</w:t>
      </w:r>
      <w:r w:rsidR="00FA3656">
        <w:rPr>
          <w:sz w:val="20"/>
          <w:szCs w:val="20"/>
        </w:rPr>
        <w:t>Criminal) (By Leave) (37960</w:t>
      </w:r>
      <w:r w:rsidR="00CB3520" w:rsidRPr="009C5D38">
        <w:rPr>
          <w:sz w:val="20"/>
          <w:szCs w:val="20"/>
        </w:rPr>
        <w:t>)</w:t>
      </w:r>
    </w:p>
    <w:p w:rsidR="00CB3520" w:rsidRPr="009C5D38" w:rsidRDefault="00CB3520" w:rsidP="00CB3520">
      <w:pPr>
        <w:widowControl w:val="0"/>
        <w:jc w:val="both"/>
        <w:rPr>
          <w:sz w:val="20"/>
          <w:szCs w:val="20"/>
        </w:rPr>
      </w:pPr>
    </w:p>
    <w:p w:rsidR="00CB3520" w:rsidRPr="00FA3656" w:rsidRDefault="00FA3656" w:rsidP="00CB3520">
      <w:pPr>
        <w:pStyle w:val="ListParagraph"/>
        <w:widowControl w:val="0"/>
        <w:numPr>
          <w:ilvl w:val="0"/>
          <w:numId w:val="1"/>
        </w:numPr>
        <w:ind w:hanging="720"/>
        <w:jc w:val="both"/>
        <w:rPr>
          <w:sz w:val="20"/>
          <w:szCs w:val="20"/>
          <w:lang w:val="en-US"/>
        </w:rPr>
      </w:pPr>
      <w:proofErr w:type="spellStart"/>
      <w:r w:rsidRPr="00FA3656">
        <w:rPr>
          <w:i/>
          <w:sz w:val="20"/>
          <w:szCs w:val="20"/>
          <w:lang w:val="en-US"/>
        </w:rPr>
        <w:t>Nylene</w:t>
      </w:r>
      <w:proofErr w:type="spellEnd"/>
      <w:r w:rsidRPr="00FA3656">
        <w:rPr>
          <w:i/>
          <w:sz w:val="20"/>
          <w:szCs w:val="20"/>
          <w:lang w:val="en-US"/>
        </w:rPr>
        <w:t xml:space="preserve"> Canada Inc. v. Corporation of the Town of </w:t>
      </w:r>
      <w:proofErr w:type="spellStart"/>
      <w:r w:rsidRPr="00FA3656">
        <w:rPr>
          <w:i/>
          <w:sz w:val="20"/>
          <w:szCs w:val="20"/>
          <w:lang w:val="en-US"/>
        </w:rPr>
        <w:t>Arnprior</w:t>
      </w:r>
      <w:proofErr w:type="spellEnd"/>
      <w:r w:rsidR="00CB3520" w:rsidRPr="00FA3656">
        <w:rPr>
          <w:sz w:val="20"/>
          <w:szCs w:val="20"/>
          <w:lang w:val="en-US"/>
        </w:rPr>
        <w:t xml:space="preserve"> (</w:t>
      </w:r>
      <w:r>
        <w:rPr>
          <w:sz w:val="20"/>
          <w:szCs w:val="20"/>
          <w:lang w:val="en-US"/>
        </w:rPr>
        <w:t>Ont.</w:t>
      </w:r>
      <w:r w:rsidR="00CB3520" w:rsidRPr="00FA3656">
        <w:rPr>
          <w:sz w:val="20"/>
          <w:szCs w:val="20"/>
          <w:lang w:val="en-US"/>
        </w:rPr>
        <w:t xml:space="preserve">) (Civil) </w:t>
      </w:r>
      <w:r>
        <w:rPr>
          <w:sz w:val="20"/>
          <w:szCs w:val="20"/>
          <w:lang w:val="en-US"/>
        </w:rPr>
        <w:t>(By Leave</w:t>
      </w:r>
      <w:r w:rsidR="00CB3520" w:rsidRPr="00FA3656">
        <w:rPr>
          <w:sz w:val="20"/>
          <w:szCs w:val="20"/>
          <w:lang w:val="en-US"/>
        </w:rPr>
        <w:t>) (</w:t>
      </w:r>
      <w:r>
        <w:rPr>
          <w:sz w:val="20"/>
          <w:szCs w:val="20"/>
          <w:lang w:val="en-US"/>
        </w:rPr>
        <w:t>37837</w:t>
      </w:r>
      <w:r w:rsidR="00CB3520" w:rsidRPr="00FA3656">
        <w:rPr>
          <w:sz w:val="20"/>
          <w:szCs w:val="20"/>
          <w:lang w:val="en-US"/>
        </w:rPr>
        <w:t>)</w:t>
      </w:r>
    </w:p>
    <w:p w:rsidR="00CB3520" w:rsidRPr="00FA3656" w:rsidRDefault="00CB3520" w:rsidP="00CB3520">
      <w:pPr>
        <w:widowControl w:val="0"/>
        <w:rPr>
          <w:sz w:val="20"/>
          <w:szCs w:val="20"/>
          <w:lang w:val="en-US"/>
        </w:rPr>
      </w:pPr>
    </w:p>
    <w:p w:rsidR="00CB3520" w:rsidRPr="00FA3656" w:rsidRDefault="00FA3656" w:rsidP="00CB3520">
      <w:pPr>
        <w:pStyle w:val="ListParagraph"/>
        <w:widowControl w:val="0"/>
        <w:numPr>
          <w:ilvl w:val="0"/>
          <w:numId w:val="1"/>
        </w:numPr>
        <w:ind w:hanging="720"/>
        <w:jc w:val="both"/>
        <w:rPr>
          <w:sz w:val="20"/>
          <w:szCs w:val="20"/>
          <w:lang w:val="en-US"/>
        </w:rPr>
      </w:pPr>
      <w:proofErr w:type="spellStart"/>
      <w:r w:rsidRPr="00FA3656">
        <w:rPr>
          <w:i/>
          <w:sz w:val="20"/>
          <w:szCs w:val="20"/>
          <w:lang w:val="en-US"/>
        </w:rPr>
        <w:t>Nevsun</w:t>
      </w:r>
      <w:proofErr w:type="spellEnd"/>
      <w:r w:rsidRPr="00FA3656">
        <w:rPr>
          <w:i/>
          <w:sz w:val="20"/>
          <w:szCs w:val="20"/>
          <w:lang w:val="en-US"/>
        </w:rPr>
        <w:t xml:space="preserve"> Resources LTD v. </w:t>
      </w:r>
      <w:proofErr w:type="spellStart"/>
      <w:r w:rsidRPr="00FA3656">
        <w:rPr>
          <w:i/>
          <w:sz w:val="20"/>
          <w:szCs w:val="20"/>
          <w:lang w:val="en-US"/>
        </w:rPr>
        <w:t>G</w:t>
      </w:r>
      <w:r>
        <w:rPr>
          <w:i/>
          <w:sz w:val="20"/>
          <w:szCs w:val="20"/>
          <w:lang w:val="en-US"/>
        </w:rPr>
        <w:t>ize</w:t>
      </w:r>
      <w:proofErr w:type="spellEnd"/>
      <w:r>
        <w:rPr>
          <w:i/>
          <w:sz w:val="20"/>
          <w:szCs w:val="20"/>
          <w:lang w:val="en-US"/>
        </w:rPr>
        <w:t xml:space="preserve"> </w:t>
      </w:r>
      <w:proofErr w:type="spellStart"/>
      <w:r>
        <w:rPr>
          <w:i/>
          <w:sz w:val="20"/>
          <w:szCs w:val="20"/>
          <w:lang w:val="en-US"/>
        </w:rPr>
        <w:t>Yebeyo</w:t>
      </w:r>
      <w:proofErr w:type="spellEnd"/>
      <w:r>
        <w:rPr>
          <w:i/>
          <w:sz w:val="20"/>
          <w:szCs w:val="20"/>
          <w:lang w:val="en-US"/>
        </w:rPr>
        <w:t xml:space="preserve"> Araya et al.</w:t>
      </w:r>
      <w:r w:rsidR="00CB3520" w:rsidRPr="00FA3656">
        <w:rPr>
          <w:sz w:val="20"/>
          <w:szCs w:val="20"/>
          <w:lang w:val="en-US"/>
        </w:rPr>
        <w:t xml:space="preserve"> (</w:t>
      </w:r>
      <w:r w:rsidRPr="00FA3656">
        <w:rPr>
          <w:sz w:val="20"/>
          <w:szCs w:val="20"/>
          <w:lang w:val="en-US"/>
        </w:rPr>
        <w:t>B.C.</w:t>
      </w:r>
      <w:r w:rsidR="00CB3520" w:rsidRPr="00FA3656">
        <w:rPr>
          <w:sz w:val="20"/>
          <w:szCs w:val="20"/>
          <w:lang w:val="en-US"/>
        </w:rPr>
        <w:t>) (Civil) (</w:t>
      </w:r>
      <w:r w:rsidRPr="00FA3656">
        <w:rPr>
          <w:sz w:val="20"/>
          <w:szCs w:val="20"/>
          <w:lang w:val="en-US"/>
        </w:rPr>
        <w:t>By Leave</w:t>
      </w:r>
      <w:r w:rsidR="00CB3520" w:rsidRPr="00FA3656">
        <w:rPr>
          <w:sz w:val="20"/>
          <w:szCs w:val="20"/>
          <w:lang w:val="en-US"/>
        </w:rPr>
        <w:t>) (</w:t>
      </w:r>
      <w:r w:rsidRPr="00FA3656">
        <w:rPr>
          <w:sz w:val="20"/>
          <w:szCs w:val="20"/>
          <w:lang w:val="en-US"/>
        </w:rPr>
        <w:t>37919</w:t>
      </w:r>
      <w:r w:rsidR="00CB3520" w:rsidRPr="00FA3656">
        <w:rPr>
          <w:sz w:val="20"/>
          <w:szCs w:val="20"/>
          <w:lang w:val="en-US"/>
        </w:rPr>
        <w:t>)</w:t>
      </w:r>
    </w:p>
    <w:p w:rsidR="00CB3520" w:rsidRPr="00FA3656" w:rsidRDefault="00CB3520" w:rsidP="00CB3520">
      <w:pPr>
        <w:widowControl w:val="0"/>
        <w:jc w:val="both"/>
        <w:rPr>
          <w:sz w:val="20"/>
          <w:szCs w:val="20"/>
          <w:lang w:val="en-US"/>
        </w:rPr>
      </w:pPr>
    </w:p>
    <w:p w:rsidR="00CB3520" w:rsidRPr="00FA3656" w:rsidRDefault="00CB3520" w:rsidP="00CB3520">
      <w:pPr>
        <w:widowControl w:val="0"/>
        <w:jc w:val="both"/>
        <w:rPr>
          <w:sz w:val="20"/>
          <w:szCs w:val="20"/>
          <w:lang w:val="en-US"/>
        </w:rPr>
      </w:pPr>
    </w:p>
    <w:p w:rsidR="00CB3520" w:rsidRPr="001F1A8B" w:rsidRDefault="00CB3520" w:rsidP="00CB3520">
      <w:pPr>
        <w:widowControl w:val="0"/>
        <w:jc w:val="center"/>
        <w:rPr>
          <w:b/>
          <w:sz w:val="20"/>
          <w:szCs w:val="20"/>
          <w:lang w:val="en-US"/>
        </w:rPr>
      </w:pPr>
      <w:r w:rsidRPr="001F1A8B">
        <w:rPr>
          <w:b/>
          <w:sz w:val="20"/>
          <w:szCs w:val="20"/>
          <w:lang w:val="en-US"/>
        </w:rPr>
        <w:t xml:space="preserve">CORAM: </w:t>
      </w:r>
      <w:proofErr w:type="spellStart"/>
      <w:r w:rsidR="00253236" w:rsidRPr="001F1A8B">
        <w:rPr>
          <w:b/>
          <w:sz w:val="20"/>
          <w:szCs w:val="20"/>
          <w:lang w:val="en-US"/>
        </w:rPr>
        <w:t>Moldaver</w:t>
      </w:r>
      <w:proofErr w:type="spellEnd"/>
      <w:r w:rsidR="00E942C2" w:rsidRPr="001F1A8B">
        <w:rPr>
          <w:b/>
          <w:sz w:val="20"/>
          <w:szCs w:val="20"/>
          <w:lang w:val="en-US"/>
        </w:rPr>
        <w:t xml:space="preserve">, </w:t>
      </w:r>
      <w:proofErr w:type="spellStart"/>
      <w:r w:rsidR="00195F99" w:rsidRPr="001F1A8B">
        <w:rPr>
          <w:b/>
          <w:sz w:val="20"/>
          <w:szCs w:val="20"/>
          <w:lang w:val="en-US"/>
        </w:rPr>
        <w:t>Karakatsanis</w:t>
      </w:r>
      <w:proofErr w:type="spellEnd"/>
      <w:r w:rsidR="00195F99" w:rsidRPr="001F1A8B">
        <w:rPr>
          <w:b/>
          <w:sz w:val="20"/>
          <w:szCs w:val="20"/>
          <w:lang w:val="en-US"/>
        </w:rPr>
        <w:t xml:space="preserve"> and </w:t>
      </w:r>
      <w:proofErr w:type="spellStart"/>
      <w:r w:rsidR="00253236" w:rsidRPr="001F1A8B">
        <w:rPr>
          <w:b/>
          <w:sz w:val="20"/>
          <w:szCs w:val="20"/>
          <w:lang w:val="en-US"/>
        </w:rPr>
        <w:t>Côté</w:t>
      </w:r>
      <w:proofErr w:type="spellEnd"/>
      <w:r w:rsidR="00195F99" w:rsidRPr="001F1A8B">
        <w:rPr>
          <w:b/>
          <w:sz w:val="20"/>
          <w:szCs w:val="20"/>
          <w:lang w:val="en-US"/>
        </w:rPr>
        <w:t xml:space="preserve"> </w:t>
      </w:r>
      <w:r w:rsidRPr="001F1A8B">
        <w:rPr>
          <w:b/>
          <w:sz w:val="20"/>
          <w:szCs w:val="20"/>
          <w:lang w:val="en-US"/>
        </w:rPr>
        <w:t>JJ.</w:t>
      </w:r>
    </w:p>
    <w:p w:rsidR="00CB3520" w:rsidRPr="00FA3656" w:rsidRDefault="00CB3520" w:rsidP="00CB3520">
      <w:pPr>
        <w:widowControl w:val="0"/>
        <w:jc w:val="center"/>
        <w:rPr>
          <w:b/>
          <w:sz w:val="20"/>
          <w:szCs w:val="20"/>
          <w:lang w:val="fr-CA"/>
        </w:rPr>
      </w:pPr>
      <w:r w:rsidRPr="00FA3656">
        <w:rPr>
          <w:b/>
          <w:sz w:val="20"/>
          <w:szCs w:val="20"/>
          <w:lang w:val="fr-CA"/>
        </w:rPr>
        <w:t xml:space="preserve">Les juges </w:t>
      </w:r>
      <w:proofErr w:type="spellStart"/>
      <w:r w:rsidR="00253236" w:rsidRPr="00FA3656">
        <w:rPr>
          <w:b/>
          <w:sz w:val="20"/>
          <w:szCs w:val="20"/>
          <w:lang w:val="fr-CA"/>
        </w:rPr>
        <w:t>Moldaver</w:t>
      </w:r>
      <w:proofErr w:type="spellEnd"/>
      <w:r w:rsidR="00E942C2" w:rsidRPr="00FA3656">
        <w:rPr>
          <w:b/>
          <w:sz w:val="20"/>
          <w:szCs w:val="20"/>
          <w:lang w:val="fr-CA"/>
        </w:rPr>
        <w:t xml:space="preserve">, </w:t>
      </w:r>
      <w:proofErr w:type="spellStart"/>
      <w:r w:rsidR="00195F99" w:rsidRPr="00FA3656">
        <w:rPr>
          <w:b/>
          <w:sz w:val="20"/>
          <w:szCs w:val="20"/>
          <w:lang w:val="fr-CA"/>
        </w:rPr>
        <w:t>Karakatsanis</w:t>
      </w:r>
      <w:proofErr w:type="spellEnd"/>
      <w:r w:rsidR="00195F99" w:rsidRPr="00FA3656">
        <w:rPr>
          <w:b/>
          <w:sz w:val="20"/>
          <w:szCs w:val="20"/>
          <w:lang w:val="fr-CA"/>
        </w:rPr>
        <w:t xml:space="preserve"> et </w:t>
      </w:r>
      <w:r w:rsidR="00253236" w:rsidRPr="00FA3656">
        <w:rPr>
          <w:b/>
          <w:sz w:val="20"/>
          <w:szCs w:val="20"/>
          <w:lang w:val="fr-CA"/>
        </w:rPr>
        <w:t>Côté</w:t>
      </w:r>
    </w:p>
    <w:p w:rsidR="00CB3520" w:rsidRPr="00FA3656" w:rsidRDefault="00CB3520" w:rsidP="00CB3520">
      <w:pPr>
        <w:widowControl w:val="0"/>
        <w:jc w:val="both"/>
        <w:rPr>
          <w:sz w:val="20"/>
          <w:szCs w:val="20"/>
          <w:lang w:val="fr-CA"/>
        </w:rPr>
      </w:pPr>
    </w:p>
    <w:p w:rsidR="00CB3520" w:rsidRPr="00115C9E" w:rsidRDefault="00FA3656" w:rsidP="00CB3520">
      <w:pPr>
        <w:pStyle w:val="ListParagraph"/>
        <w:widowControl w:val="0"/>
        <w:numPr>
          <w:ilvl w:val="0"/>
          <w:numId w:val="1"/>
        </w:numPr>
        <w:ind w:hanging="720"/>
        <w:jc w:val="both"/>
        <w:rPr>
          <w:sz w:val="20"/>
          <w:szCs w:val="20"/>
        </w:rPr>
      </w:pPr>
      <w:proofErr w:type="spellStart"/>
      <w:r w:rsidRPr="00FA3656">
        <w:rPr>
          <w:i/>
          <w:sz w:val="20"/>
          <w:szCs w:val="20"/>
          <w:lang w:val="en-US"/>
        </w:rPr>
        <w:t>Bongani</w:t>
      </w:r>
      <w:proofErr w:type="spellEnd"/>
      <w:r w:rsidRPr="00FA3656">
        <w:rPr>
          <w:i/>
          <w:sz w:val="20"/>
          <w:szCs w:val="20"/>
          <w:lang w:val="en-US"/>
        </w:rPr>
        <w:t xml:space="preserve"> </w:t>
      </w:r>
      <w:proofErr w:type="spellStart"/>
      <w:r w:rsidRPr="00FA3656">
        <w:rPr>
          <w:i/>
          <w:sz w:val="20"/>
          <w:szCs w:val="20"/>
          <w:lang w:val="en-US"/>
        </w:rPr>
        <w:t>Nyoni</w:t>
      </w:r>
      <w:proofErr w:type="spellEnd"/>
      <w:r w:rsidRPr="00FA3656">
        <w:rPr>
          <w:i/>
          <w:sz w:val="20"/>
          <w:szCs w:val="20"/>
          <w:lang w:val="en-US"/>
        </w:rPr>
        <w:t xml:space="preserve"> v. Her Majesty the Queen</w:t>
      </w:r>
      <w:r>
        <w:rPr>
          <w:sz w:val="20"/>
          <w:szCs w:val="20"/>
        </w:rPr>
        <w:t xml:space="preserve"> (B.C.</w:t>
      </w:r>
      <w:r w:rsidR="00CB3520" w:rsidRPr="009C5D38">
        <w:rPr>
          <w:sz w:val="20"/>
          <w:szCs w:val="20"/>
        </w:rPr>
        <w:t>) (</w:t>
      </w:r>
      <w:r>
        <w:rPr>
          <w:sz w:val="20"/>
          <w:szCs w:val="20"/>
        </w:rPr>
        <w:t>Criminal</w:t>
      </w:r>
      <w:r w:rsidR="00CB3520" w:rsidRPr="009C5D38">
        <w:rPr>
          <w:sz w:val="20"/>
          <w:szCs w:val="20"/>
        </w:rPr>
        <w:t>) (By Leave)</w:t>
      </w:r>
      <w:r>
        <w:rPr>
          <w:sz w:val="20"/>
          <w:szCs w:val="20"/>
        </w:rPr>
        <w:t xml:space="preserve"> (37943</w:t>
      </w:r>
      <w:r w:rsidR="00CB3520" w:rsidRPr="00115C9E">
        <w:rPr>
          <w:sz w:val="20"/>
          <w:szCs w:val="20"/>
        </w:rPr>
        <w:t>)</w:t>
      </w:r>
    </w:p>
    <w:p w:rsidR="00CB3520" w:rsidRPr="00115C9E" w:rsidRDefault="00CB3520" w:rsidP="00CB3520">
      <w:pPr>
        <w:widowControl w:val="0"/>
        <w:jc w:val="both"/>
        <w:rPr>
          <w:sz w:val="20"/>
          <w:szCs w:val="20"/>
        </w:rPr>
      </w:pPr>
    </w:p>
    <w:p w:rsidR="00CB3520" w:rsidRDefault="00FA3656" w:rsidP="00CB3520">
      <w:pPr>
        <w:pStyle w:val="ListParagraph"/>
        <w:widowControl w:val="0"/>
        <w:numPr>
          <w:ilvl w:val="0"/>
          <w:numId w:val="1"/>
        </w:numPr>
        <w:ind w:hanging="720"/>
        <w:jc w:val="both"/>
        <w:rPr>
          <w:sz w:val="20"/>
          <w:szCs w:val="20"/>
        </w:rPr>
      </w:pPr>
      <w:r>
        <w:rPr>
          <w:i/>
          <w:sz w:val="20"/>
          <w:szCs w:val="20"/>
        </w:rPr>
        <w:t xml:space="preserve">Brian Andrew </w:t>
      </w:r>
      <w:proofErr w:type="spellStart"/>
      <w:r>
        <w:rPr>
          <w:i/>
          <w:sz w:val="20"/>
          <w:szCs w:val="20"/>
        </w:rPr>
        <w:t>Malley</w:t>
      </w:r>
      <w:proofErr w:type="spellEnd"/>
      <w:r>
        <w:rPr>
          <w:i/>
          <w:sz w:val="20"/>
          <w:szCs w:val="20"/>
        </w:rPr>
        <w:t xml:space="preserve"> v. Her Majesty the Queen </w:t>
      </w:r>
      <w:r w:rsidR="00CB3520" w:rsidRPr="009C5D38">
        <w:rPr>
          <w:sz w:val="20"/>
          <w:szCs w:val="20"/>
        </w:rPr>
        <w:t>(</w:t>
      </w:r>
      <w:r>
        <w:rPr>
          <w:sz w:val="20"/>
          <w:szCs w:val="20"/>
        </w:rPr>
        <w:t>Alta</w:t>
      </w:r>
      <w:r w:rsidR="00CB3520" w:rsidRPr="009C5D38">
        <w:rPr>
          <w:sz w:val="20"/>
          <w:szCs w:val="20"/>
        </w:rPr>
        <w:t>.) (</w:t>
      </w:r>
      <w:r>
        <w:rPr>
          <w:sz w:val="20"/>
          <w:szCs w:val="20"/>
        </w:rPr>
        <w:t>Criminal</w:t>
      </w:r>
      <w:r w:rsidR="00CB3520" w:rsidRPr="009C5D38">
        <w:rPr>
          <w:sz w:val="20"/>
          <w:szCs w:val="20"/>
        </w:rPr>
        <w:t>) (By Leave)</w:t>
      </w:r>
      <w:r>
        <w:rPr>
          <w:sz w:val="20"/>
          <w:szCs w:val="20"/>
        </w:rPr>
        <w:t xml:space="preserve"> (37740</w:t>
      </w:r>
      <w:r w:rsidR="00CB3520" w:rsidRPr="00C50A5C">
        <w:rPr>
          <w:sz w:val="20"/>
          <w:szCs w:val="20"/>
        </w:rPr>
        <w:t>)</w:t>
      </w:r>
    </w:p>
    <w:p w:rsidR="00CB3520" w:rsidRPr="009C5D38" w:rsidRDefault="00CB3520" w:rsidP="00CB3520">
      <w:pPr>
        <w:widowControl w:val="0"/>
        <w:rPr>
          <w:i/>
          <w:sz w:val="20"/>
          <w:szCs w:val="20"/>
        </w:rPr>
      </w:pPr>
    </w:p>
    <w:p w:rsidR="00CB3520" w:rsidRPr="009C5D38" w:rsidRDefault="00FA3656" w:rsidP="00CB3520">
      <w:pPr>
        <w:pStyle w:val="ListParagraph"/>
        <w:widowControl w:val="0"/>
        <w:numPr>
          <w:ilvl w:val="0"/>
          <w:numId w:val="1"/>
        </w:numPr>
        <w:ind w:hanging="720"/>
        <w:jc w:val="both"/>
        <w:rPr>
          <w:sz w:val="20"/>
          <w:szCs w:val="20"/>
        </w:rPr>
      </w:pPr>
      <w:r>
        <w:rPr>
          <w:i/>
          <w:sz w:val="20"/>
          <w:szCs w:val="20"/>
        </w:rPr>
        <w:t xml:space="preserve">Toronto Muslim Cemetery Corp. v. Muslim Green Cemeteries Corporation </w:t>
      </w:r>
      <w:r w:rsidR="00CB3520" w:rsidRPr="009C5D38">
        <w:rPr>
          <w:sz w:val="20"/>
          <w:szCs w:val="20"/>
        </w:rPr>
        <w:t>(</w:t>
      </w:r>
      <w:r>
        <w:rPr>
          <w:sz w:val="20"/>
          <w:szCs w:val="20"/>
        </w:rPr>
        <w:t>Ont</w:t>
      </w:r>
      <w:r w:rsidR="00CB3520" w:rsidRPr="009C5D38">
        <w:rPr>
          <w:sz w:val="20"/>
          <w:szCs w:val="20"/>
        </w:rPr>
        <w:t>.) (Civil) (By Leave) (</w:t>
      </w:r>
      <w:r>
        <w:rPr>
          <w:sz w:val="20"/>
          <w:szCs w:val="20"/>
        </w:rPr>
        <w:t>37825</w:t>
      </w:r>
      <w:r w:rsidR="00CB3520" w:rsidRPr="009C5D38">
        <w:rPr>
          <w:sz w:val="20"/>
          <w:szCs w:val="20"/>
        </w:rPr>
        <w:t>)</w:t>
      </w:r>
    </w:p>
    <w:p w:rsidR="00CB3520" w:rsidRPr="009C5D38" w:rsidRDefault="00CB3520" w:rsidP="00CB3520">
      <w:pPr>
        <w:widowControl w:val="0"/>
        <w:jc w:val="both"/>
        <w:rPr>
          <w:sz w:val="20"/>
          <w:szCs w:val="20"/>
        </w:rPr>
      </w:pPr>
    </w:p>
    <w:p w:rsidR="00CB3520" w:rsidRPr="00FA3656" w:rsidRDefault="00FA3656" w:rsidP="00CB3520">
      <w:pPr>
        <w:pStyle w:val="ListParagraph"/>
        <w:widowControl w:val="0"/>
        <w:numPr>
          <w:ilvl w:val="0"/>
          <w:numId w:val="1"/>
        </w:numPr>
        <w:ind w:hanging="720"/>
        <w:jc w:val="both"/>
        <w:rPr>
          <w:sz w:val="20"/>
          <w:szCs w:val="20"/>
          <w:lang w:val="en-US"/>
        </w:rPr>
      </w:pPr>
      <w:r>
        <w:rPr>
          <w:i/>
          <w:sz w:val="20"/>
          <w:szCs w:val="20"/>
        </w:rPr>
        <w:t>Matthew Riddell v. Appel Canada Inc.</w:t>
      </w:r>
      <w:r w:rsidR="00CB3520" w:rsidRPr="009C5D38">
        <w:rPr>
          <w:sz w:val="20"/>
          <w:szCs w:val="20"/>
        </w:rPr>
        <w:t xml:space="preserve"> (</w:t>
      </w:r>
      <w:r>
        <w:rPr>
          <w:sz w:val="20"/>
          <w:szCs w:val="20"/>
        </w:rPr>
        <w:t>Ont</w:t>
      </w:r>
      <w:r w:rsidR="00CB3520" w:rsidRPr="009C5D38">
        <w:rPr>
          <w:sz w:val="20"/>
          <w:szCs w:val="20"/>
        </w:rPr>
        <w:t>.) (Civil) (By Leave)</w:t>
      </w:r>
      <w:r>
        <w:rPr>
          <w:sz w:val="20"/>
          <w:szCs w:val="20"/>
          <w:lang w:val="en-US"/>
        </w:rPr>
        <w:t xml:space="preserve"> (378</w:t>
      </w:r>
      <w:r w:rsidR="00CB3520" w:rsidRPr="00FA3656">
        <w:rPr>
          <w:sz w:val="20"/>
          <w:szCs w:val="20"/>
          <w:lang w:val="en-US"/>
        </w:rPr>
        <w:t>5</w:t>
      </w:r>
      <w:r>
        <w:rPr>
          <w:sz w:val="20"/>
          <w:szCs w:val="20"/>
          <w:lang w:val="en-US"/>
        </w:rPr>
        <w:t>8</w:t>
      </w:r>
      <w:r w:rsidR="00CB3520" w:rsidRPr="00FA3656">
        <w:rPr>
          <w:sz w:val="20"/>
          <w:szCs w:val="20"/>
          <w:lang w:val="en-US"/>
        </w:rPr>
        <w:t>)</w:t>
      </w:r>
    </w:p>
    <w:p w:rsidR="002E2327" w:rsidRPr="00CB3520" w:rsidRDefault="002E2327" w:rsidP="002E2327">
      <w:pPr>
        <w:widowControl w:val="0"/>
        <w:rPr>
          <w:sz w:val="20"/>
          <w:szCs w:val="20"/>
        </w:rPr>
      </w:pPr>
    </w:p>
    <w:p w:rsidR="002E2327" w:rsidRDefault="00227F09"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23B2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F1A8B" w:rsidRDefault="008D292F" w:rsidP="00ED7E83">
            <w:pPr>
              <w:keepNext/>
              <w:keepLines/>
              <w:jc w:val="both"/>
              <w:rPr>
                <w:b/>
                <w:szCs w:val="24"/>
                <w:lang w:val="fr-CA"/>
              </w:rPr>
            </w:pPr>
            <w:r w:rsidRPr="001F1A8B">
              <w:rPr>
                <w:b/>
                <w:szCs w:val="24"/>
                <w:lang w:val="fr-CA"/>
              </w:rPr>
              <w:t>JUGEMENTS RENDUS SUR LES DEMANDES D’AUTORISATION</w:t>
            </w:r>
          </w:p>
        </w:tc>
      </w:tr>
    </w:tbl>
    <w:p w:rsidR="008D292F" w:rsidRPr="001F1A8B" w:rsidRDefault="008D292F" w:rsidP="008D292F">
      <w:pPr>
        <w:rPr>
          <w:sz w:val="20"/>
          <w:szCs w:val="20"/>
          <w:lang w:val="fr-CA"/>
        </w:rPr>
      </w:pPr>
    </w:p>
    <w:p w:rsidR="000E2959" w:rsidRPr="00C50A5C" w:rsidRDefault="00BF624E" w:rsidP="000E2959">
      <w:pPr>
        <w:rPr>
          <w:b/>
          <w:sz w:val="20"/>
          <w:szCs w:val="20"/>
        </w:rPr>
      </w:pPr>
      <w:r>
        <w:rPr>
          <w:b/>
          <w:sz w:val="20"/>
          <w:szCs w:val="20"/>
        </w:rPr>
        <w:t>MAY 3</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 xml:space="preserve">3 MAI </w:t>
      </w:r>
      <w:r w:rsidR="0030050B">
        <w:rPr>
          <w:b/>
          <w:sz w:val="20"/>
          <w:szCs w:val="20"/>
        </w:rPr>
        <w:t>201</w:t>
      </w:r>
      <w:r w:rsidR="007B4DFF">
        <w:rPr>
          <w:b/>
          <w:sz w:val="20"/>
          <w:szCs w:val="20"/>
        </w:rPr>
        <w:t>8</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624E" w:rsidRPr="00CF0874" w:rsidTr="00A246F4">
        <w:tc>
          <w:tcPr>
            <w:tcW w:w="543" w:type="pct"/>
          </w:tcPr>
          <w:p w:rsidR="00BF624E" w:rsidRPr="00101D61" w:rsidRDefault="00BF624E" w:rsidP="00A246F4">
            <w:pPr>
              <w:jc w:val="both"/>
              <w:rPr>
                <w:sz w:val="20"/>
                <w:szCs w:val="20"/>
              </w:rPr>
            </w:pPr>
            <w:r w:rsidRPr="00101D61">
              <w:rPr>
                <w:rStyle w:val="SCCFileNumberChar"/>
                <w:sz w:val="20"/>
                <w:szCs w:val="20"/>
              </w:rPr>
              <w:t>37770</w:t>
            </w:r>
          </w:p>
        </w:tc>
        <w:tc>
          <w:tcPr>
            <w:tcW w:w="4457" w:type="pct"/>
            <w:gridSpan w:val="3"/>
          </w:tcPr>
          <w:p w:rsidR="00BF624E" w:rsidRPr="00CF0874" w:rsidRDefault="00BF624E" w:rsidP="00A246F4">
            <w:pPr>
              <w:pStyle w:val="SCCLsocParty"/>
              <w:jc w:val="both"/>
              <w:rPr>
                <w:sz w:val="20"/>
                <w:szCs w:val="20"/>
                <w:lang w:val="en-US"/>
              </w:rPr>
            </w:pPr>
            <w:r w:rsidRPr="00CF0874">
              <w:rPr>
                <w:b/>
                <w:sz w:val="20"/>
                <w:szCs w:val="20"/>
                <w:lang w:val="en-US"/>
              </w:rPr>
              <w:t xml:space="preserve">Minister of Public Safety &amp; Emergency Preparedness and Attorney General of Canada v. </w:t>
            </w:r>
            <w:proofErr w:type="spellStart"/>
            <w:r w:rsidRPr="00CF0874">
              <w:rPr>
                <w:b/>
                <w:sz w:val="20"/>
                <w:szCs w:val="20"/>
                <w:lang w:val="en-US"/>
              </w:rPr>
              <w:t>Tusif</w:t>
            </w:r>
            <w:proofErr w:type="spellEnd"/>
            <w:r w:rsidRPr="00CF0874">
              <w:rPr>
                <w:b/>
                <w:sz w:val="20"/>
                <w:szCs w:val="20"/>
                <w:lang w:val="en-US"/>
              </w:rPr>
              <w:t xml:space="preserve"> Ur </w:t>
            </w:r>
            <w:proofErr w:type="spellStart"/>
            <w:r w:rsidRPr="00CF0874">
              <w:rPr>
                <w:b/>
                <w:sz w:val="20"/>
                <w:szCs w:val="20"/>
                <w:lang w:val="en-US"/>
              </w:rPr>
              <w:t>Rehman</w:t>
            </w:r>
            <w:proofErr w:type="spellEnd"/>
            <w:r w:rsidRPr="00CF0874">
              <w:rPr>
                <w:b/>
                <w:sz w:val="20"/>
                <w:szCs w:val="20"/>
                <w:lang w:val="en-US"/>
              </w:rPr>
              <w:t xml:space="preserve"> </w:t>
            </w:r>
            <w:proofErr w:type="spellStart"/>
            <w:r w:rsidRPr="00CF0874">
              <w:rPr>
                <w:b/>
                <w:sz w:val="20"/>
                <w:szCs w:val="20"/>
                <w:lang w:val="en-US"/>
              </w:rPr>
              <w:t>Chhina</w:t>
            </w:r>
            <w:proofErr w:type="spellEnd"/>
          </w:p>
          <w:p w:rsidR="00BF624E" w:rsidRPr="00CF0874" w:rsidRDefault="00BF624E" w:rsidP="00A246F4">
            <w:pPr>
              <w:jc w:val="both"/>
              <w:rPr>
                <w:sz w:val="20"/>
              </w:rPr>
            </w:pPr>
            <w:r w:rsidRPr="00CF0874">
              <w:rPr>
                <w:sz w:val="20"/>
              </w:rPr>
              <w:t>(Alta.) (Civil) (By Leave)</w:t>
            </w:r>
          </w:p>
        </w:tc>
      </w:tr>
      <w:tr w:rsidR="00101D61" w:rsidRPr="00CF0874" w:rsidTr="00101D61">
        <w:tc>
          <w:tcPr>
            <w:tcW w:w="5000" w:type="pct"/>
            <w:gridSpan w:val="4"/>
          </w:tcPr>
          <w:p w:rsidR="00101D61" w:rsidRPr="00101D61" w:rsidRDefault="00101D61" w:rsidP="00101D61">
            <w:pPr>
              <w:jc w:val="both"/>
              <w:rPr>
                <w:sz w:val="20"/>
                <w:szCs w:val="20"/>
              </w:rPr>
            </w:pPr>
            <w:r w:rsidRPr="00101D61">
              <w:rPr>
                <w:sz w:val="20"/>
                <w:szCs w:val="20"/>
              </w:rPr>
              <w:t>The application for leave to appeal from the judgment of the</w:t>
            </w:r>
            <w:bookmarkStart w:id="2" w:name="BM_1_"/>
            <w:bookmarkEnd w:id="2"/>
            <w:r w:rsidRPr="00101D61">
              <w:rPr>
                <w:sz w:val="20"/>
                <w:szCs w:val="20"/>
              </w:rPr>
              <w:t xml:space="preserve"> Court of Appeal of Alberta (Calgary), Number 1601-0256-AC, </w:t>
            </w:r>
            <w:proofErr w:type="gramStart"/>
            <w:r w:rsidRPr="00101D61">
              <w:rPr>
                <w:sz w:val="20"/>
                <w:szCs w:val="20"/>
              </w:rPr>
              <w:t>2017</w:t>
            </w:r>
            <w:proofErr w:type="gramEnd"/>
            <w:r w:rsidRPr="00101D61">
              <w:rPr>
                <w:sz w:val="20"/>
                <w:szCs w:val="20"/>
              </w:rPr>
              <w:t xml:space="preserve"> ABCA 248, dated July 31, 2017, is granted with costs in the cause on a solicitor-client basis to the respondent. </w:t>
            </w:r>
          </w:p>
          <w:p w:rsidR="00101D61" w:rsidRPr="00101D61" w:rsidRDefault="00101D61" w:rsidP="00101D61">
            <w:pPr>
              <w:jc w:val="both"/>
              <w:rPr>
                <w:sz w:val="20"/>
                <w:szCs w:val="20"/>
              </w:rPr>
            </w:pPr>
          </w:p>
          <w:p w:rsidR="00101D61" w:rsidRPr="00101D61" w:rsidRDefault="00101D61" w:rsidP="00101D61">
            <w:pPr>
              <w:jc w:val="both"/>
              <w:rPr>
                <w:rFonts w:eastAsiaTheme="minorEastAsia" w:cs="Times New Roman"/>
                <w:sz w:val="20"/>
                <w:szCs w:val="20"/>
                <w:lang w:val="en-US" w:eastAsia="en-CA"/>
              </w:rPr>
            </w:pPr>
            <w:r w:rsidRPr="00101D61">
              <w:rPr>
                <w:rFonts w:eastAsiaTheme="minorEastAsia" w:cs="Times New Roman"/>
                <w:sz w:val="20"/>
                <w:szCs w:val="20"/>
                <w:lang w:val="en-US" w:eastAsia="en-CA"/>
              </w:rPr>
              <w:t xml:space="preserve">An oral hearing is ordered to hear the </w:t>
            </w:r>
            <w:r w:rsidRPr="00101D61">
              <w:rPr>
                <w:rFonts w:eastAsiaTheme="minorEastAsia" w:cs="Times New Roman"/>
                <w:sz w:val="20"/>
                <w:szCs w:val="20"/>
                <w:lang w:eastAsia="en-CA"/>
              </w:rPr>
              <w:t xml:space="preserve">motion by counsel for Mr. </w:t>
            </w:r>
            <w:proofErr w:type="spellStart"/>
            <w:r w:rsidRPr="00101D61">
              <w:rPr>
                <w:rFonts w:eastAsiaTheme="minorEastAsia" w:cs="Times New Roman"/>
                <w:sz w:val="20"/>
                <w:szCs w:val="20"/>
                <w:lang w:eastAsia="en-CA"/>
              </w:rPr>
              <w:t>Chhina</w:t>
            </w:r>
            <w:proofErr w:type="spellEnd"/>
            <w:r w:rsidRPr="00101D61">
              <w:rPr>
                <w:rFonts w:eastAsiaTheme="minorEastAsia" w:cs="Times New Roman"/>
                <w:sz w:val="20"/>
                <w:szCs w:val="20"/>
                <w:lang w:eastAsia="en-CA"/>
              </w:rPr>
              <w:t xml:space="preserve"> for an order directing the Attorney General of Canada to pay the fees and disbursements of counsel, for the appeal, at a reasonable rate of remuneration.</w:t>
            </w:r>
            <w:r w:rsidRPr="00101D61">
              <w:rPr>
                <w:rFonts w:eastAsiaTheme="minorEastAsia" w:cs="Times New Roman"/>
                <w:sz w:val="20"/>
                <w:szCs w:val="20"/>
                <w:lang w:val="en-US" w:eastAsia="en-CA"/>
              </w:rPr>
              <w:t xml:space="preserve"> The hearing date will be fixed by the Registrar.</w:t>
            </w:r>
          </w:p>
          <w:p w:rsidR="00101D61" w:rsidRPr="00101D61" w:rsidRDefault="00101D61" w:rsidP="00101D61">
            <w:pPr>
              <w:jc w:val="both"/>
              <w:rPr>
                <w:rFonts w:eastAsiaTheme="minorEastAsia" w:cs="Times New Roman"/>
                <w:sz w:val="20"/>
                <w:szCs w:val="20"/>
                <w:lang w:val="en-US" w:eastAsia="en-CA"/>
              </w:rPr>
            </w:pPr>
          </w:p>
          <w:p w:rsidR="00101D61" w:rsidRPr="00101D61" w:rsidRDefault="00101D61" w:rsidP="00101D61">
            <w:pPr>
              <w:pStyle w:val="SCCLsocParty"/>
              <w:jc w:val="both"/>
              <w:rPr>
                <w:b/>
                <w:sz w:val="20"/>
                <w:szCs w:val="20"/>
                <w:lang w:val="en-US"/>
              </w:rPr>
            </w:pPr>
            <w:r w:rsidRPr="00101D61">
              <w:rPr>
                <w:rFonts w:eastAsiaTheme="minorEastAsia"/>
                <w:sz w:val="20"/>
                <w:szCs w:val="20"/>
                <w:lang w:val="en-US" w:eastAsia="en-CA"/>
              </w:rPr>
              <w:t xml:space="preserve">It is further ordered that the parties are to address at the oral hearing whether Mr. </w:t>
            </w:r>
            <w:proofErr w:type="spellStart"/>
            <w:r w:rsidRPr="00101D61">
              <w:rPr>
                <w:rFonts w:eastAsiaTheme="minorEastAsia"/>
                <w:sz w:val="20"/>
                <w:szCs w:val="20"/>
                <w:lang w:val="en-US" w:eastAsia="en-CA"/>
              </w:rPr>
              <w:t>Chhina’s</w:t>
            </w:r>
            <w:proofErr w:type="spellEnd"/>
            <w:r w:rsidRPr="00101D61">
              <w:rPr>
                <w:rFonts w:eastAsiaTheme="minorEastAsia"/>
                <w:sz w:val="20"/>
                <w:szCs w:val="20"/>
                <w:lang w:val="en-US" w:eastAsia="en-CA"/>
              </w:rPr>
              <w:t xml:space="preserve"> counsel should be appointed as </w:t>
            </w:r>
            <w:r w:rsidRPr="00101D61">
              <w:rPr>
                <w:rFonts w:eastAsiaTheme="minorEastAsia"/>
                <w:i/>
                <w:iCs/>
                <w:sz w:val="20"/>
                <w:szCs w:val="20"/>
                <w:lang w:val="en-US" w:eastAsia="en-CA"/>
              </w:rPr>
              <w:t>amicus curiae</w:t>
            </w:r>
            <w:r w:rsidRPr="00101D61">
              <w:rPr>
                <w:rFonts w:eastAsiaTheme="minorEastAsia"/>
                <w:sz w:val="20"/>
                <w:szCs w:val="20"/>
                <w:lang w:val="en-US" w:eastAsia="en-CA"/>
              </w:rPr>
              <w:t xml:space="preserve"> and, if so, the terms and conditions of the appointment.</w:t>
            </w:r>
          </w:p>
        </w:tc>
      </w:tr>
      <w:tr w:rsidR="00BF624E" w:rsidRPr="00CF0874" w:rsidTr="00A246F4">
        <w:tc>
          <w:tcPr>
            <w:tcW w:w="5000" w:type="pct"/>
            <w:gridSpan w:val="4"/>
          </w:tcPr>
          <w:p w:rsidR="00BF624E" w:rsidRPr="00CF0874" w:rsidRDefault="00BF624E" w:rsidP="00A246F4">
            <w:pPr>
              <w:jc w:val="both"/>
              <w:rPr>
                <w:sz w:val="20"/>
              </w:rPr>
            </w:pPr>
            <w:r w:rsidRPr="00CF0874">
              <w:rPr>
                <w:sz w:val="20"/>
              </w:rPr>
              <w:t xml:space="preserve">Courts – Jurisdiction – </w:t>
            </w:r>
            <w:r w:rsidRPr="00CF0874">
              <w:rPr>
                <w:i/>
                <w:sz w:val="20"/>
              </w:rPr>
              <w:t>Habeas corpus</w:t>
            </w:r>
            <w:r w:rsidRPr="00CF0874">
              <w:rPr>
                <w:sz w:val="20"/>
              </w:rPr>
              <w:t xml:space="preserve"> – Immigration – Procedure – Whether there is a need to qualify the exception to </w:t>
            </w:r>
            <w:r w:rsidRPr="00CF0874">
              <w:rPr>
                <w:i/>
                <w:sz w:val="20"/>
              </w:rPr>
              <w:t>habeas corpus</w:t>
            </w:r>
            <w:r w:rsidRPr="00CF0874">
              <w:rPr>
                <w:sz w:val="20"/>
              </w:rPr>
              <w:t xml:space="preserve"> jurisdiction, that jurisdiction should be declined where Parliament has put in place a complete, comprehensive and expert statutory scheme which provides for a review at least as broad as by way of </w:t>
            </w:r>
            <w:r w:rsidRPr="00CF0874">
              <w:rPr>
                <w:i/>
                <w:sz w:val="20"/>
              </w:rPr>
              <w:t>habeas corpus</w:t>
            </w:r>
            <w:r w:rsidRPr="00CF0874">
              <w:rPr>
                <w:sz w:val="20"/>
              </w:rPr>
              <w:t xml:space="preserve"> and no less advantageous – Whether there is conflicting appellate case law on whether the immigration detention review scheme under the </w:t>
            </w:r>
            <w:hyperlink r:id="rId19" w:history="1">
              <w:r w:rsidRPr="00CF0874">
                <w:rPr>
                  <w:i/>
                  <w:sz w:val="20"/>
                </w:rPr>
                <w:t>Immigration and Refugee Protection Act</w:t>
              </w:r>
              <w:r w:rsidRPr="00CF0874">
                <w:rPr>
                  <w:sz w:val="20"/>
                </w:rPr>
                <w:t>, S.C. 2001, c. 27</w:t>
              </w:r>
            </w:hyperlink>
            <w:r w:rsidRPr="00CF0874">
              <w:rPr>
                <w:sz w:val="20"/>
              </w:rPr>
              <w:t xml:space="preserve">, is as advantageous as </w:t>
            </w:r>
            <w:r w:rsidRPr="00CF0874">
              <w:rPr>
                <w:i/>
                <w:sz w:val="20"/>
              </w:rPr>
              <w:t>habeas corpus</w:t>
            </w:r>
            <w:r w:rsidRPr="00CF0874">
              <w:rPr>
                <w:sz w:val="20"/>
              </w:rPr>
              <w:t xml:space="preserve"> – Whether the relative jurisdictions of the superior and federal courts needs clarification?</w:t>
            </w:r>
          </w:p>
        </w:tc>
      </w:tr>
      <w:tr w:rsidR="00BF624E" w:rsidRPr="00CF0874" w:rsidTr="00A246F4">
        <w:tc>
          <w:tcPr>
            <w:tcW w:w="5000" w:type="pct"/>
            <w:gridSpan w:val="4"/>
          </w:tcPr>
          <w:p w:rsidR="00BF624E" w:rsidRPr="00CF0874" w:rsidRDefault="00BF624E" w:rsidP="00A246F4">
            <w:pPr>
              <w:jc w:val="both"/>
              <w:rPr>
                <w:sz w:val="20"/>
              </w:rPr>
            </w:pPr>
          </w:p>
        </w:tc>
      </w:tr>
      <w:tr w:rsidR="00BF624E" w:rsidRPr="00CF0874" w:rsidTr="00A246F4">
        <w:tc>
          <w:tcPr>
            <w:tcW w:w="5000" w:type="pct"/>
            <w:gridSpan w:val="4"/>
          </w:tcPr>
          <w:p w:rsidR="00BF624E" w:rsidRPr="00CF0874" w:rsidRDefault="00BF624E" w:rsidP="00A246F4">
            <w:pPr>
              <w:jc w:val="both"/>
              <w:rPr>
                <w:sz w:val="20"/>
              </w:rPr>
            </w:pPr>
            <w:r w:rsidRPr="00CF0874">
              <w:rPr>
                <w:sz w:val="20"/>
              </w:rPr>
              <w:t>Mr. </w:t>
            </w:r>
            <w:proofErr w:type="spellStart"/>
            <w:r w:rsidRPr="00CF0874">
              <w:rPr>
                <w:sz w:val="20"/>
              </w:rPr>
              <w:t>Chhina</w:t>
            </w:r>
            <w:proofErr w:type="spellEnd"/>
            <w:r w:rsidRPr="00CF0874">
              <w:rPr>
                <w:sz w:val="20"/>
              </w:rPr>
              <w:t xml:space="preserve"> lost his refugee status and was removed from Canada in September 2017. While in immigration detention from November 17, 2015 until he was deported, he had detention reviews. After 12 reviews ended with decisions to continue detention, he applied to the Court of Queen’s Bench for </w:t>
            </w:r>
            <w:r w:rsidRPr="00CF0874">
              <w:rPr>
                <w:i/>
                <w:sz w:val="20"/>
              </w:rPr>
              <w:t>habeas corpus</w:t>
            </w:r>
            <w:r w:rsidRPr="00CF0874">
              <w:rPr>
                <w:sz w:val="20"/>
              </w:rPr>
              <w:t xml:space="preserve"> asserting breaches of the</w:t>
            </w:r>
            <w:r w:rsidRPr="00CF0874">
              <w:rPr>
                <w:i/>
                <w:sz w:val="20"/>
              </w:rPr>
              <w:t xml:space="preserve"> Charter of Rights and Freedoms</w:t>
            </w:r>
            <w:r w:rsidRPr="00CF0874">
              <w:rPr>
                <w:sz w:val="20"/>
              </w:rPr>
              <w:t xml:space="preserve">. Mahoney J. held that he did not have jurisdiction to hear the </w:t>
            </w:r>
            <w:r w:rsidRPr="00CF0874">
              <w:rPr>
                <w:i/>
                <w:sz w:val="20"/>
              </w:rPr>
              <w:t>habeas corpus</w:t>
            </w:r>
            <w:r w:rsidRPr="00CF0874">
              <w:rPr>
                <w:sz w:val="20"/>
              </w:rPr>
              <w:t xml:space="preserve"> application because an immigration detainee can seek judicial review of immigration detention decisions pursuant to a comprehensive and an expert procedure under the </w:t>
            </w:r>
            <w:hyperlink r:id="rId20" w:history="1">
              <w:r w:rsidRPr="00CF0874">
                <w:rPr>
                  <w:i/>
                  <w:sz w:val="20"/>
                </w:rPr>
                <w:t>Immigration and Refugee Protection Act</w:t>
              </w:r>
              <w:r w:rsidRPr="00CF0874">
                <w:rPr>
                  <w:sz w:val="20"/>
                </w:rPr>
                <w:t>, S.C. 2001, c. 27</w:t>
              </w:r>
            </w:hyperlink>
            <w:r w:rsidRPr="00CF0874">
              <w:rPr>
                <w:sz w:val="20"/>
              </w:rPr>
              <w:t>. The Cou</w:t>
            </w:r>
            <w:r>
              <w:rPr>
                <w:sz w:val="20"/>
              </w:rPr>
              <w:t>rt of Appeal allowed an appeal.</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September 2, 2016</w:t>
            </w:r>
          </w:p>
          <w:p w:rsidR="00BF624E" w:rsidRPr="00CF0874" w:rsidRDefault="00BF624E" w:rsidP="00A246F4">
            <w:pPr>
              <w:jc w:val="both"/>
              <w:rPr>
                <w:sz w:val="20"/>
              </w:rPr>
            </w:pPr>
            <w:r w:rsidRPr="00CF0874">
              <w:rPr>
                <w:sz w:val="20"/>
              </w:rPr>
              <w:t>Court of Queen’s Bench of Alberta</w:t>
            </w:r>
          </w:p>
          <w:p w:rsidR="00BF624E" w:rsidRPr="00CF0874" w:rsidRDefault="00BF624E" w:rsidP="00A246F4">
            <w:pPr>
              <w:jc w:val="both"/>
              <w:rPr>
                <w:sz w:val="20"/>
              </w:rPr>
            </w:pPr>
            <w:r w:rsidRPr="00CF0874">
              <w:rPr>
                <w:sz w:val="20"/>
              </w:rPr>
              <w:t>(Mahoney J.)(Unreported)</w:t>
            </w:r>
          </w:p>
          <w:p w:rsidR="00BF624E" w:rsidRPr="00CF0874" w:rsidRDefault="00BF624E" w:rsidP="00A246F4">
            <w:pPr>
              <w:jc w:val="both"/>
              <w:rPr>
                <w:sz w:val="20"/>
              </w:rPr>
            </w:pP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 xml:space="preserve">Application for </w:t>
            </w:r>
            <w:r w:rsidRPr="00CF0874">
              <w:rPr>
                <w:sz w:val="20"/>
                <w:lang w:val="en"/>
              </w:rPr>
              <w:t xml:space="preserve">writ of </w:t>
            </w:r>
            <w:r w:rsidRPr="00CF0874">
              <w:rPr>
                <w:i/>
                <w:iCs/>
                <w:sz w:val="20"/>
                <w:lang w:val="en"/>
              </w:rPr>
              <w:t>habeas corpus</w:t>
            </w:r>
            <w:r w:rsidRPr="00CF0874">
              <w:rPr>
                <w:sz w:val="20"/>
                <w:lang w:val="en"/>
              </w:rPr>
              <w:t xml:space="preserve"> dismissed</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July 31, 2017</w:t>
            </w:r>
          </w:p>
          <w:p w:rsidR="00BF624E" w:rsidRPr="00CF0874" w:rsidRDefault="00BF624E" w:rsidP="00A246F4">
            <w:pPr>
              <w:jc w:val="both"/>
              <w:rPr>
                <w:sz w:val="20"/>
              </w:rPr>
            </w:pPr>
            <w:r w:rsidRPr="00CF0874">
              <w:rPr>
                <w:sz w:val="20"/>
              </w:rPr>
              <w:t>Court of Appeal of Alberta (Calgary)</w:t>
            </w:r>
          </w:p>
          <w:p w:rsidR="00BF624E" w:rsidRPr="00CF0874" w:rsidRDefault="00BF624E" w:rsidP="00A246F4">
            <w:pPr>
              <w:jc w:val="both"/>
              <w:rPr>
                <w:sz w:val="20"/>
              </w:rPr>
            </w:pPr>
            <w:r w:rsidRPr="00CF0874">
              <w:rPr>
                <w:sz w:val="20"/>
              </w:rPr>
              <w:t>(</w:t>
            </w:r>
            <w:proofErr w:type="spellStart"/>
            <w:r w:rsidRPr="00CF0874">
              <w:rPr>
                <w:sz w:val="20"/>
              </w:rPr>
              <w:t>Paperny</w:t>
            </w:r>
            <w:bookmarkStart w:id="3" w:name="JusticeName2"/>
            <w:proofErr w:type="spellEnd"/>
            <w:r w:rsidRPr="00CF0874">
              <w:rPr>
                <w:sz w:val="20"/>
              </w:rPr>
              <w:t xml:space="preserve">, </w:t>
            </w:r>
            <w:proofErr w:type="spellStart"/>
            <w:r w:rsidRPr="00CF0874">
              <w:rPr>
                <w:sz w:val="20"/>
              </w:rPr>
              <w:t>O’Ferrall</w:t>
            </w:r>
            <w:bookmarkStart w:id="4" w:name="JusticeName3"/>
            <w:bookmarkEnd w:id="3"/>
            <w:proofErr w:type="spellEnd"/>
            <w:r w:rsidRPr="00CF0874">
              <w:rPr>
                <w:sz w:val="20"/>
              </w:rPr>
              <w:t xml:space="preserve">, </w:t>
            </w:r>
            <w:proofErr w:type="spellStart"/>
            <w:r w:rsidRPr="00CF0874">
              <w:rPr>
                <w:sz w:val="20"/>
              </w:rPr>
              <w:t>Greckol</w:t>
            </w:r>
            <w:bookmarkStart w:id="5" w:name="JusticeTitleEnd"/>
            <w:bookmarkEnd w:id="4"/>
            <w:bookmarkEnd w:id="5"/>
            <w:proofErr w:type="spellEnd"/>
            <w:r w:rsidRPr="00CF0874">
              <w:rPr>
                <w:sz w:val="20"/>
              </w:rPr>
              <w:t xml:space="preserve"> JJ.A.)</w:t>
            </w:r>
          </w:p>
          <w:p w:rsidR="00BF624E" w:rsidRPr="00CF0874" w:rsidRDefault="00BF624E" w:rsidP="00A246F4">
            <w:pPr>
              <w:jc w:val="both"/>
              <w:rPr>
                <w:rStyle w:val="Hyperlink"/>
                <w:sz w:val="20"/>
              </w:rPr>
            </w:pPr>
            <w:r w:rsidRPr="00CF0874">
              <w:rPr>
                <w:sz w:val="20"/>
              </w:rPr>
              <w:t xml:space="preserve">1601-0256-AC; </w:t>
            </w:r>
            <w:hyperlink r:id="rId21" w:history="1">
              <w:r w:rsidRPr="00CF0874">
                <w:rPr>
                  <w:rStyle w:val="Hyperlink"/>
                  <w:sz w:val="20"/>
                </w:rPr>
                <w:t>2017 ABCA 248</w:t>
              </w:r>
            </w:hyperlink>
          </w:p>
          <w:p w:rsidR="00BF624E" w:rsidRPr="00CF0874" w:rsidRDefault="00BF624E" w:rsidP="00A246F4">
            <w:pPr>
              <w:jc w:val="both"/>
              <w:rPr>
                <w:sz w:val="20"/>
              </w:rPr>
            </w:pP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Appeal allowed</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September 28, 2017</w:t>
            </w:r>
          </w:p>
          <w:p w:rsidR="00BF624E" w:rsidRPr="00CF0874" w:rsidRDefault="00BF624E" w:rsidP="00A246F4">
            <w:pPr>
              <w:jc w:val="both"/>
              <w:rPr>
                <w:sz w:val="20"/>
              </w:rPr>
            </w:pPr>
            <w:r w:rsidRPr="00CF0874">
              <w:rPr>
                <w:sz w:val="20"/>
              </w:rPr>
              <w:t>Supreme Court of Canada</w:t>
            </w: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Application for leave to appeal filed</w:t>
            </w:r>
          </w:p>
          <w:p w:rsidR="00BF624E" w:rsidRPr="00CF0874" w:rsidRDefault="00BF624E" w:rsidP="00A246F4">
            <w:pPr>
              <w:jc w:val="both"/>
              <w:rPr>
                <w:sz w:val="20"/>
              </w:rPr>
            </w:pPr>
          </w:p>
        </w:tc>
      </w:tr>
    </w:tbl>
    <w:p w:rsidR="00BF624E" w:rsidRPr="00CF0874" w:rsidRDefault="00BF624E" w:rsidP="00BF624E">
      <w:pPr>
        <w:jc w:val="both"/>
        <w:rPr>
          <w:sz w:val="20"/>
        </w:rPr>
      </w:pPr>
    </w:p>
    <w:p w:rsidR="00BF624E" w:rsidRDefault="00BF624E">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624E" w:rsidRPr="00CF0874" w:rsidTr="00A246F4">
        <w:tc>
          <w:tcPr>
            <w:tcW w:w="543" w:type="pct"/>
          </w:tcPr>
          <w:p w:rsidR="00BF624E" w:rsidRPr="00CF0874" w:rsidRDefault="00BF624E" w:rsidP="00A246F4">
            <w:pPr>
              <w:jc w:val="both"/>
              <w:rPr>
                <w:sz w:val="20"/>
                <w:lang w:val="fr-CA"/>
              </w:rPr>
            </w:pPr>
            <w:r w:rsidRPr="00CF0874">
              <w:rPr>
                <w:rStyle w:val="SCCFileNumberChar"/>
                <w:sz w:val="20"/>
                <w:szCs w:val="20"/>
                <w:lang w:val="fr-CA"/>
              </w:rPr>
              <w:lastRenderedPageBreak/>
              <w:t>37770</w:t>
            </w:r>
          </w:p>
        </w:tc>
        <w:tc>
          <w:tcPr>
            <w:tcW w:w="4457" w:type="pct"/>
            <w:gridSpan w:val="3"/>
          </w:tcPr>
          <w:p w:rsidR="00BF624E" w:rsidRPr="00CF0874" w:rsidRDefault="00BF624E" w:rsidP="00A246F4">
            <w:pPr>
              <w:pStyle w:val="SCCLsocParty"/>
              <w:jc w:val="both"/>
              <w:rPr>
                <w:b/>
                <w:sz w:val="20"/>
                <w:szCs w:val="20"/>
              </w:rPr>
            </w:pPr>
            <w:r w:rsidRPr="00CF0874">
              <w:rPr>
                <w:b/>
                <w:sz w:val="20"/>
                <w:szCs w:val="20"/>
              </w:rPr>
              <w:t>Ministre de la Sécurité publique</w:t>
            </w:r>
            <w:r w:rsidR="00214047">
              <w:rPr>
                <w:b/>
                <w:sz w:val="20"/>
                <w:szCs w:val="20"/>
              </w:rPr>
              <w:t xml:space="preserve"> et de la Protection civile et P</w:t>
            </w:r>
            <w:r w:rsidRPr="00CF0874">
              <w:rPr>
                <w:b/>
                <w:sz w:val="20"/>
                <w:szCs w:val="20"/>
              </w:rPr>
              <w:t xml:space="preserve">rocureur général du Canada c. </w:t>
            </w:r>
            <w:proofErr w:type="spellStart"/>
            <w:r w:rsidRPr="00CF0874">
              <w:rPr>
                <w:b/>
                <w:sz w:val="20"/>
                <w:szCs w:val="20"/>
              </w:rPr>
              <w:t>Tusif</w:t>
            </w:r>
            <w:proofErr w:type="spellEnd"/>
            <w:r w:rsidRPr="00CF0874">
              <w:rPr>
                <w:b/>
                <w:sz w:val="20"/>
                <w:szCs w:val="20"/>
              </w:rPr>
              <w:t xml:space="preserve"> Ur </w:t>
            </w:r>
            <w:proofErr w:type="spellStart"/>
            <w:r w:rsidRPr="00CF0874">
              <w:rPr>
                <w:b/>
                <w:sz w:val="20"/>
                <w:szCs w:val="20"/>
              </w:rPr>
              <w:t>Rehman</w:t>
            </w:r>
            <w:proofErr w:type="spellEnd"/>
            <w:r w:rsidRPr="00CF0874">
              <w:rPr>
                <w:b/>
                <w:sz w:val="20"/>
                <w:szCs w:val="20"/>
              </w:rPr>
              <w:t xml:space="preserve"> </w:t>
            </w:r>
            <w:proofErr w:type="spellStart"/>
            <w:r w:rsidRPr="00CF0874">
              <w:rPr>
                <w:b/>
                <w:sz w:val="20"/>
                <w:szCs w:val="20"/>
              </w:rPr>
              <w:t>Chhina</w:t>
            </w:r>
            <w:proofErr w:type="spellEnd"/>
          </w:p>
          <w:p w:rsidR="00BF624E" w:rsidRPr="00CF0874" w:rsidRDefault="00BF624E" w:rsidP="00A246F4">
            <w:pPr>
              <w:jc w:val="both"/>
              <w:rPr>
                <w:sz w:val="20"/>
                <w:lang w:val="fr-CA"/>
              </w:rPr>
            </w:pPr>
            <w:r w:rsidRPr="00CF0874">
              <w:rPr>
                <w:sz w:val="20"/>
                <w:lang w:val="fr-CA"/>
              </w:rPr>
              <w:t>(</w:t>
            </w:r>
            <w:proofErr w:type="spellStart"/>
            <w:r w:rsidRPr="00CF0874">
              <w:rPr>
                <w:sz w:val="20"/>
                <w:lang w:val="fr-CA"/>
              </w:rPr>
              <w:t>Alb</w:t>
            </w:r>
            <w:proofErr w:type="spellEnd"/>
            <w:r w:rsidRPr="00CF0874">
              <w:rPr>
                <w:sz w:val="20"/>
                <w:lang w:val="fr-CA"/>
              </w:rPr>
              <w:t>.) (Civile) (Sur autorisation)</w:t>
            </w:r>
          </w:p>
        </w:tc>
      </w:tr>
      <w:tr w:rsidR="00950B7E" w:rsidRPr="00D23B2D" w:rsidTr="00950B7E">
        <w:tc>
          <w:tcPr>
            <w:tcW w:w="5000" w:type="pct"/>
            <w:gridSpan w:val="4"/>
          </w:tcPr>
          <w:p w:rsidR="00950B7E" w:rsidRPr="00950B7E" w:rsidRDefault="00950B7E" w:rsidP="00950B7E">
            <w:pPr>
              <w:jc w:val="both"/>
              <w:rPr>
                <w:sz w:val="20"/>
                <w:lang w:val="fr-CA"/>
              </w:rPr>
            </w:pPr>
            <w:r w:rsidRPr="00950B7E">
              <w:rPr>
                <w:sz w:val="20"/>
                <w:lang w:val="fr-CA"/>
              </w:rPr>
              <w:t>La demande d’autorisation d’appel de l’arrêt de la Cour d’appel de l’Alberta (Calgary), numéro 1601-0256-AC, 2017 ABCA 248, daté du 31 juillet 2017, est accordée avec dépens suivant l’issue de la cause sur la base procureur-client en faveur de l’intimé.</w:t>
            </w:r>
          </w:p>
          <w:p w:rsidR="00950B7E" w:rsidRPr="00950B7E" w:rsidRDefault="00950B7E" w:rsidP="00950B7E">
            <w:pPr>
              <w:jc w:val="both"/>
              <w:rPr>
                <w:sz w:val="20"/>
                <w:lang w:val="fr-CA"/>
              </w:rPr>
            </w:pPr>
            <w:r w:rsidRPr="00950B7E">
              <w:rPr>
                <w:sz w:val="20"/>
                <w:lang w:val="fr-CA"/>
              </w:rPr>
              <w:t xml:space="preserve"> </w:t>
            </w:r>
          </w:p>
          <w:p w:rsidR="00950B7E" w:rsidRPr="00834003" w:rsidRDefault="00950B7E" w:rsidP="00950B7E">
            <w:pPr>
              <w:jc w:val="both"/>
              <w:rPr>
                <w:rFonts w:eastAsiaTheme="minorEastAsia" w:cs="Times New Roman"/>
                <w:sz w:val="20"/>
                <w:szCs w:val="24"/>
                <w:lang w:val="fr-CA" w:eastAsia="en-CA"/>
              </w:rPr>
            </w:pPr>
            <w:r w:rsidRPr="00950B7E">
              <w:rPr>
                <w:rFonts w:eastAsiaTheme="minorEastAsia" w:cs="Times New Roman"/>
                <w:sz w:val="20"/>
                <w:szCs w:val="24"/>
                <w:lang w:val="fr-CA" w:eastAsia="en-CA"/>
              </w:rPr>
              <w:t xml:space="preserve">La tenue d’une audience est ordonnée en vue de l’instruction de la requête de l’avocat de M. </w:t>
            </w:r>
            <w:proofErr w:type="spellStart"/>
            <w:r w:rsidRPr="00950B7E">
              <w:rPr>
                <w:rFonts w:eastAsiaTheme="minorEastAsia" w:cs="Times New Roman"/>
                <w:sz w:val="20"/>
                <w:szCs w:val="24"/>
                <w:lang w:val="fr-CA" w:eastAsia="en-CA"/>
              </w:rPr>
              <w:t>Chhina</w:t>
            </w:r>
            <w:proofErr w:type="spellEnd"/>
            <w:r w:rsidRPr="00950B7E">
              <w:rPr>
                <w:rFonts w:eastAsiaTheme="minorEastAsia" w:cs="Times New Roman"/>
                <w:sz w:val="20"/>
                <w:szCs w:val="24"/>
                <w:lang w:val="fr-CA" w:eastAsia="en-CA"/>
              </w:rPr>
              <w:t xml:space="preserve">, qui vise à obtenir une ordonnance enjoignant au procureur général du Canada de payer les honoraires et les débours de l’avocat, pour l’appel, à un taux de rémunération raisonnable. </w:t>
            </w:r>
            <w:r w:rsidRPr="00834003">
              <w:rPr>
                <w:rFonts w:eastAsiaTheme="minorEastAsia" w:cs="Times New Roman"/>
                <w:sz w:val="20"/>
                <w:szCs w:val="24"/>
                <w:lang w:val="fr-CA" w:eastAsia="en-CA"/>
              </w:rPr>
              <w:t>La date d’audience sera fixée par le registraire.</w:t>
            </w:r>
          </w:p>
          <w:p w:rsidR="00950B7E" w:rsidRPr="00CF0874" w:rsidRDefault="00950B7E" w:rsidP="00950B7E">
            <w:pPr>
              <w:pStyle w:val="SCCLsocParty"/>
              <w:jc w:val="both"/>
              <w:rPr>
                <w:b/>
                <w:sz w:val="20"/>
                <w:szCs w:val="20"/>
              </w:rPr>
            </w:pPr>
            <w:r w:rsidRPr="00950B7E">
              <w:rPr>
                <w:rFonts w:eastAsiaTheme="minorEastAsia"/>
                <w:sz w:val="20"/>
                <w:szCs w:val="24"/>
                <w:lang w:eastAsia="en-CA"/>
              </w:rPr>
              <w:t xml:space="preserve">Il est en outre ordonné que lors de l’audience, les parties devront aborder la question de savoir si l’avocat de M. </w:t>
            </w:r>
            <w:proofErr w:type="spellStart"/>
            <w:r w:rsidRPr="00950B7E">
              <w:rPr>
                <w:rFonts w:eastAsiaTheme="minorEastAsia"/>
                <w:sz w:val="20"/>
                <w:szCs w:val="24"/>
                <w:lang w:eastAsia="en-CA"/>
              </w:rPr>
              <w:t>Chhina</w:t>
            </w:r>
            <w:proofErr w:type="spellEnd"/>
            <w:r w:rsidRPr="00950B7E">
              <w:rPr>
                <w:rFonts w:eastAsiaTheme="minorEastAsia"/>
                <w:sz w:val="20"/>
                <w:szCs w:val="24"/>
                <w:lang w:eastAsia="en-CA"/>
              </w:rPr>
              <w:t xml:space="preserve"> devrait être nommé </w:t>
            </w:r>
            <w:proofErr w:type="spellStart"/>
            <w:r w:rsidRPr="00950B7E">
              <w:rPr>
                <w:rFonts w:eastAsiaTheme="minorEastAsia"/>
                <w:i/>
                <w:sz w:val="20"/>
                <w:szCs w:val="24"/>
                <w:lang w:eastAsia="en-CA"/>
              </w:rPr>
              <w:t>amicus</w:t>
            </w:r>
            <w:proofErr w:type="spellEnd"/>
            <w:r w:rsidRPr="00950B7E">
              <w:rPr>
                <w:rFonts w:eastAsiaTheme="minorEastAsia"/>
                <w:i/>
                <w:sz w:val="20"/>
                <w:szCs w:val="24"/>
                <w:lang w:eastAsia="en-CA"/>
              </w:rPr>
              <w:t xml:space="preserve"> </w:t>
            </w:r>
            <w:proofErr w:type="spellStart"/>
            <w:r w:rsidRPr="00950B7E">
              <w:rPr>
                <w:rFonts w:eastAsiaTheme="minorEastAsia"/>
                <w:i/>
                <w:sz w:val="20"/>
                <w:szCs w:val="24"/>
                <w:lang w:eastAsia="en-CA"/>
              </w:rPr>
              <w:t>curiae</w:t>
            </w:r>
            <w:proofErr w:type="spellEnd"/>
            <w:r w:rsidRPr="00950B7E">
              <w:rPr>
                <w:rFonts w:eastAsiaTheme="minorEastAsia"/>
                <w:sz w:val="20"/>
                <w:szCs w:val="24"/>
                <w:lang w:eastAsia="en-CA"/>
              </w:rPr>
              <w:t xml:space="preserve"> et, le cas échéant, elles devront établir les modalités de sa nomination.</w:t>
            </w:r>
          </w:p>
        </w:tc>
      </w:tr>
      <w:tr w:rsidR="00BF624E" w:rsidRPr="00D23B2D" w:rsidTr="00A246F4">
        <w:tc>
          <w:tcPr>
            <w:tcW w:w="5000" w:type="pct"/>
            <w:gridSpan w:val="4"/>
          </w:tcPr>
          <w:p w:rsidR="00BF624E" w:rsidRPr="00CF0874" w:rsidRDefault="00BF624E" w:rsidP="00A246F4">
            <w:pPr>
              <w:jc w:val="both"/>
              <w:rPr>
                <w:sz w:val="20"/>
                <w:lang w:val="fr-CA"/>
              </w:rPr>
            </w:pPr>
            <w:r w:rsidRPr="00CF0874">
              <w:rPr>
                <w:sz w:val="20"/>
                <w:lang w:val="fr-CA"/>
              </w:rPr>
              <w:t xml:space="preserve">Tribunaux – Compétence – </w:t>
            </w:r>
            <w:r w:rsidRPr="00CF0874">
              <w:rPr>
                <w:i/>
                <w:sz w:val="20"/>
                <w:lang w:val="fr-CA"/>
              </w:rPr>
              <w:t>Habeas corpus</w:t>
            </w:r>
            <w:r w:rsidRPr="00CF0874">
              <w:rPr>
                <w:sz w:val="20"/>
                <w:lang w:val="fr-CA"/>
              </w:rPr>
              <w:t xml:space="preserve"> – Immigration – Procédure – Y </w:t>
            </w:r>
            <w:proofErr w:type="spellStart"/>
            <w:r w:rsidRPr="00CF0874">
              <w:rPr>
                <w:sz w:val="20"/>
                <w:lang w:val="fr-CA"/>
              </w:rPr>
              <w:t>a-t-il</w:t>
            </w:r>
            <w:proofErr w:type="spellEnd"/>
            <w:r w:rsidRPr="00CF0874">
              <w:rPr>
                <w:sz w:val="20"/>
                <w:lang w:val="fr-CA"/>
              </w:rPr>
              <w:t xml:space="preserve"> lieu de nuancer l’exception à la compétence relative à l’</w:t>
            </w:r>
            <w:r w:rsidRPr="00CF0874">
              <w:rPr>
                <w:i/>
                <w:sz w:val="20"/>
                <w:lang w:val="fr-CA"/>
              </w:rPr>
              <w:t>habeas corpus</w:t>
            </w:r>
            <w:r w:rsidRPr="00CF0874">
              <w:rPr>
                <w:sz w:val="20"/>
                <w:lang w:val="fr-CA"/>
              </w:rPr>
              <w:t xml:space="preserve"> selon laquelle il faut décliner cette compétence lorsque le législateur a mis en place un régime complet, exhaustif et spécialisé prévoyant une procédure d’examen au moins aussi large et aussi avantageuse que celle de l’</w:t>
            </w:r>
            <w:r w:rsidRPr="00CF0874">
              <w:rPr>
                <w:i/>
                <w:iCs/>
                <w:sz w:val="20"/>
                <w:lang w:val="fr-CA"/>
              </w:rPr>
              <w:t>habeas corpus</w:t>
            </w:r>
            <w:r w:rsidRPr="00CF0874">
              <w:rPr>
                <w:sz w:val="20"/>
                <w:lang w:val="fr-CA"/>
              </w:rPr>
              <w:t xml:space="preserve">? – La jurisprudence en appel est-elle contradictoire sur la question de savoir si le régime d’examen des détentions en matière d’immigration en application de la </w:t>
            </w:r>
            <w:hyperlink r:id="rId22" w:history="1">
              <w:r w:rsidRPr="00CF0874">
                <w:rPr>
                  <w:i/>
                  <w:sz w:val="20"/>
                  <w:lang w:val="fr-CA"/>
                </w:rPr>
                <w:t>Loi sur l’immigration et la protection des réfugiés</w:t>
              </w:r>
              <w:r w:rsidRPr="00CF0874">
                <w:rPr>
                  <w:sz w:val="20"/>
                  <w:lang w:val="fr-CA"/>
                </w:rPr>
                <w:t>, L.C. 2001, ch. 27</w:t>
              </w:r>
            </w:hyperlink>
            <w:r w:rsidRPr="00CF0874">
              <w:rPr>
                <w:sz w:val="20"/>
                <w:lang w:val="fr-CA"/>
              </w:rPr>
              <w:t>, est aussi avantageux que celui de l’</w:t>
            </w:r>
            <w:r w:rsidRPr="00CF0874">
              <w:rPr>
                <w:i/>
                <w:sz w:val="20"/>
                <w:lang w:val="fr-CA"/>
              </w:rPr>
              <w:t>habeas corpus</w:t>
            </w:r>
            <w:r w:rsidRPr="00CF0874">
              <w:rPr>
                <w:sz w:val="20"/>
                <w:lang w:val="fr-CA"/>
              </w:rPr>
              <w:t>? – Les compétences relatives des cours supérieures et des cours fédérales doivent-elles être clarifiées?</w:t>
            </w:r>
          </w:p>
        </w:tc>
      </w:tr>
      <w:tr w:rsidR="00BF624E" w:rsidRPr="00D23B2D" w:rsidTr="00A246F4">
        <w:tc>
          <w:tcPr>
            <w:tcW w:w="5000" w:type="pct"/>
            <w:gridSpan w:val="4"/>
          </w:tcPr>
          <w:p w:rsidR="00BF624E" w:rsidRPr="00CF0874" w:rsidRDefault="00BF624E" w:rsidP="00A246F4">
            <w:pPr>
              <w:jc w:val="both"/>
              <w:rPr>
                <w:sz w:val="20"/>
                <w:lang w:val="fr-CA"/>
              </w:rPr>
            </w:pPr>
          </w:p>
        </w:tc>
      </w:tr>
      <w:tr w:rsidR="00BF624E" w:rsidRPr="00CF0874" w:rsidTr="00A246F4">
        <w:tc>
          <w:tcPr>
            <w:tcW w:w="5000" w:type="pct"/>
            <w:gridSpan w:val="4"/>
          </w:tcPr>
          <w:p w:rsidR="00BF624E" w:rsidRPr="00CF0874" w:rsidRDefault="00BF624E" w:rsidP="00A246F4">
            <w:pPr>
              <w:jc w:val="both"/>
              <w:rPr>
                <w:sz w:val="20"/>
                <w:lang w:val="fr-CA"/>
              </w:rPr>
            </w:pPr>
            <w:r w:rsidRPr="00CF0874">
              <w:rPr>
                <w:sz w:val="20"/>
                <w:lang w:val="fr-CA"/>
              </w:rPr>
              <w:t xml:space="preserve">Monsieur </w:t>
            </w:r>
            <w:proofErr w:type="spellStart"/>
            <w:r w:rsidRPr="00CF0874">
              <w:rPr>
                <w:sz w:val="20"/>
                <w:lang w:val="fr-CA"/>
              </w:rPr>
              <w:t>Chhina</w:t>
            </w:r>
            <w:proofErr w:type="spellEnd"/>
            <w:r w:rsidRPr="00CF0874">
              <w:rPr>
                <w:sz w:val="20"/>
                <w:lang w:val="fr-CA"/>
              </w:rPr>
              <w:t xml:space="preserve"> a perdu son statut de réfugié et a été renvoyé du Canada en septembre 2017. Pendant sa détention en matière d’immigration, du 17 novembre 2015 jusqu’à son expulsion, il a été l’objet d’examens des motifs de détention. Après que douze examens se sont soldés par des décisions de maintenir la détention, il a présenté à la Cour du Banc de la Reine une demande d’</w:t>
            </w:r>
            <w:r w:rsidRPr="00CF0874">
              <w:rPr>
                <w:i/>
                <w:sz w:val="20"/>
                <w:lang w:val="fr-CA"/>
              </w:rPr>
              <w:t>habeas corpus</w:t>
            </w:r>
            <w:r w:rsidRPr="00CF0874">
              <w:rPr>
                <w:sz w:val="20"/>
                <w:lang w:val="fr-CA"/>
              </w:rPr>
              <w:t xml:space="preserve">, alléguant des violations de la </w:t>
            </w:r>
            <w:r w:rsidRPr="00CF0874">
              <w:rPr>
                <w:i/>
                <w:sz w:val="20"/>
                <w:lang w:val="fr-CA"/>
              </w:rPr>
              <w:t>Charte des droits et libertés</w:t>
            </w:r>
            <w:r w:rsidRPr="00CF0874">
              <w:rPr>
                <w:sz w:val="20"/>
                <w:lang w:val="fr-CA"/>
              </w:rPr>
              <w:t xml:space="preserve">. Le juge </w:t>
            </w:r>
            <w:proofErr w:type="spellStart"/>
            <w:r w:rsidRPr="00CF0874">
              <w:rPr>
                <w:sz w:val="20"/>
                <w:lang w:val="fr-CA"/>
              </w:rPr>
              <w:t>Mahoney</w:t>
            </w:r>
            <w:proofErr w:type="spellEnd"/>
            <w:r w:rsidRPr="00CF0874">
              <w:rPr>
                <w:sz w:val="20"/>
                <w:lang w:val="fr-CA"/>
              </w:rPr>
              <w:t xml:space="preserve"> a statué qu’il n’avait pas compétence pour entendre la demande d’</w:t>
            </w:r>
            <w:r w:rsidRPr="00CF0874">
              <w:rPr>
                <w:i/>
                <w:sz w:val="20"/>
                <w:lang w:val="fr-CA"/>
              </w:rPr>
              <w:t>habeas corpus</w:t>
            </w:r>
            <w:r w:rsidRPr="00CF0874">
              <w:rPr>
                <w:sz w:val="20"/>
                <w:lang w:val="fr-CA"/>
              </w:rPr>
              <w:t xml:space="preserve"> parce qu’un détenu en matière d’immigration peut demander le contrôle judiciaire des décisions de détention en matière d’immigration suivant une procédure d’examen exhaustif et spécialisé sous le régime de la </w:t>
            </w:r>
            <w:hyperlink r:id="rId23" w:history="1">
              <w:r w:rsidRPr="00CF0874">
                <w:rPr>
                  <w:i/>
                  <w:sz w:val="20"/>
                  <w:lang w:val="fr-CA"/>
                </w:rPr>
                <w:t>Loi sur l’immigration et la protection des réfugiés</w:t>
              </w:r>
              <w:r w:rsidRPr="00CF0874">
                <w:rPr>
                  <w:sz w:val="20"/>
                  <w:lang w:val="fr-CA"/>
                </w:rPr>
                <w:t>, L.C. 2001, ch. 27</w:t>
              </w:r>
            </w:hyperlink>
            <w:r w:rsidRPr="00CF0874">
              <w:rPr>
                <w:sz w:val="20"/>
                <w:lang w:val="fr-CA"/>
              </w:rPr>
              <w:t>. La Cour d’appel accueilli l’appel</w:t>
            </w:r>
            <w:r>
              <w:rPr>
                <w:sz w:val="20"/>
                <w:lang w:val="fr-CA"/>
              </w:rPr>
              <w:t>.</w:t>
            </w:r>
          </w:p>
          <w:p w:rsidR="00BF624E" w:rsidRPr="00CF0874" w:rsidRDefault="00BF624E" w:rsidP="00A246F4">
            <w:pPr>
              <w:jc w:val="both"/>
              <w:rPr>
                <w:sz w:val="20"/>
                <w:lang w:val="fr-CA"/>
              </w:rPr>
            </w:pPr>
          </w:p>
        </w:tc>
      </w:tr>
      <w:tr w:rsidR="00BF624E" w:rsidRPr="00D23B2D" w:rsidTr="00A246F4">
        <w:tc>
          <w:tcPr>
            <w:tcW w:w="2427" w:type="pct"/>
            <w:gridSpan w:val="2"/>
          </w:tcPr>
          <w:p w:rsidR="00BF624E" w:rsidRPr="00CF0874" w:rsidRDefault="00BF624E" w:rsidP="00A246F4">
            <w:pPr>
              <w:jc w:val="both"/>
              <w:rPr>
                <w:sz w:val="20"/>
                <w:lang w:val="fr-CA"/>
              </w:rPr>
            </w:pPr>
            <w:r w:rsidRPr="00CF0874">
              <w:rPr>
                <w:sz w:val="20"/>
                <w:lang w:val="fr-CA"/>
              </w:rPr>
              <w:t>2 septembre 2016</w:t>
            </w:r>
          </w:p>
          <w:p w:rsidR="00BF624E" w:rsidRPr="00CF0874" w:rsidRDefault="00BF624E" w:rsidP="00A246F4">
            <w:pPr>
              <w:jc w:val="both"/>
              <w:rPr>
                <w:sz w:val="20"/>
                <w:lang w:val="fr-CA"/>
              </w:rPr>
            </w:pPr>
            <w:r w:rsidRPr="00CF0874">
              <w:rPr>
                <w:sz w:val="20"/>
                <w:lang w:val="fr-CA"/>
              </w:rPr>
              <w:t>Cour du Banc de la Reine de l’Alberta</w:t>
            </w:r>
          </w:p>
          <w:p w:rsidR="00BF624E" w:rsidRPr="00CF0874" w:rsidRDefault="00BF624E" w:rsidP="00A246F4">
            <w:pPr>
              <w:jc w:val="both"/>
              <w:rPr>
                <w:sz w:val="20"/>
                <w:lang w:val="fr-CA"/>
              </w:rPr>
            </w:pPr>
            <w:r w:rsidRPr="00CF0874">
              <w:rPr>
                <w:sz w:val="20"/>
                <w:lang w:val="fr-CA"/>
              </w:rPr>
              <w:t xml:space="preserve">(Juge </w:t>
            </w:r>
            <w:proofErr w:type="spellStart"/>
            <w:r w:rsidRPr="00CF0874">
              <w:rPr>
                <w:sz w:val="20"/>
                <w:lang w:val="fr-CA"/>
              </w:rPr>
              <w:t>Mahoney</w:t>
            </w:r>
            <w:proofErr w:type="spellEnd"/>
            <w:r w:rsidRPr="00CF0874">
              <w:rPr>
                <w:sz w:val="20"/>
                <w:lang w:val="fr-CA"/>
              </w:rPr>
              <w:t>) (non publié)</w:t>
            </w:r>
          </w:p>
          <w:p w:rsidR="00BF624E" w:rsidRPr="00CF0874" w:rsidRDefault="00BF624E" w:rsidP="00A246F4">
            <w:pPr>
              <w:jc w:val="both"/>
              <w:rPr>
                <w:sz w:val="20"/>
                <w:lang w:val="fr-CA"/>
              </w:rPr>
            </w:pP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Rejet de la demande de bref d’</w:t>
            </w:r>
            <w:r w:rsidRPr="00CF0874">
              <w:rPr>
                <w:i/>
                <w:iCs/>
                <w:sz w:val="20"/>
                <w:lang w:val="fr-CA"/>
              </w:rPr>
              <w:t>habeas corpus</w:t>
            </w:r>
            <w:r w:rsidRPr="00CF0874">
              <w:rPr>
                <w:sz w:val="20"/>
                <w:lang w:val="fr-CA"/>
              </w:rPr>
              <w:t xml:space="preserve"> </w:t>
            </w:r>
          </w:p>
          <w:p w:rsidR="00BF624E" w:rsidRPr="00CF0874" w:rsidRDefault="00BF624E" w:rsidP="00A246F4">
            <w:pPr>
              <w:jc w:val="both"/>
              <w:rPr>
                <w:sz w:val="20"/>
                <w:lang w:val="fr-CA"/>
              </w:rPr>
            </w:pPr>
          </w:p>
        </w:tc>
      </w:tr>
      <w:tr w:rsidR="00BF624E" w:rsidRPr="00CF0874" w:rsidTr="00A246F4">
        <w:tc>
          <w:tcPr>
            <w:tcW w:w="2427" w:type="pct"/>
            <w:gridSpan w:val="2"/>
          </w:tcPr>
          <w:p w:rsidR="00BF624E" w:rsidRPr="00CF0874" w:rsidRDefault="00BF624E" w:rsidP="00A246F4">
            <w:pPr>
              <w:jc w:val="both"/>
              <w:rPr>
                <w:sz w:val="20"/>
                <w:lang w:val="fr-CA"/>
              </w:rPr>
            </w:pPr>
            <w:r w:rsidRPr="00CF0874">
              <w:rPr>
                <w:sz w:val="20"/>
                <w:lang w:val="fr-CA"/>
              </w:rPr>
              <w:t>31 juillet 2017</w:t>
            </w:r>
          </w:p>
          <w:p w:rsidR="00BF624E" w:rsidRPr="00CF0874" w:rsidRDefault="00BF624E" w:rsidP="00A246F4">
            <w:pPr>
              <w:jc w:val="both"/>
              <w:rPr>
                <w:sz w:val="20"/>
                <w:lang w:val="fr-CA"/>
              </w:rPr>
            </w:pPr>
            <w:r w:rsidRPr="00CF0874">
              <w:rPr>
                <w:sz w:val="20"/>
                <w:lang w:val="fr-CA"/>
              </w:rPr>
              <w:t>Cour d’appel de l’Alberta (Calgary)</w:t>
            </w:r>
          </w:p>
          <w:p w:rsidR="00BF624E" w:rsidRPr="00CF0874" w:rsidRDefault="00BF624E" w:rsidP="00A246F4">
            <w:pPr>
              <w:jc w:val="both"/>
              <w:rPr>
                <w:sz w:val="20"/>
                <w:lang w:val="fr-CA"/>
              </w:rPr>
            </w:pPr>
            <w:r w:rsidRPr="00CF0874">
              <w:rPr>
                <w:sz w:val="20"/>
                <w:lang w:val="fr-CA"/>
              </w:rPr>
              <w:t xml:space="preserve">(Juges </w:t>
            </w:r>
            <w:proofErr w:type="spellStart"/>
            <w:r w:rsidRPr="00CF0874">
              <w:rPr>
                <w:sz w:val="20"/>
                <w:lang w:val="fr-CA"/>
              </w:rPr>
              <w:t>Paperny</w:t>
            </w:r>
            <w:proofErr w:type="spellEnd"/>
            <w:r w:rsidRPr="00CF0874">
              <w:rPr>
                <w:sz w:val="20"/>
                <w:lang w:val="fr-CA"/>
              </w:rPr>
              <w:t xml:space="preserve">, </w:t>
            </w:r>
            <w:proofErr w:type="spellStart"/>
            <w:r w:rsidRPr="00CF0874">
              <w:rPr>
                <w:sz w:val="20"/>
                <w:lang w:val="fr-CA"/>
              </w:rPr>
              <w:t>O’Ferrall</w:t>
            </w:r>
            <w:proofErr w:type="spellEnd"/>
            <w:r w:rsidRPr="00CF0874">
              <w:rPr>
                <w:sz w:val="20"/>
                <w:lang w:val="fr-CA"/>
              </w:rPr>
              <w:t xml:space="preserve"> et </w:t>
            </w:r>
            <w:proofErr w:type="spellStart"/>
            <w:r w:rsidRPr="00CF0874">
              <w:rPr>
                <w:sz w:val="20"/>
                <w:lang w:val="fr-CA"/>
              </w:rPr>
              <w:t>Greckol</w:t>
            </w:r>
            <w:proofErr w:type="spellEnd"/>
            <w:r w:rsidRPr="00CF0874">
              <w:rPr>
                <w:sz w:val="20"/>
                <w:lang w:val="fr-CA"/>
              </w:rPr>
              <w:t>)</w:t>
            </w:r>
          </w:p>
          <w:p w:rsidR="00BF624E" w:rsidRPr="00CF0874" w:rsidRDefault="00BF624E" w:rsidP="00A246F4">
            <w:pPr>
              <w:jc w:val="both"/>
              <w:rPr>
                <w:rStyle w:val="Hyperlink"/>
                <w:sz w:val="20"/>
                <w:lang w:val="fr-CA"/>
              </w:rPr>
            </w:pPr>
            <w:r w:rsidRPr="00CF0874">
              <w:rPr>
                <w:sz w:val="20"/>
                <w:lang w:val="fr-CA"/>
              </w:rPr>
              <w:t xml:space="preserve">1601-0256-AC; </w:t>
            </w:r>
            <w:hyperlink r:id="rId24" w:history="1">
              <w:r w:rsidRPr="00CF0874">
                <w:rPr>
                  <w:rStyle w:val="Hyperlink"/>
                  <w:sz w:val="20"/>
                  <w:lang w:val="fr-CA"/>
                </w:rPr>
                <w:t>2017 ABCA 248</w:t>
              </w:r>
            </w:hyperlink>
          </w:p>
          <w:p w:rsidR="00BF624E" w:rsidRPr="00CF0874" w:rsidRDefault="00BF624E" w:rsidP="00A246F4">
            <w:pPr>
              <w:jc w:val="both"/>
              <w:rPr>
                <w:sz w:val="20"/>
                <w:lang w:val="fr-CA"/>
              </w:rPr>
            </w:pP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Arrêt accueillant l’appel</w:t>
            </w:r>
          </w:p>
          <w:p w:rsidR="00BF624E" w:rsidRPr="00CF0874" w:rsidRDefault="00BF624E" w:rsidP="00A246F4">
            <w:pPr>
              <w:jc w:val="both"/>
              <w:rPr>
                <w:sz w:val="20"/>
                <w:lang w:val="fr-CA"/>
              </w:rPr>
            </w:pPr>
          </w:p>
        </w:tc>
      </w:tr>
      <w:tr w:rsidR="00BF624E" w:rsidRPr="00D23B2D" w:rsidTr="00A246F4">
        <w:tc>
          <w:tcPr>
            <w:tcW w:w="2427" w:type="pct"/>
            <w:gridSpan w:val="2"/>
          </w:tcPr>
          <w:p w:rsidR="00BF624E" w:rsidRPr="00CF0874" w:rsidRDefault="00BF624E" w:rsidP="00A246F4">
            <w:pPr>
              <w:jc w:val="both"/>
              <w:rPr>
                <w:sz w:val="20"/>
                <w:lang w:val="fr-CA"/>
              </w:rPr>
            </w:pPr>
            <w:r w:rsidRPr="00CF0874">
              <w:rPr>
                <w:sz w:val="20"/>
                <w:lang w:val="fr-CA"/>
              </w:rPr>
              <w:t>28 septembre 2017</w:t>
            </w:r>
          </w:p>
          <w:p w:rsidR="00BF624E" w:rsidRPr="00CF0874" w:rsidRDefault="00BF624E" w:rsidP="00A246F4">
            <w:pPr>
              <w:jc w:val="both"/>
              <w:rPr>
                <w:sz w:val="20"/>
                <w:lang w:val="fr-CA"/>
              </w:rPr>
            </w:pPr>
            <w:r w:rsidRPr="00CF0874">
              <w:rPr>
                <w:sz w:val="20"/>
                <w:lang w:val="fr-CA"/>
              </w:rPr>
              <w:t>Cour suprême du Canada</w:t>
            </w: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Dépôt de la demande d’autorisation d’appel</w:t>
            </w:r>
          </w:p>
          <w:p w:rsidR="00BF624E" w:rsidRPr="00CF0874" w:rsidRDefault="00BF624E" w:rsidP="00A246F4">
            <w:pPr>
              <w:jc w:val="both"/>
              <w:rPr>
                <w:sz w:val="20"/>
                <w:lang w:val="fr-CA"/>
              </w:rPr>
            </w:pPr>
          </w:p>
        </w:tc>
      </w:tr>
    </w:tbl>
    <w:p w:rsidR="00BF624E" w:rsidRDefault="00BF624E" w:rsidP="00BF624E">
      <w:pPr>
        <w:jc w:val="both"/>
        <w:rPr>
          <w:sz w:val="20"/>
          <w:lang w:val="fr-CA"/>
        </w:rPr>
      </w:pPr>
    </w:p>
    <w:p w:rsidR="00BF624E" w:rsidRDefault="00BF624E">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624E" w:rsidRPr="00CF0874" w:rsidTr="00A246F4">
        <w:tc>
          <w:tcPr>
            <w:tcW w:w="543" w:type="pct"/>
          </w:tcPr>
          <w:p w:rsidR="00BF624E" w:rsidRPr="00CF0874" w:rsidRDefault="00BF624E" w:rsidP="00A246F4">
            <w:pPr>
              <w:jc w:val="both"/>
              <w:rPr>
                <w:sz w:val="20"/>
              </w:rPr>
            </w:pPr>
            <w:r w:rsidRPr="00CF0874">
              <w:rPr>
                <w:rStyle w:val="SCCFileNumberChar"/>
                <w:sz w:val="20"/>
                <w:szCs w:val="20"/>
              </w:rPr>
              <w:lastRenderedPageBreak/>
              <w:t>37777</w:t>
            </w:r>
          </w:p>
        </w:tc>
        <w:tc>
          <w:tcPr>
            <w:tcW w:w="4457" w:type="pct"/>
            <w:gridSpan w:val="3"/>
          </w:tcPr>
          <w:p w:rsidR="00BF624E" w:rsidRPr="00CF0874" w:rsidRDefault="00BF624E" w:rsidP="00A246F4">
            <w:pPr>
              <w:pStyle w:val="SCCLsocParty"/>
              <w:jc w:val="both"/>
              <w:rPr>
                <w:sz w:val="20"/>
                <w:szCs w:val="20"/>
                <w:lang w:val="en-US"/>
              </w:rPr>
            </w:pPr>
            <w:r w:rsidRPr="00CF0874">
              <w:rPr>
                <w:b/>
                <w:sz w:val="20"/>
                <w:szCs w:val="20"/>
                <w:lang w:val="en-US"/>
              </w:rPr>
              <w:t>Suncor Energy Inc. v. Her Majesty the Queen in the Right of Alberta</w:t>
            </w:r>
          </w:p>
          <w:p w:rsidR="00BF624E" w:rsidRPr="00CF0874" w:rsidRDefault="00BF624E" w:rsidP="00A246F4">
            <w:pPr>
              <w:jc w:val="both"/>
              <w:rPr>
                <w:sz w:val="20"/>
              </w:rPr>
            </w:pPr>
            <w:r w:rsidRPr="00CF0874">
              <w:rPr>
                <w:sz w:val="20"/>
              </w:rPr>
              <w:t>(Alta.) (Civil) (By Leave)</w:t>
            </w:r>
          </w:p>
        </w:tc>
      </w:tr>
      <w:tr w:rsidR="00133A61" w:rsidRPr="00CF0874" w:rsidTr="00133A61">
        <w:tc>
          <w:tcPr>
            <w:tcW w:w="5000" w:type="pct"/>
            <w:gridSpan w:val="4"/>
          </w:tcPr>
          <w:p w:rsidR="00133A61" w:rsidRPr="00133A61" w:rsidRDefault="00133A61" w:rsidP="00A246F4">
            <w:pPr>
              <w:pStyle w:val="SCCLsocParty"/>
              <w:jc w:val="both"/>
              <w:rPr>
                <w:b/>
                <w:sz w:val="20"/>
                <w:szCs w:val="20"/>
                <w:lang w:val="en-US"/>
              </w:rPr>
            </w:pPr>
            <w:r w:rsidRPr="00133A61">
              <w:rPr>
                <w:sz w:val="20"/>
                <w:lang w:val="en-US"/>
              </w:rPr>
              <w:t xml:space="preserve">The application for leave to appeal from the judgment of the Court of Appeal of Alberta (Edmonton), Number 1603-0148-AC, 2017 ABCA 221, dated July 4, 2017, is dismissed with costs.  </w:t>
            </w:r>
          </w:p>
        </w:tc>
      </w:tr>
      <w:tr w:rsidR="00BF624E" w:rsidRPr="00CF0874" w:rsidTr="00A246F4">
        <w:trPr>
          <w:trHeight w:val="90"/>
        </w:trPr>
        <w:tc>
          <w:tcPr>
            <w:tcW w:w="5000" w:type="pct"/>
            <w:gridSpan w:val="4"/>
          </w:tcPr>
          <w:p w:rsidR="00BF624E" w:rsidRDefault="00BF624E" w:rsidP="00A246F4">
            <w:pPr>
              <w:jc w:val="both"/>
              <w:rPr>
                <w:sz w:val="20"/>
              </w:rPr>
            </w:pPr>
            <w:r w:rsidRPr="00CF0874">
              <w:rPr>
                <w:sz w:val="20"/>
              </w:rPr>
              <w:t>Civil procedure – Privilege – Whether litigation privilege attaches to documents gathered or copied, but not created, for dominant purpose of litigation – Whether dominant purpose of  internal investigation is preparation for litigation sufficient to establish litigation privilege over information and material created or collected during investigation.</w:t>
            </w:r>
          </w:p>
          <w:p w:rsidR="00BF624E" w:rsidRPr="00CF0874" w:rsidRDefault="00BF624E" w:rsidP="00A246F4">
            <w:pPr>
              <w:jc w:val="both"/>
              <w:rPr>
                <w:sz w:val="20"/>
              </w:rPr>
            </w:pPr>
          </w:p>
        </w:tc>
      </w:tr>
      <w:tr w:rsidR="00BF624E" w:rsidRPr="00CF0874" w:rsidTr="00A246F4">
        <w:tc>
          <w:tcPr>
            <w:tcW w:w="5000" w:type="pct"/>
            <w:gridSpan w:val="4"/>
          </w:tcPr>
          <w:p w:rsidR="00BF624E" w:rsidRPr="00CF0874" w:rsidRDefault="00BF624E" w:rsidP="00A246F4">
            <w:pPr>
              <w:jc w:val="both"/>
              <w:rPr>
                <w:sz w:val="20"/>
              </w:rPr>
            </w:pPr>
            <w:r w:rsidRPr="00CF0874">
              <w:rPr>
                <w:sz w:val="20"/>
              </w:rPr>
              <w:t xml:space="preserve">On April 20, 2014, a Suncor employee was fatally injured at a worksite near Fort McMurray. Occupational Health and Safety (“OHS”) officers issued a stop-work order that day. Immediately after the accident, anticipating litigation, Suncor began an internal investigation and threw a privilege blanket over all information pertinent to its investigation. OHS issued demands for production of information under the </w:t>
            </w:r>
            <w:r w:rsidRPr="00CF0874">
              <w:rPr>
                <w:i/>
                <w:sz w:val="20"/>
              </w:rPr>
              <w:t>Occupational Health and Safety Act</w:t>
            </w:r>
            <w:r w:rsidRPr="00CF0874">
              <w:rPr>
                <w:sz w:val="20"/>
              </w:rPr>
              <w:t>, R.S.A. 2000, c. O-2. Suncor provided OHS with a report of its investigation, as well as materials that pre-dated or coincided with the incident since such materials could not have been prepared in contemplation of litigation, but it asserted solicitor-client privilege and/or litigation privilege over materials created or collected in the course of its internal investigation after the accident. Her Majesty the Queen in Right of Alberta brought an application seeking an order that Suncor provide the refused materials and allow OHS to interview Suncor’s internal investigators, or provide further particulars about the claims of privilege.</w:t>
            </w:r>
          </w:p>
          <w:p w:rsidR="00BF624E" w:rsidRPr="00CF0874" w:rsidRDefault="00BF624E" w:rsidP="00A246F4">
            <w:pPr>
              <w:jc w:val="both"/>
              <w:rPr>
                <w:sz w:val="20"/>
              </w:rPr>
            </w:pPr>
          </w:p>
          <w:p w:rsidR="00BF624E" w:rsidRPr="00CF0874" w:rsidRDefault="00BF624E" w:rsidP="00A246F4">
            <w:pPr>
              <w:jc w:val="both"/>
              <w:rPr>
                <w:sz w:val="20"/>
              </w:rPr>
            </w:pPr>
            <w:r w:rsidRPr="00CF0874">
              <w:rPr>
                <w:sz w:val="20"/>
              </w:rPr>
              <w:t xml:space="preserve">The chambers judge held that the dominant purpose of Suncor’s internal investigation was in contemplation of litigation, ordering Suncor to provide previously-refused documents and make submissions to a referee, who would then assess the claims of privilege and provide recommendations to the court. Relying on </w:t>
            </w:r>
            <w:proofErr w:type="spellStart"/>
            <w:r w:rsidRPr="00CF0874">
              <w:rPr>
                <w:i/>
                <w:sz w:val="20"/>
              </w:rPr>
              <w:t>Lizotte</w:t>
            </w:r>
            <w:proofErr w:type="spellEnd"/>
            <w:r w:rsidRPr="00CF0874">
              <w:rPr>
                <w:i/>
                <w:sz w:val="20"/>
              </w:rPr>
              <w:t xml:space="preserve"> v. Aviva Insurance Company of Canada</w:t>
            </w:r>
            <w:r w:rsidRPr="00CF0874">
              <w:rPr>
                <w:sz w:val="20"/>
              </w:rPr>
              <w:t xml:space="preserve">, 2016 SCC 52, [2016] 2 SCR 521, and </w:t>
            </w:r>
            <w:r w:rsidRPr="00CF0874">
              <w:rPr>
                <w:i/>
                <w:sz w:val="20"/>
              </w:rPr>
              <w:t>Alberta (Information and Privacy Commissioner) v. University of Calgary</w:t>
            </w:r>
            <w:r w:rsidRPr="00CF0874">
              <w:rPr>
                <w:sz w:val="20"/>
              </w:rPr>
              <w:t xml:space="preserve">, 2016 SCC 53, [2016] 2 SCR 555, as well as </w:t>
            </w:r>
            <w:r w:rsidRPr="00CF0874">
              <w:rPr>
                <w:i/>
                <w:sz w:val="20"/>
              </w:rPr>
              <w:t xml:space="preserve">Canadian Natural Resources Limited v. </w:t>
            </w:r>
            <w:proofErr w:type="spellStart"/>
            <w:r w:rsidRPr="00CF0874">
              <w:rPr>
                <w:i/>
                <w:sz w:val="20"/>
              </w:rPr>
              <w:t>ShawCor</w:t>
            </w:r>
            <w:proofErr w:type="spellEnd"/>
            <w:r w:rsidRPr="00CF0874">
              <w:rPr>
                <w:i/>
                <w:sz w:val="20"/>
              </w:rPr>
              <w:t xml:space="preserve"> Ltd</w:t>
            </w:r>
            <w:r w:rsidRPr="00CF0874">
              <w:rPr>
                <w:sz w:val="20"/>
              </w:rPr>
              <w:t>., 2014 ABCA 289, the Court of Appeal allowed Alberta’s appeal, in part, finding the chambers judge erred in his determination about the dominant purpose of Suncor’s investigation, ordering the referee to make recommendations to the court after examining the documents and hearing the submissions of both parties.</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May 10, 2016</w:t>
            </w:r>
          </w:p>
          <w:p w:rsidR="00BF624E" w:rsidRPr="00CF0874" w:rsidRDefault="00BF624E" w:rsidP="00A246F4">
            <w:pPr>
              <w:jc w:val="both"/>
              <w:rPr>
                <w:sz w:val="20"/>
              </w:rPr>
            </w:pPr>
            <w:r w:rsidRPr="00CF0874">
              <w:rPr>
                <w:sz w:val="20"/>
              </w:rPr>
              <w:t>Court of Queen’s Bench of Alberta</w:t>
            </w:r>
          </w:p>
          <w:p w:rsidR="00BF624E" w:rsidRPr="00CF0874" w:rsidRDefault="00BF624E" w:rsidP="00A246F4">
            <w:pPr>
              <w:jc w:val="both"/>
              <w:rPr>
                <w:sz w:val="20"/>
              </w:rPr>
            </w:pPr>
            <w:r w:rsidRPr="00CF0874">
              <w:rPr>
                <w:sz w:val="20"/>
              </w:rPr>
              <w:t>(</w:t>
            </w:r>
            <w:proofErr w:type="spellStart"/>
            <w:r w:rsidRPr="00CF0874">
              <w:rPr>
                <w:sz w:val="20"/>
              </w:rPr>
              <w:t>Manderscheid</w:t>
            </w:r>
            <w:proofErr w:type="spellEnd"/>
            <w:r w:rsidRPr="00CF0874">
              <w:rPr>
                <w:sz w:val="20"/>
              </w:rPr>
              <w:t xml:space="preserve"> J.)</w:t>
            </w:r>
          </w:p>
          <w:p w:rsidR="00BF624E" w:rsidRPr="00CF0874" w:rsidRDefault="00227F09" w:rsidP="00A246F4">
            <w:pPr>
              <w:jc w:val="both"/>
              <w:rPr>
                <w:sz w:val="20"/>
              </w:rPr>
            </w:pPr>
            <w:hyperlink r:id="rId25" w:history="1">
              <w:r w:rsidR="00BF624E" w:rsidRPr="00CF0874">
                <w:rPr>
                  <w:rStyle w:val="Hyperlink"/>
                  <w:sz w:val="20"/>
                </w:rPr>
                <w:t>2016 ABQB 264</w:t>
              </w:r>
            </w:hyperlink>
            <w:r w:rsidR="00BF624E" w:rsidRPr="00CF0874">
              <w:rPr>
                <w:sz w:val="20"/>
              </w:rPr>
              <w:t xml:space="preserve"> </w:t>
            </w:r>
          </w:p>
          <w:p w:rsidR="00BF624E" w:rsidRPr="00CF0874" w:rsidRDefault="00BF624E" w:rsidP="00A246F4">
            <w:pPr>
              <w:jc w:val="both"/>
              <w:rPr>
                <w:sz w:val="20"/>
              </w:rPr>
            </w:pP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Suncor ordered to provide to a referee previously refused documents and make submissions regarding privilege; referee then to assess claims of privilege and provide recommendations to the Court.</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July 4, 2017</w:t>
            </w:r>
          </w:p>
          <w:p w:rsidR="00BF624E" w:rsidRPr="00CF0874" w:rsidRDefault="00BF624E" w:rsidP="00A246F4">
            <w:pPr>
              <w:jc w:val="both"/>
              <w:rPr>
                <w:sz w:val="20"/>
              </w:rPr>
            </w:pPr>
            <w:r w:rsidRPr="00CF0874">
              <w:rPr>
                <w:sz w:val="20"/>
              </w:rPr>
              <w:t>Court of Appeal of Alberta (Edmonton)</w:t>
            </w:r>
          </w:p>
          <w:p w:rsidR="00BF624E" w:rsidRPr="00CF0874" w:rsidRDefault="00BF624E" w:rsidP="00A246F4">
            <w:pPr>
              <w:jc w:val="both"/>
              <w:rPr>
                <w:sz w:val="20"/>
              </w:rPr>
            </w:pPr>
            <w:r w:rsidRPr="00CF0874">
              <w:rPr>
                <w:sz w:val="20"/>
              </w:rPr>
              <w:t xml:space="preserve">(Berger, Watson and </w:t>
            </w:r>
            <w:proofErr w:type="spellStart"/>
            <w:r w:rsidRPr="00CF0874">
              <w:rPr>
                <w:sz w:val="20"/>
              </w:rPr>
              <w:t>Greckol</w:t>
            </w:r>
            <w:proofErr w:type="spellEnd"/>
            <w:r w:rsidRPr="00CF0874">
              <w:rPr>
                <w:sz w:val="20"/>
              </w:rPr>
              <w:t xml:space="preserve"> JJ.A.)</w:t>
            </w:r>
          </w:p>
          <w:p w:rsidR="00BF624E" w:rsidRPr="00CF0874" w:rsidRDefault="00227F09" w:rsidP="00A246F4">
            <w:pPr>
              <w:jc w:val="both"/>
              <w:rPr>
                <w:sz w:val="20"/>
              </w:rPr>
            </w:pPr>
            <w:hyperlink r:id="rId26" w:history="1">
              <w:r w:rsidR="00BF624E" w:rsidRPr="00CF0874">
                <w:rPr>
                  <w:rStyle w:val="Hyperlink"/>
                  <w:sz w:val="20"/>
                </w:rPr>
                <w:t>2017 ABCA 221</w:t>
              </w:r>
            </w:hyperlink>
          </w:p>
          <w:p w:rsidR="00BF624E" w:rsidRPr="00CF0874" w:rsidRDefault="00BF624E" w:rsidP="00A246F4">
            <w:pPr>
              <w:jc w:val="both"/>
              <w:rPr>
                <w:sz w:val="20"/>
              </w:rPr>
            </w:pP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Alberta’s appeal allowed, in part.</w:t>
            </w:r>
          </w:p>
          <w:p w:rsidR="00BF624E" w:rsidRPr="00CF0874" w:rsidRDefault="00BF624E" w:rsidP="00A246F4">
            <w:pPr>
              <w:jc w:val="both"/>
              <w:rPr>
                <w:sz w:val="20"/>
              </w:rPr>
            </w:pPr>
          </w:p>
        </w:tc>
      </w:tr>
      <w:tr w:rsidR="00BF624E" w:rsidRPr="00CF0874" w:rsidTr="00A246F4">
        <w:tc>
          <w:tcPr>
            <w:tcW w:w="2427" w:type="pct"/>
            <w:gridSpan w:val="2"/>
          </w:tcPr>
          <w:p w:rsidR="00BF624E" w:rsidRPr="00CF0874" w:rsidRDefault="00BF624E" w:rsidP="00A246F4">
            <w:pPr>
              <w:jc w:val="both"/>
              <w:rPr>
                <w:sz w:val="20"/>
              </w:rPr>
            </w:pPr>
            <w:r w:rsidRPr="00CF0874">
              <w:rPr>
                <w:sz w:val="20"/>
              </w:rPr>
              <w:t>September 29, 2017</w:t>
            </w:r>
          </w:p>
          <w:p w:rsidR="00BF624E" w:rsidRPr="00CF0874" w:rsidRDefault="00BF624E" w:rsidP="00A246F4">
            <w:pPr>
              <w:jc w:val="both"/>
              <w:rPr>
                <w:sz w:val="20"/>
              </w:rPr>
            </w:pPr>
            <w:r w:rsidRPr="00CF0874">
              <w:rPr>
                <w:sz w:val="20"/>
              </w:rPr>
              <w:t>Supreme Court of Canada</w:t>
            </w:r>
          </w:p>
        </w:tc>
        <w:tc>
          <w:tcPr>
            <w:tcW w:w="243" w:type="pct"/>
          </w:tcPr>
          <w:p w:rsidR="00BF624E" w:rsidRPr="00CF0874" w:rsidRDefault="00BF624E" w:rsidP="00A246F4">
            <w:pPr>
              <w:jc w:val="both"/>
              <w:rPr>
                <w:sz w:val="20"/>
              </w:rPr>
            </w:pPr>
          </w:p>
        </w:tc>
        <w:tc>
          <w:tcPr>
            <w:tcW w:w="2330" w:type="pct"/>
          </w:tcPr>
          <w:p w:rsidR="00BF624E" w:rsidRPr="00CF0874" w:rsidRDefault="00BF624E" w:rsidP="00A246F4">
            <w:pPr>
              <w:jc w:val="both"/>
              <w:rPr>
                <w:sz w:val="20"/>
              </w:rPr>
            </w:pPr>
            <w:r w:rsidRPr="00CF0874">
              <w:rPr>
                <w:sz w:val="20"/>
              </w:rPr>
              <w:t>Application for leave to appeal, filed.</w:t>
            </w:r>
          </w:p>
        </w:tc>
      </w:tr>
    </w:tbl>
    <w:p w:rsidR="00BF624E" w:rsidRDefault="00BF624E" w:rsidP="00BF624E">
      <w:pPr>
        <w:jc w:val="both"/>
        <w:rPr>
          <w:sz w:val="20"/>
        </w:rPr>
      </w:pPr>
    </w:p>
    <w:p w:rsidR="00BF624E" w:rsidRDefault="00BF624E">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624E" w:rsidRPr="00CF0874" w:rsidTr="00A246F4">
        <w:tc>
          <w:tcPr>
            <w:tcW w:w="543" w:type="pct"/>
          </w:tcPr>
          <w:p w:rsidR="00BF624E" w:rsidRPr="00CF0874" w:rsidRDefault="00BF624E" w:rsidP="00A246F4">
            <w:pPr>
              <w:jc w:val="both"/>
              <w:rPr>
                <w:sz w:val="20"/>
                <w:lang w:val="fr-CA"/>
              </w:rPr>
            </w:pPr>
            <w:r w:rsidRPr="00CF0874">
              <w:rPr>
                <w:rStyle w:val="SCCFileNumberChar"/>
                <w:sz w:val="20"/>
                <w:szCs w:val="20"/>
                <w:lang w:val="fr-CA"/>
              </w:rPr>
              <w:lastRenderedPageBreak/>
              <w:t>37777</w:t>
            </w:r>
          </w:p>
        </w:tc>
        <w:tc>
          <w:tcPr>
            <w:tcW w:w="4457" w:type="pct"/>
            <w:gridSpan w:val="3"/>
          </w:tcPr>
          <w:p w:rsidR="00BF624E" w:rsidRPr="00CF0874" w:rsidRDefault="00BF624E" w:rsidP="00A246F4">
            <w:pPr>
              <w:pStyle w:val="SCCLsocParty"/>
              <w:jc w:val="both"/>
              <w:rPr>
                <w:b/>
                <w:sz w:val="20"/>
                <w:szCs w:val="20"/>
              </w:rPr>
            </w:pPr>
            <w:proofErr w:type="spellStart"/>
            <w:r w:rsidRPr="00CF0874">
              <w:rPr>
                <w:b/>
                <w:sz w:val="20"/>
                <w:szCs w:val="20"/>
              </w:rPr>
              <w:t>Suncor</w:t>
            </w:r>
            <w:proofErr w:type="spellEnd"/>
            <w:r w:rsidRPr="00CF0874">
              <w:rPr>
                <w:b/>
                <w:sz w:val="20"/>
                <w:szCs w:val="20"/>
              </w:rPr>
              <w:t xml:space="preserve"> </w:t>
            </w:r>
            <w:proofErr w:type="spellStart"/>
            <w:r w:rsidRPr="00CF0874">
              <w:rPr>
                <w:b/>
                <w:sz w:val="20"/>
                <w:szCs w:val="20"/>
              </w:rPr>
              <w:t>Energy</w:t>
            </w:r>
            <w:proofErr w:type="spellEnd"/>
            <w:r w:rsidRPr="00CF0874">
              <w:rPr>
                <w:b/>
                <w:sz w:val="20"/>
                <w:szCs w:val="20"/>
              </w:rPr>
              <w:t xml:space="preserve"> Inc. c. Sa Majesté la Reine du chef de l’Alberta</w:t>
            </w:r>
          </w:p>
          <w:p w:rsidR="00BF624E" w:rsidRPr="00CF0874" w:rsidRDefault="00BF624E" w:rsidP="00A246F4">
            <w:pPr>
              <w:jc w:val="both"/>
              <w:rPr>
                <w:sz w:val="20"/>
                <w:lang w:val="fr-CA"/>
              </w:rPr>
            </w:pPr>
            <w:r w:rsidRPr="00CF0874">
              <w:rPr>
                <w:sz w:val="20"/>
                <w:lang w:val="fr-CA"/>
              </w:rPr>
              <w:t>(</w:t>
            </w:r>
            <w:proofErr w:type="spellStart"/>
            <w:r w:rsidRPr="00CF0874">
              <w:rPr>
                <w:sz w:val="20"/>
                <w:lang w:val="fr-CA"/>
              </w:rPr>
              <w:t>Alb</w:t>
            </w:r>
            <w:proofErr w:type="spellEnd"/>
            <w:r w:rsidRPr="00CF0874">
              <w:rPr>
                <w:sz w:val="20"/>
                <w:lang w:val="fr-CA"/>
              </w:rPr>
              <w:t>.) (Civile) (Sur autorisation)</w:t>
            </w:r>
          </w:p>
        </w:tc>
      </w:tr>
      <w:tr w:rsidR="00CB36F6" w:rsidRPr="00D23B2D" w:rsidTr="00CB36F6">
        <w:tc>
          <w:tcPr>
            <w:tcW w:w="5000" w:type="pct"/>
            <w:gridSpan w:val="4"/>
          </w:tcPr>
          <w:p w:rsidR="00CB36F6" w:rsidRPr="00CB36F6" w:rsidRDefault="00CB36F6" w:rsidP="00CB36F6">
            <w:pPr>
              <w:jc w:val="both"/>
              <w:rPr>
                <w:sz w:val="20"/>
                <w:lang w:val="fr-CA"/>
              </w:rPr>
            </w:pPr>
            <w:r w:rsidRPr="00CB36F6">
              <w:rPr>
                <w:sz w:val="20"/>
                <w:lang w:val="fr-CA"/>
              </w:rPr>
              <w:t xml:space="preserve">La demande d’autorisation d’appel de l’arrêt de la Cour d’appel de l’Alberta (Edmonton), numéro 1603-0148-AC, 2017 ABCA 221, daté du 4 juillet 2017, est rejetée avec dépens.  </w:t>
            </w:r>
          </w:p>
          <w:p w:rsidR="00CB36F6" w:rsidRPr="00CF0874" w:rsidRDefault="00CB36F6" w:rsidP="00A246F4">
            <w:pPr>
              <w:pStyle w:val="SCCLsocParty"/>
              <w:jc w:val="both"/>
              <w:rPr>
                <w:b/>
                <w:sz w:val="20"/>
                <w:szCs w:val="20"/>
              </w:rPr>
            </w:pPr>
          </w:p>
        </w:tc>
      </w:tr>
      <w:tr w:rsidR="00BF624E" w:rsidRPr="00D23B2D" w:rsidTr="00A246F4">
        <w:trPr>
          <w:trHeight w:val="1242"/>
        </w:trPr>
        <w:tc>
          <w:tcPr>
            <w:tcW w:w="5000" w:type="pct"/>
            <w:gridSpan w:val="4"/>
          </w:tcPr>
          <w:p w:rsidR="00BF624E" w:rsidRDefault="00BF624E" w:rsidP="00A246F4">
            <w:pPr>
              <w:jc w:val="both"/>
              <w:rPr>
                <w:sz w:val="20"/>
                <w:lang w:val="fr-CA"/>
              </w:rPr>
            </w:pPr>
            <w:r w:rsidRPr="00CF0874">
              <w:rPr>
                <w:sz w:val="20"/>
                <w:lang w:val="fr-CA"/>
              </w:rPr>
              <w:t>Procédure civile – Privilège – Le privilège relatif aux litiges vise-t-il les documents recueillis ou copiés, mais non créés, principalement pour les besoins d’un litige? – L’objet principal de l’enquête interne consiste-t-il en la préparation d’un litige suffisant pour établir l’existence d’un privilège relatif aux litiges à l’égard de renseignements et de documents créés ou recueillis pendant l’enquête?</w:t>
            </w:r>
          </w:p>
          <w:p w:rsidR="00BF624E" w:rsidRPr="00CF0874" w:rsidRDefault="00BF624E" w:rsidP="00A246F4">
            <w:pPr>
              <w:jc w:val="both"/>
              <w:rPr>
                <w:sz w:val="20"/>
                <w:lang w:val="fr-CA"/>
              </w:rPr>
            </w:pPr>
          </w:p>
        </w:tc>
      </w:tr>
      <w:tr w:rsidR="00BF624E" w:rsidRPr="00D23B2D" w:rsidTr="00A246F4">
        <w:tc>
          <w:tcPr>
            <w:tcW w:w="5000" w:type="pct"/>
            <w:gridSpan w:val="4"/>
          </w:tcPr>
          <w:p w:rsidR="00BF624E" w:rsidRPr="00CF0874" w:rsidRDefault="00BF624E" w:rsidP="00A246F4">
            <w:pPr>
              <w:jc w:val="both"/>
              <w:rPr>
                <w:sz w:val="20"/>
                <w:lang w:val="fr-CA"/>
              </w:rPr>
            </w:pPr>
            <w:r w:rsidRPr="00CF0874">
              <w:rPr>
                <w:sz w:val="20"/>
                <w:lang w:val="fr-CA"/>
              </w:rPr>
              <w:t xml:space="preserve">Le 20 avril 2014, un employé de </w:t>
            </w:r>
            <w:proofErr w:type="spellStart"/>
            <w:r w:rsidRPr="00CF0874">
              <w:rPr>
                <w:sz w:val="20"/>
                <w:lang w:val="fr-CA"/>
              </w:rPr>
              <w:t>Suncor</w:t>
            </w:r>
            <w:proofErr w:type="spellEnd"/>
            <w:r w:rsidRPr="00CF0874">
              <w:rPr>
                <w:sz w:val="20"/>
                <w:lang w:val="fr-CA"/>
              </w:rPr>
              <w:t xml:space="preserve"> a été mortellement blessé sur un chantier situé près de Fort McMurray. Des agents de la santé et de la sécurité du travail (« SST ») ont donné l’ordre de suspendre les travaux le jour même. Immédiatement après l’accident, anticipant un litige, </w:t>
            </w:r>
            <w:proofErr w:type="spellStart"/>
            <w:r w:rsidRPr="00CF0874">
              <w:rPr>
                <w:sz w:val="20"/>
                <w:lang w:val="fr-CA"/>
              </w:rPr>
              <w:t>Suncor</w:t>
            </w:r>
            <w:proofErr w:type="spellEnd"/>
            <w:r w:rsidRPr="00CF0874">
              <w:rPr>
                <w:sz w:val="20"/>
                <w:lang w:val="fr-CA"/>
              </w:rPr>
              <w:t xml:space="preserve"> a lancé une enquête interne et a revendiqué un privilège à l’égard de tous les renseignements pertinents à l’égard de son enquête. La SST a délivré des demandes de communication de renseignements en vertu de l’</w:t>
            </w:r>
            <w:proofErr w:type="spellStart"/>
            <w:r w:rsidRPr="00CF0874">
              <w:rPr>
                <w:i/>
                <w:sz w:val="20"/>
                <w:lang w:val="fr-CA"/>
              </w:rPr>
              <w:t>Occupational</w:t>
            </w:r>
            <w:proofErr w:type="spellEnd"/>
            <w:r w:rsidRPr="00CF0874">
              <w:rPr>
                <w:i/>
                <w:sz w:val="20"/>
                <w:lang w:val="fr-CA"/>
              </w:rPr>
              <w:t xml:space="preserve"> </w:t>
            </w:r>
            <w:proofErr w:type="spellStart"/>
            <w:r w:rsidRPr="00CF0874">
              <w:rPr>
                <w:i/>
                <w:sz w:val="20"/>
                <w:lang w:val="fr-CA"/>
              </w:rPr>
              <w:t>Health</w:t>
            </w:r>
            <w:proofErr w:type="spellEnd"/>
            <w:r w:rsidRPr="00CF0874">
              <w:rPr>
                <w:i/>
                <w:sz w:val="20"/>
                <w:lang w:val="fr-CA"/>
              </w:rPr>
              <w:t xml:space="preserve"> and </w:t>
            </w:r>
            <w:proofErr w:type="spellStart"/>
            <w:r w:rsidRPr="00CF0874">
              <w:rPr>
                <w:i/>
                <w:sz w:val="20"/>
                <w:lang w:val="fr-CA"/>
              </w:rPr>
              <w:t>Safety</w:t>
            </w:r>
            <w:proofErr w:type="spellEnd"/>
            <w:r w:rsidRPr="00CF0874">
              <w:rPr>
                <w:i/>
                <w:sz w:val="20"/>
                <w:lang w:val="fr-CA"/>
              </w:rPr>
              <w:t xml:space="preserve"> </w:t>
            </w:r>
            <w:proofErr w:type="spellStart"/>
            <w:r w:rsidRPr="00CF0874">
              <w:rPr>
                <w:i/>
                <w:sz w:val="20"/>
                <w:lang w:val="fr-CA"/>
              </w:rPr>
              <w:t>Act</w:t>
            </w:r>
            <w:proofErr w:type="spellEnd"/>
            <w:r w:rsidRPr="00CF0874">
              <w:rPr>
                <w:sz w:val="20"/>
                <w:lang w:val="fr-CA"/>
              </w:rPr>
              <w:t xml:space="preserve">, R.S.A. 2000, ch. O-2. </w:t>
            </w:r>
            <w:proofErr w:type="spellStart"/>
            <w:r w:rsidRPr="00CF0874">
              <w:rPr>
                <w:sz w:val="20"/>
                <w:lang w:val="fr-CA"/>
              </w:rPr>
              <w:t>Suncor</w:t>
            </w:r>
            <w:proofErr w:type="spellEnd"/>
            <w:r w:rsidRPr="00CF0874">
              <w:rPr>
                <w:sz w:val="20"/>
                <w:lang w:val="fr-CA"/>
              </w:rPr>
              <w:t xml:space="preserve"> a fourni à la SST un rapport de son enquête, ainsi que des documents qui dataient d’avant l’incident ou qui coïncidaient avec celui-ci, puisque ces documents n’auraient pas pu être préparés en vue d’un litige, mais elle a invoqué le privilège du secret professionnel de l’avocat ou le privilège relatif aux litiges à l’égard des documents créés ou recueillis dans le cadre de son enquête interne après l’accident. Sa Majesté la Reine du chef de l’Alberta a présenté une demande sollicitant une ordonnance enjoignant à </w:t>
            </w:r>
            <w:proofErr w:type="spellStart"/>
            <w:r w:rsidRPr="00CF0874">
              <w:rPr>
                <w:sz w:val="20"/>
                <w:lang w:val="fr-CA"/>
              </w:rPr>
              <w:t>Suncor</w:t>
            </w:r>
            <w:proofErr w:type="spellEnd"/>
            <w:r w:rsidRPr="00CF0874">
              <w:rPr>
                <w:sz w:val="20"/>
                <w:lang w:val="fr-CA"/>
              </w:rPr>
              <w:t xml:space="preserve"> de fournir les documents qu’elle refusait de produire et de permettre à la SST d’interroger les enquêteurs internes de </w:t>
            </w:r>
            <w:proofErr w:type="spellStart"/>
            <w:r w:rsidRPr="00CF0874">
              <w:rPr>
                <w:sz w:val="20"/>
                <w:lang w:val="fr-CA"/>
              </w:rPr>
              <w:t>Suncor</w:t>
            </w:r>
            <w:proofErr w:type="spellEnd"/>
            <w:r w:rsidRPr="00CF0874">
              <w:rPr>
                <w:sz w:val="20"/>
                <w:lang w:val="fr-CA"/>
              </w:rPr>
              <w:t xml:space="preserve"> ou fournir d’autres détails relatifs aux revendications des privilèges.</w:t>
            </w:r>
          </w:p>
          <w:p w:rsidR="00BF624E" w:rsidRPr="00CF0874" w:rsidRDefault="00BF624E" w:rsidP="00A246F4">
            <w:pPr>
              <w:jc w:val="both"/>
              <w:rPr>
                <w:sz w:val="20"/>
                <w:lang w:val="fr-CA"/>
              </w:rPr>
            </w:pPr>
          </w:p>
          <w:p w:rsidR="00BF624E" w:rsidRPr="00CF0874" w:rsidRDefault="00BF624E" w:rsidP="00A246F4">
            <w:pPr>
              <w:jc w:val="both"/>
              <w:rPr>
                <w:sz w:val="20"/>
                <w:lang w:val="fr-CA"/>
              </w:rPr>
            </w:pPr>
            <w:r w:rsidRPr="00CF0874">
              <w:rPr>
                <w:sz w:val="20"/>
                <w:lang w:val="fr-CA"/>
              </w:rPr>
              <w:t xml:space="preserve">Le juge en cabinet a statué que l’objet principal de l’enquête interne de </w:t>
            </w:r>
            <w:proofErr w:type="spellStart"/>
            <w:r w:rsidRPr="00CF0874">
              <w:rPr>
                <w:sz w:val="20"/>
                <w:lang w:val="fr-CA"/>
              </w:rPr>
              <w:t>Suncor</w:t>
            </w:r>
            <w:proofErr w:type="spellEnd"/>
            <w:r w:rsidRPr="00CF0874">
              <w:rPr>
                <w:sz w:val="20"/>
                <w:lang w:val="fr-CA"/>
              </w:rPr>
              <w:t xml:space="preserve"> était en vue d’un litige, ordonnant à </w:t>
            </w:r>
            <w:proofErr w:type="spellStart"/>
            <w:r w:rsidRPr="00CF0874">
              <w:rPr>
                <w:sz w:val="20"/>
                <w:lang w:val="fr-CA"/>
              </w:rPr>
              <w:t>Suncor</w:t>
            </w:r>
            <w:proofErr w:type="spellEnd"/>
            <w:r w:rsidRPr="00CF0874">
              <w:rPr>
                <w:sz w:val="20"/>
                <w:lang w:val="fr-CA"/>
              </w:rPr>
              <w:t xml:space="preserve"> de fournir des documents qu’elle avait refusé de produire et de  présenter ses observations à un arbitre, qui évaluerait alors les revendications de privilège et ferait des recommandations au tribunal. S’appuyant sur les arrêts </w:t>
            </w:r>
            <w:proofErr w:type="spellStart"/>
            <w:r w:rsidRPr="00CF0874">
              <w:rPr>
                <w:i/>
                <w:sz w:val="20"/>
                <w:lang w:val="fr-CA"/>
              </w:rPr>
              <w:t>Lizotte</w:t>
            </w:r>
            <w:proofErr w:type="spellEnd"/>
            <w:r w:rsidRPr="00CF0874">
              <w:rPr>
                <w:i/>
                <w:sz w:val="20"/>
                <w:lang w:val="fr-CA"/>
              </w:rPr>
              <w:t xml:space="preserve"> c. Aviva, Compagnie d’assurance du Canada</w:t>
            </w:r>
            <w:r w:rsidRPr="00CF0874">
              <w:rPr>
                <w:sz w:val="20"/>
                <w:lang w:val="fr-CA"/>
              </w:rPr>
              <w:t xml:space="preserve">, 2016 CSC 52, [2016] 2 RCS 521 et </w:t>
            </w:r>
            <w:r w:rsidRPr="00CF0874">
              <w:rPr>
                <w:i/>
                <w:sz w:val="20"/>
                <w:lang w:val="fr-CA"/>
              </w:rPr>
              <w:t xml:space="preserve">Alberta (Information and </w:t>
            </w:r>
            <w:proofErr w:type="spellStart"/>
            <w:r w:rsidRPr="00CF0874">
              <w:rPr>
                <w:i/>
                <w:sz w:val="20"/>
                <w:lang w:val="fr-CA"/>
              </w:rPr>
              <w:t>Privacy</w:t>
            </w:r>
            <w:proofErr w:type="spellEnd"/>
            <w:r w:rsidRPr="00CF0874">
              <w:rPr>
                <w:i/>
                <w:sz w:val="20"/>
                <w:lang w:val="fr-CA"/>
              </w:rPr>
              <w:t xml:space="preserve"> </w:t>
            </w:r>
            <w:proofErr w:type="spellStart"/>
            <w:r w:rsidRPr="00CF0874">
              <w:rPr>
                <w:i/>
                <w:sz w:val="20"/>
                <w:lang w:val="fr-CA"/>
              </w:rPr>
              <w:t>Commissioner</w:t>
            </w:r>
            <w:proofErr w:type="spellEnd"/>
            <w:r w:rsidRPr="00CF0874">
              <w:rPr>
                <w:i/>
                <w:sz w:val="20"/>
                <w:lang w:val="fr-CA"/>
              </w:rPr>
              <w:t xml:space="preserve">) c. </w:t>
            </w:r>
            <w:proofErr w:type="spellStart"/>
            <w:r w:rsidRPr="00CF0874">
              <w:rPr>
                <w:i/>
                <w:sz w:val="20"/>
                <w:lang w:val="fr-CA"/>
              </w:rPr>
              <w:t>University</w:t>
            </w:r>
            <w:proofErr w:type="spellEnd"/>
            <w:r w:rsidRPr="00CF0874">
              <w:rPr>
                <w:i/>
                <w:sz w:val="20"/>
                <w:lang w:val="fr-CA"/>
              </w:rPr>
              <w:t xml:space="preserve"> of Calgary</w:t>
            </w:r>
            <w:r w:rsidRPr="00CF0874">
              <w:rPr>
                <w:sz w:val="20"/>
                <w:lang w:val="fr-CA"/>
              </w:rPr>
              <w:t xml:space="preserve">, 2016 CSC 53, [2016] 2 RCS 555, ainsi que sur l’arrêt </w:t>
            </w:r>
            <w:r w:rsidRPr="00CF0874">
              <w:rPr>
                <w:i/>
                <w:sz w:val="20"/>
                <w:lang w:val="fr-CA"/>
              </w:rPr>
              <w:t xml:space="preserve">Canadian Natural </w:t>
            </w:r>
            <w:proofErr w:type="spellStart"/>
            <w:r w:rsidRPr="00CF0874">
              <w:rPr>
                <w:i/>
                <w:sz w:val="20"/>
                <w:lang w:val="fr-CA"/>
              </w:rPr>
              <w:t>Resources</w:t>
            </w:r>
            <w:proofErr w:type="spellEnd"/>
            <w:r w:rsidRPr="00CF0874">
              <w:rPr>
                <w:i/>
                <w:sz w:val="20"/>
                <w:lang w:val="fr-CA"/>
              </w:rPr>
              <w:t xml:space="preserve"> Limited c. </w:t>
            </w:r>
            <w:proofErr w:type="spellStart"/>
            <w:r w:rsidRPr="00CF0874">
              <w:rPr>
                <w:i/>
                <w:sz w:val="20"/>
                <w:lang w:val="fr-CA"/>
              </w:rPr>
              <w:t>ShawCor</w:t>
            </w:r>
            <w:proofErr w:type="spellEnd"/>
            <w:r w:rsidRPr="00CF0874">
              <w:rPr>
                <w:i/>
                <w:sz w:val="20"/>
                <w:lang w:val="fr-CA"/>
              </w:rPr>
              <w:t xml:space="preserve"> Ltd</w:t>
            </w:r>
            <w:r w:rsidRPr="00CF0874">
              <w:rPr>
                <w:sz w:val="20"/>
                <w:lang w:val="fr-CA"/>
              </w:rPr>
              <w:t xml:space="preserve">., 2014 ABCA 289, la Cour d’appel a accueilli l’appel de l’Alberta, en partie, concluant que le juge en cabinet avait commis une erreur dans sa conclusion relative à l’objet principal de l’enquête de </w:t>
            </w:r>
            <w:proofErr w:type="spellStart"/>
            <w:r w:rsidRPr="00CF0874">
              <w:rPr>
                <w:sz w:val="20"/>
                <w:lang w:val="fr-CA"/>
              </w:rPr>
              <w:t>Suncor</w:t>
            </w:r>
            <w:proofErr w:type="spellEnd"/>
            <w:r w:rsidRPr="00CF0874">
              <w:rPr>
                <w:sz w:val="20"/>
                <w:lang w:val="fr-CA"/>
              </w:rPr>
              <w:t>, ordonnant à l’arbitre de faire des recommandations au tribunal après avoir examiné les documents et entendu les observations des deux parties.</w:t>
            </w:r>
          </w:p>
          <w:p w:rsidR="00BF624E" w:rsidRPr="00CF0874" w:rsidRDefault="00BF624E" w:rsidP="00A246F4">
            <w:pPr>
              <w:jc w:val="both"/>
              <w:rPr>
                <w:sz w:val="20"/>
                <w:lang w:val="fr-CA"/>
              </w:rPr>
            </w:pPr>
          </w:p>
        </w:tc>
      </w:tr>
      <w:tr w:rsidR="00BF624E" w:rsidRPr="00D23B2D" w:rsidTr="00A246F4">
        <w:tc>
          <w:tcPr>
            <w:tcW w:w="2427" w:type="pct"/>
            <w:gridSpan w:val="2"/>
          </w:tcPr>
          <w:p w:rsidR="00BF624E" w:rsidRPr="00CF0874" w:rsidRDefault="00BF624E" w:rsidP="00A246F4">
            <w:pPr>
              <w:jc w:val="both"/>
              <w:rPr>
                <w:sz w:val="20"/>
                <w:lang w:val="fr-CA"/>
              </w:rPr>
            </w:pPr>
            <w:r w:rsidRPr="00CF0874">
              <w:rPr>
                <w:sz w:val="20"/>
                <w:lang w:val="fr-CA"/>
              </w:rPr>
              <w:t>10 mai 2016</w:t>
            </w:r>
          </w:p>
          <w:p w:rsidR="00BF624E" w:rsidRPr="00CF0874" w:rsidRDefault="00BF624E" w:rsidP="00A246F4">
            <w:pPr>
              <w:jc w:val="both"/>
              <w:rPr>
                <w:sz w:val="20"/>
                <w:lang w:val="fr-CA"/>
              </w:rPr>
            </w:pPr>
            <w:r w:rsidRPr="00CF0874">
              <w:rPr>
                <w:sz w:val="20"/>
                <w:lang w:val="fr-CA"/>
              </w:rPr>
              <w:t>Cour du Banc de la Reine de l’Alberta</w:t>
            </w:r>
          </w:p>
          <w:p w:rsidR="00BF624E" w:rsidRPr="00CF0874" w:rsidRDefault="00BF624E" w:rsidP="00A246F4">
            <w:pPr>
              <w:jc w:val="both"/>
              <w:rPr>
                <w:sz w:val="20"/>
                <w:lang w:val="fr-CA"/>
              </w:rPr>
            </w:pPr>
            <w:r w:rsidRPr="00CF0874">
              <w:rPr>
                <w:sz w:val="20"/>
                <w:lang w:val="fr-CA"/>
              </w:rPr>
              <w:t xml:space="preserve">(Juge </w:t>
            </w:r>
            <w:proofErr w:type="spellStart"/>
            <w:r w:rsidRPr="00CF0874">
              <w:rPr>
                <w:sz w:val="20"/>
                <w:lang w:val="fr-CA"/>
              </w:rPr>
              <w:t>Manderscheid</w:t>
            </w:r>
            <w:proofErr w:type="spellEnd"/>
            <w:r w:rsidRPr="00CF0874">
              <w:rPr>
                <w:sz w:val="20"/>
                <w:lang w:val="fr-CA"/>
              </w:rPr>
              <w:t>)</w:t>
            </w:r>
          </w:p>
          <w:p w:rsidR="00BF624E" w:rsidRPr="00CF0874" w:rsidRDefault="00227F09" w:rsidP="00A246F4">
            <w:pPr>
              <w:jc w:val="both"/>
              <w:rPr>
                <w:sz w:val="20"/>
                <w:lang w:val="fr-CA"/>
              </w:rPr>
            </w:pPr>
            <w:hyperlink r:id="rId27" w:history="1">
              <w:r w:rsidR="00BF624E" w:rsidRPr="00CF0874">
                <w:rPr>
                  <w:rStyle w:val="Hyperlink"/>
                  <w:sz w:val="20"/>
                  <w:lang w:val="fr-CA"/>
                </w:rPr>
                <w:t>2016 ABQB 264</w:t>
              </w:r>
            </w:hyperlink>
            <w:r w:rsidR="00BF624E" w:rsidRPr="00CF0874">
              <w:rPr>
                <w:sz w:val="20"/>
                <w:lang w:val="fr-CA"/>
              </w:rPr>
              <w:t xml:space="preserve"> </w:t>
            </w:r>
          </w:p>
          <w:p w:rsidR="00BF624E" w:rsidRPr="00CF0874" w:rsidRDefault="00BF624E" w:rsidP="00A246F4">
            <w:pPr>
              <w:jc w:val="both"/>
              <w:rPr>
                <w:sz w:val="20"/>
                <w:lang w:val="fr-CA"/>
              </w:rPr>
            </w:pP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 xml:space="preserve">Ordonnance enjoignant à </w:t>
            </w:r>
            <w:proofErr w:type="spellStart"/>
            <w:r w:rsidRPr="00CF0874">
              <w:rPr>
                <w:sz w:val="20"/>
                <w:lang w:val="fr-CA"/>
              </w:rPr>
              <w:t>Suncor</w:t>
            </w:r>
            <w:proofErr w:type="spellEnd"/>
            <w:r w:rsidRPr="00CF0874">
              <w:rPr>
                <w:sz w:val="20"/>
                <w:lang w:val="fr-CA"/>
              </w:rPr>
              <w:t xml:space="preserve"> de fournir à un arbitre des documents qu’elle avait refusé de fournir et de présenter des observations relatives au privilège, et demandant à l’arbitre d’évaluer ensuite les revendications de privilège et de faire des recommandations au tribunal.</w:t>
            </w:r>
          </w:p>
          <w:p w:rsidR="00BF624E" w:rsidRPr="00CF0874" w:rsidRDefault="00BF624E" w:rsidP="00A246F4">
            <w:pPr>
              <w:jc w:val="both"/>
              <w:rPr>
                <w:sz w:val="20"/>
                <w:lang w:val="fr-CA"/>
              </w:rPr>
            </w:pPr>
          </w:p>
        </w:tc>
      </w:tr>
      <w:tr w:rsidR="00BF624E" w:rsidRPr="00D23B2D" w:rsidTr="00A246F4">
        <w:tc>
          <w:tcPr>
            <w:tcW w:w="2427" w:type="pct"/>
            <w:gridSpan w:val="2"/>
          </w:tcPr>
          <w:p w:rsidR="00BF624E" w:rsidRPr="00CF0874" w:rsidRDefault="00BF624E" w:rsidP="00A246F4">
            <w:pPr>
              <w:jc w:val="both"/>
              <w:rPr>
                <w:sz w:val="20"/>
                <w:lang w:val="fr-CA"/>
              </w:rPr>
            </w:pPr>
            <w:r w:rsidRPr="00CF0874">
              <w:rPr>
                <w:sz w:val="20"/>
                <w:lang w:val="fr-CA"/>
              </w:rPr>
              <w:t>4 juillet 2017</w:t>
            </w:r>
          </w:p>
          <w:p w:rsidR="00BF624E" w:rsidRPr="00CF0874" w:rsidRDefault="00BF624E" w:rsidP="00A246F4">
            <w:pPr>
              <w:jc w:val="both"/>
              <w:rPr>
                <w:sz w:val="20"/>
                <w:lang w:val="fr-CA"/>
              </w:rPr>
            </w:pPr>
            <w:r w:rsidRPr="00CF0874">
              <w:rPr>
                <w:sz w:val="20"/>
                <w:lang w:val="fr-CA"/>
              </w:rPr>
              <w:t>Cour d’appel de l’Alberta (Edmonton)</w:t>
            </w:r>
          </w:p>
          <w:p w:rsidR="00BF624E" w:rsidRPr="00CF0874" w:rsidRDefault="00BF624E" w:rsidP="00A246F4">
            <w:pPr>
              <w:jc w:val="both"/>
              <w:rPr>
                <w:sz w:val="20"/>
                <w:lang w:val="fr-CA"/>
              </w:rPr>
            </w:pPr>
            <w:r w:rsidRPr="00CF0874">
              <w:rPr>
                <w:sz w:val="20"/>
                <w:lang w:val="fr-CA"/>
              </w:rPr>
              <w:t xml:space="preserve">(Juges Berger, Watson et </w:t>
            </w:r>
            <w:proofErr w:type="spellStart"/>
            <w:r w:rsidRPr="00CF0874">
              <w:rPr>
                <w:sz w:val="20"/>
                <w:lang w:val="fr-CA"/>
              </w:rPr>
              <w:t>Greckol</w:t>
            </w:r>
            <w:proofErr w:type="spellEnd"/>
            <w:r w:rsidRPr="00CF0874">
              <w:rPr>
                <w:sz w:val="20"/>
                <w:lang w:val="fr-CA"/>
              </w:rPr>
              <w:t>)</w:t>
            </w:r>
          </w:p>
          <w:p w:rsidR="00BF624E" w:rsidRPr="00CF0874" w:rsidRDefault="00227F09" w:rsidP="00A246F4">
            <w:pPr>
              <w:jc w:val="both"/>
              <w:rPr>
                <w:sz w:val="20"/>
                <w:lang w:val="fr-CA"/>
              </w:rPr>
            </w:pPr>
            <w:hyperlink r:id="rId28" w:history="1">
              <w:r w:rsidR="00BF624E" w:rsidRPr="00CF0874">
                <w:rPr>
                  <w:rStyle w:val="Hyperlink"/>
                  <w:sz w:val="20"/>
                  <w:lang w:val="fr-CA"/>
                </w:rPr>
                <w:t>2017 ABCA 221</w:t>
              </w:r>
            </w:hyperlink>
          </w:p>
          <w:p w:rsidR="00BF624E" w:rsidRPr="00CF0874" w:rsidRDefault="00BF624E" w:rsidP="00A246F4">
            <w:pPr>
              <w:jc w:val="both"/>
              <w:rPr>
                <w:sz w:val="20"/>
                <w:lang w:val="fr-CA"/>
              </w:rPr>
            </w:pP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Arrêt accueillant l’appel de l’Alberta, en partie.</w:t>
            </w:r>
          </w:p>
          <w:p w:rsidR="00BF624E" w:rsidRPr="00CF0874" w:rsidRDefault="00BF624E" w:rsidP="00A246F4">
            <w:pPr>
              <w:jc w:val="both"/>
              <w:rPr>
                <w:sz w:val="20"/>
                <w:lang w:val="fr-CA"/>
              </w:rPr>
            </w:pPr>
          </w:p>
        </w:tc>
      </w:tr>
      <w:tr w:rsidR="00BF624E" w:rsidRPr="00D23B2D" w:rsidTr="00A246F4">
        <w:tc>
          <w:tcPr>
            <w:tcW w:w="2427" w:type="pct"/>
            <w:gridSpan w:val="2"/>
          </w:tcPr>
          <w:p w:rsidR="00BF624E" w:rsidRPr="00CF0874" w:rsidRDefault="00BF624E" w:rsidP="00A246F4">
            <w:pPr>
              <w:jc w:val="both"/>
              <w:rPr>
                <w:sz w:val="20"/>
                <w:lang w:val="fr-CA"/>
              </w:rPr>
            </w:pPr>
            <w:r w:rsidRPr="00CF0874">
              <w:rPr>
                <w:sz w:val="20"/>
                <w:lang w:val="fr-CA"/>
              </w:rPr>
              <w:t>29 septembre 2017</w:t>
            </w:r>
          </w:p>
          <w:p w:rsidR="00BF624E" w:rsidRPr="00CF0874" w:rsidRDefault="00BF624E" w:rsidP="00A246F4">
            <w:pPr>
              <w:jc w:val="both"/>
              <w:rPr>
                <w:sz w:val="20"/>
                <w:lang w:val="fr-CA"/>
              </w:rPr>
            </w:pPr>
            <w:r w:rsidRPr="00CF0874">
              <w:rPr>
                <w:sz w:val="20"/>
                <w:lang w:val="fr-CA"/>
              </w:rPr>
              <w:t>Cour suprême du Canada</w:t>
            </w:r>
          </w:p>
        </w:tc>
        <w:tc>
          <w:tcPr>
            <w:tcW w:w="243" w:type="pct"/>
          </w:tcPr>
          <w:p w:rsidR="00BF624E" w:rsidRPr="00CF0874" w:rsidRDefault="00BF624E" w:rsidP="00A246F4">
            <w:pPr>
              <w:jc w:val="both"/>
              <w:rPr>
                <w:sz w:val="20"/>
                <w:lang w:val="fr-CA"/>
              </w:rPr>
            </w:pPr>
          </w:p>
        </w:tc>
        <w:tc>
          <w:tcPr>
            <w:tcW w:w="2330" w:type="pct"/>
          </w:tcPr>
          <w:p w:rsidR="00BF624E" w:rsidRPr="00CF0874" w:rsidRDefault="00BF624E" w:rsidP="00A246F4">
            <w:pPr>
              <w:jc w:val="both"/>
              <w:rPr>
                <w:sz w:val="20"/>
                <w:lang w:val="fr-CA"/>
              </w:rPr>
            </w:pPr>
            <w:r w:rsidRPr="00CF0874">
              <w:rPr>
                <w:sz w:val="20"/>
                <w:lang w:val="fr-CA"/>
              </w:rPr>
              <w:t>Dépôt de la demande d’autorisation d’appel.</w:t>
            </w:r>
          </w:p>
        </w:tc>
      </w:tr>
    </w:tbl>
    <w:p w:rsidR="00BF624E" w:rsidRPr="00BF624E" w:rsidRDefault="00BF624E" w:rsidP="00E8544A">
      <w:pPr>
        <w:rPr>
          <w:sz w:val="20"/>
          <w:szCs w:val="20"/>
          <w:lang w:val="fr-CA"/>
        </w:rPr>
      </w:pPr>
    </w:p>
    <w:p w:rsidR="00E8544A" w:rsidRPr="009D287C" w:rsidRDefault="00227F09" w:rsidP="00E8544A">
      <w:pPr>
        <w:jc w:val="both"/>
        <w:rPr>
          <w:sz w:val="20"/>
        </w:rPr>
      </w:pPr>
      <w:r>
        <w:rPr>
          <w:sz w:val="20"/>
          <w:szCs w:val="20"/>
        </w:rPr>
        <w:pict>
          <v:rect id="_x0000_i1035" style="width:2in;height:1pt" o:hrpct="0" o:hralign="center" o:hrstd="t" o:hrnoshade="t" o:hr="t" fillcolor="black"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54B6C" w:rsidRPr="008400E6" w:rsidRDefault="00054B6C" w:rsidP="00054B6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23</w:t>
      </w:r>
      <w:r w:rsidRPr="008400E6">
        <w:rPr>
          <w:rFonts w:eastAsia="Times New Roman" w:cs="Times New Roman"/>
          <w:sz w:val="20"/>
          <w:szCs w:val="20"/>
          <w:lang w:val="fr-CA" w:eastAsia="en-CA"/>
        </w:rPr>
        <w:t>.0</w:t>
      </w:r>
      <w:r>
        <w:rPr>
          <w:rFonts w:eastAsia="Times New Roman" w:cs="Times New Roman"/>
          <w:sz w:val="20"/>
          <w:szCs w:val="20"/>
          <w:lang w:val="fr-CA" w:eastAsia="en-CA"/>
        </w:rPr>
        <w:t>4</w:t>
      </w:r>
      <w:r w:rsidRPr="008400E6">
        <w:rPr>
          <w:rFonts w:eastAsia="Times New Roman" w:cs="Times New Roman"/>
          <w:sz w:val="20"/>
          <w:szCs w:val="20"/>
          <w:lang w:val="fr-CA" w:eastAsia="en-CA"/>
        </w:rPr>
        <w:t>.2018</w:t>
      </w:r>
    </w:p>
    <w:p w:rsidR="00054B6C" w:rsidRPr="008400E6" w:rsidRDefault="00054B6C" w:rsidP="00054B6C">
      <w:pPr>
        <w:tabs>
          <w:tab w:val="left" w:pos="-1440"/>
          <w:tab w:val="left" w:pos="-720"/>
        </w:tabs>
        <w:jc w:val="both"/>
        <w:rPr>
          <w:rFonts w:eastAsia="Times New Roman" w:cs="Times New Roman"/>
          <w:sz w:val="20"/>
          <w:szCs w:val="20"/>
          <w:lang w:val="fr-CA" w:eastAsia="en-CA"/>
        </w:rPr>
      </w:pPr>
    </w:p>
    <w:p w:rsidR="00054B6C" w:rsidRPr="008400E6" w:rsidRDefault="00054B6C" w:rsidP="00054B6C">
      <w:pPr>
        <w:tabs>
          <w:tab w:val="left" w:pos="-1440"/>
          <w:tab w:val="left" w:pos="-720"/>
        </w:tabs>
        <w:jc w:val="both"/>
        <w:rPr>
          <w:rFonts w:eastAsia="Times New Roman" w:cs="Times New Roman"/>
          <w:sz w:val="20"/>
          <w:szCs w:val="20"/>
          <w:lang w:val="fr-CA" w:eastAsia="en-CA"/>
        </w:rPr>
      </w:pPr>
      <w:proofErr w:type="spellStart"/>
      <w:r w:rsidRPr="008400E6">
        <w:rPr>
          <w:rFonts w:eastAsia="Times New Roman" w:cs="Times New Roman"/>
          <w:sz w:val="20"/>
          <w:szCs w:val="20"/>
          <w:lang w:val="fr-CA" w:eastAsia="en-CA"/>
        </w:rPr>
        <w:t>Before</w:t>
      </w:r>
      <w:proofErr w:type="spellEnd"/>
      <w:r w:rsidRPr="008400E6">
        <w:rPr>
          <w:rFonts w:eastAsia="Times New Roman" w:cs="Times New Roman"/>
          <w:sz w:val="20"/>
          <w:szCs w:val="20"/>
          <w:lang w:val="fr-CA" w:eastAsia="en-CA"/>
        </w:rPr>
        <w:t xml:space="preserve"> / Devant :   </w:t>
      </w:r>
      <w:r>
        <w:rPr>
          <w:rFonts w:eastAsia="Times New Roman" w:cs="Times New Roman"/>
          <w:sz w:val="20"/>
          <w:szCs w:val="20"/>
          <w:lang w:val="fr-CA" w:eastAsia="en-CA"/>
        </w:rPr>
        <w:t xml:space="preserve">ABELLA </w:t>
      </w:r>
      <w:r w:rsidRPr="008400E6">
        <w:rPr>
          <w:rFonts w:eastAsia="Times New Roman" w:cs="Times New Roman"/>
          <w:sz w:val="20"/>
          <w:szCs w:val="20"/>
          <w:lang w:val="fr-CA" w:eastAsia="en-CA"/>
        </w:rPr>
        <w:t>J. / L</w:t>
      </w:r>
      <w:r>
        <w:rPr>
          <w:rFonts w:eastAsia="Times New Roman" w:cs="Times New Roman"/>
          <w:sz w:val="20"/>
          <w:szCs w:val="20"/>
          <w:lang w:val="fr-CA" w:eastAsia="en-CA"/>
        </w:rPr>
        <w:t>A JUGE ABELLA</w:t>
      </w:r>
    </w:p>
    <w:p w:rsidR="00054B6C" w:rsidRDefault="00054B6C" w:rsidP="00054B6C">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1137"/>
        <w:gridCol w:w="4219"/>
      </w:tblGrid>
      <w:tr w:rsidR="00054B6C" w:rsidRPr="00E9100D" w:rsidTr="00081DFA">
        <w:tc>
          <w:tcPr>
            <w:tcW w:w="4263" w:type="dxa"/>
          </w:tcPr>
          <w:p w:rsidR="00054B6C" w:rsidRPr="008400E6" w:rsidRDefault="00054B6C" w:rsidP="00081DFA">
            <w:pPr>
              <w:tabs>
                <w:tab w:val="left" w:pos="-1440"/>
                <w:tab w:val="left" w:pos="-720"/>
              </w:tabs>
              <w:jc w:val="both"/>
              <w:rPr>
                <w:b/>
              </w:rPr>
            </w:pPr>
            <w:r w:rsidRPr="00D12F79">
              <w:rPr>
                <w:rFonts w:cs="Times New Roman"/>
                <w:b/>
                <w:bCs/>
                <w:sz w:val="20"/>
                <w:szCs w:val="20"/>
                <w:lang w:val="en-GB"/>
              </w:rPr>
              <w:t xml:space="preserve">Motion to strike </w:t>
            </w:r>
          </w:p>
        </w:tc>
        <w:tc>
          <w:tcPr>
            <w:tcW w:w="1137" w:type="dxa"/>
          </w:tcPr>
          <w:p w:rsidR="00054B6C" w:rsidRPr="0010611E" w:rsidRDefault="00054B6C" w:rsidP="00081DFA">
            <w:pPr>
              <w:rPr>
                <w:sz w:val="20"/>
                <w:szCs w:val="20"/>
              </w:rPr>
            </w:pPr>
          </w:p>
          <w:p w:rsidR="00054B6C" w:rsidRPr="0010611E" w:rsidRDefault="00054B6C" w:rsidP="00081DFA">
            <w:pPr>
              <w:rPr>
                <w:sz w:val="20"/>
                <w:szCs w:val="20"/>
              </w:rPr>
            </w:pPr>
          </w:p>
        </w:tc>
        <w:tc>
          <w:tcPr>
            <w:tcW w:w="4219" w:type="dxa"/>
          </w:tcPr>
          <w:p w:rsidR="00054B6C" w:rsidRPr="00E675A0" w:rsidRDefault="00054B6C" w:rsidP="00081DFA">
            <w:pPr>
              <w:rPr>
                <w:rFonts w:cs="Times New Roman"/>
                <w:b/>
                <w:bCs/>
                <w:sz w:val="20"/>
                <w:szCs w:val="20"/>
                <w:lang w:val="fr-CA"/>
              </w:rPr>
            </w:pPr>
            <w:r>
              <w:rPr>
                <w:rFonts w:cs="Times New Roman"/>
                <w:b/>
                <w:bCs/>
                <w:sz w:val="20"/>
                <w:szCs w:val="20"/>
                <w:lang w:val="fr-CA"/>
              </w:rPr>
              <w:t>Requête en radiation</w:t>
            </w:r>
          </w:p>
        </w:tc>
      </w:tr>
      <w:tr w:rsidR="00054B6C" w:rsidRPr="00054B6C" w:rsidTr="00054B6C">
        <w:trPr>
          <w:trHeight w:val="1233"/>
        </w:trPr>
        <w:tc>
          <w:tcPr>
            <w:tcW w:w="4263" w:type="dxa"/>
          </w:tcPr>
          <w:p w:rsidR="00054B6C" w:rsidRPr="00054B6C" w:rsidRDefault="00054B6C" w:rsidP="00081DFA">
            <w:pPr>
              <w:rPr>
                <w:sz w:val="20"/>
                <w:szCs w:val="20"/>
                <w:lang w:val="en-US"/>
              </w:rPr>
            </w:pPr>
            <w:r w:rsidRPr="00054B6C">
              <w:rPr>
                <w:sz w:val="20"/>
                <w:szCs w:val="20"/>
                <w:lang w:val="en-US"/>
              </w:rPr>
              <w:t>S.A.</w:t>
            </w:r>
          </w:p>
          <w:p w:rsidR="00054B6C" w:rsidRPr="00054B6C" w:rsidRDefault="00054B6C" w:rsidP="00081DFA">
            <w:pPr>
              <w:rPr>
                <w:sz w:val="20"/>
                <w:szCs w:val="20"/>
                <w:lang w:val="en-US"/>
              </w:rPr>
            </w:pPr>
          </w:p>
          <w:p w:rsidR="00054B6C" w:rsidRPr="00054B6C" w:rsidRDefault="00054B6C" w:rsidP="00081DFA">
            <w:pPr>
              <w:rPr>
                <w:sz w:val="20"/>
                <w:szCs w:val="20"/>
                <w:lang w:val="en-US"/>
              </w:rPr>
            </w:pPr>
            <w:r w:rsidRPr="00054B6C">
              <w:rPr>
                <w:sz w:val="20"/>
                <w:szCs w:val="20"/>
                <w:lang w:val="en-US"/>
              </w:rPr>
              <w:tab/>
              <w:t>v. (37551)</w:t>
            </w:r>
          </w:p>
          <w:p w:rsidR="00054B6C" w:rsidRPr="00054B6C" w:rsidRDefault="00054B6C" w:rsidP="00081DFA">
            <w:pPr>
              <w:ind w:firstLine="720"/>
              <w:rPr>
                <w:sz w:val="20"/>
                <w:szCs w:val="20"/>
                <w:lang w:val="en-US"/>
              </w:rPr>
            </w:pPr>
          </w:p>
          <w:p w:rsidR="00054B6C" w:rsidRPr="00054B6C" w:rsidRDefault="00054B6C" w:rsidP="00054B6C">
            <w:pPr>
              <w:rPr>
                <w:sz w:val="20"/>
                <w:szCs w:val="20"/>
                <w:lang w:val="en-US"/>
              </w:rPr>
            </w:pPr>
            <w:r w:rsidRPr="00054B6C">
              <w:rPr>
                <w:sz w:val="20"/>
                <w:szCs w:val="20"/>
                <w:lang w:val="en-US"/>
              </w:rPr>
              <w:t>Metro Vancouver Housing Corporation (B.C.)</w:t>
            </w:r>
          </w:p>
        </w:tc>
        <w:tc>
          <w:tcPr>
            <w:tcW w:w="1137" w:type="dxa"/>
          </w:tcPr>
          <w:p w:rsidR="00054B6C" w:rsidRPr="00054B6C" w:rsidRDefault="00054B6C" w:rsidP="00081DFA">
            <w:pPr>
              <w:rPr>
                <w:sz w:val="20"/>
                <w:szCs w:val="20"/>
                <w:lang w:val="en-US"/>
              </w:rPr>
            </w:pPr>
          </w:p>
        </w:tc>
        <w:tc>
          <w:tcPr>
            <w:tcW w:w="4219" w:type="dxa"/>
          </w:tcPr>
          <w:p w:rsidR="00054B6C" w:rsidRPr="00054B6C" w:rsidRDefault="00054B6C" w:rsidP="00081DFA">
            <w:pPr>
              <w:rPr>
                <w:sz w:val="20"/>
                <w:szCs w:val="20"/>
                <w:lang w:val="en-US"/>
              </w:rPr>
            </w:pPr>
          </w:p>
        </w:tc>
      </w:tr>
    </w:tbl>
    <w:p w:rsidR="00054B6C" w:rsidRDefault="00054B6C" w:rsidP="00054B6C">
      <w:pPr>
        <w:tabs>
          <w:tab w:val="left" w:pos="-1440"/>
          <w:tab w:val="left" w:pos="-720"/>
        </w:tabs>
        <w:jc w:val="both"/>
        <w:rPr>
          <w:rFonts w:eastAsia="Times New Roman" w:cs="Times New Roman"/>
          <w:sz w:val="20"/>
          <w:szCs w:val="20"/>
          <w:lang w:val="en-US" w:eastAsia="en-CA"/>
        </w:rPr>
      </w:pPr>
    </w:p>
    <w:p w:rsidR="00FA5483" w:rsidRPr="00FA5483" w:rsidRDefault="00FA5483" w:rsidP="00054B6C">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en-US" w:eastAsia="en-CA"/>
        </w:rPr>
        <w:t>REFERRED / RENVOY</w:t>
      </w:r>
      <w:r>
        <w:rPr>
          <w:rFonts w:eastAsia="Times New Roman" w:cs="Times New Roman"/>
          <w:b/>
          <w:sz w:val="20"/>
          <w:szCs w:val="20"/>
          <w:lang w:val="fr-CA" w:eastAsia="en-CA"/>
        </w:rPr>
        <w:t>ÉE</w:t>
      </w:r>
    </w:p>
    <w:p w:rsidR="00054B6C" w:rsidRPr="00054B6C" w:rsidRDefault="00054B6C" w:rsidP="00054B6C">
      <w:pPr>
        <w:tabs>
          <w:tab w:val="left" w:pos="-1440"/>
          <w:tab w:val="left" w:pos="-720"/>
        </w:tabs>
        <w:jc w:val="both"/>
        <w:rPr>
          <w:rFonts w:eastAsia="Times New Roman" w:cs="Times New Roman"/>
          <w:sz w:val="20"/>
          <w:szCs w:val="20"/>
          <w:lang w:val="en-US" w:eastAsia="en-CA"/>
        </w:rPr>
      </w:pPr>
    </w:p>
    <w:p w:rsidR="00054B6C" w:rsidRPr="00054B6C" w:rsidRDefault="00054B6C" w:rsidP="00054B6C">
      <w:pPr>
        <w:spacing w:line="0" w:lineRule="atLeast"/>
        <w:jc w:val="both"/>
        <w:rPr>
          <w:rFonts w:cs="Times New Roman"/>
          <w:sz w:val="20"/>
          <w:szCs w:val="24"/>
        </w:rPr>
      </w:pPr>
      <w:r w:rsidRPr="00054B6C">
        <w:rPr>
          <w:rFonts w:cs="Times New Roman"/>
          <w:bCs/>
          <w:sz w:val="20"/>
          <w:szCs w:val="24"/>
        </w:rPr>
        <w:t xml:space="preserve">UPON APPLICATION </w:t>
      </w:r>
      <w:r w:rsidRPr="00054B6C">
        <w:rPr>
          <w:rFonts w:cs="Times New Roman"/>
          <w:sz w:val="20"/>
          <w:szCs w:val="24"/>
        </w:rPr>
        <w:t xml:space="preserve">by the respondent for an order striking paragraphs 3, 7, 11, 16-20, 24-34, of the factum of the intervener Disability Alliance BC Society, and for an order striking the affidavit references and certain propositions at paragraphs 9, 16 and 23 of the joint factum of the interveners </w:t>
      </w:r>
      <w:r w:rsidRPr="00054B6C">
        <w:rPr>
          <w:rFonts w:cs="Times New Roman"/>
          <w:sz w:val="20"/>
          <w:szCs w:val="24"/>
          <w:lang w:eastAsia="fr-FR"/>
        </w:rPr>
        <w:t>Canadian Association for Community Living and People First of Canada;</w:t>
      </w:r>
    </w:p>
    <w:p w:rsidR="00054B6C" w:rsidRPr="00054B6C" w:rsidRDefault="00054B6C" w:rsidP="00054B6C">
      <w:pPr>
        <w:jc w:val="both"/>
        <w:rPr>
          <w:rFonts w:cs="Times New Roman"/>
          <w:sz w:val="20"/>
          <w:szCs w:val="24"/>
        </w:rPr>
      </w:pPr>
    </w:p>
    <w:p w:rsidR="00054B6C" w:rsidRPr="00054B6C" w:rsidRDefault="00054B6C" w:rsidP="00054B6C">
      <w:pPr>
        <w:spacing w:line="0" w:lineRule="atLeast"/>
        <w:jc w:val="both"/>
        <w:rPr>
          <w:rFonts w:cs="Times New Roman"/>
          <w:sz w:val="20"/>
          <w:szCs w:val="24"/>
        </w:rPr>
      </w:pPr>
      <w:r w:rsidRPr="00054B6C">
        <w:rPr>
          <w:rFonts w:cs="Times New Roman"/>
          <w:bCs/>
          <w:sz w:val="20"/>
          <w:szCs w:val="24"/>
        </w:rPr>
        <w:t>AND THE MATERIAL FILED</w:t>
      </w:r>
      <w:r w:rsidRPr="00054B6C">
        <w:rPr>
          <w:rFonts w:cs="Times New Roman"/>
          <w:sz w:val="20"/>
          <w:szCs w:val="24"/>
        </w:rPr>
        <w:t xml:space="preserve"> having been read; </w:t>
      </w:r>
    </w:p>
    <w:p w:rsidR="00054B6C" w:rsidRPr="00054B6C" w:rsidRDefault="00054B6C" w:rsidP="00054B6C">
      <w:pPr>
        <w:spacing w:line="0" w:lineRule="atLeast"/>
        <w:jc w:val="both"/>
        <w:rPr>
          <w:rFonts w:cs="Times New Roman"/>
          <w:sz w:val="20"/>
          <w:szCs w:val="24"/>
        </w:rPr>
      </w:pPr>
    </w:p>
    <w:p w:rsidR="00054B6C" w:rsidRPr="00054B6C" w:rsidRDefault="00054B6C" w:rsidP="00054B6C">
      <w:pPr>
        <w:spacing w:line="228" w:lineRule="auto"/>
        <w:jc w:val="both"/>
        <w:rPr>
          <w:rFonts w:cs="Times New Roman"/>
          <w:sz w:val="20"/>
          <w:szCs w:val="24"/>
        </w:rPr>
      </w:pPr>
      <w:r w:rsidRPr="00054B6C">
        <w:rPr>
          <w:rFonts w:cs="Times New Roman"/>
          <w:bCs/>
          <w:sz w:val="20"/>
          <w:szCs w:val="24"/>
        </w:rPr>
        <w:t>IT IS HEREBY ORDERED THAT:</w:t>
      </w:r>
    </w:p>
    <w:p w:rsidR="00054B6C" w:rsidRPr="00054B6C" w:rsidRDefault="00054B6C" w:rsidP="00054B6C">
      <w:pPr>
        <w:ind w:left="720"/>
        <w:jc w:val="both"/>
        <w:rPr>
          <w:rFonts w:cs="Times New Roman"/>
          <w:sz w:val="20"/>
          <w:szCs w:val="24"/>
          <w:lang w:eastAsia="fr-FR"/>
        </w:rPr>
      </w:pPr>
    </w:p>
    <w:p w:rsidR="00054B6C" w:rsidRPr="00054B6C" w:rsidRDefault="00054B6C" w:rsidP="00054B6C">
      <w:pPr>
        <w:spacing w:line="228" w:lineRule="auto"/>
        <w:jc w:val="both"/>
        <w:rPr>
          <w:i/>
          <w:sz w:val="20"/>
        </w:rPr>
      </w:pPr>
      <w:r w:rsidRPr="00054B6C">
        <w:rPr>
          <w:sz w:val="20"/>
          <w:szCs w:val="24"/>
        </w:rPr>
        <w:t xml:space="preserve">The motion to strike is referred to the panel of the Court hearing the appeal. </w:t>
      </w:r>
    </w:p>
    <w:p w:rsidR="00054B6C" w:rsidRPr="00054B6C" w:rsidRDefault="00054B6C" w:rsidP="00054B6C">
      <w:pPr>
        <w:spacing w:line="228" w:lineRule="auto"/>
        <w:jc w:val="both"/>
        <w:rPr>
          <w:sz w:val="20"/>
          <w:szCs w:val="24"/>
        </w:rPr>
      </w:pPr>
    </w:p>
    <w:p w:rsidR="00054B6C" w:rsidRPr="00FA5483" w:rsidRDefault="00054B6C" w:rsidP="00054B6C">
      <w:pPr>
        <w:spacing w:line="228" w:lineRule="auto"/>
        <w:jc w:val="both"/>
        <w:rPr>
          <w:sz w:val="20"/>
          <w:szCs w:val="24"/>
          <w:lang w:val="en-US"/>
        </w:rPr>
      </w:pPr>
    </w:p>
    <w:p w:rsidR="00054B6C" w:rsidRPr="00054B6C" w:rsidRDefault="00054B6C" w:rsidP="00054B6C">
      <w:pPr>
        <w:spacing w:line="228" w:lineRule="auto"/>
        <w:jc w:val="both"/>
        <w:rPr>
          <w:rFonts w:cs="Times New Roman"/>
          <w:sz w:val="20"/>
          <w:szCs w:val="24"/>
          <w:lang w:val="fr-CA"/>
        </w:rPr>
      </w:pPr>
      <w:r w:rsidRPr="00054B6C">
        <w:rPr>
          <w:sz w:val="20"/>
          <w:szCs w:val="24"/>
          <w:lang w:val="fr-CA"/>
        </w:rPr>
        <w:t xml:space="preserve">À LA SUITE DE LA DEMANDE présentée par l’intimée en vue de la radiation des paragraphes 3, 7, 11, 16 à 20 et 24 à 34 du mémoire de l’intervenante </w:t>
      </w:r>
      <w:proofErr w:type="spellStart"/>
      <w:r w:rsidRPr="00054B6C">
        <w:rPr>
          <w:rFonts w:cs="Times New Roman"/>
          <w:sz w:val="20"/>
          <w:szCs w:val="24"/>
          <w:lang w:val="fr-CA"/>
        </w:rPr>
        <w:t>Disability</w:t>
      </w:r>
      <w:proofErr w:type="spellEnd"/>
      <w:r w:rsidRPr="00054B6C">
        <w:rPr>
          <w:rFonts w:cs="Times New Roman"/>
          <w:sz w:val="20"/>
          <w:szCs w:val="24"/>
          <w:lang w:val="fr-CA"/>
        </w:rPr>
        <w:t xml:space="preserve"> Alliance BC Society, et de la radiation des renvois aux affidavits et de certaines propositions aux paragraphes 9, 16 et 23 du mémoire conjoint des intervenantes l’Association canadienne pour </w:t>
      </w:r>
      <w:proofErr w:type="gramStart"/>
      <w:r w:rsidRPr="00054B6C">
        <w:rPr>
          <w:rFonts w:cs="Times New Roman"/>
          <w:sz w:val="20"/>
          <w:szCs w:val="24"/>
          <w:lang w:val="fr-CA"/>
        </w:rPr>
        <w:t>l’intégration</w:t>
      </w:r>
      <w:proofErr w:type="gramEnd"/>
      <w:r w:rsidRPr="00054B6C">
        <w:rPr>
          <w:rFonts w:cs="Times New Roman"/>
          <w:sz w:val="20"/>
          <w:szCs w:val="24"/>
          <w:lang w:val="fr-CA"/>
        </w:rPr>
        <w:t xml:space="preserve"> communautaire et Personnes d’abord du Canada;</w:t>
      </w:r>
    </w:p>
    <w:p w:rsidR="00054B6C" w:rsidRPr="00054B6C" w:rsidRDefault="00054B6C" w:rsidP="00054B6C">
      <w:pPr>
        <w:spacing w:line="228" w:lineRule="auto"/>
        <w:jc w:val="both"/>
        <w:rPr>
          <w:rFonts w:cs="Times New Roman"/>
          <w:sz w:val="20"/>
          <w:szCs w:val="24"/>
          <w:lang w:val="fr-CA"/>
        </w:rPr>
      </w:pPr>
    </w:p>
    <w:p w:rsidR="00054B6C" w:rsidRPr="00054B6C" w:rsidRDefault="00054B6C" w:rsidP="00054B6C">
      <w:pPr>
        <w:spacing w:line="228" w:lineRule="auto"/>
        <w:jc w:val="both"/>
        <w:rPr>
          <w:rFonts w:cs="Times New Roman"/>
          <w:sz w:val="20"/>
          <w:szCs w:val="24"/>
          <w:lang w:val="fr-CA"/>
        </w:rPr>
      </w:pPr>
      <w:r w:rsidRPr="00054B6C">
        <w:rPr>
          <w:rFonts w:cs="Times New Roman"/>
          <w:sz w:val="20"/>
          <w:szCs w:val="24"/>
          <w:lang w:val="fr-CA"/>
        </w:rPr>
        <w:t>ET APRÈS EXAMEN des documents déposés;</w:t>
      </w:r>
    </w:p>
    <w:p w:rsidR="00054B6C" w:rsidRPr="00054B6C" w:rsidRDefault="00054B6C" w:rsidP="00054B6C">
      <w:pPr>
        <w:spacing w:line="228" w:lineRule="auto"/>
        <w:jc w:val="both"/>
        <w:rPr>
          <w:rFonts w:cs="Times New Roman"/>
          <w:sz w:val="20"/>
          <w:szCs w:val="24"/>
          <w:lang w:val="fr-CA"/>
        </w:rPr>
      </w:pPr>
    </w:p>
    <w:p w:rsidR="00054B6C" w:rsidRPr="00054B6C" w:rsidRDefault="00054B6C" w:rsidP="00054B6C">
      <w:pPr>
        <w:spacing w:line="228" w:lineRule="auto"/>
        <w:jc w:val="both"/>
        <w:rPr>
          <w:rFonts w:cs="Times New Roman"/>
          <w:sz w:val="20"/>
          <w:szCs w:val="24"/>
          <w:lang w:val="fr-CA"/>
        </w:rPr>
      </w:pPr>
      <w:r w:rsidRPr="00054B6C">
        <w:rPr>
          <w:rFonts w:cs="Times New Roman"/>
          <w:sz w:val="20"/>
          <w:szCs w:val="24"/>
          <w:lang w:val="fr-CA"/>
        </w:rPr>
        <w:t>IL EST ORDONNÉ CE QUI SUIT :</w:t>
      </w:r>
    </w:p>
    <w:p w:rsidR="00054B6C" w:rsidRPr="00054B6C" w:rsidRDefault="00054B6C" w:rsidP="00054B6C">
      <w:pPr>
        <w:spacing w:line="228" w:lineRule="auto"/>
        <w:jc w:val="both"/>
        <w:rPr>
          <w:rFonts w:cs="Times New Roman"/>
          <w:sz w:val="20"/>
          <w:szCs w:val="24"/>
          <w:lang w:val="fr-CA"/>
        </w:rPr>
      </w:pPr>
    </w:p>
    <w:p w:rsidR="00054B6C" w:rsidRPr="00054B6C" w:rsidRDefault="00054B6C" w:rsidP="00054B6C">
      <w:pPr>
        <w:spacing w:line="228" w:lineRule="auto"/>
        <w:jc w:val="both"/>
        <w:rPr>
          <w:rFonts w:cs="Times New Roman"/>
          <w:sz w:val="20"/>
          <w:szCs w:val="24"/>
          <w:lang w:val="fr-CA"/>
        </w:rPr>
      </w:pPr>
      <w:r w:rsidRPr="00054B6C">
        <w:rPr>
          <w:rFonts w:cs="Times New Roman"/>
          <w:sz w:val="20"/>
          <w:szCs w:val="24"/>
          <w:lang w:val="fr-CA"/>
        </w:rPr>
        <w:t xml:space="preserve">La requête en radiation est renvoyée à la formation de la Cour saisie du pourvoi. </w:t>
      </w:r>
    </w:p>
    <w:p w:rsidR="00054B6C" w:rsidRPr="00054B6C" w:rsidRDefault="00054B6C" w:rsidP="00183454">
      <w:pPr>
        <w:tabs>
          <w:tab w:val="left" w:pos="-1440"/>
          <w:tab w:val="left" w:pos="-720"/>
        </w:tabs>
        <w:jc w:val="both"/>
        <w:rPr>
          <w:rFonts w:eastAsia="Times New Roman" w:cs="Times New Roman"/>
          <w:sz w:val="20"/>
          <w:szCs w:val="20"/>
          <w:lang w:val="fr-CA" w:eastAsia="en-CA"/>
        </w:rPr>
      </w:pPr>
    </w:p>
    <w:p w:rsidR="00054B6C" w:rsidRPr="00054B6C" w:rsidRDefault="00054B6C" w:rsidP="00183454">
      <w:pPr>
        <w:tabs>
          <w:tab w:val="left" w:pos="-1440"/>
          <w:tab w:val="left" w:pos="-720"/>
        </w:tabs>
        <w:jc w:val="both"/>
        <w:rPr>
          <w:rFonts w:eastAsia="Times New Roman" w:cs="Times New Roman"/>
          <w:sz w:val="20"/>
          <w:szCs w:val="20"/>
          <w:lang w:val="fr-CA" w:eastAsia="en-CA"/>
        </w:rPr>
      </w:pPr>
    </w:p>
    <w:p w:rsidR="00183454" w:rsidRPr="00012FDB" w:rsidRDefault="00227F09"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8"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A548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FE2440" w:rsidP="005F1ED8">
            <w:pPr>
              <w:rPr>
                <w:sz w:val="20"/>
                <w:szCs w:val="20"/>
              </w:rPr>
            </w:pPr>
            <w:r>
              <w:rPr>
                <w:sz w:val="20"/>
                <w:szCs w:val="20"/>
              </w:rPr>
              <w:t>20</w:t>
            </w:r>
            <w:r w:rsidR="0086340B" w:rsidRPr="003B3977">
              <w:rPr>
                <w:sz w:val="20"/>
                <w:szCs w:val="20"/>
              </w:rPr>
              <w:t>.</w:t>
            </w:r>
            <w:r w:rsidR="00E8544A">
              <w:rPr>
                <w:sz w:val="20"/>
                <w:szCs w:val="20"/>
              </w:rPr>
              <w:t>0</w:t>
            </w:r>
            <w:r>
              <w:rPr>
                <w:sz w:val="20"/>
                <w:szCs w:val="20"/>
              </w:rPr>
              <w:t>4</w:t>
            </w:r>
            <w:r w:rsidR="0086340B" w:rsidRPr="003B3977">
              <w:rPr>
                <w:sz w:val="20"/>
                <w:szCs w:val="20"/>
              </w:rPr>
              <w:t>.201</w:t>
            </w:r>
            <w:r w:rsidR="00C406CA">
              <w:rPr>
                <w:sz w:val="20"/>
                <w:szCs w:val="20"/>
              </w:rPr>
              <w:t>8</w:t>
            </w:r>
          </w:p>
          <w:p w:rsidR="00FE2440" w:rsidRPr="003B3977" w:rsidRDefault="00FE2440" w:rsidP="005F1ED8">
            <w:pPr>
              <w:rPr>
                <w:sz w:val="20"/>
                <w:szCs w:val="20"/>
              </w:rPr>
            </w:pPr>
          </w:p>
          <w:p w:rsidR="0086340B" w:rsidRPr="003B3977" w:rsidRDefault="00FE2440" w:rsidP="005F1ED8">
            <w:pPr>
              <w:rPr>
                <w:b/>
                <w:sz w:val="20"/>
                <w:szCs w:val="20"/>
              </w:rPr>
            </w:pPr>
            <w:proofErr w:type="spellStart"/>
            <w:r>
              <w:rPr>
                <w:b/>
                <w:sz w:val="20"/>
                <w:szCs w:val="20"/>
              </w:rPr>
              <w:t>Callidus</w:t>
            </w:r>
            <w:proofErr w:type="spellEnd"/>
            <w:r>
              <w:rPr>
                <w:b/>
                <w:sz w:val="20"/>
                <w:szCs w:val="20"/>
              </w:rPr>
              <w:t xml:space="preserve"> Capital Corporation</w:t>
            </w:r>
          </w:p>
          <w:p w:rsidR="0086340B" w:rsidRPr="003B3977" w:rsidRDefault="0086340B" w:rsidP="005F1ED8">
            <w:pPr>
              <w:rPr>
                <w:b/>
                <w:sz w:val="20"/>
                <w:szCs w:val="20"/>
              </w:rPr>
            </w:pPr>
          </w:p>
          <w:p w:rsidR="0086340B" w:rsidRPr="003B3977" w:rsidRDefault="00FE2440" w:rsidP="005F1ED8">
            <w:pPr>
              <w:rPr>
                <w:b/>
                <w:sz w:val="20"/>
                <w:szCs w:val="20"/>
              </w:rPr>
            </w:pPr>
            <w:r>
              <w:rPr>
                <w:b/>
                <w:sz w:val="20"/>
                <w:szCs w:val="20"/>
              </w:rPr>
              <w:tab/>
              <w:t>v. (37768</w:t>
            </w:r>
            <w:r w:rsidR="0086340B" w:rsidRPr="003B3977">
              <w:rPr>
                <w:b/>
                <w:sz w:val="20"/>
                <w:szCs w:val="20"/>
              </w:rPr>
              <w:t>)</w:t>
            </w:r>
          </w:p>
          <w:p w:rsidR="0086340B" w:rsidRPr="003B3977" w:rsidRDefault="0086340B" w:rsidP="005F1ED8">
            <w:pPr>
              <w:rPr>
                <w:b/>
                <w:sz w:val="20"/>
                <w:szCs w:val="20"/>
              </w:rPr>
            </w:pPr>
          </w:p>
          <w:p w:rsidR="0086340B" w:rsidRPr="003B3977" w:rsidRDefault="00FE2440" w:rsidP="005F1ED8">
            <w:pPr>
              <w:rPr>
                <w:b/>
                <w:sz w:val="20"/>
                <w:szCs w:val="20"/>
              </w:rPr>
            </w:pPr>
            <w:r>
              <w:rPr>
                <w:b/>
                <w:sz w:val="20"/>
                <w:szCs w:val="20"/>
              </w:rPr>
              <w:t xml:space="preserve">Her Majesty the Queen </w:t>
            </w:r>
            <w:r w:rsidR="0086340B" w:rsidRPr="003B3977">
              <w:rPr>
                <w:b/>
                <w:sz w:val="20"/>
                <w:szCs w:val="20"/>
              </w:rPr>
              <w:t>(</w:t>
            </w:r>
            <w:r>
              <w:rPr>
                <w:b/>
                <w:sz w:val="20"/>
                <w:szCs w:val="20"/>
              </w:rPr>
              <w:t>F.C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227F09" w:rsidP="005F1ED8">
            <w:pPr>
              <w:rPr>
                <w:sz w:val="20"/>
                <w:szCs w:val="20"/>
                <w:lang w:val="fr-CA"/>
              </w:rPr>
            </w:pPr>
            <w:r>
              <w:rPr>
                <w:sz w:val="20"/>
                <w:szCs w:val="20"/>
                <w:lang w:val="fr-CA"/>
              </w:rPr>
              <w:pict>
                <v:rect id="_x0000_i104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FE2440" w:rsidRPr="00B64E5D" w:rsidRDefault="00FE2440" w:rsidP="00FE2440">
            <w:pPr>
              <w:rPr>
                <w:sz w:val="20"/>
                <w:szCs w:val="20"/>
                <w:lang w:val="fr-CA"/>
              </w:rPr>
            </w:pPr>
            <w:r w:rsidRPr="00B64E5D">
              <w:rPr>
                <w:sz w:val="20"/>
                <w:szCs w:val="20"/>
                <w:lang w:val="fr-CA"/>
              </w:rPr>
              <w:t>23.04.2018</w:t>
            </w:r>
          </w:p>
          <w:p w:rsidR="00FE2440" w:rsidRPr="00B64E5D" w:rsidRDefault="00FE2440" w:rsidP="00FE2440">
            <w:pPr>
              <w:rPr>
                <w:sz w:val="20"/>
                <w:szCs w:val="20"/>
                <w:lang w:val="fr-CA"/>
              </w:rPr>
            </w:pPr>
          </w:p>
          <w:p w:rsidR="00FE2440" w:rsidRPr="00B64E5D" w:rsidRDefault="00FE2440" w:rsidP="00FE2440">
            <w:pPr>
              <w:rPr>
                <w:b/>
                <w:sz w:val="20"/>
                <w:szCs w:val="20"/>
                <w:lang w:val="fr-CA"/>
              </w:rPr>
            </w:pPr>
            <w:r w:rsidRPr="00B64E5D">
              <w:rPr>
                <w:b/>
                <w:sz w:val="20"/>
                <w:szCs w:val="20"/>
                <w:lang w:val="fr-CA"/>
              </w:rPr>
              <w:t>TELUS Communications Inc.</w:t>
            </w:r>
          </w:p>
          <w:p w:rsidR="00FE2440" w:rsidRPr="00B64E5D" w:rsidRDefault="00FE2440" w:rsidP="00FE2440">
            <w:pPr>
              <w:rPr>
                <w:b/>
                <w:sz w:val="20"/>
                <w:szCs w:val="20"/>
                <w:lang w:val="fr-CA"/>
              </w:rPr>
            </w:pPr>
          </w:p>
          <w:p w:rsidR="00FE2440" w:rsidRPr="00B64E5D" w:rsidRDefault="00FE2440" w:rsidP="00FE2440">
            <w:pPr>
              <w:rPr>
                <w:b/>
                <w:sz w:val="20"/>
                <w:szCs w:val="20"/>
                <w:lang w:val="fr-CA"/>
              </w:rPr>
            </w:pPr>
            <w:r w:rsidRPr="00B64E5D">
              <w:rPr>
                <w:b/>
                <w:sz w:val="20"/>
                <w:szCs w:val="20"/>
                <w:lang w:val="fr-CA"/>
              </w:rPr>
              <w:tab/>
              <w:t>v. (37722)</w:t>
            </w:r>
          </w:p>
          <w:p w:rsidR="00FE2440" w:rsidRPr="00B64E5D" w:rsidRDefault="00FE2440" w:rsidP="00FE2440">
            <w:pPr>
              <w:rPr>
                <w:b/>
                <w:sz w:val="20"/>
                <w:szCs w:val="20"/>
                <w:lang w:val="fr-CA"/>
              </w:rPr>
            </w:pPr>
          </w:p>
          <w:p w:rsidR="00FE2440" w:rsidRPr="00B64E5D" w:rsidRDefault="00FE2440" w:rsidP="00FE2440">
            <w:pPr>
              <w:rPr>
                <w:b/>
                <w:sz w:val="20"/>
                <w:szCs w:val="20"/>
                <w:lang w:val="fr-CA"/>
              </w:rPr>
            </w:pPr>
            <w:proofErr w:type="spellStart"/>
            <w:r w:rsidRPr="00B64E5D">
              <w:rPr>
                <w:b/>
                <w:sz w:val="20"/>
                <w:szCs w:val="20"/>
                <w:lang w:val="fr-CA"/>
              </w:rPr>
              <w:t>Avraham</w:t>
            </w:r>
            <w:proofErr w:type="spellEnd"/>
            <w:r w:rsidRPr="00B64E5D">
              <w:rPr>
                <w:b/>
                <w:sz w:val="20"/>
                <w:szCs w:val="20"/>
                <w:lang w:val="fr-CA"/>
              </w:rPr>
              <w:t xml:space="preserve"> </w:t>
            </w:r>
            <w:proofErr w:type="spellStart"/>
            <w:r w:rsidRPr="00B64E5D">
              <w:rPr>
                <w:b/>
                <w:sz w:val="20"/>
                <w:szCs w:val="20"/>
                <w:lang w:val="fr-CA"/>
              </w:rPr>
              <w:t>Wellman</w:t>
            </w:r>
            <w:proofErr w:type="spellEnd"/>
            <w:r w:rsidRPr="00B64E5D">
              <w:rPr>
                <w:b/>
                <w:sz w:val="20"/>
                <w:szCs w:val="20"/>
                <w:lang w:val="fr-CA"/>
              </w:rPr>
              <w:t xml:space="preserve"> (Ont.)</w:t>
            </w:r>
          </w:p>
          <w:p w:rsidR="00FE2440" w:rsidRPr="00B64E5D" w:rsidRDefault="00FE2440" w:rsidP="00FE2440">
            <w:pPr>
              <w:rPr>
                <w:sz w:val="20"/>
                <w:szCs w:val="20"/>
                <w:lang w:val="fr-CA"/>
              </w:rPr>
            </w:pPr>
          </w:p>
          <w:p w:rsidR="00FE2440" w:rsidRPr="003B3977" w:rsidRDefault="00FE2440" w:rsidP="00FE2440">
            <w:pPr>
              <w:rPr>
                <w:sz w:val="20"/>
                <w:szCs w:val="20"/>
              </w:rPr>
            </w:pPr>
            <w:r w:rsidRPr="003B3977">
              <w:rPr>
                <w:sz w:val="20"/>
                <w:szCs w:val="20"/>
              </w:rPr>
              <w:t>(</w:t>
            </w:r>
            <w:r>
              <w:rPr>
                <w:sz w:val="20"/>
                <w:szCs w:val="20"/>
              </w:rPr>
              <w:t>By Leave</w:t>
            </w:r>
            <w:r w:rsidRPr="003B3977">
              <w:rPr>
                <w:sz w:val="20"/>
                <w:szCs w:val="20"/>
              </w:rPr>
              <w:t>)</w:t>
            </w:r>
          </w:p>
          <w:p w:rsidR="00FE2440" w:rsidRPr="003B3977" w:rsidRDefault="00FE2440" w:rsidP="00FE2440">
            <w:pPr>
              <w:rPr>
                <w:sz w:val="20"/>
                <w:szCs w:val="20"/>
              </w:rPr>
            </w:pPr>
          </w:p>
          <w:p w:rsidR="0086340B" w:rsidRPr="003B3977" w:rsidRDefault="0086340B" w:rsidP="005F1ED8">
            <w:pPr>
              <w:rPr>
                <w:sz w:val="20"/>
                <w:szCs w:val="20"/>
              </w:rPr>
            </w:pPr>
          </w:p>
          <w:p w:rsidR="0086340B" w:rsidRPr="003B3977" w:rsidRDefault="00227F09" w:rsidP="005F1ED8">
            <w:pPr>
              <w:rPr>
                <w:sz w:val="20"/>
                <w:szCs w:val="20"/>
              </w:rPr>
            </w:pPr>
            <w:r>
              <w:rPr>
                <w:sz w:val="20"/>
                <w:szCs w:val="20"/>
                <w:lang w:val="fr-CA"/>
              </w:rPr>
              <w:pict>
                <v:rect id="_x0000_i1042" style="width:106.1pt;height:1pt" o:hrpct="500" o:hralign="center" o:hrstd="t" o:hrnoshade="t" o:hr="t" fillcolor="black [3213]" stroked="f"/>
              </w:pict>
            </w:r>
          </w:p>
        </w:tc>
      </w:tr>
      <w:tr w:rsidR="0086340B" w:rsidRPr="00FD6CEB" w:rsidTr="005F1ED8">
        <w:trPr>
          <w:cantSplit/>
        </w:trPr>
        <w:tc>
          <w:tcPr>
            <w:tcW w:w="2206" w:type="pct"/>
            <w:tcMar>
              <w:left w:w="0" w:type="dxa"/>
              <w:right w:w="0" w:type="dxa"/>
            </w:tcMar>
          </w:tcPr>
          <w:p w:rsidR="00083125" w:rsidRPr="00083125" w:rsidRDefault="00083125" w:rsidP="00083125">
            <w:pPr>
              <w:rPr>
                <w:sz w:val="20"/>
                <w:szCs w:val="20"/>
                <w:lang w:val="fr-CA"/>
              </w:rPr>
            </w:pPr>
            <w:r w:rsidRPr="00083125">
              <w:rPr>
                <w:sz w:val="20"/>
                <w:szCs w:val="20"/>
                <w:lang w:val="fr-CA"/>
              </w:rPr>
              <w:t>27.04.2018</w:t>
            </w:r>
          </w:p>
          <w:p w:rsidR="00083125" w:rsidRPr="00083125" w:rsidRDefault="00083125" w:rsidP="00083125">
            <w:pPr>
              <w:rPr>
                <w:sz w:val="20"/>
                <w:szCs w:val="20"/>
                <w:lang w:val="fr-CA"/>
              </w:rPr>
            </w:pPr>
          </w:p>
          <w:p w:rsidR="00083125" w:rsidRDefault="00FD6CEB" w:rsidP="00083125">
            <w:pPr>
              <w:rPr>
                <w:b/>
                <w:sz w:val="20"/>
                <w:szCs w:val="20"/>
                <w:lang w:val="fr-CA"/>
              </w:rPr>
            </w:pPr>
            <w:r w:rsidRPr="00083125">
              <w:rPr>
                <w:b/>
                <w:sz w:val="20"/>
                <w:szCs w:val="20"/>
                <w:lang w:val="fr-CA"/>
              </w:rPr>
              <w:t>La Province canadienne de la Congrégation de Sainte-Croix</w:t>
            </w:r>
          </w:p>
          <w:p w:rsidR="00FD6CEB" w:rsidRPr="00083125" w:rsidRDefault="00FD6CEB" w:rsidP="00083125">
            <w:pPr>
              <w:rPr>
                <w:b/>
                <w:sz w:val="20"/>
                <w:szCs w:val="20"/>
                <w:lang w:val="fr-CA"/>
              </w:rPr>
            </w:pPr>
          </w:p>
          <w:p w:rsidR="00083125" w:rsidRPr="00083125" w:rsidRDefault="00083125" w:rsidP="00083125">
            <w:pPr>
              <w:rPr>
                <w:b/>
                <w:sz w:val="20"/>
                <w:szCs w:val="20"/>
                <w:lang w:val="fr-CA"/>
              </w:rPr>
            </w:pPr>
            <w:r w:rsidRPr="00083125">
              <w:rPr>
                <w:b/>
                <w:sz w:val="20"/>
                <w:szCs w:val="20"/>
                <w:lang w:val="fr-CA"/>
              </w:rPr>
              <w:tab/>
            </w:r>
            <w:r>
              <w:rPr>
                <w:b/>
                <w:sz w:val="20"/>
                <w:szCs w:val="20"/>
                <w:lang w:val="fr-CA"/>
              </w:rPr>
              <w:t>c</w:t>
            </w:r>
            <w:r w:rsidRPr="00083125">
              <w:rPr>
                <w:b/>
                <w:sz w:val="20"/>
                <w:szCs w:val="20"/>
                <w:lang w:val="fr-CA"/>
              </w:rPr>
              <w:t>. (37855)</w:t>
            </w:r>
          </w:p>
          <w:p w:rsidR="00083125" w:rsidRPr="00083125" w:rsidRDefault="00083125" w:rsidP="00083125">
            <w:pPr>
              <w:rPr>
                <w:b/>
                <w:sz w:val="20"/>
                <w:szCs w:val="20"/>
                <w:lang w:val="fr-CA"/>
              </w:rPr>
            </w:pPr>
          </w:p>
          <w:p w:rsidR="00083125" w:rsidRPr="00083125" w:rsidRDefault="00FD6CEB" w:rsidP="00083125">
            <w:pPr>
              <w:rPr>
                <w:b/>
                <w:sz w:val="20"/>
                <w:szCs w:val="20"/>
                <w:lang w:val="fr-CA"/>
              </w:rPr>
            </w:pPr>
            <w:r>
              <w:rPr>
                <w:b/>
                <w:sz w:val="20"/>
                <w:szCs w:val="20"/>
                <w:lang w:val="fr-CA"/>
              </w:rPr>
              <w:t>J.J.</w:t>
            </w:r>
            <w:r w:rsidR="00083125" w:rsidRPr="00083125">
              <w:rPr>
                <w:b/>
                <w:sz w:val="20"/>
                <w:szCs w:val="20"/>
                <w:lang w:val="fr-CA"/>
              </w:rPr>
              <w:t xml:space="preserve"> (</w:t>
            </w:r>
            <w:proofErr w:type="spellStart"/>
            <w:r w:rsidR="00083125">
              <w:rPr>
                <w:b/>
                <w:sz w:val="20"/>
                <w:szCs w:val="20"/>
                <w:lang w:val="fr-CA"/>
              </w:rPr>
              <w:t>Qc</w:t>
            </w:r>
            <w:proofErr w:type="spellEnd"/>
            <w:r w:rsidR="00083125">
              <w:rPr>
                <w:b/>
                <w:sz w:val="20"/>
                <w:szCs w:val="20"/>
                <w:lang w:val="fr-CA"/>
              </w:rPr>
              <w:t>)</w:t>
            </w:r>
          </w:p>
          <w:p w:rsidR="00083125" w:rsidRPr="00083125" w:rsidRDefault="00083125" w:rsidP="00083125">
            <w:pPr>
              <w:rPr>
                <w:sz w:val="20"/>
                <w:szCs w:val="20"/>
                <w:lang w:val="fr-CA"/>
              </w:rPr>
            </w:pPr>
          </w:p>
          <w:p w:rsidR="00083125" w:rsidRPr="00FD6CEB" w:rsidRDefault="00083125" w:rsidP="00083125">
            <w:pPr>
              <w:rPr>
                <w:sz w:val="20"/>
                <w:szCs w:val="20"/>
                <w:lang w:val="fr-CA"/>
              </w:rPr>
            </w:pPr>
            <w:r w:rsidRPr="00FD6CEB">
              <w:rPr>
                <w:sz w:val="20"/>
                <w:szCs w:val="20"/>
                <w:lang w:val="fr-CA"/>
              </w:rPr>
              <w:t>(Autorisation)</w:t>
            </w:r>
          </w:p>
          <w:p w:rsidR="0086340B" w:rsidRPr="00FD6CEB" w:rsidRDefault="00227F09" w:rsidP="00083125">
            <w:pPr>
              <w:rPr>
                <w:sz w:val="20"/>
                <w:szCs w:val="20"/>
                <w:lang w:val="fr-CA"/>
              </w:rPr>
            </w:pPr>
            <w:r>
              <w:rPr>
                <w:sz w:val="20"/>
                <w:szCs w:val="20"/>
                <w:lang w:val="fr-CA"/>
              </w:rPr>
              <w:pict>
                <v:rect id="_x0000_i1043" style="width:106.1pt;height:1pt" o:hrpct="500" o:hralign="center" o:hrstd="t" o:hrnoshade="t" o:hr="t" fillcolor="black [3213]" stroked="f"/>
              </w:pict>
            </w:r>
          </w:p>
        </w:tc>
        <w:tc>
          <w:tcPr>
            <w:tcW w:w="588" w:type="pct"/>
          </w:tcPr>
          <w:p w:rsidR="0086340B" w:rsidRPr="00FD6CEB" w:rsidRDefault="0086340B" w:rsidP="005F1ED8">
            <w:pPr>
              <w:jc w:val="center"/>
              <w:rPr>
                <w:sz w:val="20"/>
                <w:szCs w:val="20"/>
                <w:lang w:val="fr-CA"/>
              </w:rPr>
            </w:pPr>
          </w:p>
        </w:tc>
        <w:tc>
          <w:tcPr>
            <w:tcW w:w="2206" w:type="pct"/>
          </w:tcPr>
          <w:p w:rsidR="00083125" w:rsidRPr="00083125" w:rsidRDefault="00083125" w:rsidP="00083125">
            <w:pPr>
              <w:rPr>
                <w:sz w:val="20"/>
                <w:szCs w:val="20"/>
                <w:lang w:val="fr-CA"/>
              </w:rPr>
            </w:pPr>
            <w:r w:rsidRPr="00083125">
              <w:rPr>
                <w:sz w:val="20"/>
                <w:szCs w:val="20"/>
                <w:lang w:val="fr-CA"/>
              </w:rPr>
              <w:t>27.04.2018</w:t>
            </w:r>
          </w:p>
          <w:p w:rsidR="00083125" w:rsidRPr="00083125" w:rsidRDefault="00083125" w:rsidP="00083125">
            <w:pPr>
              <w:rPr>
                <w:sz w:val="20"/>
                <w:szCs w:val="20"/>
                <w:lang w:val="fr-CA"/>
              </w:rPr>
            </w:pPr>
          </w:p>
          <w:p w:rsidR="00083125" w:rsidRPr="00083125" w:rsidRDefault="00083125" w:rsidP="00083125">
            <w:pPr>
              <w:rPr>
                <w:b/>
                <w:sz w:val="20"/>
                <w:szCs w:val="20"/>
                <w:lang w:val="fr-CA"/>
              </w:rPr>
            </w:pPr>
            <w:r w:rsidRPr="00083125">
              <w:rPr>
                <w:b/>
                <w:sz w:val="20"/>
                <w:szCs w:val="20"/>
                <w:lang w:val="fr-CA"/>
              </w:rPr>
              <w:t>L</w:t>
            </w:r>
            <w:r>
              <w:rPr>
                <w:b/>
                <w:sz w:val="20"/>
                <w:szCs w:val="20"/>
                <w:lang w:val="fr-CA"/>
              </w:rPr>
              <w:t>’Oratoire Saint-Joseph du Mont-Royal</w:t>
            </w:r>
          </w:p>
          <w:p w:rsidR="00083125" w:rsidRPr="00083125" w:rsidRDefault="00083125" w:rsidP="00083125">
            <w:pPr>
              <w:rPr>
                <w:b/>
                <w:sz w:val="20"/>
                <w:szCs w:val="20"/>
                <w:lang w:val="fr-CA"/>
              </w:rPr>
            </w:pPr>
          </w:p>
          <w:p w:rsidR="00083125" w:rsidRPr="00083125" w:rsidRDefault="00083125" w:rsidP="00083125">
            <w:pPr>
              <w:rPr>
                <w:b/>
                <w:sz w:val="20"/>
                <w:szCs w:val="20"/>
                <w:lang w:val="fr-CA"/>
              </w:rPr>
            </w:pPr>
            <w:r w:rsidRPr="00083125">
              <w:rPr>
                <w:b/>
                <w:sz w:val="20"/>
                <w:szCs w:val="20"/>
                <w:lang w:val="fr-CA"/>
              </w:rPr>
              <w:tab/>
            </w:r>
            <w:r>
              <w:rPr>
                <w:b/>
                <w:sz w:val="20"/>
                <w:szCs w:val="20"/>
                <w:lang w:val="fr-CA"/>
              </w:rPr>
              <w:t>c</w:t>
            </w:r>
            <w:r w:rsidRPr="00083125">
              <w:rPr>
                <w:b/>
                <w:sz w:val="20"/>
                <w:szCs w:val="20"/>
                <w:lang w:val="fr-CA"/>
              </w:rPr>
              <w:t>. (</w:t>
            </w:r>
            <w:r>
              <w:rPr>
                <w:b/>
                <w:sz w:val="20"/>
                <w:szCs w:val="20"/>
                <w:lang w:val="fr-CA"/>
              </w:rPr>
              <w:t>37855</w:t>
            </w:r>
            <w:r w:rsidRPr="00083125">
              <w:rPr>
                <w:b/>
                <w:sz w:val="20"/>
                <w:szCs w:val="20"/>
                <w:lang w:val="fr-CA"/>
              </w:rPr>
              <w:t>)</w:t>
            </w:r>
          </w:p>
          <w:p w:rsidR="00083125" w:rsidRPr="00083125" w:rsidRDefault="00083125" w:rsidP="00083125">
            <w:pPr>
              <w:rPr>
                <w:b/>
                <w:sz w:val="20"/>
                <w:szCs w:val="20"/>
                <w:lang w:val="fr-CA"/>
              </w:rPr>
            </w:pPr>
          </w:p>
          <w:p w:rsidR="00083125" w:rsidRPr="00083125" w:rsidRDefault="00083125" w:rsidP="00083125">
            <w:pPr>
              <w:rPr>
                <w:b/>
                <w:sz w:val="20"/>
                <w:szCs w:val="20"/>
                <w:lang w:val="fr-CA"/>
              </w:rPr>
            </w:pPr>
            <w:r>
              <w:rPr>
                <w:b/>
                <w:sz w:val="20"/>
                <w:szCs w:val="20"/>
                <w:lang w:val="fr-CA"/>
              </w:rPr>
              <w:t>J.J.</w:t>
            </w:r>
            <w:r w:rsidRPr="00083125">
              <w:rPr>
                <w:b/>
                <w:sz w:val="20"/>
                <w:szCs w:val="20"/>
                <w:lang w:val="fr-CA"/>
              </w:rPr>
              <w:t xml:space="preserve"> (</w:t>
            </w:r>
            <w:proofErr w:type="spellStart"/>
            <w:r>
              <w:rPr>
                <w:b/>
                <w:sz w:val="20"/>
                <w:szCs w:val="20"/>
                <w:lang w:val="fr-CA"/>
              </w:rPr>
              <w:t>Qc</w:t>
            </w:r>
            <w:proofErr w:type="spellEnd"/>
            <w:r w:rsidRPr="00083125">
              <w:rPr>
                <w:b/>
                <w:sz w:val="20"/>
                <w:szCs w:val="20"/>
                <w:lang w:val="fr-CA"/>
              </w:rPr>
              <w:t>)</w:t>
            </w:r>
          </w:p>
          <w:p w:rsidR="00083125" w:rsidRPr="00083125" w:rsidRDefault="00083125" w:rsidP="00083125">
            <w:pPr>
              <w:rPr>
                <w:sz w:val="20"/>
                <w:szCs w:val="20"/>
                <w:lang w:val="fr-CA"/>
              </w:rPr>
            </w:pPr>
          </w:p>
          <w:p w:rsidR="00083125" w:rsidRPr="00FD6CEB" w:rsidRDefault="00083125" w:rsidP="00083125">
            <w:pPr>
              <w:rPr>
                <w:sz w:val="20"/>
                <w:szCs w:val="20"/>
                <w:lang w:val="fr-CA"/>
              </w:rPr>
            </w:pPr>
            <w:r w:rsidRPr="00FD6CEB">
              <w:rPr>
                <w:sz w:val="20"/>
                <w:szCs w:val="20"/>
                <w:lang w:val="fr-CA"/>
              </w:rPr>
              <w:t>(Autorisation)</w:t>
            </w:r>
          </w:p>
          <w:p w:rsidR="00083125" w:rsidRPr="00FD6CEB" w:rsidRDefault="00083125" w:rsidP="00083125">
            <w:pPr>
              <w:rPr>
                <w:sz w:val="20"/>
                <w:szCs w:val="20"/>
                <w:lang w:val="fr-CA"/>
              </w:rPr>
            </w:pPr>
          </w:p>
          <w:p w:rsidR="0086340B" w:rsidRPr="00130B0E" w:rsidRDefault="00227F09" w:rsidP="00083125">
            <w:pPr>
              <w:rPr>
                <w:sz w:val="20"/>
                <w:szCs w:val="20"/>
                <w:lang w:val="fr-CA"/>
              </w:rPr>
            </w:pPr>
            <w:r>
              <w:rPr>
                <w:sz w:val="20"/>
                <w:szCs w:val="20"/>
                <w:lang w:val="fr-CA"/>
              </w:rPr>
              <w:pict>
                <v:rect id="_x0000_i1044" style="width:106.1pt;height:1pt" o:hrpct="500" o:hralign="center" o:hrstd="t" o:hrnoshade="t" o:hr="t" fillcolor="black [3213]" stroked="f"/>
              </w:pict>
            </w:r>
          </w:p>
        </w:tc>
      </w:tr>
    </w:tbl>
    <w:p w:rsidR="00F40249" w:rsidRPr="00FD6CEB" w:rsidRDefault="00F40249" w:rsidP="00F40249">
      <w:pPr>
        <w:rPr>
          <w:sz w:val="20"/>
          <w:szCs w:val="20"/>
          <w:lang w:val="fr-CA"/>
        </w:rPr>
      </w:pPr>
    </w:p>
    <w:p w:rsidR="0010587F" w:rsidRPr="00FD6CEB" w:rsidRDefault="0010587F" w:rsidP="00F40249">
      <w:pPr>
        <w:rPr>
          <w:sz w:val="20"/>
          <w:szCs w:val="20"/>
          <w:lang w:val="fr-CA"/>
        </w:rPr>
      </w:pPr>
    </w:p>
    <w:p w:rsidR="00EB2B90" w:rsidRPr="00FD6CEB" w:rsidRDefault="00EB2B90" w:rsidP="00F40249">
      <w:pPr>
        <w:rPr>
          <w:sz w:val="20"/>
          <w:szCs w:val="20"/>
          <w:lang w:val="fr-CA"/>
        </w:rPr>
        <w:sectPr w:rsidR="00EB2B90" w:rsidRPr="00FD6CEB"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FD6CEB" w:rsidRDefault="0022323B" w:rsidP="00B64E5D">
            <w:pPr>
              <w:keepNext/>
              <w:keepLines/>
              <w:rPr>
                <w:b/>
                <w:szCs w:val="24"/>
                <w:lang w:val="fr-CA"/>
              </w:rPr>
            </w:pPr>
            <w:r w:rsidRPr="00FD6CEB">
              <w:rPr>
                <w:b/>
                <w:szCs w:val="24"/>
                <w:lang w:val="fr-CA"/>
              </w:rPr>
              <w:lastRenderedPageBreak/>
              <w:t xml:space="preserve">AGENDA FOR </w:t>
            </w:r>
            <w:r w:rsidR="00B64E5D" w:rsidRPr="00FD6CEB">
              <w:rPr>
                <w:b/>
                <w:szCs w:val="24"/>
                <w:lang w:val="fr-CA"/>
              </w:rPr>
              <w:t>MAY 2018</w:t>
            </w:r>
          </w:p>
        </w:tc>
        <w:tc>
          <w:tcPr>
            <w:tcW w:w="840" w:type="dxa"/>
            <w:shd w:val="clear" w:color="auto" w:fill="auto"/>
            <w:tcMar>
              <w:left w:w="0" w:type="dxa"/>
              <w:right w:w="0" w:type="dxa"/>
            </w:tcMar>
          </w:tcPr>
          <w:p w:rsidR="0022323B" w:rsidRPr="00FD6CEB" w:rsidRDefault="0022323B" w:rsidP="0022323B">
            <w:pPr>
              <w:keepNext/>
              <w:keepLines/>
              <w:jc w:val="center"/>
              <w:rPr>
                <w:b/>
                <w:szCs w:val="24"/>
                <w:lang w:val="fr-CA"/>
              </w:rPr>
            </w:pPr>
          </w:p>
          <w:p w:rsidR="0022323B" w:rsidRPr="00FD6CEB" w:rsidRDefault="0022323B" w:rsidP="0022323B">
            <w:pPr>
              <w:keepNext/>
              <w:keepLines/>
              <w:jc w:val="center"/>
              <w:rPr>
                <w:b/>
                <w:szCs w:val="24"/>
                <w:lang w:val="fr-CA"/>
              </w:rPr>
            </w:pPr>
          </w:p>
        </w:tc>
        <w:tc>
          <w:tcPr>
            <w:tcW w:w="4320" w:type="dxa"/>
            <w:shd w:val="clear" w:color="auto" w:fill="auto"/>
            <w:tcMar>
              <w:left w:w="0" w:type="dxa"/>
              <w:right w:w="0" w:type="dxa"/>
            </w:tcMar>
          </w:tcPr>
          <w:p w:rsidR="0022323B" w:rsidRPr="00C50A5C" w:rsidRDefault="0022323B" w:rsidP="0056248C">
            <w:pPr>
              <w:keepNext/>
              <w:keepLines/>
              <w:rPr>
                <w:b/>
                <w:szCs w:val="24"/>
                <w:lang w:val="fr-CA"/>
              </w:rPr>
            </w:pPr>
            <w:r w:rsidRPr="00C50A5C">
              <w:rPr>
                <w:b/>
                <w:szCs w:val="24"/>
                <w:lang w:val="fr-CA"/>
              </w:rPr>
              <w:t>CALENDRIER D</w:t>
            </w:r>
            <w:r w:rsidR="00B64E5D">
              <w:rPr>
                <w:b/>
                <w:szCs w:val="24"/>
                <w:lang w:val="fr-CA"/>
              </w:rPr>
              <w:t>E MAI 2018</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8D7211">
        <w:rPr>
          <w:b/>
          <w:sz w:val="20"/>
          <w:szCs w:val="20"/>
        </w:rPr>
        <w:t>May 14</w:t>
      </w:r>
      <w:r w:rsidRPr="00DD0B49">
        <w:rPr>
          <w:b/>
          <w:sz w:val="20"/>
          <w:szCs w:val="20"/>
        </w:rPr>
        <w:t xml:space="preserve"> and </w:t>
      </w:r>
      <w:r w:rsidR="008D7211">
        <w:rPr>
          <w:b/>
          <w:sz w:val="20"/>
          <w:szCs w:val="20"/>
        </w:rPr>
        <w:t>21</w:t>
      </w:r>
      <w:r w:rsidRPr="00DD0B49">
        <w:rPr>
          <w:b/>
          <w:sz w:val="20"/>
          <w:szCs w:val="20"/>
        </w:rPr>
        <w:t>, 201</w:t>
      </w:r>
      <w:r w:rsidR="008D7211">
        <w:rPr>
          <w:b/>
          <w:sz w:val="20"/>
          <w:szCs w:val="20"/>
        </w:rPr>
        <w:t>8</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8D7211">
        <w:rPr>
          <w:b/>
          <w:sz w:val="20"/>
          <w:szCs w:val="20"/>
          <w:lang w:val="fr-CA"/>
        </w:rPr>
        <w:t>14 mai</w:t>
      </w:r>
      <w:r>
        <w:rPr>
          <w:b/>
          <w:sz w:val="20"/>
          <w:szCs w:val="20"/>
          <w:lang w:val="fr-CA"/>
        </w:rPr>
        <w:t xml:space="preserve"> </w:t>
      </w:r>
      <w:r w:rsidR="008D7211">
        <w:rPr>
          <w:b/>
          <w:sz w:val="20"/>
          <w:szCs w:val="20"/>
          <w:lang w:val="fr-CA"/>
        </w:rPr>
        <w:t>e</w:t>
      </w:r>
      <w:r w:rsidRPr="00DD0B49">
        <w:rPr>
          <w:b/>
          <w:sz w:val="20"/>
          <w:szCs w:val="20"/>
          <w:lang w:val="fr-CA"/>
        </w:rPr>
        <w:t xml:space="preserve">t celle du </w:t>
      </w:r>
      <w:r w:rsidR="008D7211">
        <w:rPr>
          <w:b/>
          <w:sz w:val="20"/>
          <w:szCs w:val="20"/>
          <w:lang w:val="fr-CA"/>
        </w:rPr>
        <w:t>21 mai 2018</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8D7211">
        <w:rPr>
          <w:sz w:val="20"/>
          <w:szCs w:val="20"/>
        </w:rPr>
        <w:t>May 7 a</w:t>
      </w:r>
      <w:r w:rsidRPr="00DD0B49">
        <w:rPr>
          <w:sz w:val="20"/>
          <w:szCs w:val="20"/>
        </w:rPr>
        <w:t xml:space="preserve">nd </w:t>
      </w:r>
      <w:r w:rsidR="008D7211">
        <w:rPr>
          <w:sz w:val="20"/>
          <w:szCs w:val="20"/>
        </w:rPr>
        <w:t>28</w:t>
      </w:r>
      <w:r w:rsidRPr="00DD0B49">
        <w:rPr>
          <w:sz w:val="20"/>
          <w:szCs w:val="20"/>
        </w:rPr>
        <w:t>, 201</w:t>
      </w:r>
      <w:r w:rsidR="008D7211">
        <w:rPr>
          <w:sz w:val="20"/>
          <w:szCs w:val="20"/>
        </w:rPr>
        <w:t>8</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8D7211">
        <w:rPr>
          <w:sz w:val="20"/>
          <w:szCs w:val="20"/>
          <w:lang w:val="fr-CA"/>
        </w:rPr>
        <w:t>7 et 28 mai</w:t>
      </w:r>
      <w:r w:rsidRPr="00DD0B49">
        <w:rPr>
          <w:sz w:val="20"/>
          <w:szCs w:val="20"/>
          <w:lang w:val="fr-CA"/>
        </w:rPr>
        <w:t xml:space="preserve"> 201</w:t>
      </w:r>
      <w:r w:rsidR="008D7211">
        <w:rPr>
          <w:sz w:val="20"/>
          <w:szCs w:val="20"/>
          <w:lang w:val="fr-CA"/>
        </w:rPr>
        <w:t>8</w:t>
      </w:r>
      <w:r w:rsidRPr="00DD0B49">
        <w:rPr>
          <w:sz w:val="20"/>
          <w:szCs w:val="20"/>
          <w:lang w:val="fr-CA"/>
        </w:rPr>
        <w:t>.</w:t>
      </w:r>
    </w:p>
    <w:p w:rsidR="004B66B4" w:rsidRPr="00DD0B49" w:rsidRDefault="00227F09" w:rsidP="004B66B4">
      <w:pPr>
        <w:rPr>
          <w:sz w:val="20"/>
          <w:szCs w:val="20"/>
        </w:rPr>
      </w:pPr>
      <w:r>
        <w:rPr>
          <w:sz w:val="20"/>
          <w:szCs w:val="20"/>
        </w:rPr>
        <w:pict>
          <v:rect id="_x0000_i1047"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FE7C2A" w:rsidRPr="00FA5483" w:rsidTr="00A246F4">
        <w:trPr>
          <w:cantSplit/>
        </w:trPr>
        <w:tc>
          <w:tcPr>
            <w:tcW w:w="2398" w:type="dxa"/>
          </w:tcPr>
          <w:p w:rsidR="00FE7C2A" w:rsidRPr="00FE7C2A" w:rsidRDefault="00FE7C2A" w:rsidP="00FE7C2A">
            <w:pPr>
              <w:rPr>
                <w:sz w:val="20"/>
                <w:szCs w:val="20"/>
              </w:rPr>
            </w:pPr>
            <w:r w:rsidRPr="00FE7C2A">
              <w:rPr>
                <w:sz w:val="20"/>
                <w:szCs w:val="20"/>
              </w:rPr>
              <w:t>DATE OF HEARING /</w:t>
            </w:r>
          </w:p>
          <w:p w:rsidR="00FE7C2A" w:rsidRPr="00FE7C2A" w:rsidRDefault="00FE7C2A" w:rsidP="00FE7C2A">
            <w:pPr>
              <w:rPr>
                <w:sz w:val="20"/>
                <w:szCs w:val="20"/>
              </w:rPr>
            </w:pPr>
            <w:r w:rsidRPr="00FE7C2A">
              <w:rPr>
                <w:sz w:val="20"/>
                <w:szCs w:val="20"/>
              </w:rPr>
              <w:t>DATE D’AUDITION</w:t>
            </w:r>
          </w:p>
        </w:tc>
        <w:tc>
          <w:tcPr>
            <w:tcW w:w="7178" w:type="dxa"/>
          </w:tcPr>
          <w:p w:rsidR="00FE7C2A" w:rsidRPr="00FE7C2A" w:rsidRDefault="00FE7C2A" w:rsidP="00FE7C2A">
            <w:pPr>
              <w:rPr>
                <w:sz w:val="20"/>
                <w:szCs w:val="20"/>
                <w:lang w:val="fr-CA"/>
              </w:rPr>
            </w:pPr>
            <w:r w:rsidRPr="00FE7C2A">
              <w:rPr>
                <w:sz w:val="20"/>
                <w:szCs w:val="20"/>
                <w:lang w:val="fr-CA"/>
              </w:rPr>
              <w:t>NAME AND CASE NUMBER /</w:t>
            </w:r>
          </w:p>
          <w:p w:rsidR="00FE7C2A" w:rsidRPr="00FE7C2A" w:rsidRDefault="00FE7C2A" w:rsidP="00FE7C2A">
            <w:pPr>
              <w:rPr>
                <w:sz w:val="20"/>
                <w:szCs w:val="20"/>
                <w:lang w:val="fr-CA"/>
              </w:rPr>
            </w:pPr>
            <w:r w:rsidRPr="00FE7C2A">
              <w:rPr>
                <w:sz w:val="20"/>
                <w:szCs w:val="20"/>
                <w:lang w:val="fr-CA"/>
              </w:rPr>
              <w:t>NOM DE LA CAUSE ET NUMÉRO</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2018-05-14</w:t>
            </w:r>
          </w:p>
        </w:tc>
        <w:tc>
          <w:tcPr>
            <w:tcW w:w="7178" w:type="dxa"/>
          </w:tcPr>
          <w:p w:rsidR="00FE7C2A" w:rsidRPr="00FE7C2A" w:rsidRDefault="00FE7C2A" w:rsidP="00FE7C2A">
            <w:pPr>
              <w:rPr>
                <w:sz w:val="20"/>
                <w:szCs w:val="20"/>
              </w:rPr>
            </w:pPr>
            <w:r w:rsidRPr="00FE7C2A">
              <w:rPr>
                <w:i/>
                <w:sz w:val="20"/>
                <w:szCs w:val="20"/>
              </w:rPr>
              <w:t>Percy Lewis Cain v. Her Majesty the Queen</w:t>
            </w:r>
            <w:r w:rsidRPr="00FE7C2A">
              <w:rPr>
                <w:sz w:val="20"/>
                <w:szCs w:val="20"/>
              </w:rPr>
              <w:t xml:space="preserve"> (N.S.) (Criminal) (As of Right) (37926)</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2018-05-15</w:t>
            </w:r>
          </w:p>
        </w:tc>
        <w:tc>
          <w:tcPr>
            <w:tcW w:w="7178" w:type="dxa"/>
          </w:tcPr>
          <w:p w:rsidR="00FE7C2A" w:rsidRPr="00FE7C2A" w:rsidRDefault="00FE7C2A" w:rsidP="00FE7C2A">
            <w:pPr>
              <w:rPr>
                <w:sz w:val="20"/>
                <w:szCs w:val="20"/>
              </w:rPr>
            </w:pPr>
            <w:r w:rsidRPr="00FE7C2A">
              <w:rPr>
                <w:i/>
                <w:sz w:val="20"/>
                <w:szCs w:val="20"/>
              </w:rPr>
              <w:t>Collet Dawn Stephan v. Her Majesty the Queen</w:t>
            </w:r>
            <w:r w:rsidRPr="00FE7C2A">
              <w:rPr>
                <w:sz w:val="20"/>
                <w:szCs w:val="20"/>
              </w:rPr>
              <w:t xml:space="preserve"> (Alta.) (Criminal) (As of Right) (37845)</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2018-05-15</w:t>
            </w:r>
          </w:p>
        </w:tc>
        <w:tc>
          <w:tcPr>
            <w:tcW w:w="7178" w:type="dxa"/>
          </w:tcPr>
          <w:p w:rsidR="00FE7C2A" w:rsidRPr="00FE7C2A" w:rsidRDefault="00FE7C2A" w:rsidP="00FE7C2A">
            <w:pPr>
              <w:rPr>
                <w:sz w:val="20"/>
                <w:szCs w:val="20"/>
              </w:rPr>
            </w:pPr>
            <w:r w:rsidRPr="00FE7C2A">
              <w:rPr>
                <w:i/>
                <w:sz w:val="20"/>
                <w:szCs w:val="20"/>
              </w:rPr>
              <w:t>David Robert Stephan v. Her Majesty the Queen</w:t>
            </w:r>
            <w:r w:rsidRPr="00FE7C2A">
              <w:rPr>
                <w:sz w:val="20"/>
                <w:szCs w:val="20"/>
              </w:rPr>
              <w:t xml:space="preserve"> (Alta.) (Criminal) (As of Right) (37846)</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2018-05-16</w:t>
            </w:r>
          </w:p>
        </w:tc>
        <w:tc>
          <w:tcPr>
            <w:tcW w:w="7178" w:type="dxa"/>
          </w:tcPr>
          <w:p w:rsidR="00FE7C2A" w:rsidRPr="00FE7C2A" w:rsidRDefault="00FE7C2A" w:rsidP="00FE7C2A">
            <w:pPr>
              <w:rPr>
                <w:sz w:val="20"/>
                <w:szCs w:val="20"/>
              </w:rPr>
            </w:pPr>
            <w:proofErr w:type="spellStart"/>
            <w:r w:rsidRPr="00FE7C2A">
              <w:rPr>
                <w:i/>
                <w:sz w:val="20"/>
                <w:szCs w:val="20"/>
              </w:rPr>
              <w:t>Kassem</w:t>
            </w:r>
            <w:proofErr w:type="spellEnd"/>
            <w:r w:rsidRPr="00FE7C2A">
              <w:rPr>
                <w:i/>
                <w:sz w:val="20"/>
                <w:szCs w:val="20"/>
              </w:rPr>
              <w:t xml:space="preserve"> </w:t>
            </w:r>
            <w:proofErr w:type="spellStart"/>
            <w:r w:rsidRPr="00FE7C2A">
              <w:rPr>
                <w:i/>
                <w:sz w:val="20"/>
                <w:szCs w:val="20"/>
              </w:rPr>
              <w:t>Mazraani</w:t>
            </w:r>
            <w:proofErr w:type="spellEnd"/>
            <w:r w:rsidRPr="00FE7C2A">
              <w:rPr>
                <w:i/>
                <w:sz w:val="20"/>
                <w:szCs w:val="20"/>
              </w:rPr>
              <w:t xml:space="preserve"> v. Industrial Alliance Insurance and Financial Services Inc., et al.</w:t>
            </w:r>
            <w:r w:rsidRPr="00FE7C2A">
              <w:rPr>
                <w:sz w:val="20"/>
                <w:szCs w:val="20"/>
              </w:rPr>
              <w:t xml:space="preserve"> (FC) (Civil) (By Leave) (37642)</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2018-05-17</w:t>
            </w:r>
          </w:p>
        </w:tc>
        <w:tc>
          <w:tcPr>
            <w:tcW w:w="7178" w:type="dxa"/>
          </w:tcPr>
          <w:p w:rsidR="00FE7C2A" w:rsidRPr="00FE7C2A" w:rsidRDefault="00FE7C2A" w:rsidP="00FE7C2A">
            <w:pPr>
              <w:rPr>
                <w:sz w:val="20"/>
                <w:szCs w:val="20"/>
              </w:rPr>
            </w:pPr>
            <w:r w:rsidRPr="00FE7C2A">
              <w:rPr>
                <w:i/>
                <w:sz w:val="20"/>
                <w:szCs w:val="20"/>
              </w:rPr>
              <w:t>Thomas Reeves v. Her Majesty the Queen</w:t>
            </w:r>
            <w:r w:rsidRPr="00FE7C2A">
              <w:rPr>
                <w:sz w:val="20"/>
                <w:szCs w:val="20"/>
              </w:rPr>
              <w:t xml:space="preserve"> (Ont.) (Criminal) (By Leave) (37676)</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2018-05-18</w:t>
            </w:r>
          </w:p>
        </w:tc>
        <w:tc>
          <w:tcPr>
            <w:tcW w:w="7178" w:type="dxa"/>
          </w:tcPr>
          <w:p w:rsidR="00FE7C2A" w:rsidRPr="00FE7C2A" w:rsidRDefault="00FE7C2A" w:rsidP="00FE7C2A">
            <w:pPr>
              <w:rPr>
                <w:sz w:val="20"/>
                <w:szCs w:val="20"/>
              </w:rPr>
            </w:pPr>
            <w:r w:rsidRPr="00FE7C2A">
              <w:rPr>
                <w:i/>
                <w:sz w:val="20"/>
                <w:szCs w:val="20"/>
              </w:rPr>
              <w:t>Jason Colling v. Her Majesty the Queen</w:t>
            </w:r>
            <w:r w:rsidRPr="00FE7C2A">
              <w:rPr>
                <w:sz w:val="20"/>
                <w:szCs w:val="20"/>
              </w:rPr>
              <w:t xml:space="preserve"> (Alta.) (Criminal) (As of Right) (37905)</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2018-05-18</w:t>
            </w:r>
          </w:p>
        </w:tc>
        <w:tc>
          <w:tcPr>
            <w:tcW w:w="7178" w:type="dxa"/>
          </w:tcPr>
          <w:p w:rsidR="00FE7C2A" w:rsidRPr="00FE7C2A" w:rsidRDefault="00FE7C2A" w:rsidP="00FE7C2A">
            <w:pPr>
              <w:rPr>
                <w:sz w:val="20"/>
                <w:szCs w:val="20"/>
              </w:rPr>
            </w:pPr>
            <w:r w:rsidRPr="00FE7C2A">
              <w:rPr>
                <w:i/>
                <w:sz w:val="20"/>
                <w:szCs w:val="20"/>
              </w:rPr>
              <w:t>Andrew Donald Gulliver v. Her Majesty the Queen</w:t>
            </w:r>
            <w:r w:rsidRPr="00FE7C2A">
              <w:rPr>
                <w:sz w:val="20"/>
                <w:szCs w:val="20"/>
              </w:rPr>
              <w:t xml:space="preserve"> (Alta.) (Criminal) (As of Right) (37917)</w:t>
            </w:r>
          </w:p>
        </w:tc>
      </w:tr>
      <w:tr w:rsidR="00107A5C" w:rsidRPr="00FE7C2A" w:rsidTr="00A246F4">
        <w:trPr>
          <w:cantSplit/>
        </w:trPr>
        <w:tc>
          <w:tcPr>
            <w:tcW w:w="2398" w:type="dxa"/>
          </w:tcPr>
          <w:p w:rsidR="00107A5C" w:rsidRPr="00107A5C" w:rsidRDefault="00107A5C" w:rsidP="00FE7C2A">
            <w:pPr>
              <w:rPr>
                <w:sz w:val="20"/>
                <w:szCs w:val="20"/>
              </w:rPr>
            </w:pPr>
            <w:r w:rsidRPr="00107A5C">
              <w:rPr>
                <w:sz w:val="20"/>
                <w:szCs w:val="20"/>
              </w:rPr>
              <w:t>2018-05-22</w:t>
            </w:r>
          </w:p>
        </w:tc>
        <w:tc>
          <w:tcPr>
            <w:tcW w:w="7178" w:type="dxa"/>
          </w:tcPr>
          <w:p w:rsidR="00107A5C" w:rsidRPr="00107A5C" w:rsidRDefault="00107A5C" w:rsidP="00FE7C2A">
            <w:pPr>
              <w:rPr>
                <w:i/>
                <w:sz w:val="20"/>
                <w:szCs w:val="20"/>
              </w:rPr>
            </w:pPr>
            <w:r w:rsidRPr="00107A5C">
              <w:rPr>
                <w:rStyle w:val="SCCSsocChar"/>
              </w:rPr>
              <w:t xml:space="preserve">Minister of Public Safety and Emergency Preparedness, et al. v. </w:t>
            </w:r>
            <w:proofErr w:type="spellStart"/>
            <w:r w:rsidRPr="00107A5C">
              <w:rPr>
                <w:rStyle w:val="SCCSsocChar"/>
              </w:rPr>
              <w:t>Tusif</w:t>
            </w:r>
            <w:proofErr w:type="spellEnd"/>
            <w:r w:rsidRPr="00107A5C">
              <w:rPr>
                <w:rStyle w:val="SCCSsocChar"/>
              </w:rPr>
              <w:t xml:space="preserve"> Ur </w:t>
            </w:r>
            <w:proofErr w:type="spellStart"/>
            <w:r w:rsidRPr="00107A5C">
              <w:rPr>
                <w:rStyle w:val="SCCSsocChar"/>
              </w:rPr>
              <w:t>Rehman</w:t>
            </w:r>
            <w:proofErr w:type="spellEnd"/>
            <w:r w:rsidRPr="00107A5C">
              <w:rPr>
                <w:rStyle w:val="SCCSsocChar"/>
              </w:rPr>
              <w:t xml:space="preserve"> </w:t>
            </w:r>
            <w:proofErr w:type="spellStart"/>
            <w:r w:rsidRPr="00107A5C">
              <w:rPr>
                <w:rStyle w:val="SCCSsocChar"/>
              </w:rPr>
              <w:t>Chhina</w:t>
            </w:r>
            <w:proofErr w:type="spellEnd"/>
            <w:r w:rsidRPr="00107A5C">
              <w:rPr>
                <w:sz w:val="20"/>
                <w:szCs w:val="20"/>
              </w:rPr>
              <w:t xml:space="preserve"> (Alta.) (Civil) (By Leave) (37770)</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2018-05-23</w:t>
            </w:r>
          </w:p>
        </w:tc>
        <w:tc>
          <w:tcPr>
            <w:tcW w:w="7178" w:type="dxa"/>
          </w:tcPr>
          <w:p w:rsidR="00FE7C2A" w:rsidRPr="00FE7C2A" w:rsidRDefault="00FE7C2A" w:rsidP="00FE7C2A">
            <w:pPr>
              <w:rPr>
                <w:sz w:val="20"/>
                <w:szCs w:val="20"/>
              </w:rPr>
            </w:pPr>
            <w:r w:rsidRPr="00FE7C2A">
              <w:rPr>
                <w:i/>
                <w:sz w:val="20"/>
                <w:szCs w:val="20"/>
              </w:rPr>
              <w:t>Vice Media Canada Inc., et al. v. Her Majesty the Queen in Right of Canada</w:t>
            </w:r>
            <w:r w:rsidRPr="00FE7C2A">
              <w:rPr>
                <w:sz w:val="20"/>
                <w:szCs w:val="20"/>
              </w:rPr>
              <w:t xml:space="preserve"> (Ont.) (Civil) (By Leave) (37574)</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2018-05-24</w:t>
            </w:r>
          </w:p>
        </w:tc>
        <w:tc>
          <w:tcPr>
            <w:tcW w:w="7178" w:type="dxa"/>
          </w:tcPr>
          <w:p w:rsidR="00FE7C2A" w:rsidRPr="00FE7C2A" w:rsidRDefault="00FE7C2A" w:rsidP="00FE7C2A">
            <w:pPr>
              <w:rPr>
                <w:sz w:val="20"/>
                <w:szCs w:val="20"/>
              </w:rPr>
            </w:pPr>
            <w:r w:rsidRPr="00FE7C2A">
              <w:rPr>
                <w:i/>
                <w:sz w:val="20"/>
                <w:szCs w:val="20"/>
              </w:rPr>
              <w:t>Her Majesty the Queen v. Douglas Morrison</w:t>
            </w:r>
            <w:r w:rsidRPr="00FE7C2A">
              <w:rPr>
                <w:sz w:val="20"/>
                <w:szCs w:val="20"/>
              </w:rPr>
              <w:t xml:space="preserve"> (Ont.) (Criminal) (By Leave) (37687)</w:t>
            </w:r>
          </w:p>
        </w:tc>
      </w:tr>
      <w:tr w:rsidR="00FE7C2A" w:rsidRPr="00FE7C2A" w:rsidTr="00A246F4">
        <w:trPr>
          <w:cantSplit/>
        </w:trPr>
        <w:tc>
          <w:tcPr>
            <w:tcW w:w="2398" w:type="dxa"/>
          </w:tcPr>
          <w:p w:rsidR="00FE7C2A" w:rsidRPr="00FE7C2A" w:rsidRDefault="00FE7C2A" w:rsidP="00FE7C2A">
            <w:pPr>
              <w:rPr>
                <w:sz w:val="20"/>
                <w:szCs w:val="20"/>
              </w:rPr>
            </w:pPr>
            <w:r w:rsidRPr="00FE7C2A">
              <w:rPr>
                <w:sz w:val="20"/>
                <w:szCs w:val="20"/>
              </w:rPr>
              <w:t>2018-05-25</w:t>
            </w:r>
          </w:p>
        </w:tc>
        <w:tc>
          <w:tcPr>
            <w:tcW w:w="7178" w:type="dxa"/>
          </w:tcPr>
          <w:p w:rsidR="00FE7C2A" w:rsidRPr="00FE7C2A" w:rsidRDefault="00FE7C2A" w:rsidP="00FE7C2A">
            <w:pPr>
              <w:rPr>
                <w:sz w:val="20"/>
                <w:szCs w:val="20"/>
              </w:rPr>
            </w:pPr>
            <w:r w:rsidRPr="00FE7C2A">
              <w:rPr>
                <w:i/>
                <w:sz w:val="20"/>
                <w:szCs w:val="20"/>
              </w:rPr>
              <w:t xml:space="preserve">Sean Patrick </w:t>
            </w:r>
            <w:proofErr w:type="gramStart"/>
            <w:r w:rsidRPr="00FE7C2A">
              <w:rPr>
                <w:i/>
                <w:sz w:val="20"/>
                <w:szCs w:val="20"/>
              </w:rPr>
              <w:t>Mills</w:t>
            </w:r>
            <w:proofErr w:type="gramEnd"/>
            <w:r w:rsidRPr="00FE7C2A">
              <w:rPr>
                <w:i/>
                <w:sz w:val="20"/>
                <w:szCs w:val="20"/>
              </w:rPr>
              <w:t xml:space="preserve"> v. Her Majesty the Queen</w:t>
            </w:r>
            <w:r w:rsidRPr="00FE7C2A">
              <w:rPr>
                <w:sz w:val="20"/>
                <w:szCs w:val="20"/>
              </w:rPr>
              <w:t xml:space="preserve"> (N.L.) (Criminal) (By Leave) (37518)</w:t>
            </w:r>
          </w:p>
        </w:tc>
      </w:tr>
    </w:tbl>
    <w:p w:rsidR="005F1ED8" w:rsidRDefault="005F1ED8" w:rsidP="004B66B4">
      <w:pPr>
        <w:rPr>
          <w:sz w:val="20"/>
          <w:szCs w:val="20"/>
          <w:lang w:val="fr-CA"/>
        </w:rPr>
      </w:pPr>
    </w:p>
    <w:p w:rsidR="004B66B4" w:rsidRPr="00DD0B49" w:rsidRDefault="00227F09" w:rsidP="002868D0">
      <w:pPr>
        <w:jc w:val="both"/>
        <w:rPr>
          <w:sz w:val="20"/>
          <w:szCs w:val="20"/>
        </w:rPr>
      </w:pPr>
      <w:r>
        <w:rPr>
          <w:sz w:val="20"/>
          <w:szCs w:val="20"/>
          <w:lang w:val="fr-CA"/>
        </w:rPr>
        <w:pict>
          <v:rect id="_x0000_i1048"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bookmarkStart w:id="6" w:name="1"/>
    <w:bookmarkEnd w:id="6"/>
    <w:p w:rsidR="001F1A8B" w:rsidRPr="001F1A8B" w:rsidRDefault="001F1A8B" w:rsidP="001F1A8B">
      <w:pPr>
        <w:widowControl w:val="0"/>
        <w:spacing w:afterLines="20" w:after="48" w:line="259" w:lineRule="auto"/>
        <w:ind w:left="720" w:right="-36" w:hanging="72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37926</w:t>
      </w:r>
      <w:r w:rsidRPr="001F1A8B">
        <w:rPr>
          <w:rFonts w:eastAsia="Calibri" w:cs="Times New Roman"/>
          <w:sz w:val="20"/>
          <w:szCs w:val="20"/>
        </w:rPr>
        <w:tab/>
      </w:r>
      <w:bookmarkStart w:id="7" w:name="3"/>
      <w:bookmarkEnd w:id="7"/>
      <w:r w:rsidRPr="001F1A8B">
        <w:rPr>
          <w:rFonts w:eastAsia="Calibri" w:cs="Times New Roman"/>
          <w:b/>
          <w:i/>
          <w:sz w:val="20"/>
          <w:szCs w:val="20"/>
        </w:rPr>
        <w:t>Percy Lewis Cain v. Her Majesty the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(N.S.) (Criminal) (As of Right)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lang w:val="en-US"/>
        </w:rPr>
        <w:t>Criminal law - Evidence - Admissibility - Prior consistent statement - Whether trial judge committed error of law as to use of prior consistent statements of the complainant.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 xml:space="preserve">The appellant was charged with sexually assaulting the complainant. During the cross-examination of Crown witnesses at trial, the defence introduced the contents of the complainant’s statements to the police on the evening of the assault and then challenged the complainant with inconsistencies between the statements and her testimony. The trial judge convicted the appellant, finding that the inconsistencies involved only peripheral circumstances while the complainant’s relation of the central facts was consistent, and that the inconsistencies did not impair the complainant’s reliability with respect to the sexual assault. </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 xml:space="preserve">The appellant appealed his conviction, arguing that the trial judge’s use of the complainant’s statements to the police infringed the rule against prior consistent statements, and that the trial judge erred in using the prior consistent statement to confirm the in-court testimony of the complainant. The majority in the Court of Appeal dismissed the appeal, holding that the trial judge could consider the degree of consistency between the complainant’s prior statements and her testimony on the central facts, based on the contextual exception which permits a trial judge to fully appraise submissions by the defence that inconsistencies are material. </w:t>
      </w:r>
      <w:proofErr w:type="spellStart"/>
      <w:r w:rsidRPr="001F1A8B">
        <w:rPr>
          <w:rFonts w:eastAsia="Calibri" w:cs="Times New Roman"/>
          <w:sz w:val="20"/>
          <w:szCs w:val="20"/>
        </w:rPr>
        <w:t>Scanlan</w:t>
      </w:r>
      <w:proofErr w:type="spellEnd"/>
      <w:r w:rsidRPr="001F1A8B">
        <w:rPr>
          <w:rFonts w:eastAsia="Calibri" w:cs="Times New Roman"/>
          <w:sz w:val="20"/>
          <w:szCs w:val="20"/>
        </w:rPr>
        <w:t xml:space="preserve"> J.A., dissenting, would have allowed the appeal, set aside the conviction and ordered a new trial. He was of the view that the trial judge improperly used the complainant’s prior consistent statements to corroborate her in-court testimony.</w:t>
      </w:r>
    </w:p>
    <w:p w:rsidR="001F1A8B" w:rsidRPr="001F1A8B" w:rsidRDefault="001F1A8B" w:rsidP="001F1A8B">
      <w:pPr>
        <w:spacing w:afterLines="20" w:after="48" w:line="259" w:lineRule="auto"/>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37926</w:t>
      </w:r>
      <w:r w:rsidRPr="001F1A8B">
        <w:rPr>
          <w:rFonts w:eastAsia="Calibri" w:cs="Times New Roman"/>
          <w:sz w:val="20"/>
          <w:szCs w:val="20"/>
          <w:lang w:val="fr-CA"/>
        </w:rPr>
        <w:tab/>
      </w:r>
      <w:r w:rsidRPr="001F1A8B">
        <w:rPr>
          <w:rFonts w:eastAsia="Calibri" w:cs="Times New Roman"/>
          <w:b/>
          <w:i/>
          <w:sz w:val="20"/>
          <w:szCs w:val="20"/>
          <w:lang w:val="fr-CA"/>
        </w:rPr>
        <w:t xml:space="preserve">Percy Lewis </w:t>
      </w:r>
      <w:proofErr w:type="spellStart"/>
      <w:r w:rsidRPr="001F1A8B">
        <w:rPr>
          <w:rFonts w:eastAsia="Calibri" w:cs="Times New Roman"/>
          <w:b/>
          <w:i/>
          <w:sz w:val="20"/>
          <w:szCs w:val="20"/>
          <w:lang w:val="fr-CA"/>
        </w:rPr>
        <w:t>Cain</w:t>
      </w:r>
      <w:proofErr w:type="spellEnd"/>
      <w:r w:rsidRPr="001F1A8B">
        <w:rPr>
          <w:rFonts w:eastAsia="Calibri" w:cs="Times New Roman"/>
          <w:b/>
          <w:i/>
          <w:sz w:val="20"/>
          <w:szCs w:val="20"/>
          <w:lang w:val="fr-CA"/>
        </w:rPr>
        <w:t xml:space="preserve"> c. Sa Majesté la Reine </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(N.-É.) (Criminelle) (De plein droit)</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criminel - Preuve - Admissibilité - Déclaration antérieure compatible - Le juge du procès </w:t>
      </w:r>
      <w:proofErr w:type="spellStart"/>
      <w:r w:rsidRPr="001F1A8B">
        <w:rPr>
          <w:rFonts w:eastAsia="Calibri" w:cs="Times New Roman"/>
          <w:sz w:val="20"/>
          <w:szCs w:val="20"/>
          <w:lang w:val="fr-CA"/>
        </w:rPr>
        <w:t>a-t-il</w:t>
      </w:r>
      <w:proofErr w:type="spellEnd"/>
      <w:r w:rsidRPr="001F1A8B">
        <w:rPr>
          <w:rFonts w:eastAsia="Calibri" w:cs="Times New Roman"/>
          <w:sz w:val="20"/>
          <w:szCs w:val="20"/>
          <w:lang w:val="fr-CA"/>
        </w:rPr>
        <w:t xml:space="preserve"> commis une erreur de droit quant à l’utilisation des déclarations antérieures compatibles de la plaignante?</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L’appelant a été accusé d’avoir agressé sexuellement la plaignante. Lors du contre-interrogatoire des témoins du ministère public au procès, la défense a produit le contenu des déclarations que la plaignante avait faites aux policiers le soir de l’agression, puis a signalé à la plaignante les contradictions entre les déclarations et son témoignage. Le juge du procès a déclaré coupable l’appelant parce que les contradictions portaient uniquement sur des circonstances accessoires alors que le compte rendu des faits principaux donné par la plaignante était cohérent et que les contradictions n’ont pas compromis la fiabilité de la plaignante pour ce qui est de l’agression sexuelle.  </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L’appelant a interjeté appel de sa déclaration de culpabilité, faisant valoir que le recours par le juge du procès aux déclarations de la plaignante à la police enfreignait la règle interdisant les déclarations antérieures compatibles et qu’il a eu tort d’utiliser ces déclarations pour confirmer le témoignage de la plaignante en salle d’audience. La majorité de la Cour d’appel a rejeté l’appel et conclu que le juge du procès pouvait étudier la cohérence entre les déclarations antérieures de la plaignante et son témoignage sur les faits principaux, compte tenu de l’exception contextuelle qui permet au juge du procès d’examiner à fond la thèse de la défense selon laquelle les contradictions sont importantes. Le juge </w:t>
      </w:r>
      <w:proofErr w:type="spellStart"/>
      <w:r w:rsidRPr="001F1A8B">
        <w:rPr>
          <w:rFonts w:eastAsia="Calibri" w:cs="Times New Roman"/>
          <w:sz w:val="20"/>
          <w:szCs w:val="20"/>
          <w:lang w:val="fr-CA"/>
        </w:rPr>
        <w:t>Scanlan</w:t>
      </w:r>
      <w:proofErr w:type="spellEnd"/>
      <w:r w:rsidRPr="001F1A8B">
        <w:rPr>
          <w:rFonts w:eastAsia="Calibri" w:cs="Times New Roman"/>
          <w:sz w:val="20"/>
          <w:szCs w:val="20"/>
          <w:lang w:val="fr-CA"/>
        </w:rPr>
        <w:t>, dissident, aurait fait droit à l’appel, annulé la déclaration de culpabilité et ordonné la tenue d’un nouveau procès. À son avis, le juge du procès a utilisé à tort les déclarations antérieures compatibles de la plaignante pour corroborer son témoignage en salle d’audience.</w:t>
      </w:r>
    </w:p>
    <w:p w:rsidR="001F1A8B" w:rsidRPr="001F1A8B" w:rsidRDefault="00227F09" w:rsidP="001F1A8B">
      <w:pPr>
        <w:widowControl w:val="0"/>
        <w:spacing w:afterLines="20" w:after="48" w:line="259" w:lineRule="auto"/>
        <w:ind w:left="720" w:hanging="720"/>
        <w:jc w:val="both"/>
        <w:rPr>
          <w:rFonts w:eastAsia="Calibri" w:cs="Times New Roman"/>
          <w:b/>
          <w:sz w:val="20"/>
          <w:szCs w:val="20"/>
        </w:rPr>
      </w:pPr>
      <w:r>
        <w:rPr>
          <w:rFonts w:ascii="Calibri" w:eastAsia="Calibri" w:hAnsi="Calibri" w:cs="Times New Roman"/>
          <w:sz w:val="20"/>
          <w:szCs w:val="20"/>
          <w:lang w:val="fr-CA"/>
        </w:rPr>
        <w:pict>
          <v:rect id="_x0000_i1051"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lastRenderedPageBreak/>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37845</w:t>
      </w:r>
      <w:r w:rsidRPr="001F1A8B">
        <w:rPr>
          <w:rFonts w:eastAsia="Calibri" w:cs="Times New Roman"/>
          <w:sz w:val="20"/>
          <w:szCs w:val="20"/>
        </w:rPr>
        <w:tab/>
      </w:r>
      <w:r w:rsidRPr="001F1A8B">
        <w:rPr>
          <w:rFonts w:eastAsia="Calibri" w:cs="Times New Roman"/>
          <w:b/>
          <w:i/>
          <w:sz w:val="20"/>
          <w:szCs w:val="20"/>
        </w:rPr>
        <w:t>Collet Dawn Stephan v. Her Majesty the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(Alta.) (Criminal) (As of Right)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lang w:val="en-US"/>
        </w:rPr>
        <w:t>Criminal law - Failing to provide necessaries of life - Elements of offence - Charge to jury - Whether trial judge’s instruction to jury with respect to elements of offence constituted reversible error.</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 xml:space="preserve">The appellant was convicted by a jury of failing to provide the necessaries of life to her son, Ezekiel, who died of meningitis. She appealed her conviction, arguing that the trial judge’s charge to the jury was inadequate, that the trial was unfair and amounted to a miscarriage of justice, and that her rights to be tried within a reasonable time were breached. The majority in the Court of Appeal dismissed the appeal. </w:t>
      </w:r>
      <w:proofErr w:type="spellStart"/>
      <w:r w:rsidRPr="001F1A8B">
        <w:rPr>
          <w:rFonts w:eastAsia="Calibri" w:cs="Times New Roman"/>
          <w:sz w:val="20"/>
          <w:szCs w:val="20"/>
        </w:rPr>
        <w:t>O’Ferrall</w:t>
      </w:r>
      <w:proofErr w:type="spellEnd"/>
      <w:r w:rsidRPr="001F1A8B">
        <w:rPr>
          <w:rFonts w:eastAsia="Calibri" w:cs="Times New Roman"/>
          <w:sz w:val="20"/>
          <w:szCs w:val="20"/>
        </w:rPr>
        <w:t xml:space="preserve"> J.A., dissenting, would have allowed the appeal and ordered a new trial. He was of the view that the trial judge’s charge to the jury was confusing, misleading and deficient in describing a key element of the offence, and that the trial judge did not properly instruct the jury on the fault element or the </w:t>
      </w:r>
      <w:proofErr w:type="spellStart"/>
      <w:r w:rsidRPr="001F1A8B">
        <w:rPr>
          <w:rFonts w:eastAsia="Calibri" w:cs="Times New Roman"/>
          <w:i/>
          <w:sz w:val="20"/>
          <w:szCs w:val="20"/>
        </w:rPr>
        <w:t>mens</w:t>
      </w:r>
      <w:proofErr w:type="spellEnd"/>
      <w:r w:rsidRPr="001F1A8B">
        <w:rPr>
          <w:rFonts w:eastAsia="Calibri" w:cs="Times New Roman"/>
          <w:i/>
          <w:sz w:val="20"/>
          <w:szCs w:val="20"/>
        </w:rPr>
        <w:t xml:space="preserve"> rea</w:t>
      </w:r>
      <w:r w:rsidRPr="001F1A8B">
        <w:rPr>
          <w:rFonts w:eastAsia="Calibri" w:cs="Times New Roman"/>
          <w:sz w:val="20"/>
          <w:szCs w:val="20"/>
        </w:rPr>
        <w:t xml:space="preserve"> of the offence. </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lang w:val="fr-CA"/>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fr-CA"/>
        </w:rPr>
        <w:fldChar w:fldCharType="end"/>
      </w:r>
      <w:r w:rsidRPr="001F1A8B">
        <w:rPr>
          <w:rFonts w:eastAsia="Calibri" w:cs="Times New Roman"/>
          <w:b/>
          <w:sz w:val="20"/>
          <w:szCs w:val="20"/>
          <w:lang w:val="fr-CA"/>
        </w:rPr>
        <w:t>37845</w:t>
      </w:r>
      <w:r w:rsidRPr="001F1A8B">
        <w:rPr>
          <w:rFonts w:eastAsia="Calibri" w:cs="Times New Roman"/>
          <w:sz w:val="20"/>
          <w:szCs w:val="20"/>
          <w:lang w:val="fr-CA"/>
        </w:rPr>
        <w:tab/>
      </w:r>
      <w:r w:rsidRPr="001F1A8B">
        <w:rPr>
          <w:rFonts w:eastAsia="Calibri" w:cs="Times New Roman"/>
          <w:b/>
          <w:i/>
          <w:sz w:val="20"/>
          <w:szCs w:val="20"/>
          <w:lang w:val="fr-CA"/>
        </w:rPr>
        <w:t>Collet Dawn Stephan c. Sa Majesté la Reine</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w:t>
      </w:r>
      <w:proofErr w:type="spellStart"/>
      <w:r w:rsidRPr="001F1A8B">
        <w:rPr>
          <w:rFonts w:eastAsia="Calibri" w:cs="Times New Roman"/>
          <w:sz w:val="20"/>
          <w:szCs w:val="20"/>
          <w:lang w:val="fr-CA"/>
        </w:rPr>
        <w:t>Alb</w:t>
      </w:r>
      <w:proofErr w:type="spellEnd"/>
      <w:r w:rsidRPr="001F1A8B">
        <w:rPr>
          <w:rFonts w:eastAsia="Calibri" w:cs="Times New Roman"/>
          <w:sz w:val="20"/>
          <w:szCs w:val="20"/>
          <w:lang w:val="fr-CA"/>
        </w:rPr>
        <w:t>.) (Criminelle) (De plein droit)</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criminel - </w:t>
      </w:r>
      <w:r w:rsidRPr="001F1A8B">
        <w:rPr>
          <w:rFonts w:eastAsia="Calibri" w:cs="Times New Roman"/>
          <w:iCs/>
          <w:sz w:val="20"/>
          <w:szCs w:val="20"/>
          <w:lang w:val="fr-CA"/>
        </w:rPr>
        <w:t>Omission de fournir les choses nécessaires à l’existence</w:t>
      </w:r>
      <w:r w:rsidRPr="001F1A8B">
        <w:rPr>
          <w:rFonts w:eastAsia="Calibri" w:cs="Times New Roman"/>
          <w:sz w:val="20"/>
          <w:szCs w:val="20"/>
          <w:lang w:val="fr-CA"/>
        </w:rPr>
        <w:t xml:space="preserve"> - Éléments de l’infraction - Exposé au jury - La directive du juge du procès à l’égard des éléments de l’infraction constituait-elle une erreur donnant ouverture à révision?</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L’appelante a été déclarée coupable par un jury d’</w:t>
      </w:r>
      <w:r w:rsidRPr="001F1A8B">
        <w:rPr>
          <w:rFonts w:eastAsia="Calibri" w:cs="Times New Roman"/>
          <w:iCs/>
          <w:sz w:val="20"/>
          <w:szCs w:val="20"/>
          <w:lang w:val="fr-CA"/>
        </w:rPr>
        <w:t>omission de fournir les choses nécessaires à l’existence</w:t>
      </w:r>
      <w:r w:rsidRPr="001F1A8B">
        <w:rPr>
          <w:rFonts w:eastAsia="Calibri" w:cs="Times New Roman"/>
          <w:sz w:val="20"/>
          <w:szCs w:val="20"/>
          <w:lang w:val="fr-CA"/>
        </w:rPr>
        <w:t xml:space="preserve"> de son fils, </w:t>
      </w:r>
      <w:proofErr w:type="spellStart"/>
      <w:r w:rsidRPr="001F1A8B">
        <w:rPr>
          <w:rFonts w:eastAsia="Calibri" w:cs="Times New Roman"/>
          <w:sz w:val="20"/>
          <w:szCs w:val="20"/>
          <w:lang w:val="fr-CA"/>
        </w:rPr>
        <w:t>Ezekiel</w:t>
      </w:r>
      <w:proofErr w:type="spellEnd"/>
      <w:r w:rsidRPr="001F1A8B">
        <w:rPr>
          <w:rFonts w:eastAsia="Calibri" w:cs="Times New Roman"/>
          <w:sz w:val="20"/>
          <w:szCs w:val="20"/>
          <w:lang w:val="fr-CA"/>
        </w:rPr>
        <w:t xml:space="preserve">, qui est décédé de méningite. Elle a interjeté appel de la déclaration de culpabilité prononcée contre elle, plaidant que l’exposé juge du procès au jury était inadéquat, que le procès avait été injuste et équivalait à une erreur judiciaire et que ses droits d’être jugée dans un délai raisonnable avaient été violés. Les juges majoritaires de la Cour d’appel ont rejeté l’appel. Le juge </w:t>
      </w:r>
      <w:proofErr w:type="spellStart"/>
      <w:r w:rsidRPr="001F1A8B">
        <w:rPr>
          <w:rFonts w:eastAsia="Calibri" w:cs="Times New Roman"/>
          <w:sz w:val="20"/>
          <w:szCs w:val="20"/>
          <w:lang w:val="fr-CA"/>
        </w:rPr>
        <w:t>O’Ferrall</w:t>
      </w:r>
      <w:proofErr w:type="spellEnd"/>
      <w:r w:rsidRPr="001F1A8B">
        <w:rPr>
          <w:rFonts w:eastAsia="Calibri" w:cs="Times New Roman"/>
          <w:sz w:val="20"/>
          <w:szCs w:val="20"/>
          <w:lang w:val="fr-CA"/>
        </w:rPr>
        <w:t xml:space="preserve">, dissident, était d’avis d’accueillir l’appel et d’ordonner un nouveau procès. À son avis, l’exposé du juge du procès au jury prêtait à confusion, était de nature à induire en erreur et décrivait mal un élément essentiel de l’infraction; en outre, il était d’avis que le juge du procès n’avait pas bien expliqué aux jurés l’élément de faute ou la </w:t>
      </w:r>
      <w:r w:rsidRPr="001F1A8B">
        <w:rPr>
          <w:rFonts w:eastAsia="Calibri" w:cs="Times New Roman"/>
          <w:i/>
          <w:sz w:val="20"/>
          <w:szCs w:val="20"/>
          <w:lang w:val="fr-CA"/>
        </w:rPr>
        <w:t xml:space="preserve">mens </w:t>
      </w:r>
      <w:proofErr w:type="spellStart"/>
      <w:r w:rsidRPr="001F1A8B">
        <w:rPr>
          <w:rFonts w:eastAsia="Calibri" w:cs="Times New Roman"/>
          <w:i/>
          <w:sz w:val="20"/>
          <w:szCs w:val="20"/>
          <w:lang w:val="fr-CA"/>
        </w:rPr>
        <w:t>rea</w:t>
      </w:r>
      <w:proofErr w:type="spellEnd"/>
      <w:r w:rsidRPr="001F1A8B">
        <w:rPr>
          <w:rFonts w:eastAsia="Calibri" w:cs="Times New Roman"/>
          <w:sz w:val="20"/>
          <w:szCs w:val="20"/>
          <w:lang w:val="fr-CA"/>
        </w:rPr>
        <w:t xml:space="preserve"> de l’infraction. </w:t>
      </w:r>
    </w:p>
    <w:p w:rsidR="001F1A8B" w:rsidRPr="001F1A8B" w:rsidRDefault="00227F09" w:rsidP="001F1A8B">
      <w:pPr>
        <w:widowControl w:val="0"/>
        <w:spacing w:afterLines="20" w:after="48" w:line="259" w:lineRule="auto"/>
        <w:ind w:left="720" w:hanging="720"/>
        <w:jc w:val="both"/>
        <w:rPr>
          <w:rFonts w:ascii="Calibri" w:eastAsia="Calibri" w:hAnsi="Calibri" w:cs="Times New Roman"/>
          <w:sz w:val="20"/>
          <w:szCs w:val="20"/>
          <w:lang w:val="fr-CA"/>
        </w:rPr>
      </w:pPr>
      <w:r>
        <w:rPr>
          <w:rFonts w:ascii="Calibri" w:eastAsia="Calibri" w:hAnsi="Calibri" w:cs="Times New Roman"/>
          <w:sz w:val="20"/>
          <w:szCs w:val="20"/>
          <w:lang w:val="fr-CA"/>
        </w:rPr>
        <w:pict>
          <v:rect id="_x0000_i1052"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37846</w:t>
      </w:r>
      <w:r w:rsidRPr="001F1A8B">
        <w:rPr>
          <w:rFonts w:eastAsia="Calibri" w:cs="Times New Roman"/>
          <w:sz w:val="20"/>
          <w:szCs w:val="20"/>
        </w:rPr>
        <w:tab/>
      </w:r>
      <w:r w:rsidRPr="001F1A8B">
        <w:rPr>
          <w:rFonts w:eastAsia="Calibri" w:cs="Times New Roman"/>
          <w:b/>
          <w:i/>
          <w:sz w:val="20"/>
          <w:szCs w:val="20"/>
        </w:rPr>
        <w:t>David Robert Stephan v. Her Majesty the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(Alta.) (Criminal) (As of Right)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lang w:val="en-US"/>
        </w:rPr>
        <w:t>Criminal law - Failing to provide necessaries of life - Elements of offence - Charge to jury - Whether trial judge’s instruction to jury with respect to elements of offence constituted reversible error.</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 xml:space="preserve">The appellant was convicted by a jury of failing to provide the necessaries of life to his son, Ezekiel, who died of meningitis. He appealed his conviction, arguing that the trial judge erred in failing to limit the Crown’s expert evidence, in restricting a defence expert’s qualification and scope of opinion, and in his characterization and restriction of his father’s evidence. The majority in the Court of Appeal dismissed the appeal. </w:t>
      </w:r>
      <w:proofErr w:type="spellStart"/>
      <w:r w:rsidRPr="001F1A8B">
        <w:rPr>
          <w:rFonts w:eastAsia="Calibri" w:cs="Times New Roman"/>
          <w:sz w:val="20"/>
          <w:szCs w:val="20"/>
        </w:rPr>
        <w:t>O’Ferrall</w:t>
      </w:r>
      <w:proofErr w:type="spellEnd"/>
      <w:r w:rsidRPr="001F1A8B">
        <w:rPr>
          <w:rFonts w:eastAsia="Calibri" w:cs="Times New Roman"/>
          <w:sz w:val="20"/>
          <w:szCs w:val="20"/>
        </w:rPr>
        <w:t xml:space="preserve"> J.A., dissenting, would have allowed the appeal and ordered a new trial. He was of the view that the trial judge’s charge to the jury was confusing, misleading and deficient in describing a key element of the offence, and that the trial judge did not properly instruct the jury on the fault element or the </w:t>
      </w:r>
      <w:proofErr w:type="spellStart"/>
      <w:r w:rsidRPr="001F1A8B">
        <w:rPr>
          <w:rFonts w:eastAsia="Calibri" w:cs="Times New Roman"/>
          <w:i/>
          <w:sz w:val="20"/>
          <w:szCs w:val="20"/>
        </w:rPr>
        <w:t>mens</w:t>
      </w:r>
      <w:proofErr w:type="spellEnd"/>
      <w:r w:rsidRPr="001F1A8B">
        <w:rPr>
          <w:rFonts w:eastAsia="Calibri" w:cs="Times New Roman"/>
          <w:i/>
          <w:sz w:val="20"/>
          <w:szCs w:val="20"/>
        </w:rPr>
        <w:t xml:space="preserve"> rea</w:t>
      </w:r>
      <w:r w:rsidRPr="001F1A8B">
        <w:rPr>
          <w:rFonts w:eastAsia="Calibri" w:cs="Times New Roman"/>
          <w:sz w:val="20"/>
          <w:szCs w:val="20"/>
        </w:rPr>
        <w:t xml:space="preserve"> of the offence. </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lang w:val="fr-CA"/>
        </w:rPr>
        <w:lastRenderedPageBreak/>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fr-CA"/>
        </w:rPr>
        <w:fldChar w:fldCharType="end"/>
      </w:r>
      <w:r w:rsidRPr="001F1A8B">
        <w:rPr>
          <w:rFonts w:eastAsia="Calibri" w:cs="Times New Roman"/>
          <w:b/>
          <w:sz w:val="20"/>
          <w:szCs w:val="20"/>
          <w:lang w:val="fr-CA"/>
        </w:rPr>
        <w:t>37846</w:t>
      </w:r>
      <w:r w:rsidRPr="001F1A8B">
        <w:rPr>
          <w:rFonts w:eastAsia="Calibri" w:cs="Times New Roman"/>
          <w:sz w:val="20"/>
          <w:szCs w:val="20"/>
          <w:lang w:val="fr-CA"/>
        </w:rPr>
        <w:tab/>
      </w:r>
      <w:r w:rsidRPr="001F1A8B">
        <w:rPr>
          <w:rFonts w:eastAsia="Calibri" w:cs="Times New Roman"/>
          <w:b/>
          <w:i/>
          <w:sz w:val="20"/>
          <w:szCs w:val="20"/>
          <w:lang w:val="fr-CA"/>
        </w:rPr>
        <w:t>David Robert Stephan c. Sa Majesté la Reine</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w:t>
      </w:r>
      <w:proofErr w:type="spellStart"/>
      <w:r w:rsidRPr="001F1A8B">
        <w:rPr>
          <w:rFonts w:eastAsia="Calibri" w:cs="Times New Roman"/>
          <w:sz w:val="20"/>
          <w:szCs w:val="20"/>
          <w:lang w:val="fr-CA"/>
        </w:rPr>
        <w:t>Alb</w:t>
      </w:r>
      <w:proofErr w:type="spellEnd"/>
      <w:r w:rsidRPr="001F1A8B">
        <w:rPr>
          <w:rFonts w:eastAsia="Calibri" w:cs="Times New Roman"/>
          <w:sz w:val="20"/>
          <w:szCs w:val="20"/>
          <w:lang w:val="fr-CA"/>
        </w:rPr>
        <w:t>.) (Criminelle) (De plein droit)</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criminel - </w:t>
      </w:r>
      <w:r w:rsidRPr="001F1A8B">
        <w:rPr>
          <w:rFonts w:eastAsia="Calibri" w:cs="Times New Roman"/>
          <w:iCs/>
          <w:sz w:val="20"/>
          <w:szCs w:val="20"/>
          <w:lang w:val="fr-CA"/>
        </w:rPr>
        <w:t>Omission de fournir les choses nécessaires à l’existence</w:t>
      </w:r>
      <w:r w:rsidRPr="001F1A8B">
        <w:rPr>
          <w:rFonts w:eastAsia="Calibri" w:cs="Times New Roman"/>
          <w:sz w:val="20"/>
          <w:szCs w:val="20"/>
          <w:lang w:val="fr-CA"/>
        </w:rPr>
        <w:t xml:space="preserve"> - Éléments de l’infraction - Exposé au jury - La directive du juge du procès à l’égard des éléments de l’infraction constituait-elle une erreur donnant ouverture à révision?</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L’appelant a été déclaré coupable par un jury d’</w:t>
      </w:r>
      <w:r w:rsidRPr="001F1A8B">
        <w:rPr>
          <w:rFonts w:eastAsia="Calibri" w:cs="Times New Roman"/>
          <w:iCs/>
          <w:sz w:val="20"/>
          <w:szCs w:val="20"/>
          <w:lang w:val="fr-CA"/>
        </w:rPr>
        <w:t>omission de fournir les choses nécessaires à l’existence</w:t>
      </w:r>
      <w:r w:rsidRPr="001F1A8B">
        <w:rPr>
          <w:rFonts w:eastAsia="Calibri" w:cs="Times New Roman"/>
          <w:sz w:val="20"/>
          <w:szCs w:val="20"/>
          <w:lang w:val="fr-CA"/>
        </w:rPr>
        <w:t xml:space="preserve"> de son fils, </w:t>
      </w:r>
      <w:proofErr w:type="spellStart"/>
      <w:r w:rsidRPr="001F1A8B">
        <w:rPr>
          <w:rFonts w:eastAsia="Calibri" w:cs="Times New Roman"/>
          <w:sz w:val="20"/>
          <w:szCs w:val="20"/>
          <w:lang w:val="fr-CA"/>
        </w:rPr>
        <w:t>Ezekiel</w:t>
      </w:r>
      <w:proofErr w:type="spellEnd"/>
      <w:r w:rsidRPr="001F1A8B">
        <w:rPr>
          <w:rFonts w:eastAsia="Calibri" w:cs="Times New Roman"/>
          <w:sz w:val="20"/>
          <w:szCs w:val="20"/>
          <w:lang w:val="fr-CA"/>
        </w:rPr>
        <w:t xml:space="preserve">, qui est décédé de méningite. Il a interjeté appel de la déclaration de culpabilité prononcée contre lui, plaidant que le juge du procès avait eu tort de ne pas limiter la preuve de l’expert du ministère public et de restreindre la qualification de l’expert de la défense et la portée de son opinion, et que le juge avait commis une erreur dans sa qualification et sa restriction du témoignage du père de l’appelant. Les juges majoritaires de la Cour d’appel ont rejeté l’appel. Le juge </w:t>
      </w:r>
      <w:proofErr w:type="spellStart"/>
      <w:r w:rsidRPr="001F1A8B">
        <w:rPr>
          <w:rFonts w:eastAsia="Calibri" w:cs="Times New Roman"/>
          <w:sz w:val="20"/>
          <w:szCs w:val="20"/>
          <w:lang w:val="fr-CA"/>
        </w:rPr>
        <w:t>O’Ferrall</w:t>
      </w:r>
      <w:proofErr w:type="spellEnd"/>
      <w:r w:rsidRPr="001F1A8B">
        <w:rPr>
          <w:rFonts w:eastAsia="Calibri" w:cs="Times New Roman"/>
          <w:sz w:val="20"/>
          <w:szCs w:val="20"/>
          <w:lang w:val="fr-CA"/>
        </w:rPr>
        <w:t xml:space="preserve">, dissident, était d’avis d’accueillir l’appel et d’ordonner un nouveau procès. À son avis, l’exposé du juge du procès au jury prêtait à confusion, était de nature à induire en erreur et décrivait mal un élément essentiel de l’infraction; en outre, il était d’avis que le juge du procès n’avait pas bien expliqué aux jurés l’élément de faute ou la </w:t>
      </w:r>
      <w:r w:rsidRPr="001F1A8B">
        <w:rPr>
          <w:rFonts w:eastAsia="Calibri" w:cs="Times New Roman"/>
          <w:i/>
          <w:sz w:val="20"/>
          <w:szCs w:val="20"/>
          <w:lang w:val="fr-CA"/>
        </w:rPr>
        <w:t xml:space="preserve">mens </w:t>
      </w:r>
      <w:proofErr w:type="spellStart"/>
      <w:r w:rsidRPr="001F1A8B">
        <w:rPr>
          <w:rFonts w:eastAsia="Calibri" w:cs="Times New Roman"/>
          <w:i/>
          <w:sz w:val="20"/>
          <w:szCs w:val="20"/>
          <w:lang w:val="fr-CA"/>
        </w:rPr>
        <w:t>rea</w:t>
      </w:r>
      <w:proofErr w:type="spellEnd"/>
      <w:r w:rsidRPr="001F1A8B">
        <w:rPr>
          <w:rFonts w:eastAsia="Calibri" w:cs="Times New Roman"/>
          <w:sz w:val="20"/>
          <w:szCs w:val="20"/>
          <w:lang w:val="fr-CA"/>
        </w:rPr>
        <w:t xml:space="preserve"> de l’infraction. </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fr-CA"/>
        </w:rPr>
      </w:pPr>
    </w:p>
    <w:p w:rsidR="001F1A8B" w:rsidRPr="001F1A8B" w:rsidRDefault="00227F09" w:rsidP="001F1A8B">
      <w:pPr>
        <w:widowControl w:val="0"/>
        <w:spacing w:afterLines="20" w:after="48" w:line="259" w:lineRule="auto"/>
        <w:ind w:left="720" w:hanging="720"/>
        <w:jc w:val="both"/>
        <w:rPr>
          <w:rFonts w:ascii="Calibri" w:eastAsia="Calibri" w:hAnsi="Calibri" w:cs="Times New Roman"/>
          <w:sz w:val="20"/>
          <w:szCs w:val="20"/>
          <w:lang w:val="fr-CA"/>
        </w:rPr>
      </w:pPr>
      <w:r>
        <w:rPr>
          <w:rFonts w:ascii="Calibri" w:eastAsia="Calibri" w:hAnsi="Calibri" w:cs="Times New Roman"/>
          <w:sz w:val="20"/>
          <w:szCs w:val="20"/>
          <w:lang w:val="fr-CA"/>
        </w:rPr>
        <w:pict>
          <v:rect id="_x0000_i1053"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37642</w:t>
      </w:r>
      <w:r w:rsidRPr="001F1A8B">
        <w:rPr>
          <w:rFonts w:eastAsia="Calibri" w:cs="Times New Roman"/>
          <w:b/>
          <w:sz w:val="20"/>
          <w:szCs w:val="20"/>
          <w:lang w:val="fr-CA"/>
        </w:rPr>
        <w:tab/>
      </w:r>
      <w:r w:rsidRPr="001F1A8B">
        <w:rPr>
          <w:rFonts w:eastAsia="Calibri" w:cs="Times New Roman"/>
          <w:b/>
          <w:i/>
          <w:sz w:val="20"/>
          <w:szCs w:val="20"/>
          <w:lang w:val="fr-CA"/>
        </w:rPr>
        <w:t xml:space="preserve">Kassem </w:t>
      </w:r>
      <w:proofErr w:type="spellStart"/>
      <w:r w:rsidRPr="001F1A8B">
        <w:rPr>
          <w:rFonts w:eastAsia="Calibri" w:cs="Times New Roman"/>
          <w:b/>
          <w:i/>
          <w:sz w:val="20"/>
          <w:szCs w:val="20"/>
          <w:lang w:val="fr-CA"/>
        </w:rPr>
        <w:t>Mazraani</w:t>
      </w:r>
      <w:proofErr w:type="spellEnd"/>
      <w:r w:rsidRPr="001F1A8B">
        <w:rPr>
          <w:rFonts w:eastAsia="Calibri" w:cs="Times New Roman"/>
          <w:b/>
          <w:i/>
          <w:sz w:val="20"/>
          <w:szCs w:val="20"/>
          <w:lang w:val="fr-CA"/>
        </w:rPr>
        <w:t xml:space="preserve"> v. Industrielle Alliance, Assurance et Services Financiers Inc., </w:t>
      </w:r>
      <w:proofErr w:type="spellStart"/>
      <w:r w:rsidRPr="001F1A8B">
        <w:rPr>
          <w:rFonts w:eastAsia="Calibri" w:cs="Times New Roman"/>
          <w:b/>
          <w:i/>
          <w:sz w:val="20"/>
          <w:szCs w:val="20"/>
          <w:lang w:val="fr-CA"/>
        </w:rPr>
        <w:t>Minister</w:t>
      </w:r>
      <w:proofErr w:type="spellEnd"/>
      <w:r w:rsidRPr="001F1A8B">
        <w:rPr>
          <w:rFonts w:eastAsia="Calibri" w:cs="Times New Roman"/>
          <w:b/>
          <w:i/>
          <w:sz w:val="20"/>
          <w:szCs w:val="20"/>
          <w:lang w:val="fr-CA"/>
        </w:rPr>
        <w:t xml:space="preserve"> of National Revenue</w:t>
      </w:r>
    </w:p>
    <w:p w:rsidR="001F1A8B" w:rsidRPr="001F1A8B" w:rsidRDefault="001F1A8B" w:rsidP="001F1A8B">
      <w:pPr>
        <w:widowControl w:val="0"/>
        <w:spacing w:afterLines="20" w:after="48" w:line="259" w:lineRule="auto"/>
        <w:ind w:left="720"/>
        <w:jc w:val="both"/>
        <w:rPr>
          <w:rFonts w:eastAsia="Calibri" w:cs="Times New Roman"/>
          <w:sz w:val="20"/>
          <w:szCs w:val="20"/>
        </w:rPr>
      </w:pPr>
      <w:r w:rsidRPr="001F1A8B">
        <w:rPr>
          <w:rFonts w:eastAsia="Calibri" w:cs="Times New Roman"/>
          <w:sz w:val="20"/>
          <w:szCs w:val="20"/>
        </w:rPr>
        <w:t>(F</w:t>
      </w:r>
      <w:r>
        <w:rPr>
          <w:rFonts w:eastAsia="Calibri" w:cs="Times New Roman"/>
          <w:sz w:val="20"/>
          <w:szCs w:val="20"/>
        </w:rPr>
        <w:t>.</w:t>
      </w:r>
      <w:r w:rsidRPr="001F1A8B">
        <w:rPr>
          <w:rFonts w:eastAsia="Calibri" w:cs="Times New Roman"/>
          <w:sz w:val="20"/>
          <w:szCs w:val="20"/>
        </w:rPr>
        <w:t>C</w:t>
      </w:r>
      <w:r>
        <w:rPr>
          <w:rFonts w:eastAsia="Calibri" w:cs="Times New Roman"/>
          <w:sz w:val="20"/>
          <w:szCs w:val="20"/>
        </w:rPr>
        <w:t>.</w:t>
      </w:r>
      <w:r w:rsidRPr="001F1A8B">
        <w:rPr>
          <w:rFonts w:eastAsia="Calibri" w:cs="Times New Roman"/>
          <w:sz w:val="20"/>
          <w:szCs w:val="20"/>
        </w:rPr>
        <w:t>) (Civil) (By Leave)</w:t>
      </w:r>
    </w:p>
    <w:p w:rsidR="001F1A8B" w:rsidRPr="001F1A8B" w:rsidRDefault="001F1A8B" w:rsidP="001F1A8B">
      <w:pPr>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sz w:val="20"/>
          <w:szCs w:val="20"/>
          <w:lang w:val="en-US"/>
        </w:rPr>
        <w:t xml:space="preserve">Official Languages - Federal Courts - Language rights of witnesses and counsels - Whether the Federal Court of Appeal erred in holding that language rights had been violated - Was the Tax Court obligated to adjourn the proceedings for translators under s. 15 of the </w:t>
      </w:r>
      <w:r w:rsidRPr="001F1A8B">
        <w:rPr>
          <w:rFonts w:eastAsia="Calibri" w:cs="Times New Roman"/>
          <w:i/>
          <w:sz w:val="20"/>
          <w:szCs w:val="20"/>
          <w:lang w:val="en-US"/>
        </w:rPr>
        <w:t>Official Languages Act</w:t>
      </w:r>
      <w:r w:rsidRPr="001F1A8B">
        <w:rPr>
          <w:rFonts w:eastAsia="Calibri" w:cs="Times New Roman"/>
          <w:sz w:val="20"/>
          <w:szCs w:val="20"/>
          <w:lang w:val="en-US"/>
        </w:rPr>
        <w:t xml:space="preserve"> the moment that any witness or counsel for the respondent expressed some unease with the use of the English language - </w:t>
      </w:r>
      <w:r w:rsidRPr="001F1A8B">
        <w:rPr>
          <w:rFonts w:eastAsia="Calibri" w:cs="Times New Roman"/>
          <w:i/>
          <w:sz w:val="20"/>
          <w:szCs w:val="20"/>
          <w:lang w:val="en-US"/>
        </w:rPr>
        <w:t>Official Languages Act</w:t>
      </w:r>
      <w:r w:rsidRPr="001F1A8B">
        <w:rPr>
          <w:rFonts w:eastAsia="Calibri" w:cs="Times New Roman"/>
          <w:sz w:val="20"/>
          <w:szCs w:val="20"/>
          <w:lang w:val="en-US"/>
        </w:rPr>
        <w:t>, R.S.C. 1985, c. 31, ss. 14 and 15.</w:t>
      </w:r>
    </w:p>
    <w:p w:rsidR="001F1A8B" w:rsidRPr="001F1A8B" w:rsidRDefault="001F1A8B" w:rsidP="001F1A8B">
      <w:pPr>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sz w:val="20"/>
          <w:szCs w:val="20"/>
          <w:lang w:val="en-US"/>
        </w:rPr>
        <w:t xml:space="preserve">The appellant challenged a decision of the Minister of National Revenue finding that his work as a professional agent for the respondent Industrial Alliance Insurance and Financial Services Inc. was not an insurable employment within the meaning of the </w:t>
      </w:r>
      <w:r w:rsidRPr="001F1A8B">
        <w:rPr>
          <w:rFonts w:eastAsia="Calibri" w:cs="Times New Roman"/>
          <w:i/>
          <w:sz w:val="20"/>
          <w:szCs w:val="20"/>
          <w:lang w:val="en-US"/>
        </w:rPr>
        <w:t>Employment Insurance Act</w:t>
      </w:r>
      <w:r w:rsidRPr="001F1A8B">
        <w:rPr>
          <w:rFonts w:eastAsia="Calibri" w:cs="Times New Roman"/>
          <w:sz w:val="20"/>
          <w:szCs w:val="20"/>
          <w:lang w:val="en-US"/>
        </w:rPr>
        <w:t>, S.C. 1996 c. 23. The Tax Court of Canada found that the appellant held insurable employment and varied the Minister of National Revenue’s decision. The Federal Court of Appeal granted the appeal, finding the witnesses’ language rights had been violated during the hearing before the Tax Court of Canada.</w:t>
      </w:r>
    </w:p>
    <w:p w:rsidR="001F1A8B" w:rsidRPr="001F1A8B" w:rsidRDefault="001F1A8B" w:rsidP="001F1A8B">
      <w:pPr>
        <w:widowControl w:val="0"/>
        <w:spacing w:afterLines="20" w:after="48" w:line="259" w:lineRule="auto"/>
        <w:jc w:val="both"/>
        <w:rPr>
          <w:rFonts w:eastAsia="Calibri" w:cs="Times New Roman"/>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37642</w:t>
      </w:r>
      <w:r w:rsidRPr="001F1A8B">
        <w:rPr>
          <w:rFonts w:eastAsia="Calibri" w:cs="Times New Roman"/>
          <w:sz w:val="20"/>
          <w:szCs w:val="20"/>
          <w:lang w:val="fr-CA"/>
        </w:rPr>
        <w:tab/>
      </w:r>
      <w:r w:rsidRPr="001F1A8B">
        <w:rPr>
          <w:rFonts w:eastAsia="Calibri" w:cs="Times New Roman"/>
          <w:b/>
          <w:i/>
          <w:sz w:val="20"/>
          <w:szCs w:val="20"/>
          <w:lang w:val="fr-CA"/>
        </w:rPr>
        <w:t xml:space="preserve">Kassem </w:t>
      </w:r>
      <w:proofErr w:type="spellStart"/>
      <w:r w:rsidRPr="001F1A8B">
        <w:rPr>
          <w:rFonts w:eastAsia="Calibri" w:cs="Times New Roman"/>
          <w:b/>
          <w:i/>
          <w:sz w:val="20"/>
          <w:szCs w:val="20"/>
          <w:lang w:val="fr-CA"/>
        </w:rPr>
        <w:t>Mazraani</w:t>
      </w:r>
      <w:proofErr w:type="spellEnd"/>
      <w:r w:rsidRPr="001F1A8B">
        <w:rPr>
          <w:rFonts w:eastAsia="Calibri" w:cs="Times New Roman"/>
          <w:b/>
          <w:i/>
          <w:sz w:val="20"/>
          <w:szCs w:val="20"/>
          <w:lang w:val="fr-CA"/>
        </w:rPr>
        <w:t xml:space="preserve"> c. Industrielle Alliance, Assurance et services financiers </w:t>
      </w:r>
      <w:proofErr w:type="spellStart"/>
      <w:r w:rsidRPr="001F1A8B">
        <w:rPr>
          <w:rFonts w:eastAsia="Calibri" w:cs="Times New Roman"/>
          <w:b/>
          <w:i/>
          <w:sz w:val="20"/>
          <w:szCs w:val="20"/>
          <w:lang w:val="fr-CA"/>
        </w:rPr>
        <w:t>inc.</w:t>
      </w:r>
      <w:proofErr w:type="spellEnd"/>
      <w:r w:rsidRPr="001F1A8B">
        <w:rPr>
          <w:rFonts w:eastAsia="Calibri" w:cs="Times New Roman"/>
          <w:b/>
          <w:i/>
          <w:sz w:val="20"/>
          <w:szCs w:val="20"/>
          <w:lang w:val="fr-CA"/>
        </w:rPr>
        <w:t>, Ministre du Revenu national</w:t>
      </w:r>
    </w:p>
    <w:p w:rsidR="001F1A8B" w:rsidRPr="001F1A8B" w:rsidRDefault="001F1A8B" w:rsidP="001F1A8B">
      <w:pPr>
        <w:widowControl w:val="0"/>
        <w:spacing w:afterLines="20" w:after="48" w:line="259" w:lineRule="auto"/>
        <w:ind w:left="720"/>
        <w:jc w:val="both"/>
        <w:rPr>
          <w:rFonts w:eastAsia="Calibri" w:cs="Times New Roman"/>
          <w:sz w:val="20"/>
          <w:szCs w:val="20"/>
          <w:lang w:val="fr-CA"/>
        </w:rPr>
      </w:pPr>
      <w:r w:rsidRPr="001F1A8B">
        <w:rPr>
          <w:rFonts w:eastAsia="Calibri" w:cs="Times New Roman"/>
          <w:sz w:val="20"/>
          <w:szCs w:val="20"/>
          <w:lang w:val="fr-CA"/>
        </w:rPr>
        <w:t>(C</w:t>
      </w:r>
      <w:r>
        <w:rPr>
          <w:rFonts w:eastAsia="Calibri" w:cs="Times New Roman"/>
          <w:sz w:val="20"/>
          <w:szCs w:val="20"/>
          <w:lang w:val="fr-CA"/>
        </w:rPr>
        <w:t>.</w:t>
      </w:r>
      <w:r w:rsidRPr="001F1A8B">
        <w:rPr>
          <w:rFonts w:eastAsia="Calibri" w:cs="Times New Roman"/>
          <w:sz w:val="20"/>
          <w:szCs w:val="20"/>
          <w:lang w:val="fr-CA"/>
        </w:rPr>
        <w:t>F</w:t>
      </w:r>
      <w:r>
        <w:rPr>
          <w:rFonts w:eastAsia="Calibri" w:cs="Times New Roman"/>
          <w:sz w:val="20"/>
          <w:szCs w:val="20"/>
          <w:lang w:val="fr-CA"/>
        </w:rPr>
        <w:t>.</w:t>
      </w:r>
      <w:r w:rsidRPr="001F1A8B">
        <w:rPr>
          <w:rFonts w:eastAsia="Calibri" w:cs="Times New Roman"/>
          <w:sz w:val="20"/>
          <w:szCs w:val="20"/>
          <w:lang w:val="fr-CA"/>
        </w:rPr>
        <w:t>) (Civile) (Sur autorisation)</w:t>
      </w: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Langues officielles - Cours fédérales - Droits linguistiques des témoins et des avocats - La Cour d’appel </w:t>
      </w:r>
      <w:proofErr w:type="gramStart"/>
      <w:r w:rsidRPr="001F1A8B">
        <w:rPr>
          <w:rFonts w:eastAsia="Calibri" w:cs="Times New Roman"/>
          <w:sz w:val="20"/>
          <w:szCs w:val="20"/>
          <w:lang w:val="fr-CA"/>
        </w:rPr>
        <w:t>fédérale</w:t>
      </w:r>
      <w:proofErr w:type="gramEnd"/>
      <w:r w:rsidRPr="001F1A8B">
        <w:rPr>
          <w:rFonts w:eastAsia="Calibri" w:cs="Times New Roman"/>
          <w:sz w:val="20"/>
          <w:szCs w:val="20"/>
          <w:lang w:val="fr-CA"/>
        </w:rPr>
        <w:t xml:space="preserve"> a-t-elle fait erreur en concluant qu’il y avait eu violation des droits linguistiques? - La Cour de l’impôt était-elle tenue d’ajourner l’audience pour recourir aux services d’un interprète conformément à l’art. 15 de la </w:t>
      </w:r>
      <w:r w:rsidRPr="001F1A8B">
        <w:rPr>
          <w:rFonts w:eastAsia="Calibri" w:cs="Times New Roman"/>
          <w:i/>
          <w:sz w:val="20"/>
          <w:szCs w:val="20"/>
          <w:lang w:val="fr-CA"/>
        </w:rPr>
        <w:t>Loi sur les langues officielles</w:t>
      </w:r>
      <w:r w:rsidRPr="001F1A8B">
        <w:rPr>
          <w:rFonts w:eastAsia="Calibri" w:cs="Times New Roman"/>
          <w:sz w:val="20"/>
          <w:szCs w:val="20"/>
          <w:lang w:val="fr-CA"/>
        </w:rPr>
        <w:t xml:space="preserve"> dès qu’un témoin ou l’avocat de l’intimée dit avoir un peu de difficulté à s’exprimer en anglais? - </w:t>
      </w:r>
      <w:r w:rsidRPr="001F1A8B">
        <w:rPr>
          <w:rFonts w:eastAsia="Calibri" w:cs="Times New Roman"/>
          <w:i/>
          <w:sz w:val="20"/>
          <w:szCs w:val="20"/>
          <w:lang w:val="fr-CA"/>
        </w:rPr>
        <w:t>Loi sur les langues officielles</w:t>
      </w:r>
      <w:r w:rsidRPr="001F1A8B">
        <w:rPr>
          <w:rFonts w:eastAsia="Calibri" w:cs="Times New Roman"/>
          <w:sz w:val="20"/>
          <w:szCs w:val="20"/>
          <w:lang w:val="fr-CA"/>
        </w:rPr>
        <w:t>, L.R.C. 1985, c. 31, art. 14 et 15.</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L’appelant a contesté une décision du ministre du Revenu national portant que son travail à titre d’agent professionnel pour l’intimée Industrielle Alliance, Assurance et services financiers </w:t>
      </w:r>
      <w:proofErr w:type="spellStart"/>
      <w:r w:rsidRPr="001F1A8B">
        <w:rPr>
          <w:rFonts w:eastAsia="Calibri" w:cs="Times New Roman"/>
          <w:sz w:val="20"/>
          <w:szCs w:val="20"/>
          <w:lang w:val="fr-CA"/>
        </w:rPr>
        <w:t>inc.</w:t>
      </w:r>
      <w:proofErr w:type="spellEnd"/>
      <w:r w:rsidRPr="001F1A8B">
        <w:rPr>
          <w:rFonts w:eastAsia="Calibri" w:cs="Times New Roman"/>
          <w:sz w:val="20"/>
          <w:szCs w:val="20"/>
          <w:lang w:val="fr-CA"/>
        </w:rPr>
        <w:t xml:space="preserve"> n’était pas un emploi assurable au sens de la </w:t>
      </w:r>
      <w:r w:rsidRPr="001F1A8B">
        <w:rPr>
          <w:rFonts w:eastAsia="Calibri" w:cs="Times New Roman"/>
          <w:i/>
          <w:sz w:val="20"/>
          <w:szCs w:val="20"/>
          <w:lang w:val="fr-CA"/>
        </w:rPr>
        <w:lastRenderedPageBreak/>
        <w:t>Loi sur l’assurance-emploi</w:t>
      </w:r>
      <w:r w:rsidRPr="001F1A8B">
        <w:rPr>
          <w:rFonts w:eastAsia="Calibri" w:cs="Times New Roman"/>
          <w:sz w:val="20"/>
          <w:szCs w:val="20"/>
          <w:lang w:val="fr-CA"/>
        </w:rPr>
        <w:t>, L.C. 1996, c. 23. La Cour canadienne de l’impôt a jugé que l’appelant occupait un emploi assurable et elle a modifié la décision du ministre du Revenu national. La Cour d’appel fédérale a accueilli l’appel, concluant que les droits linguistiques des témoins avaient été violés pendant l’audience devant la Cour canadienne de l’impôt.</w:t>
      </w:r>
    </w:p>
    <w:p w:rsidR="001F1A8B" w:rsidRPr="001F1A8B" w:rsidRDefault="00227F09" w:rsidP="001F1A8B">
      <w:pPr>
        <w:widowControl w:val="0"/>
        <w:spacing w:afterLines="20" w:after="48" w:line="259" w:lineRule="auto"/>
        <w:ind w:left="720" w:hanging="720"/>
        <w:jc w:val="both"/>
        <w:rPr>
          <w:rFonts w:eastAsia="Calibri" w:cs="Times New Roman"/>
          <w:b/>
          <w:sz w:val="20"/>
          <w:szCs w:val="20"/>
        </w:rPr>
      </w:pPr>
      <w:r>
        <w:rPr>
          <w:rFonts w:ascii="Calibri" w:eastAsia="Calibri" w:hAnsi="Calibri" w:cs="Times New Roman"/>
          <w:sz w:val="20"/>
          <w:szCs w:val="20"/>
          <w:lang w:val="fr-CA"/>
        </w:rPr>
        <w:pict>
          <v:rect id="_x0000_i1054"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t>37676</w:t>
      </w:r>
      <w:r w:rsidRPr="001F1A8B">
        <w:rPr>
          <w:rFonts w:eastAsia="Calibri" w:cs="Times New Roman"/>
          <w:sz w:val="20"/>
          <w:szCs w:val="20"/>
        </w:rPr>
        <w:fldChar w:fldCharType="begin"/>
      </w:r>
      <w:r w:rsidRPr="001F1A8B">
        <w:rPr>
          <w:rFonts w:eastAsia="Calibri" w:cs="Times New Roman"/>
          <w:sz w:val="20"/>
          <w:szCs w:val="20"/>
          <w:lang w:val="en-US"/>
        </w:rPr>
        <w:instrText xml:space="preserve"> SEQ CHAPTER \h \r 1</w:instrText>
      </w:r>
      <w:r w:rsidRPr="001F1A8B">
        <w:rPr>
          <w:rFonts w:eastAsia="Calibri" w:cs="Times New Roman"/>
          <w:sz w:val="20"/>
          <w:szCs w:val="20"/>
          <w:lang w:val="en-US"/>
        </w:rPr>
        <w:fldChar w:fldCharType="end"/>
      </w:r>
      <w:r w:rsidRPr="001F1A8B">
        <w:rPr>
          <w:rFonts w:eastAsia="Calibri" w:cs="Times New Roman"/>
          <w:sz w:val="20"/>
          <w:szCs w:val="20"/>
        </w:rPr>
        <w:tab/>
      </w:r>
      <w:r w:rsidRPr="001F1A8B">
        <w:rPr>
          <w:rFonts w:eastAsia="Calibri" w:cs="Times New Roman"/>
          <w:b/>
          <w:i/>
          <w:sz w:val="20"/>
          <w:szCs w:val="20"/>
        </w:rPr>
        <w:t xml:space="preserve">Thomas Reeves v. Her Majesty </w:t>
      </w:r>
      <w:proofErr w:type="gramStart"/>
      <w:r w:rsidRPr="001F1A8B">
        <w:rPr>
          <w:rFonts w:eastAsia="Calibri" w:cs="Times New Roman"/>
          <w:b/>
          <w:i/>
          <w:sz w:val="20"/>
          <w:szCs w:val="20"/>
        </w:rPr>
        <w:t>The</w:t>
      </w:r>
      <w:proofErr w:type="gramEnd"/>
      <w:r w:rsidRPr="001F1A8B">
        <w:rPr>
          <w:rFonts w:eastAsia="Calibri" w:cs="Times New Roman"/>
          <w:b/>
          <w:i/>
          <w:sz w:val="20"/>
          <w:szCs w:val="20"/>
        </w:rPr>
        <w:t xml:space="preserv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(Ont.) (Criminal) (By Leave)</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i/>
          <w:sz w:val="20"/>
          <w:szCs w:val="20"/>
          <w:lang w:val="en-US"/>
        </w:rPr>
        <w:t>Charter of Rights</w:t>
      </w:r>
      <w:r w:rsidRPr="001F1A8B">
        <w:rPr>
          <w:rFonts w:eastAsia="Calibri" w:cs="Times New Roman"/>
          <w:sz w:val="20"/>
          <w:szCs w:val="20"/>
          <w:lang w:val="en-US"/>
        </w:rPr>
        <w:t xml:space="preserve"> - Criminal law - Search and seizure - Consent - Whether the Court of Appeal erred in holding that a third party, the appellant’s common-law spouse, could consent to a police search of the home and seizure of the computer absent any other legal authority, rendering the state conduct reasonable under s. 8 of the </w:t>
      </w:r>
      <w:r w:rsidRPr="001F1A8B">
        <w:rPr>
          <w:rFonts w:eastAsia="Calibri" w:cs="Times New Roman"/>
          <w:i/>
          <w:sz w:val="20"/>
          <w:szCs w:val="20"/>
          <w:lang w:val="en-US"/>
        </w:rPr>
        <w:t>Charter</w:t>
      </w:r>
      <w:r w:rsidRPr="001F1A8B">
        <w:rPr>
          <w:rFonts w:eastAsia="Calibri" w:cs="Times New Roman"/>
          <w:sz w:val="20"/>
          <w:szCs w:val="20"/>
          <w:lang w:val="en-US"/>
        </w:rPr>
        <w:t xml:space="preserve"> - If yes, whether the evidence obtained should be excluded pursuant to s. 24(2) of the </w:t>
      </w:r>
      <w:r w:rsidRPr="001F1A8B">
        <w:rPr>
          <w:rFonts w:eastAsia="Calibri" w:cs="Times New Roman"/>
          <w:i/>
          <w:sz w:val="20"/>
          <w:szCs w:val="20"/>
          <w:lang w:val="en-US"/>
        </w:rPr>
        <w:t>Charter</w:t>
      </w:r>
      <w:r w:rsidRPr="001F1A8B">
        <w:rPr>
          <w:rFonts w:eastAsia="Calibri" w:cs="Times New Roman"/>
          <w:sz w:val="20"/>
          <w:szCs w:val="20"/>
          <w:lang w:val="en-US"/>
        </w:rPr>
        <w:t xml:space="preserve"> - If no, whether the Court of Appeal erred in holding that the violations of s. 8 of the </w:t>
      </w:r>
      <w:r w:rsidRPr="001F1A8B">
        <w:rPr>
          <w:rFonts w:eastAsia="Calibri" w:cs="Times New Roman"/>
          <w:i/>
          <w:sz w:val="20"/>
          <w:szCs w:val="20"/>
          <w:lang w:val="en-US"/>
        </w:rPr>
        <w:t>Charter</w:t>
      </w:r>
      <w:r w:rsidRPr="001F1A8B">
        <w:rPr>
          <w:rFonts w:eastAsia="Calibri" w:cs="Times New Roman"/>
          <w:sz w:val="20"/>
          <w:szCs w:val="20"/>
          <w:lang w:val="en-US"/>
        </w:rPr>
        <w:t xml:space="preserve">, including the illegal search of the computer pursuant to an invalid search warrant, did not require the exclusion of the evidence pursuant to s. 24(2) of the </w:t>
      </w:r>
      <w:r w:rsidRPr="001F1A8B">
        <w:rPr>
          <w:rFonts w:eastAsia="Calibri" w:cs="Times New Roman"/>
          <w:i/>
          <w:sz w:val="20"/>
          <w:szCs w:val="20"/>
          <w:lang w:val="en-US"/>
        </w:rPr>
        <w:t>Charter - Canadian Charter of Rights and Freedoms</w:t>
      </w:r>
      <w:r w:rsidRPr="001F1A8B">
        <w:rPr>
          <w:rFonts w:eastAsia="Calibri" w:cs="Times New Roman"/>
          <w:sz w:val="20"/>
          <w:szCs w:val="20"/>
          <w:lang w:val="en-US"/>
        </w:rPr>
        <w:t>, s. 8.</w:t>
      </w:r>
    </w:p>
    <w:p w:rsidR="001F1A8B" w:rsidRPr="001F1A8B" w:rsidRDefault="001F1A8B" w:rsidP="001F1A8B">
      <w:pPr>
        <w:widowControl w:val="0"/>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sz w:val="20"/>
          <w:szCs w:val="20"/>
          <w:lang w:val="en-US"/>
        </w:rPr>
        <w:t>Mr. Reeves had shared a home with N, his common-law spouse of 20 years and their two daughters. At some point in time there was an altercation involving Mr. Reeves, N and N’s sister and Mr. Reeves was charged with domestic assault. Mr. Reeves was subject to a “no contact” order which allowed Mr. Reeves to visit the home only if N provided her prior, written and revocable consent. N had consented to visits by Mr. Reeves for some time, but later, N contacted Mr. Reeves’ probation officer in order to withdraw her consent. N also reported that she and her sister had accessed the family’s computer and found multiple videos that she believed to contain child pornography. N allowed the police to enter the residence and signed a consent form authorizing the seizure of the computer. The police retained the computer without a warrant for more than four months but they did not search the computer during the intervening time. The police later sought and obtained a warrant to re-seize the computer and search it. The police discovered 140 images of child pornography and 22 videos of child pornography.</w:t>
      </w:r>
    </w:p>
    <w:p w:rsidR="001F1A8B" w:rsidRPr="001F1A8B" w:rsidRDefault="001F1A8B" w:rsidP="001F1A8B">
      <w:pPr>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sz w:val="20"/>
          <w:szCs w:val="20"/>
          <w:lang w:val="en-US"/>
        </w:rPr>
        <w:t xml:space="preserve">Mr. Reeves was charged with possessing child pornography and accessing child pornography. He, however succeeded on a pre-trial s. 8 </w:t>
      </w:r>
      <w:r w:rsidRPr="001F1A8B">
        <w:rPr>
          <w:rFonts w:eastAsia="Calibri" w:cs="Times New Roman"/>
          <w:i/>
          <w:sz w:val="20"/>
          <w:szCs w:val="20"/>
          <w:lang w:val="en-US"/>
        </w:rPr>
        <w:t>Charter</w:t>
      </w:r>
      <w:r w:rsidRPr="001F1A8B">
        <w:rPr>
          <w:rFonts w:eastAsia="Calibri" w:cs="Times New Roman"/>
          <w:sz w:val="20"/>
          <w:szCs w:val="20"/>
          <w:lang w:val="en-US"/>
        </w:rPr>
        <w:t xml:space="preserve"> application. His application to exclude the evidence obtained as a result of the search and seizure of his home computer as well as any evidence derived from a forensic examination of the computer was granted. Mr. Reeves was acquitted. On appeal, the exclusionary order was set aside and a new trial ordered.</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lang w:val="fr-CA"/>
        </w:rPr>
        <w:t>37676</w:t>
      </w:r>
      <w:r w:rsidRPr="001F1A8B">
        <w:rPr>
          <w:rFonts w:eastAsia="Calibri" w:cs="Times New Roman"/>
          <w:sz w:val="20"/>
          <w:szCs w:val="20"/>
        </w:rPr>
        <w:fldChar w:fldCharType="begin"/>
      </w:r>
      <w:r w:rsidRPr="001F1A8B">
        <w:rPr>
          <w:rFonts w:eastAsia="Calibri" w:cs="Times New Roman"/>
          <w:sz w:val="20"/>
          <w:szCs w:val="20"/>
          <w:lang w:val="fr-CA"/>
        </w:rPr>
        <w:instrText xml:space="preserve"> SEQ CHAPTER \h \r 1</w:instrText>
      </w:r>
      <w:r w:rsidRPr="001F1A8B">
        <w:rPr>
          <w:rFonts w:eastAsia="Calibri" w:cs="Times New Roman"/>
          <w:sz w:val="20"/>
          <w:szCs w:val="20"/>
          <w:lang w:val="en-US"/>
        </w:rPr>
        <w:fldChar w:fldCharType="end"/>
      </w:r>
      <w:r w:rsidRPr="001F1A8B">
        <w:rPr>
          <w:rFonts w:eastAsia="Calibri" w:cs="Times New Roman"/>
          <w:sz w:val="20"/>
          <w:szCs w:val="20"/>
          <w:lang w:val="fr-CA"/>
        </w:rPr>
        <w:tab/>
      </w:r>
      <w:r w:rsidRPr="001F1A8B">
        <w:rPr>
          <w:rFonts w:eastAsia="Calibri" w:cs="Times New Roman"/>
          <w:b/>
          <w:i/>
          <w:sz w:val="20"/>
          <w:szCs w:val="20"/>
          <w:lang w:val="fr-CA"/>
        </w:rPr>
        <w:t>Thomas Reeves c. Sa Majesté la Reine</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(Ont.) (Criminelle) (Sur autorisation)</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i/>
          <w:sz w:val="20"/>
          <w:szCs w:val="20"/>
          <w:lang w:val="fr-CA"/>
        </w:rPr>
        <w:t>Charte des droits</w:t>
      </w:r>
      <w:r w:rsidRPr="001F1A8B">
        <w:rPr>
          <w:rFonts w:eastAsia="Calibri" w:cs="Times New Roman"/>
          <w:sz w:val="20"/>
          <w:szCs w:val="20"/>
          <w:lang w:val="fr-CA"/>
        </w:rPr>
        <w:t xml:space="preserve"> - Droit criminel - Fouilles, perquisitions et saisies - Consentement - La Cour d’appel a-t-elle eu tort de statuer qu’un tiers, la conjointe de fait de l’appelant, pouvait consentir à une perquisition de la demeure et à la saisie de l’ordinateur par les policiers en l’absence de toute autre autorisation légale, rendant la conduite de l’État raisonnable au regard de l’art. 8 de la </w:t>
      </w:r>
      <w:r w:rsidRPr="001F1A8B">
        <w:rPr>
          <w:rFonts w:eastAsia="Calibri" w:cs="Times New Roman"/>
          <w:i/>
          <w:sz w:val="20"/>
          <w:szCs w:val="20"/>
          <w:lang w:val="fr-CA"/>
        </w:rPr>
        <w:t>Charte</w:t>
      </w:r>
      <w:r w:rsidRPr="001F1A8B">
        <w:rPr>
          <w:rFonts w:eastAsia="Calibri" w:cs="Times New Roman"/>
          <w:sz w:val="20"/>
          <w:szCs w:val="20"/>
          <w:lang w:val="fr-CA"/>
        </w:rPr>
        <w:t xml:space="preserve">? - Dans l’affirmative, les éléments de preuve obtenus doivent-ils être exclus en application du par. 24(2) de la </w:t>
      </w:r>
      <w:r w:rsidRPr="001F1A8B">
        <w:rPr>
          <w:rFonts w:eastAsia="Calibri" w:cs="Times New Roman"/>
          <w:i/>
          <w:sz w:val="20"/>
          <w:szCs w:val="20"/>
          <w:lang w:val="fr-CA"/>
        </w:rPr>
        <w:t>Charte</w:t>
      </w:r>
      <w:r w:rsidRPr="001F1A8B">
        <w:rPr>
          <w:rFonts w:eastAsia="Calibri" w:cs="Times New Roman"/>
          <w:sz w:val="20"/>
          <w:szCs w:val="20"/>
          <w:lang w:val="fr-CA"/>
        </w:rPr>
        <w:t xml:space="preserve">? - Dans la négative, la Cour d’appel a-t-elle eu tort de statuer que les violations de l’art. 8 de la </w:t>
      </w:r>
      <w:r w:rsidRPr="001F1A8B">
        <w:rPr>
          <w:rFonts w:eastAsia="Calibri" w:cs="Times New Roman"/>
          <w:i/>
          <w:sz w:val="20"/>
          <w:szCs w:val="20"/>
          <w:lang w:val="fr-CA"/>
        </w:rPr>
        <w:t>Charte</w:t>
      </w:r>
      <w:r w:rsidRPr="001F1A8B">
        <w:rPr>
          <w:rFonts w:eastAsia="Calibri" w:cs="Times New Roman"/>
          <w:sz w:val="20"/>
          <w:szCs w:val="20"/>
          <w:lang w:val="fr-CA"/>
        </w:rPr>
        <w:t xml:space="preserve">, y compris la fouille illégale de l’ordinateur en exécution d’un mandat de perquisition invalide, n’obligeaient pas l’exclusion des éléments de preuve en application du par. 24(2) de la </w:t>
      </w:r>
      <w:r w:rsidRPr="001F1A8B">
        <w:rPr>
          <w:rFonts w:eastAsia="Calibri" w:cs="Times New Roman"/>
          <w:i/>
          <w:sz w:val="20"/>
          <w:szCs w:val="20"/>
          <w:lang w:val="fr-CA"/>
        </w:rPr>
        <w:t>Charte</w:t>
      </w:r>
      <w:r w:rsidRPr="001F1A8B">
        <w:rPr>
          <w:rFonts w:eastAsia="Calibri" w:cs="Times New Roman"/>
          <w:sz w:val="20"/>
          <w:szCs w:val="20"/>
          <w:lang w:val="fr-CA"/>
        </w:rPr>
        <w:t xml:space="preserve">? - </w:t>
      </w:r>
      <w:r w:rsidRPr="001F1A8B">
        <w:rPr>
          <w:rFonts w:eastAsia="Calibri" w:cs="Times New Roman"/>
          <w:i/>
          <w:sz w:val="20"/>
          <w:szCs w:val="20"/>
          <w:lang w:val="fr-CA"/>
        </w:rPr>
        <w:t>Charte canadienne des droits et libertés</w:t>
      </w:r>
      <w:r w:rsidRPr="001F1A8B">
        <w:rPr>
          <w:rFonts w:eastAsia="Calibri" w:cs="Times New Roman"/>
          <w:sz w:val="20"/>
          <w:szCs w:val="20"/>
          <w:lang w:val="fr-CA"/>
        </w:rPr>
        <w:t>, art. 8.</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Monsieur Reeves partageait une demeure avec N, sa conjointe de fait depuis vingt ans, et leurs deux filles. Il y a eu une altercation entre M. Reeves, N et la sœur de N et M. Reeves a été accusé de voies de fait contre un membre de la </w:t>
      </w:r>
      <w:r w:rsidRPr="001F1A8B">
        <w:rPr>
          <w:rFonts w:eastAsia="Calibri" w:cs="Times New Roman"/>
          <w:sz w:val="20"/>
          <w:szCs w:val="20"/>
          <w:lang w:val="fr-CA"/>
        </w:rPr>
        <w:lastRenderedPageBreak/>
        <w:t>famille. Monsieur Reeves a été l’objet d’une ordonnance d’interdiction de tout contact en vertu de laquelle M. Reeves ne pouvait visiter la demeure que si N avait préalablement donné par écrit son consentement révocable. N avait consenti à des visites de M. Reeves pendant un certain temps, mais, plus tard, N a communiqué avec l’agent de probation de M. Reeves pour retirer son consentement. N a également déclaré qu’elle et sa sœur avaient accédé à l’ordinateur de la famille et qu’elles avaient trouvé plusieurs vidéos qui, selon N, renfermaient de la pornographie juvénile. N a permis à des policiers d’entrer dans la résidence et elle a signé une formule de consentement autorisant la saisie de l’ordinateur. Les policiers ont gardé l’ordinateur sans mandat pendant plus de quatre mois, mais ils ne l’ont pas fouillé dans l’intervalle. Plus tard, les policiers ont demandé et obtenu un mandat pour saisir de nouveau l’ordinateur et le fouiller. Les policiers ont découvert plus de 140 images de pornographie juvénile et 22 vidéos de pornographie juvénile.</w:t>
      </w: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Monsieur Reeves a été accusé de possession de pornographie juvénile et d’accès à de la pornographie juvénile. Toutefois, il a eu gain de cause dans sa demande préliminaire fondée sur l’art. 8 de la </w:t>
      </w:r>
      <w:r w:rsidRPr="001F1A8B">
        <w:rPr>
          <w:rFonts w:eastAsia="Calibri" w:cs="Times New Roman"/>
          <w:i/>
          <w:sz w:val="20"/>
          <w:szCs w:val="20"/>
          <w:lang w:val="fr-CA"/>
        </w:rPr>
        <w:t>Charte</w:t>
      </w:r>
      <w:r w:rsidRPr="001F1A8B">
        <w:rPr>
          <w:rFonts w:eastAsia="Calibri" w:cs="Times New Roman"/>
          <w:sz w:val="20"/>
          <w:szCs w:val="20"/>
          <w:lang w:val="fr-CA"/>
        </w:rPr>
        <w:t>. Sa demande d’exclure la preuve obtenue à la suite de la fouille et de la saisie de son ordinateur personnel ainsi que toute preuve dérivée d’une expertise judiciaire de l’ordinateur a été accueillie. Monsieur Reeves a été acquitté. En appel, la cour a annulé l’ordonnance d’exclusion et ordonné la tenue d’un nouveau procès.</w:t>
      </w:r>
    </w:p>
    <w:p w:rsidR="001F1A8B" w:rsidRPr="001F1A8B" w:rsidRDefault="00227F09" w:rsidP="001F1A8B">
      <w:pPr>
        <w:spacing w:afterLines="20" w:after="48" w:line="259" w:lineRule="auto"/>
        <w:jc w:val="both"/>
        <w:rPr>
          <w:rFonts w:eastAsia="Calibri" w:cs="Times New Roman"/>
          <w:sz w:val="20"/>
          <w:szCs w:val="20"/>
          <w:lang w:val="fr-CA"/>
        </w:rPr>
      </w:pPr>
      <w:r>
        <w:rPr>
          <w:rFonts w:ascii="Calibri" w:eastAsia="Calibri" w:hAnsi="Calibri" w:cs="Times New Roman"/>
          <w:sz w:val="20"/>
          <w:szCs w:val="20"/>
          <w:lang w:val="fr-CA"/>
        </w:rPr>
        <w:pict>
          <v:rect id="_x0000_i1055"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37905</w:t>
      </w:r>
      <w:r w:rsidRPr="001F1A8B">
        <w:rPr>
          <w:rFonts w:eastAsia="Calibri" w:cs="Times New Roman"/>
          <w:sz w:val="20"/>
          <w:szCs w:val="20"/>
        </w:rPr>
        <w:tab/>
      </w:r>
      <w:r w:rsidRPr="001F1A8B">
        <w:rPr>
          <w:rFonts w:eastAsia="Calibri" w:cs="Times New Roman"/>
          <w:b/>
          <w:i/>
          <w:sz w:val="20"/>
          <w:szCs w:val="20"/>
        </w:rPr>
        <w:t>Jason Colling v. Her Majesty the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(Alta.) (Criminal) (As of Right)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lang w:val="en-US"/>
        </w:rPr>
        <w:t xml:space="preserve">Criminal law - Trial - </w:t>
      </w:r>
      <w:proofErr w:type="spellStart"/>
      <w:r w:rsidRPr="001F1A8B">
        <w:rPr>
          <w:rFonts w:eastAsia="Calibri" w:cs="Times New Roman"/>
          <w:sz w:val="20"/>
          <w:szCs w:val="20"/>
          <w:lang w:val="en-US"/>
        </w:rPr>
        <w:t>Defences</w:t>
      </w:r>
      <w:proofErr w:type="spellEnd"/>
      <w:r w:rsidRPr="001F1A8B">
        <w:rPr>
          <w:rFonts w:eastAsia="Calibri" w:cs="Times New Roman"/>
          <w:sz w:val="20"/>
          <w:szCs w:val="20"/>
          <w:lang w:val="en-US"/>
        </w:rPr>
        <w:t xml:space="preserve"> - Whether intervention of trial judge during cross-examination of complainant rendered trial unfair - Whether interventions of trial judge caused appearance of trial fairness to be so lacking that result is miscarriage of justice - Whether dismissing </w:t>
      </w:r>
      <w:proofErr w:type="spellStart"/>
      <w:r w:rsidRPr="001F1A8B">
        <w:rPr>
          <w:rFonts w:eastAsia="Calibri" w:cs="Times New Roman"/>
          <w:sz w:val="20"/>
          <w:szCs w:val="20"/>
          <w:lang w:val="en-US"/>
        </w:rPr>
        <w:t>defence</w:t>
      </w:r>
      <w:proofErr w:type="spellEnd"/>
      <w:r w:rsidRPr="001F1A8B">
        <w:rPr>
          <w:rFonts w:eastAsia="Calibri" w:cs="Times New Roman"/>
          <w:sz w:val="20"/>
          <w:szCs w:val="20"/>
          <w:lang w:val="en-US"/>
        </w:rPr>
        <w:t xml:space="preserve"> of honest but mistaken belief in consent without hearing argument on issue resulted in unfair trial.</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The appellant was charged with sexually assaulting the complainant in his apartment. The only issue at trial was whether the sexual intercourse between the appellant and the complainant was consensual. The trial judge convicted the appellant of sexual assault. The appellant appealed his conviction, arguing that the trial judge erred by improperly interfering with the cross-examination of the complainant on a central matter, by creating a reasonable apprehension of bias and an unfair trial due to his interventions, and by preventing closing argument on the defence of mistaken belief in consent. The majority in the Court of Appeal dismissed the appeal. Berger J.A., dissenting, would have allowed the appeal, quashed the conviction and ordered a new trial. He was of the view that the trial judge’s interventions and his failure to allow closing arguments on the defence of mistaken belief in consent resulted in an unfair trial.</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lang w:val="fr-CA"/>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fr-CA"/>
        </w:rPr>
        <w:fldChar w:fldCharType="end"/>
      </w:r>
      <w:r w:rsidRPr="001F1A8B">
        <w:rPr>
          <w:rFonts w:eastAsia="Calibri" w:cs="Times New Roman"/>
          <w:b/>
          <w:sz w:val="20"/>
          <w:szCs w:val="20"/>
          <w:lang w:val="fr-CA"/>
        </w:rPr>
        <w:t>37905</w:t>
      </w:r>
      <w:r w:rsidRPr="001F1A8B">
        <w:rPr>
          <w:rFonts w:eastAsia="Calibri" w:cs="Times New Roman"/>
          <w:sz w:val="20"/>
          <w:szCs w:val="20"/>
          <w:lang w:val="fr-CA"/>
        </w:rPr>
        <w:tab/>
      </w:r>
      <w:r w:rsidRPr="001F1A8B">
        <w:rPr>
          <w:rFonts w:eastAsia="Calibri" w:cs="Times New Roman"/>
          <w:b/>
          <w:i/>
          <w:sz w:val="20"/>
          <w:szCs w:val="20"/>
          <w:lang w:val="fr-CA"/>
        </w:rPr>
        <w:t xml:space="preserve">Jason </w:t>
      </w:r>
      <w:proofErr w:type="spellStart"/>
      <w:r w:rsidRPr="001F1A8B">
        <w:rPr>
          <w:rFonts w:eastAsia="Calibri" w:cs="Times New Roman"/>
          <w:b/>
          <w:i/>
          <w:sz w:val="20"/>
          <w:szCs w:val="20"/>
          <w:lang w:val="fr-CA"/>
        </w:rPr>
        <w:t>Colling</w:t>
      </w:r>
      <w:proofErr w:type="spellEnd"/>
      <w:r w:rsidRPr="001F1A8B">
        <w:rPr>
          <w:rFonts w:eastAsia="Calibri" w:cs="Times New Roman"/>
          <w:b/>
          <w:i/>
          <w:sz w:val="20"/>
          <w:szCs w:val="20"/>
          <w:lang w:val="fr-CA"/>
        </w:rPr>
        <w:t xml:space="preserve"> c. Sa Majesté la Reine</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w:t>
      </w:r>
      <w:proofErr w:type="spellStart"/>
      <w:r w:rsidRPr="001F1A8B">
        <w:rPr>
          <w:rFonts w:eastAsia="Calibri" w:cs="Times New Roman"/>
          <w:sz w:val="20"/>
          <w:szCs w:val="20"/>
          <w:lang w:val="fr-CA"/>
        </w:rPr>
        <w:t>Alb</w:t>
      </w:r>
      <w:proofErr w:type="spellEnd"/>
      <w:r w:rsidRPr="001F1A8B">
        <w:rPr>
          <w:rFonts w:eastAsia="Calibri" w:cs="Times New Roman"/>
          <w:sz w:val="20"/>
          <w:szCs w:val="20"/>
          <w:lang w:val="fr-CA"/>
        </w:rPr>
        <w:t>.) (Criminelle) (De plein droit)</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criminel - Procès - Moyens de défense - L’intervention du juge du procès pendant le contre-interrogatoire de la plaignante a-t-elle rendu le procès inéquitable? - Les interventions du juge du procès </w:t>
      </w:r>
      <w:proofErr w:type="spellStart"/>
      <w:r w:rsidRPr="001F1A8B">
        <w:rPr>
          <w:rFonts w:eastAsia="Calibri" w:cs="Times New Roman"/>
          <w:sz w:val="20"/>
          <w:szCs w:val="20"/>
          <w:lang w:val="fr-CA"/>
        </w:rPr>
        <w:t>ont-elles</w:t>
      </w:r>
      <w:proofErr w:type="spellEnd"/>
      <w:r w:rsidRPr="001F1A8B">
        <w:rPr>
          <w:rFonts w:eastAsia="Calibri" w:cs="Times New Roman"/>
          <w:sz w:val="20"/>
          <w:szCs w:val="20"/>
          <w:lang w:val="fr-CA"/>
        </w:rPr>
        <w:t xml:space="preserve"> donné l’impression que le procès était à ce point inique qu’il en a résulté une erreur judiciaire? - Le procès est-il devenu inéquitable en raison du rejet de la défense de croyance sincère mais erronée au consentement sans plaidoirie orale sur la question?</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L’appelant a été accusé d’avoir agressé sexuellement la plaignante dans l’appartement de l’appelant. La seule question en litige au procès était celle de savoir si la relation sexuelle entre l’appelant et la plaignante était consensuelle. Le juge du procès a déclaré l’appelant coupable d’agression sexuelle. L’appelant a interjeté appel de la déclaration de </w:t>
      </w:r>
      <w:r w:rsidRPr="001F1A8B">
        <w:rPr>
          <w:rFonts w:eastAsia="Calibri" w:cs="Times New Roman"/>
          <w:sz w:val="20"/>
          <w:szCs w:val="20"/>
          <w:lang w:val="fr-CA"/>
        </w:rPr>
        <w:lastRenderedPageBreak/>
        <w:t>culpabilité, plaidant que le juge du procès avait commis une erreur en intervenant irrégulièrement dans le contre-interrogatoire de la plaignante sur une question essentielle, en suscitant une crainte raisonnable de partialité et en rendant le procès inéquitable par ses interventions et en empêchant l’exposé final sur la défense de la croyance sincère au consentement. Les juges majoritaires de la Cour d’appel ont rejeté l’appel. Le juge Berger, dissident, était d’avis d’accueillir l’appel, d’annuler la déclaration de culpabilité et d’ordonner un nouveau procès. À son avis, le procès était devenu inéquitable en raison des interventions du juge du procès et de l’omission de celui-ci d’avoir permis un exposé final sur la défense de croyance sincère au consentement.</w:t>
      </w:r>
    </w:p>
    <w:p w:rsidR="001F1A8B" w:rsidRPr="001F1A8B" w:rsidRDefault="00227F09" w:rsidP="001F1A8B">
      <w:pPr>
        <w:widowControl w:val="0"/>
        <w:spacing w:afterLines="20" w:after="48" w:line="259" w:lineRule="auto"/>
        <w:ind w:left="720" w:hanging="720"/>
        <w:jc w:val="both"/>
        <w:rPr>
          <w:rFonts w:eastAsia="Calibri" w:cs="Times New Roman"/>
          <w:b/>
          <w:sz w:val="20"/>
          <w:szCs w:val="20"/>
        </w:rPr>
      </w:pPr>
      <w:r>
        <w:rPr>
          <w:rFonts w:ascii="Calibri" w:eastAsia="Calibri" w:hAnsi="Calibri" w:cs="Times New Roman"/>
          <w:sz w:val="20"/>
          <w:szCs w:val="20"/>
          <w:lang w:val="fr-CA"/>
        </w:rPr>
        <w:pict>
          <v:rect id="_x0000_i1056"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37917</w:t>
      </w:r>
      <w:r w:rsidRPr="001F1A8B">
        <w:rPr>
          <w:rFonts w:eastAsia="Calibri" w:cs="Times New Roman"/>
          <w:sz w:val="20"/>
          <w:szCs w:val="20"/>
        </w:rPr>
        <w:tab/>
      </w:r>
      <w:r w:rsidRPr="001F1A8B">
        <w:rPr>
          <w:rFonts w:eastAsia="Calibri" w:cs="Times New Roman"/>
          <w:b/>
          <w:i/>
          <w:sz w:val="20"/>
          <w:szCs w:val="20"/>
        </w:rPr>
        <w:t>Andrew Donald Gulliver v. Her Majesty the Queen</w:t>
      </w:r>
    </w:p>
    <w:p w:rsidR="001F1A8B" w:rsidRPr="001F1A8B" w:rsidRDefault="001F1A8B" w:rsidP="001F1A8B">
      <w:pPr>
        <w:widowControl w:val="0"/>
        <w:spacing w:afterLines="20" w:after="48" w:line="259" w:lineRule="auto"/>
        <w:ind w:left="1440" w:hanging="720"/>
        <w:jc w:val="both"/>
        <w:rPr>
          <w:rFonts w:eastAsia="Calibri" w:cs="Times New Roman"/>
          <w:sz w:val="20"/>
          <w:szCs w:val="20"/>
        </w:rPr>
      </w:pPr>
      <w:r w:rsidRPr="001F1A8B">
        <w:rPr>
          <w:rFonts w:eastAsia="Calibri" w:cs="Times New Roman"/>
          <w:sz w:val="20"/>
          <w:szCs w:val="20"/>
        </w:rPr>
        <w:t>(Alta.) (Criminal) (As of Right)</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lang w:val="en-US"/>
        </w:rPr>
        <w:t>Criminal law - Trial - Judgments - Reasons for judgment - Sufficiency of reasons - Evidence - Disclosure - Whether the trial judge failed to provide sufficient reasons to explain his decision, particularly with regard to the credibility of the complainant and the accused - Whether the trial judge erred by drawing an adverse inference in relation to the purported late disclosure of alibi evidence.</w:t>
      </w:r>
    </w:p>
    <w:p w:rsidR="001F1A8B" w:rsidRPr="001F1A8B" w:rsidRDefault="001F1A8B" w:rsidP="001F1A8B">
      <w:pPr>
        <w:widowControl w:val="0"/>
        <w:spacing w:afterLines="20" w:after="48" w:line="259" w:lineRule="auto"/>
        <w:jc w:val="both"/>
        <w:rPr>
          <w:rFonts w:eastAsia="Calibri" w:cs="Times New Roman"/>
          <w:sz w:val="20"/>
          <w:szCs w:val="20"/>
        </w:rPr>
      </w:pPr>
    </w:p>
    <w:p w:rsidR="001F1A8B" w:rsidRPr="001F1A8B" w:rsidRDefault="001F1A8B" w:rsidP="001F1A8B">
      <w:pPr>
        <w:widowControl w:val="0"/>
        <w:spacing w:afterLines="20" w:after="48" w:line="259" w:lineRule="auto"/>
        <w:jc w:val="both"/>
        <w:rPr>
          <w:rFonts w:eastAsia="Calibri" w:cs="Times New Roman"/>
          <w:sz w:val="20"/>
          <w:szCs w:val="20"/>
        </w:rPr>
      </w:pPr>
      <w:r w:rsidRPr="001F1A8B">
        <w:rPr>
          <w:rFonts w:eastAsia="Calibri" w:cs="Times New Roman"/>
          <w:sz w:val="20"/>
          <w:szCs w:val="20"/>
        </w:rPr>
        <w:t xml:space="preserve">The appellant was convicted of seven criminal charges following a chain of events commencing with the assault and sexual assault of the complainant and ending in a six-hour police standoff. The appellant appealed his conviction, arguing that the trial judge failed to apply the final stage of the analysis set out in </w:t>
      </w:r>
      <w:r w:rsidRPr="001F1A8B">
        <w:rPr>
          <w:rFonts w:eastAsia="Calibri" w:cs="Times New Roman"/>
          <w:i/>
          <w:sz w:val="20"/>
          <w:szCs w:val="20"/>
        </w:rPr>
        <w:t>R. v. W</w:t>
      </w:r>
      <w:proofErr w:type="gramStart"/>
      <w:r w:rsidRPr="001F1A8B">
        <w:rPr>
          <w:rFonts w:eastAsia="Calibri" w:cs="Times New Roman"/>
          <w:i/>
          <w:sz w:val="20"/>
          <w:szCs w:val="20"/>
        </w:rPr>
        <w:t>.(</w:t>
      </w:r>
      <w:proofErr w:type="gramEnd"/>
      <w:r w:rsidRPr="001F1A8B">
        <w:rPr>
          <w:rFonts w:eastAsia="Calibri" w:cs="Times New Roman"/>
          <w:i/>
          <w:sz w:val="20"/>
          <w:szCs w:val="20"/>
        </w:rPr>
        <w:t>D.)</w:t>
      </w:r>
      <w:r w:rsidRPr="001F1A8B">
        <w:rPr>
          <w:rFonts w:eastAsia="Calibri" w:cs="Times New Roman"/>
          <w:sz w:val="20"/>
          <w:szCs w:val="20"/>
        </w:rPr>
        <w:t>, [1991] 1 S.C.R. 742, that the trial judge inappropriately drew an adverse inference based on the late disclosure of an alibi, and that the trial judge failed to provide sufficient reasons to explain his decision, particularly on the central issue of credibility. The majority in the Court of Appeal dismissed the appeal. Berger J.A., dissenting, would have allowed the appeal as to five of the seven counts, quashed the convictions and ordered a new trial. He was of the view that the foundations of the trial judge’s reasons were inadequately or erroneously canvassed and, in some instances, unascertainable.</w:t>
      </w:r>
    </w:p>
    <w:p w:rsidR="001F1A8B" w:rsidRPr="001F1A8B" w:rsidRDefault="001F1A8B" w:rsidP="001F1A8B">
      <w:pPr>
        <w:widowControl w:val="0"/>
        <w:spacing w:afterLines="20" w:after="48" w:line="259" w:lineRule="auto"/>
        <w:ind w:left="720" w:hanging="720"/>
        <w:jc w:val="both"/>
        <w:rPr>
          <w:rFonts w:eastAsia="Calibri" w:cs="Times New Roman"/>
          <w:b/>
          <w:sz w:val="20"/>
          <w:szCs w:val="20"/>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37917</w:t>
      </w:r>
      <w:r w:rsidRPr="001F1A8B">
        <w:rPr>
          <w:rFonts w:eastAsia="Calibri" w:cs="Times New Roman"/>
          <w:sz w:val="20"/>
          <w:szCs w:val="20"/>
          <w:lang w:val="fr-CA"/>
        </w:rPr>
        <w:tab/>
      </w:r>
      <w:r w:rsidRPr="001F1A8B">
        <w:rPr>
          <w:rFonts w:eastAsia="Calibri" w:cs="Times New Roman"/>
          <w:b/>
          <w:i/>
          <w:sz w:val="20"/>
          <w:szCs w:val="20"/>
          <w:lang w:val="fr-CA"/>
        </w:rPr>
        <w:t>Andrew Donald Gulliver c. Sa Majesté la Reine</w:t>
      </w:r>
    </w:p>
    <w:p w:rsidR="001F1A8B" w:rsidRPr="001F1A8B" w:rsidRDefault="001F1A8B" w:rsidP="001F1A8B">
      <w:pPr>
        <w:widowControl w:val="0"/>
        <w:spacing w:afterLines="20" w:after="48" w:line="259" w:lineRule="auto"/>
        <w:ind w:left="1440" w:hanging="720"/>
        <w:jc w:val="both"/>
        <w:rPr>
          <w:rFonts w:eastAsia="Calibri" w:cs="Times New Roman"/>
          <w:sz w:val="20"/>
          <w:szCs w:val="20"/>
          <w:lang w:val="fr-CA"/>
        </w:rPr>
      </w:pPr>
      <w:r w:rsidRPr="001F1A8B">
        <w:rPr>
          <w:rFonts w:eastAsia="Calibri" w:cs="Times New Roman"/>
          <w:sz w:val="20"/>
          <w:szCs w:val="20"/>
          <w:lang w:val="fr-CA"/>
        </w:rPr>
        <w:t>(</w:t>
      </w:r>
      <w:proofErr w:type="spellStart"/>
      <w:r w:rsidRPr="001F1A8B">
        <w:rPr>
          <w:rFonts w:eastAsia="Calibri" w:cs="Times New Roman"/>
          <w:sz w:val="20"/>
          <w:szCs w:val="20"/>
          <w:lang w:val="fr-CA"/>
        </w:rPr>
        <w:t>Alb</w:t>
      </w:r>
      <w:proofErr w:type="spellEnd"/>
      <w:r w:rsidRPr="001F1A8B">
        <w:rPr>
          <w:rFonts w:eastAsia="Calibri" w:cs="Times New Roman"/>
          <w:sz w:val="20"/>
          <w:szCs w:val="20"/>
          <w:lang w:val="fr-CA"/>
        </w:rPr>
        <w:t>.) (Criminelle) (De plein droit)</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criminel - Procès - Jugements - Motifs de jugement - Caractère suffisant des motifs - Preuve - Communication de la preuve - Le juge du procès </w:t>
      </w:r>
      <w:proofErr w:type="spellStart"/>
      <w:r w:rsidRPr="001F1A8B">
        <w:rPr>
          <w:rFonts w:eastAsia="Calibri" w:cs="Times New Roman"/>
          <w:sz w:val="20"/>
          <w:szCs w:val="20"/>
          <w:lang w:val="fr-CA"/>
        </w:rPr>
        <w:t>a-t-il</w:t>
      </w:r>
      <w:proofErr w:type="spellEnd"/>
      <w:r w:rsidRPr="001F1A8B">
        <w:rPr>
          <w:rFonts w:eastAsia="Calibri" w:cs="Times New Roman"/>
          <w:sz w:val="20"/>
          <w:szCs w:val="20"/>
          <w:lang w:val="fr-CA"/>
        </w:rPr>
        <w:t xml:space="preserve"> insuffisamment motivé sa décision, surtout en ce qui concerne la crédibilité de la plaignante et celle de l’accusé? -</w:t>
      </w:r>
      <w:r w:rsidR="00E0716D">
        <w:rPr>
          <w:rFonts w:eastAsia="Calibri" w:cs="Times New Roman"/>
          <w:sz w:val="20"/>
          <w:szCs w:val="20"/>
          <w:lang w:val="fr-CA"/>
        </w:rPr>
        <w:t xml:space="preserve"> </w:t>
      </w:r>
      <w:r w:rsidRPr="001F1A8B">
        <w:rPr>
          <w:rFonts w:eastAsia="Calibri" w:cs="Times New Roman"/>
          <w:sz w:val="20"/>
          <w:szCs w:val="20"/>
          <w:lang w:val="fr-CA"/>
        </w:rPr>
        <w:t xml:space="preserve">Le juge du procès </w:t>
      </w:r>
      <w:proofErr w:type="spellStart"/>
      <w:r w:rsidRPr="001F1A8B">
        <w:rPr>
          <w:rFonts w:eastAsia="Calibri" w:cs="Times New Roman"/>
          <w:sz w:val="20"/>
          <w:szCs w:val="20"/>
          <w:lang w:val="fr-CA"/>
        </w:rPr>
        <w:t>a-t-il</w:t>
      </w:r>
      <w:proofErr w:type="spellEnd"/>
      <w:r w:rsidRPr="001F1A8B">
        <w:rPr>
          <w:rFonts w:eastAsia="Calibri" w:cs="Times New Roman"/>
          <w:sz w:val="20"/>
          <w:szCs w:val="20"/>
          <w:lang w:val="fr-CA"/>
        </w:rPr>
        <w:t xml:space="preserve"> fait erreur en tirant une conclusion défavorable au sujet de la prétendue communication tardive d’une preuve d’alibi? </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L’appelant a été reconnu coupable de sept accusations criminelles après une suite d’événements qui a commencé par l’agression, notamment sexuelle, de la plaignante et qui s’est terminée par un face à face avec la police. L’appelant a interjeté appel de sa déclaration de culpabilité, soutenant que le juge du procès n’a pas appliqué la dernière étape de l’analyse exposée dans </w:t>
      </w:r>
      <w:r w:rsidRPr="001F1A8B">
        <w:rPr>
          <w:rFonts w:eastAsia="Calibri" w:cs="Times New Roman"/>
          <w:i/>
          <w:sz w:val="20"/>
          <w:szCs w:val="20"/>
          <w:lang w:val="fr-CA"/>
        </w:rPr>
        <w:t>R. c. W.(D.)</w:t>
      </w:r>
      <w:r w:rsidRPr="001F1A8B">
        <w:rPr>
          <w:rFonts w:eastAsia="Calibri" w:cs="Times New Roman"/>
          <w:sz w:val="20"/>
          <w:szCs w:val="20"/>
          <w:lang w:val="fr-CA"/>
        </w:rPr>
        <w:t xml:space="preserve">, [1991] 1 R.C.S. 742, qu’il a tiré à tort une conclusion défavorable de la communication tardive d’un alibi, et qu’il a insuffisamment motivé sa décision, surtout en ce qui a trait à la question fondamentale de la crédibilité. Les juges majoritaires de la Cour d’appel ont rejeté l’appel. Le juge Berger, dissident, aurait accueilli l’appel relativement à cinq des sept chefs d’accusation, annulé les déclarations de culpabilité et ordonné la tenue d’un nouveau procès. À son avis, les assises des motifs du juge du procès ont été insuffisamment ou mal examinées et certaines d’entre elles étaient impossibles à établir. </w:t>
      </w:r>
    </w:p>
    <w:p w:rsidR="001F1A8B" w:rsidRPr="001F1A8B" w:rsidRDefault="001F1A8B" w:rsidP="001F1A8B">
      <w:pPr>
        <w:widowControl w:val="0"/>
        <w:spacing w:afterLines="20" w:after="48" w:line="259" w:lineRule="auto"/>
        <w:jc w:val="both"/>
        <w:rPr>
          <w:rFonts w:eastAsia="Calibri" w:cs="Times New Roman"/>
          <w:sz w:val="20"/>
          <w:szCs w:val="20"/>
          <w:lang w:val="fr-CA"/>
        </w:rPr>
      </w:pPr>
    </w:p>
    <w:p w:rsidR="001F1A8B" w:rsidRPr="001F1A8B" w:rsidRDefault="00227F09" w:rsidP="001F1A8B">
      <w:pPr>
        <w:widowControl w:val="0"/>
        <w:spacing w:afterLines="20" w:after="48" w:line="259" w:lineRule="auto"/>
        <w:jc w:val="both"/>
        <w:rPr>
          <w:rFonts w:eastAsia="Calibri" w:cs="Times New Roman"/>
          <w:sz w:val="20"/>
          <w:szCs w:val="20"/>
          <w:lang w:val="fr-CA"/>
        </w:rPr>
      </w:pPr>
      <w:r>
        <w:rPr>
          <w:rFonts w:ascii="Calibri" w:eastAsia="Calibri" w:hAnsi="Calibri" w:cs="Times New Roman"/>
          <w:sz w:val="20"/>
          <w:szCs w:val="20"/>
          <w:lang w:val="fr-CA"/>
        </w:rPr>
        <w:pict>
          <v:rect id="_x0000_i1057" style="width:2in;height:1pt" o:hrpct="0" o:hralign="center" o:hrstd="t" o:hrnoshade="t" o:hr="t" fillcolor="black" stroked="f"/>
        </w:pic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7100C" w:rsidRPr="0017100C" w:rsidRDefault="0017100C" w:rsidP="0017100C">
      <w:pPr>
        <w:rPr>
          <w:rFonts w:eastAsia="Calibri" w:cs="Times New Roman"/>
          <w:b/>
          <w:i/>
          <w:sz w:val="20"/>
          <w:szCs w:val="20"/>
          <w:lang w:val="en-US"/>
        </w:rPr>
      </w:pPr>
      <w:r w:rsidRPr="0017100C">
        <w:rPr>
          <w:rFonts w:eastAsia="Calibri" w:cs="Times New Roman"/>
          <w:b/>
          <w:sz w:val="20"/>
          <w:szCs w:val="20"/>
          <w:lang w:val="en-US"/>
        </w:rPr>
        <w:lastRenderedPageBreak/>
        <w:t>37770</w:t>
      </w:r>
      <w:r w:rsidRPr="0017100C">
        <w:rPr>
          <w:rFonts w:eastAsia="Calibri" w:cs="Times New Roman"/>
          <w:b/>
          <w:sz w:val="20"/>
          <w:szCs w:val="20"/>
          <w:lang w:val="en-US"/>
        </w:rPr>
        <w:tab/>
      </w:r>
      <w:r w:rsidRPr="0017100C">
        <w:rPr>
          <w:rFonts w:eastAsia="Calibri" w:cs="Times New Roman"/>
          <w:b/>
          <w:i/>
          <w:sz w:val="20"/>
          <w:szCs w:val="20"/>
          <w:lang w:val="en-US"/>
        </w:rPr>
        <w:t>Minister of Public Safety &amp; Emergency Preparedness and Attorney General of Canada</w:t>
      </w:r>
    </w:p>
    <w:p w:rsidR="0017100C" w:rsidRPr="0017100C" w:rsidRDefault="0017100C" w:rsidP="0017100C">
      <w:pPr>
        <w:ind w:firstLine="720"/>
        <w:rPr>
          <w:rFonts w:eastAsia="Calibri" w:cs="Times New Roman"/>
          <w:b/>
          <w:i/>
          <w:sz w:val="20"/>
          <w:szCs w:val="20"/>
          <w:lang w:val="en-US"/>
        </w:rPr>
      </w:pPr>
      <w:proofErr w:type="gramStart"/>
      <w:r w:rsidRPr="0017100C">
        <w:rPr>
          <w:rFonts w:eastAsia="Calibri" w:cs="Times New Roman"/>
          <w:b/>
          <w:i/>
          <w:sz w:val="20"/>
          <w:szCs w:val="20"/>
          <w:lang w:val="en-US"/>
        </w:rPr>
        <w:t>v</w:t>
      </w:r>
      <w:proofErr w:type="gramEnd"/>
      <w:r w:rsidRPr="0017100C">
        <w:rPr>
          <w:rFonts w:eastAsia="Calibri" w:cs="Times New Roman"/>
          <w:b/>
          <w:i/>
          <w:sz w:val="20"/>
          <w:szCs w:val="20"/>
          <w:lang w:val="en-US"/>
        </w:rPr>
        <w:t xml:space="preserve">. </w:t>
      </w:r>
      <w:proofErr w:type="spellStart"/>
      <w:r w:rsidRPr="0017100C">
        <w:rPr>
          <w:rFonts w:eastAsia="Calibri" w:cs="Times New Roman"/>
          <w:b/>
          <w:i/>
          <w:sz w:val="20"/>
          <w:szCs w:val="20"/>
          <w:lang w:val="en-US"/>
        </w:rPr>
        <w:t>Tusif</w:t>
      </w:r>
      <w:proofErr w:type="spellEnd"/>
      <w:r w:rsidRPr="0017100C">
        <w:rPr>
          <w:rFonts w:eastAsia="Calibri" w:cs="Times New Roman"/>
          <w:b/>
          <w:i/>
          <w:sz w:val="20"/>
          <w:szCs w:val="20"/>
          <w:lang w:val="en-US"/>
        </w:rPr>
        <w:t xml:space="preserve"> Ur </w:t>
      </w:r>
      <w:proofErr w:type="spellStart"/>
      <w:r w:rsidRPr="0017100C">
        <w:rPr>
          <w:rFonts w:eastAsia="Calibri" w:cs="Times New Roman"/>
          <w:b/>
          <w:i/>
          <w:sz w:val="20"/>
          <w:szCs w:val="20"/>
          <w:lang w:val="en-US"/>
        </w:rPr>
        <w:t>Rehman</w:t>
      </w:r>
      <w:proofErr w:type="spellEnd"/>
      <w:r w:rsidRPr="0017100C">
        <w:rPr>
          <w:rFonts w:eastAsia="Calibri" w:cs="Times New Roman"/>
          <w:b/>
          <w:i/>
          <w:sz w:val="20"/>
          <w:szCs w:val="20"/>
          <w:lang w:val="en-US"/>
        </w:rPr>
        <w:t xml:space="preserve"> </w:t>
      </w:r>
      <w:proofErr w:type="spellStart"/>
      <w:r w:rsidRPr="0017100C">
        <w:rPr>
          <w:rFonts w:eastAsia="Calibri" w:cs="Times New Roman"/>
          <w:b/>
          <w:i/>
          <w:sz w:val="20"/>
          <w:szCs w:val="20"/>
          <w:lang w:val="en-US"/>
        </w:rPr>
        <w:t>Chhina</w:t>
      </w:r>
      <w:proofErr w:type="spellEnd"/>
    </w:p>
    <w:p w:rsidR="0017100C" w:rsidRPr="0017100C" w:rsidRDefault="0017100C" w:rsidP="0017100C">
      <w:pPr>
        <w:ind w:firstLine="720"/>
        <w:rPr>
          <w:rFonts w:eastAsia="Calibri" w:cs="Times New Roman"/>
          <w:sz w:val="20"/>
          <w:szCs w:val="20"/>
          <w:lang w:val="en-US"/>
        </w:rPr>
      </w:pPr>
      <w:r w:rsidRPr="0017100C">
        <w:rPr>
          <w:rFonts w:eastAsia="Calibri" w:cs="Times New Roman"/>
          <w:sz w:val="20"/>
          <w:szCs w:val="20"/>
          <w:lang w:val="en-US"/>
        </w:rPr>
        <w:t>(Alta.) (Civil) (By Leave)</w:t>
      </w:r>
    </w:p>
    <w:p w:rsidR="0017100C" w:rsidRPr="0017100C" w:rsidRDefault="0017100C" w:rsidP="0017100C">
      <w:pPr>
        <w:rPr>
          <w:rFonts w:eastAsia="Calibri" w:cs="Times New Roman"/>
          <w:sz w:val="20"/>
          <w:szCs w:val="20"/>
          <w:lang w:val="en-US"/>
        </w:rPr>
      </w:pPr>
    </w:p>
    <w:p w:rsidR="0017100C" w:rsidRDefault="0051382F" w:rsidP="0017100C">
      <w:pPr>
        <w:rPr>
          <w:sz w:val="20"/>
          <w:szCs w:val="20"/>
        </w:rPr>
      </w:pPr>
      <w:r w:rsidRPr="0051382F">
        <w:rPr>
          <w:sz w:val="20"/>
          <w:szCs w:val="20"/>
          <w:lang w:val="en-US"/>
        </w:rPr>
        <w:t xml:space="preserve">Courts – Jurisdiction – </w:t>
      </w:r>
      <w:r w:rsidRPr="0051382F">
        <w:rPr>
          <w:i/>
          <w:sz w:val="20"/>
          <w:szCs w:val="20"/>
          <w:lang w:val="en-US"/>
        </w:rPr>
        <w:t>Habeas corpus</w:t>
      </w:r>
      <w:r w:rsidRPr="0051382F">
        <w:rPr>
          <w:sz w:val="20"/>
          <w:szCs w:val="20"/>
          <w:lang w:val="en-US"/>
        </w:rPr>
        <w:t xml:space="preserve"> – Immigration – Procedure – </w:t>
      </w:r>
      <w:r w:rsidRPr="0051382F">
        <w:rPr>
          <w:sz w:val="20"/>
          <w:szCs w:val="20"/>
        </w:rPr>
        <w:t xml:space="preserve">Whether there is a need to qualify the exception to </w:t>
      </w:r>
      <w:r w:rsidRPr="0051382F">
        <w:rPr>
          <w:i/>
          <w:sz w:val="20"/>
          <w:szCs w:val="20"/>
        </w:rPr>
        <w:t>habeas corpus</w:t>
      </w:r>
      <w:r w:rsidRPr="0051382F">
        <w:rPr>
          <w:sz w:val="20"/>
          <w:szCs w:val="20"/>
        </w:rPr>
        <w:t xml:space="preserve"> jurisdiction, that jurisdiction should be declined where Parliament has put in place a complete, comprehensive and expert statutory scheme which provides for a review at least as broad as by way of </w:t>
      </w:r>
      <w:r w:rsidRPr="0051382F">
        <w:rPr>
          <w:i/>
          <w:sz w:val="20"/>
          <w:szCs w:val="20"/>
        </w:rPr>
        <w:t>habeas corpus</w:t>
      </w:r>
      <w:r w:rsidRPr="0051382F">
        <w:rPr>
          <w:sz w:val="20"/>
          <w:szCs w:val="20"/>
        </w:rPr>
        <w:t xml:space="preserve"> and no less advantageous – Whether there is conflicting appellate case law on whether the immigration detention review scheme under the </w:t>
      </w:r>
      <w:hyperlink r:id="rId53" w:history="1">
        <w:r w:rsidRPr="0051382F">
          <w:rPr>
            <w:rStyle w:val="Hyperlink"/>
            <w:i/>
            <w:color w:val="auto"/>
            <w:sz w:val="20"/>
            <w:szCs w:val="20"/>
            <w:u w:val="none"/>
          </w:rPr>
          <w:t>Immigration and Refugee Protection Act</w:t>
        </w:r>
        <w:r w:rsidRPr="0051382F">
          <w:rPr>
            <w:rStyle w:val="Hyperlink"/>
            <w:color w:val="auto"/>
            <w:sz w:val="20"/>
            <w:szCs w:val="20"/>
            <w:u w:val="none"/>
          </w:rPr>
          <w:t>, S.C. 2001, c. 27</w:t>
        </w:r>
      </w:hyperlink>
      <w:r w:rsidRPr="0051382F">
        <w:rPr>
          <w:sz w:val="20"/>
          <w:szCs w:val="20"/>
        </w:rPr>
        <w:t xml:space="preserve">, is as advantageous as </w:t>
      </w:r>
      <w:r w:rsidRPr="0051382F">
        <w:rPr>
          <w:i/>
          <w:sz w:val="20"/>
          <w:szCs w:val="20"/>
        </w:rPr>
        <w:t>habeas corpus</w:t>
      </w:r>
      <w:r w:rsidRPr="0051382F">
        <w:rPr>
          <w:sz w:val="20"/>
          <w:szCs w:val="20"/>
        </w:rPr>
        <w:t xml:space="preserve"> – Whether the relative jurisdictions of the superior and federal courts needs clarification?</w:t>
      </w:r>
    </w:p>
    <w:p w:rsidR="0051382F" w:rsidRPr="0051382F" w:rsidRDefault="0051382F" w:rsidP="0017100C">
      <w:pPr>
        <w:rPr>
          <w:sz w:val="20"/>
          <w:szCs w:val="20"/>
        </w:rPr>
      </w:pPr>
    </w:p>
    <w:p w:rsidR="0051382F" w:rsidRPr="0051382F" w:rsidRDefault="0051382F" w:rsidP="0051382F">
      <w:pPr>
        <w:rPr>
          <w:sz w:val="20"/>
          <w:szCs w:val="20"/>
        </w:rPr>
      </w:pPr>
      <w:r w:rsidRPr="0051382F">
        <w:rPr>
          <w:sz w:val="20"/>
          <w:szCs w:val="20"/>
        </w:rPr>
        <w:t>Mr. </w:t>
      </w:r>
      <w:proofErr w:type="spellStart"/>
      <w:r w:rsidRPr="0051382F">
        <w:rPr>
          <w:sz w:val="20"/>
          <w:szCs w:val="20"/>
        </w:rPr>
        <w:t>Chhina</w:t>
      </w:r>
      <w:proofErr w:type="spellEnd"/>
      <w:r w:rsidRPr="0051382F">
        <w:rPr>
          <w:sz w:val="20"/>
          <w:szCs w:val="20"/>
        </w:rPr>
        <w:t xml:space="preserve"> lost his refugee status and was removed from Canada in September 2017. While in immigration detention from November 17, 2015 until he was deported, he had detention reviews. After 12 reviews ended with decisions to continue detention, he applied to the Court of Queen’s Bench for </w:t>
      </w:r>
      <w:r w:rsidRPr="0051382F">
        <w:rPr>
          <w:i/>
          <w:sz w:val="20"/>
          <w:szCs w:val="20"/>
        </w:rPr>
        <w:t>habeas corpus</w:t>
      </w:r>
      <w:r w:rsidRPr="0051382F">
        <w:rPr>
          <w:sz w:val="20"/>
          <w:szCs w:val="20"/>
        </w:rPr>
        <w:t xml:space="preserve"> asserting breaches of the</w:t>
      </w:r>
      <w:r w:rsidRPr="0051382F">
        <w:rPr>
          <w:i/>
          <w:sz w:val="20"/>
          <w:szCs w:val="20"/>
        </w:rPr>
        <w:t xml:space="preserve"> Charter of Rights and Freedoms</w:t>
      </w:r>
      <w:r w:rsidRPr="0051382F">
        <w:rPr>
          <w:sz w:val="20"/>
          <w:szCs w:val="20"/>
        </w:rPr>
        <w:t xml:space="preserve">. Mahoney J. held that he did not have jurisdiction to hear the </w:t>
      </w:r>
      <w:r w:rsidRPr="0051382F">
        <w:rPr>
          <w:i/>
          <w:sz w:val="20"/>
          <w:szCs w:val="20"/>
        </w:rPr>
        <w:t>habeas corpus</w:t>
      </w:r>
      <w:r w:rsidRPr="0051382F">
        <w:rPr>
          <w:sz w:val="20"/>
          <w:szCs w:val="20"/>
        </w:rPr>
        <w:t xml:space="preserve"> application because an immigration detainee can seek judicial review of immigration detention decisions pursuant to a comprehensive and an expert procedure under the </w:t>
      </w:r>
      <w:hyperlink r:id="rId54" w:history="1">
        <w:r w:rsidRPr="0051382F">
          <w:rPr>
            <w:rStyle w:val="Hyperlink"/>
            <w:i/>
            <w:color w:val="auto"/>
            <w:sz w:val="20"/>
            <w:szCs w:val="20"/>
            <w:u w:val="none"/>
          </w:rPr>
          <w:t>Immigration and Refugee Protection Act</w:t>
        </w:r>
        <w:r w:rsidRPr="0051382F">
          <w:rPr>
            <w:rStyle w:val="Hyperlink"/>
            <w:color w:val="auto"/>
            <w:sz w:val="20"/>
            <w:szCs w:val="20"/>
            <w:u w:val="none"/>
          </w:rPr>
          <w:t>, S.C. 2001, c. 27</w:t>
        </w:r>
      </w:hyperlink>
      <w:r w:rsidRPr="0051382F">
        <w:rPr>
          <w:sz w:val="20"/>
          <w:szCs w:val="20"/>
        </w:rPr>
        <w:t xml:space="preserve">. The Court of Appeal allowed an appeal. </w:t>
      </w:r>
    </w:p>
    <w:p w:rsidR="0017100C" w:rsidRDefault="0017100C" w:rsidP="0017100C">
      <w:pPr>
        <w:rPr>
          <w:rFonts w:eastAsia="Calibri" w:cs="Times New Roman"/>
          <w:i/>
          <w:sz w:val="20"/>
          <w:szCs w:val="20"/>
          <w:lang w:val="en-US"/>
        </w:rPr>
      </w:pPr>
    </w:p>
    <w:p w:rsidR="0017100C" w:rsidRDefault="0017100C" w:rsidP="0017100C">
      <w:pPr>
        <w:rPr>
          <w:rFonts w:eastAsia="Calibri" w:cs="Times New Roman"/>
          <w:i/>
          <w:sz w:val="20"/>
          <w:szCs w:val="20"/>
          <w:lang w:val="en-US"/>
        </w:rPr>
      </w:pPr>
    </w:p>
    <w:p w:rsidR="0017100C" w:rsidRPr="0017100C" w:rsidRDefault="0017100C" w:rsidP="0017100C">
      <w:pPr>
        <w:rPr>
          <w:rFonts w:eastAsia="Calibri" w:cs="Times New Roman"/>
          <w:b/>
          <w:i/>
          <w:sz w:val="20"/>
          <w:szCs w:val="20"/>
          <w:lang w:val="fr-CA"/>
        </w:rPr>
      </w:pPr>
      <w:r w:rsidRPr="0017100C">
        <w:rPr>
          <w:rFonts w:eastAsia="Calibri" w:cs="Times New Roman"/>
          <w:b/>
          <w:sz w:val="20"/>
          <w:szCs w:val="20"/>
          <w:lang w:val="fr-CA"/>
        </w:rPr>
        <w:t>37770</w:t>
      </w:r>
      <w:r w:rsidRPr="0017100C">
        <w:rPr>
          <w:rFonts w:eastAsia="Calibri" w:cs="Times New Roman"/>
          <w:b/>
          <w:i/>
          <w:sz w:val="20"/>
          <w:szCs w:val="20"/>
          <w:lang w:val="fr-CA"/>
        </w:rPr>
        <w:tab/>
        <w:t>Ministre de la Sécurité publique et de la Protection civile et procureur général du Canada</w:t>
      </w:r>
    </w:p>
    <w:p w:rsidR="0017100C" w:rsidRPr="0017100C" w:rsidRDefault="0017100C" w:rsidP="0017100C">
      <w:pPr>
        <w:ind w:firstLine="720"/>
        <w:rPr>
          <w:rFonts w:eastAsia="Calibri" w:cs="Times New Roman"/>
          <w:b/>
          <w:i/>
          <w:sz w:val="20"/>
          <w:szCs w:val="20"/>
          <w:lang w:val="fr-CA"/>
        </w:rPr>
      </w:pPr>
      <w:proofErr w:type="gramStart"/>
      <w:r w:rsidRPr="0017100C">
        <w:rPr>
          <w:rFonts w:eastAsia="Calibri" w:cs="Times New Roman"/>
          <w:b/>
          <w:i/>
          <w:sz w:val="20"/>
          <w:szCs w:val="20"/>
          <w:lang w:val="fr-CA"/>
        </w:rPr>
        <w:t>c</w:t>
      </w:r>
      <w:proofErr w:type="gramEnd"/>
      <w:r w:rsidRPr="0017100C">
        <w:rPr>
          <w:rFonts w:eastAsia="Calibri" w:cs="Times New Roman"/>
          <w:b/>
          <w:i/>
          <w:sz w:val="20"/>
          <w:szCs w:val="20"/>
          <w:lang w:val="fr-CA"/>
        </w:rPr>
        <w:t xml:space="preserve">. </w:t>
      </w:r>
      <w:proofErr w:type="spellStart"/>
      <w:r w:rsidRPr="0017100C">
        <w:rPr>
          <w:rFonts w:eastAsia="Calibri" w:cs="Times New Roman"/>
          <w:b/>
          <w:i/>
          <w:sz w:val="20"/>
          <w:szCs w:val="20"/>
          <w:lang w:val="fr-CA"/>
        </w:rPr>
        <w:t>Tusif</w:t>
      </w:r>
      <w:proofErr w:type="spellEnd"/>
      <w:r w:rsidRPr="0017100C">
        <w:rPr>
          <w:rFonts w:eastAsia="Calibri" w:cs="Times New Roman"/>
          <w:b/>
          <w:i/>
          <w:sz w:val="20"/>
          <w:szCs w:val="20"/>
          <w:lang w:val="fr-CA"/>
        </w:rPr>
        <w:t xml:space="preserve"> Ur </w:t>
      </w:r>
      <w:proofErr w:type="spellStart"/>
      <w:r w:rsidRPr="0017100C">
        <w:rPr>
          <w:rFonts w:eastAsia="Calibri" w:cs="Times New Roman"/>
          <w:b/>
          <w:i/>
          <w:sz w:val="20"/>
          <w:szCs w:val="20"/>
          <w:lang w:val="fr-CA"/>
        </w:rPr>
        <w:t>Rehman</w:t>
      </w:r>
      <w:proofErr w:type="spellEnd"/>
      <w:r w:rsidRPr="0017100C">
        <w:rPr>
          <w:rFonts w:eastAsia="Calibri" w:cs="Times New Roman"/>
          <w:b/>
          <w:i/>
          <w:sz w:val="20"/>
          <w:szCs w:val="20"/>
          <w:lang w:val="fr-CA"/>
        </w:rPr>
        <w:t xml:space="preserve"> </w:t>
      </w:r>
      <w:proofErr w:type="spellStart"/>
      <w:r w:rsidRPr="0017100C">
        <w:rPr>
          <w:rFonts w:eastAsia="Calibri" w:cs="Times New Roman"/>
          <w:b/>
          <w:i/>
          <w:sz w:val="20"/>
          <w:szCs w:val="20"/>
          <w:lang w:val="fr-CA"/>
        </w:rPr>
        <w:t>Chhina</w:t>
      </w:r>
      <w:proofErr w:type="spellEnd"/>
    </w:p>
    <w:p w:rsidR="0017100C" w:rsidRDefault="0017100C" w:rsidP="0017100C">
      <w:pPr>
        <w:ind w:firstLine="720"/>
        <w:rPr>
          <w:rFonts w:eastAsia="Calibri" w:cs="Times New Roman"/>
          <w:sz w:val="20"/>
          <w:szCs w:val="20"/>
          <w:lang w:val="en-US"/>
        </w:rPr>
      </w:pPr>
      <w:r w:rsidRPr="0017100C">
        <w:rPr>
          <w:rFonts w:eastAsia="Calibri" w:cs="Times New Roman"/>
          <w:sz w:val="20"/>
          <w:szCs w:val="20"/>
          <w:lang w:val="en-US"/>
        </w:rPr>
        <w:t>(Alb.) (</w:t>
      </w:r>
      <w:proofErr w:type="spellStart"/>
      <w:r w:rsidRPr="0017100C">
        <w:rPr>
          <w:rFonts w:eastAsia="Calibri" w:cs="Times New Roman"/>
          <w:sz w:val="20"/>
          <w:szCs w:val="20"/>
          <w:lang w:val="en-US"/>
        </w:rPr>
        <w:t>Civile</w:t>
      </w:r>
      <w:proofErr w:type="spellEnd"/>
      <w:r w:rsidRPr="0017100C">
        <w:rPr>
          <w:rFonts w:eastAsia="Calibri" w:cs="Times New Roman"/>
          <w:sz w:val="20"/>
          <w:szCs w:val="20"/>
          <w:lang w:val="en-US"/>
        </w:rPr>
        <w:t xml:space="preserve">) (Sur </w:t>
      </w:r>
      <w:proofErr w:type="spellStart"/>
      <w:r w:rsidRPr="0017100C">
        <w:rPr>
          <w:rFonts w:eastAsia="Calibri" w:cs="Times New Roman"/>
          <w:sz w:val="20"/>
          <w:szCs w:val="20"/>
          <w:lang w:val="en-US"/>
        </w:rPr>
        <w:t>autorisation</w:t>
      </w:r>
      <w:proofErr w:type="spellEnd"/>
      <w:r w:rsidRPr="0017100C">
        <w:rPr>
          <w:rFonts w:eastAsia="Calibri" w:cs="Times New Roman"/>
          <w:sz w:val="20"/>
          <w:szCs w:val="20"/>
          <w:lang w:val="en-US"/>
        </w:rPr>
        <w:t>)</w:t>
      </w:r>
    </w:p>
    <w:p w:rsidR="0017100C" w:rsidRDefault="0017100C" w:rsidP="0017100C">
      <w:pPr>
        <w:rPr>
          <w:rFonts w:eastAsia="Calibri" w:cs="Times New Roman"/>
          <w:sz w:val="20"/>
          <w:szCs w:val="20"/>
          <w:lang w:val="en-US"/>
        </w:rPr>
      </w:pPr>
    </w:p>
    <w:p w:rsidR="0017100C" w:rsidRPr="0051382F" w:rsidRDefault="0051382F" w:rsidP="0017100C">
      <w:pPr>
        <w:rPr>
          <w:sz w:val="20"/>
          <w:szCs w:val="20"/>
          <w:lang w:val="fr-CA"/>
        </w:rPr>
      </w:pPr>
      <w:r w:rsidRPr="0051382F">
        <w:rPr>
          <w:sz w:val="20"/>
          <w:szCs w:val="20"/>
          <w:lang w:val="fr-CA"/>
        </w:rPr>
        <w:t xml:space="preserve">Tribunaux – Compétence – </w:t>
      </w:r>
      <w:r w:rsidRPr="0051382F">
        <w:rPr>
          <w:i/>
          <w:sz w:val="20"/>
          <w:szCs w:val="20"/>
          <w:lang w:val="fr-CA"/>
        </w:rPr>
        <w:t>Habeas corpus</w:t>
      </w:r>
      <w:r w:rsidRPr="0051382F">
        <w:rPr>
          <w:sz w:val="20"/>
          <w:szCs w:val="20"/>
          <w:lang w:val="fr-CA"/>
        </w:rPr>
        <w:t xml:space="preserve"> – Immigration – Procédure – Y </w:t>
      </w:r>
      <w:proofErr w:type="spellStart"/>
      <w:r w:rsidRPr="0051382F">
        <w:rPr>
          <w:sz w:val="20"/>
          <w:szCs w:val="20"/>
          <w:lang w:val="fr-CA"/>
        </w:rPr>
        <w:t>a-t-il</w:t>
      </w:r>
      <w:proofErr w:type="spellEnd"/>
      <w:r w:rsidRPr="0051382F">
        <w:rPr>
          <w:sz w:val="20"/>
          <w:szCs w:val="20"/>
          <w:lang w:val="fr-CA"/>
        </w:rPr>
        <w:t xml:space="preserve"> lieu de nuancer l’exception à la compétence relative à l’</w:t>
      </w:r>
      <w:r w:rsidRPr="0051382F">
        <w:rPr>
          <w:i/>
          <w:sz w:val="20"/>
          <w:szCs w:val="20"/>
          <w:lang w:val="fr-CA"/>
        </w:rPr>
        <w:t>habeas corpus</w:t>
      </w:r>
      <w:r w:rsidRPr="0051382F">
        <w:rPr>
          <w:sz w:val="20"/>
          <w:szCs w:val="20"/>
          <w:lang w:val="fr-CA"/>
        </w:rPr>
        <w:t xml:space="preserve"> selon laquelle il faut décliner cette compétence lorsque le législateur a mis en place un régime complet, exhaustif et spécialisé prévoyant une procédure d’examen au moins aussi large et aussi avantageuse que celle de l’</w:t>
      </w:r>
      <w:r w:rsidRPr="0051382F">
        <w:rPr>
          <w:i/>
          <w:iCs/>
          <w:sz w:val="20"/>
          <w:szCs w:val="20"/>
          <w:lang w:val="fr-CA"/>
        </w:rPr>
        <w:t>habeas corpus</w:t>
      </w:r>
      <w:r w:rsidRPr="0051382F">
        <w:rPr>
          <w:sz w:val="20"/>
          <w:szCs w:val="20"/>
          <w:lang w:val="fr-CA"/>
        </w:rPr>
        <w:t xml:space="preserve">? – La jurisprudence en appel est-elle contradictoire sur la question de savoir si le régime d’examen des détentions en matière d’immigration en application de la </w:t>
      </w:r>
      <w:hyperlink r:id="rId55" w:history="1">
        <w:r w:rsidRPr="0051382F">
          <w:rPr>
            <w:rStyle w:val="Hyperlink"/>
            <w:i/>
            <w:color w:val="auto"/>
            <w:sz w:val="20"/>
            <w:szCs w:val="20"/>
            <w:u w:val="none"/>
            <w:lang w:val="fr-CA"/>
          </w:rPr>
          <w:t>Loi sur l’immigration et la protection des réfugiés</w:t>
        </w:r>
        <w:r w:rsidRPr="0051382F">
          <w:rPr>
            <w:rStyle w:val="Hyperlink"/>
            <w:color w:val="auto"/>
            <w:sz w:val="20"/>
            <w:szCs w:val="20"/>
            <w:u w:val="none"/>
            <w:lang w:val="fr-CA"/>
          </w:rPr>
          <w:t>, L.C. 2001, ch. 27</w:t>
        </w:r>
      </w:hyperlink>
      <w:r w:rsidRPr="0051382F">
        <w:rPr>
          <w:sz w:val="20"/>
          <w:szCs w:val="20"/>
          <w:lang w:val="fr-CA"/>
        </w:rPr>
        <w:t>, est aussi avantageux que celui de l’</w:t>
      </w:r>
      <w:r w:rsidRPr="0051382F">
        <w:rPr>
          <w:i/>
          <w:sz w:val="20"/>
          <w:szCs w:val="20"/>
          <w:lang w:val="fr-CA"/>
        </w:rPr>
        <w:t>habeas corpus</w:t>
      </w:r>
      <w:r w:rsidRPr="0051382F">
        <w:rPr>
          <w:sz w:val="20"/>
          <w:szCs w:val="20"/>
          <w:lang w:val="fr-CA"/>
        </w:rPr>
        <w:t>? – Les compétences relatives des cours supérieures et des cours fédérales doivent-elles être clarifiées?</w:t>
      </w:r>
    </w:p>
    <w:p w:rsidR="0051382F" w:rsidRPr="0051382F" w:rsidRDefault="0051382F" w:rsidP="0017100C">
      <w:pPr>
        <w:rPr>
          <w:sz w:val="20"/>
          <w:szCs w:val="20"/>
          <w:lang w:val="fr-CA"/>
        </w:rPr>
      </w:pPr>
    </w:p>
    <w:p w:rsidR="0017100C" w:rsidRPr="0017100C" w:rsidRDefault="0051382F" w:rsidP="0017100C">
      <w:pPr>
        <w:rPr>
          <w:rFonts w:eastAsia="Calibri" w:cs="Times New Roman"/>
          <w:sz w:val="20"/>
          <w:szCs w:val="20"/>
          <w:lang w:val="fr-CA"/>
        </w:rPr>
      </w:pPr>
      <w:r w:rsidRPr="0051382F">
        <w:rPr>
          <w:sz w:val="20"/>
          <w:szCs w:val="20"/>
          <w:lang w:val="fr-CA"/>
        </w:rPr>
        <w:t xml:space="preserve">Monsieur </w:t>
      </w:r>
      <w:proofErr w:type="spellStart"/>
      <w:r w:rsidRPr="0051382F">
        <w:rPr>
          <w:sz w:val="20"/>
          <w:szCs w:val="20"/>
          <w:lang w:val="fr-CA"/>
        </w:rPr>
        <w:t>Chhina</w:t>
      </w:r>
      <w:proofErr w:type="spellEnd"/>
      <w:r w:rsidRPr="0051382F">
        <w:rPr>
          <w:sz w:val="20"/>
          <w:szCs w:val="20"/>
          <w:lang w:val="fr-CA"/>
        </w:rPr>
        <w:t xml:space="preserve"> a perdu son statut de réfugié et a été renvoyé du Canada en septembre 2017. Pendant sa détention en matière d’immigration, du 17 novembre 2015 jusqu’à son expulsion, il a été l’objet d’examens des motifs de détention. Après que douze examens se sont soldés par des décisions de maintenir la détention, il a présenté à la Cour du Banc de la Reine une demande d’</w:t>
      </w:r>
      <w:r w:rsidRPr="0051382F">
        <w:rPr>
          <w:i/>
          <w:sz w:val="20"/>
          <w:szCs w:val="20"/>
          <w:lang w:val="fr-CA"/>
        </w:rPr>
        <w:t>habeas corpus</w:t>
      </w:r>
      <w:r w:rsidRPr="0051382F">
        <w:rPr>
          <w:sz w:val="20"/>
          <w:szCs w:val="20"/>
          <w:lang w:val="fr-CA"/>
        </w:rPr>
        <w:t xml:space="preserve">, alléguant des violations de la </w:t>
      </w:r>
      <w:r w:rsidRPr="0051382F">
        <w:rPr>
          <w:i/>
          <w:sz w:val="20"/>
          <w:szCs w:val="20"/>
          <w:lang w:val="fr-CA"/>
        </w:rPr>
        <w:t>Charte des droits et libertés</w:t>
      </w:r>
      <w:r w:rsidRPr="0051382F">
        <w:rPr>
          <w:sz w:val="20"/>
          <w:szCs w:val="20"/>
          <w:lang w:val="fr-CA"/>
        </w:rPr>
        <w:t xml:space="preserve">. Le juge </w:t>
      </w:r>
      <w:proofErr w:type="spellStart"/>
      <w:r w:rsidRPr="0051382F">
        <w:rPr>
          <w:sz w:val="20"/>
          <w:szCs w:val="20"/>
          <w:lang w:val="fr-CA"/>
        </w:rPr>
        <w:t>Mahoney</w:t>
      </w:r>
      <w:proofErr w:type="spellEnd"/>
      <w:r w:rsidRPr="0051382F">
        <w:rPr>
          <w:sz w:val="20"/>
          <w:szCs w:val="20"/>
          <w:lang w:val="fr-CA"/>
        </w:rPr>
        <w:t xml:space="preserve"> a statué qu’il n’avait pas compétence pour entendre la demande d’</w:t>
      </w:r>
      <w:r w:rsidRPr="0051382F">
        <w:rPr>
          <w:i/>
          <w:sz w:val="20"/>
          <w:szCs w:val="20"/>
          <w:lang w:val="fr-CA"/>
        </w:rPr>
        <w:t>habeas corpus</w:t>
      </w:r>
      <w:r w:rsidRPr="0051382F">
        <w:rPr>
          <w:sz w:val="20"/>
          <w:szCs w:val="20"/>
          <w:lang w:val="fr-CA"/>
        </w:rPr>
        <w:t xml:space="preserve"> parce qu’un détenu en matière d’immigration peut demander le contrôle judiciaire des décisions de détention en matière d’immigration suivant une procédure d’examen exhaustif et spécialisé sous le régime de la </w:t>
      </w:r>
      <w:hyperlink r:id="rId56" w:history="1">
        <w:r w:rsidRPr="0051382F">
          <w:rPr>
            <w:rStyle w:val="Hyperlink"/>
            <w:i/>
            <w:color w:val="auto"/>
            <w:sz w:val="20"/>
            <w:szCs w:val="20"/>
            <w:u w:val="none"/>
            <w:lang w:val="fr-CA"/>
          </w:rPr>
          <w:t>Loi sur l’immigration et la protection des réfugiés</w:t>
        </w:r>
        <w:r w:rsidRPr="0051382F">
          <w:rPr>
            <w:rStyle w:val="Hyperlink"/>
            <w:color w:val="auto"/>
            <w:sz w:val="20"/>
            <w:szCs w:val="20"/>
            <w:u w:val="none"/>
            <w:lang w:val="fr-CA"/>
          </w:rPr>
          <w:t>, L.C. 2001, ch. 27</w:t>
        </w:r>
      </w:hyperlink>
      <w:r w:rsidRPr="0051382F">
        <w:rPr>
          <w:sz w:val="20"/>
          <w:szCs w:val="20"/>
          <w:lang w:val="fr-CA"/>
        </w:rPr>
        <w:t xml:space="preserve">. La Cour d’appel accueilli l’appel. </w:t>
      </w:r>
      <w:r w:rsidR="00227F09">
        <w:rPr>
          <w:rFonts w:ascii="Calibri" w:eastAsia="Calibri" w:hAnsi="Calibri" w:cs="Times New Roman"/>
          <w:sz w:val="20"/>
          <w:szCs w:val="20"/>
          <w:lang w:val="fr-CA"/>
        </w:rPr>
        <w:pict>
          <v:rect id="_x0000_i1063" style="width:2in;height:1pt" o:hrpct="0" o:hralign="center" o:hrstd="t" o:hrnoshade="t" o:hr="t" fillcolor="black" stroked="f"/>
        </w:pict>
      </w:r>
    </w:p>
    <w:p w:rsidR="00227F09" w:rsidRDefault="00227F09">
      <w:pPr>
        <w:rPr>
          <w:rFonts w:eastAsia="Calibri" w:cs="Times New Roman"/>
          <w:b/>
          <w:sz w:val="20"/>
          <w:szCs w:val="20"/>
          <w:lang w:val="en-US"/>
        </w:rPr>
      </w:pPr>
      <w:r>
        <w:rPr>
          <w:rFonts w:eastAsia="Calibri" w:cs="Times New Roman"/>
          <w:b/>
          <w:sz w:val="20"/>
          <w:szCs w:val="20"/>
          <w:lang w:val="en-US"/>
        </w:rPr>
        <w:br w:type="page"/>
      </w: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en-US"/>
        </w:rPr>
      </w:pPr>
      <w:r w:rsidRPr="001F1A8B">
        <w:rPr>
          <w:rFonts w:eastAsia="Calibri" w:cs="Times New Roman"/>
          <w:b/>
          <w:sz w:val="20"/>
          <w:szCs w:val="20"/>
          <w:lang w:val="en-US"/>
        </w:rPr>
        <w:lastRenderedPageBreak/>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en-US"/>
        </w:rPr>
        <w:t>37574</w:t>
      </w:r>
      <w:r w:rsidRPr="001F1A8B">
        <w:rPr>
          <w:rFonts w:eastAsia="Calibri" w:cs="Times New Roman"/>
          <w:sz w:val="20"/>
          <w:szCs w:val="20"/>
          <w:lang w:val="en-US"/>
        </w:rPr>
        <w:tab/>
      </w:r>
      <w:r w:rsidRPr="001F1A8B">
        <w:rPr>
          <w:rFonts w:eastAsia="Calibri" w:cs="Times New Roman"/>
          <w:b/>
          <w:i/>
          <w:sz w:val="20"/>
          <w:szCs w:val="20"/>
          <w:lang w:val="en-US"/>
        </w:rPr>
        <w:t xml:space="preserve">Vice Media Canada Inc. and Ben </w:t>
      </w:r>
      <w:proofErr w:type="spellStart"/>
      <w:r w:rsidRPr="001F1A8B">
        <w:rPr>
          <w:rFonts w:eastAsia="Calibri" w:cs="Times New Roman"/>
          <w:b/>
          <w:i/>
          <w:sz w:val="20"/>
          <w:szCs w:val="20"/>
          <w:lang w:val="en-US"/>
        </w:rPr>
        <w:t>Makuch</w:t>
      </w:r>
      <w:proofErr w:type="spellEnd"/>
      <w:r w:rsidRPr="001F1A8B">
        <w:rPr>
          <w:rFonts w:eastAsia="Calibri" w:cs="Times New Roman"/>
          <w:b/>
          <w:i/>
          <w:sz w:val="20"/>
          <w:szCs w:val="20"/>
          <w:lang w:val="en-US"/>
        </w:rPr>
        <w:t xml:space="preserve"> v. Her Majesty the Queen in Right of Canada</w:t>
      </w:r>
    </w:p>
    <w:p w:rsidR="001F1A8B" w:rsidRPr="001F1A8B" w:rsidRDefault="001F1A8B" w:rsidP="001F1A8B">
      <w:pPr>
        <w:widowControl w:val="0"/>
        <w:spacing w:afterLines="20" w:after="48" w:line="259" w:lineRule="auto"/>
        <w:ind w:firstLine="720"/>
        <w:jc w:val="both"/>
        <w:rPr>
          <w:rFonts w:eastAsia="Calibri" w:cs="Times New Roman"/>
          <w:sz w:val="20"/>
          <w:szCs w:val="20"/>
          <w:lang w:val="en-US"/>
        </w:rPr>
      </w:pPr>
      <w:r w:rsidRPr="001F1A8B">
        <w:rPr>
          <w:rFonts w:eastAsia="Calibri" w:cs="Times New Roman"/>
          <w:sz w:val="20"/>
          <w:szCs w:val="20"/>
          <w:lang w:val="en-US"/>
        </w:rPr>
        <w:t>(Ont.) (Civil) (By Leave)</w:t>
      </w:r>
    </w:p>
    <w:p w:rsidR="001F1A8B" w:rsidRPr="001F1A8B" w:rsidRDefault="001F1A8B" w:rsidP="001F1A8B">
      <w:pPr>
        <w:widowControl w:val="0"/>
        <w:spacing w:afterLines="20" w:after="48" w:line="259" w:lineRule="auto"/>
        <w:ind w:left="1440"/>
        <w:jc w:val="both"/>
        <w:rPr>
          <w:rFonts w:eastAsia="Calibri" w:cs="Times New Roman"/>
          <w:sz w:val="20"/>
          <w:szCs w:val="20"/>
          <w:lang w:val="en-US"/>
        </w:rPr>
      </w:pPr>
    </w:p>
    <w:p w:rsidR="001F1A8B" w:rsidRPr="001F1A8B" w:rsidRDefault="001F1A8B" w:rsidP="001F1A8B">
      <w:pPr>
        <w:spacing w:afterLines="20" w:after="48"/>
        <w:jc w:val="both"/>
        <w:rPr>
          <w:rFonts w:eastAsia="Calibri" w:cs="Times New Roman"/>
          <w:smallCaps/>
          <w:sz w:val="20"/>
          <w:szCs w:val="20"/>
        </w:rPr>
      </w:pPr>
      <w:r w:rsidRPr="001F1A8B">
        <w:rPr>
          <w:rFonts w:eastAsia="Calibri" w:cs="Times New Roman"/>
          <w:smallCaps/>
          <w:sz w:val="20"/>
          <w:szCs w:val="20"/>
        </w:rPr>
        <w:t>(Publication ban in case) (Sealing order) (Court file contains information that is not available for inspection by the public)</w:t>
      </w:r>
    </w:p>
    <w:p w:rsidR="001F1A8B" w:rsidRPr="001F1A8B" w:rsidRDefault="001F1A8B" w:rsidP="001F1A8B">
      <w:pPr>
        <w:widowControl w:val="0"/>
        <w:spacing w:afterLines="20" w:after="48" w:line="259" w:lineRule="auto"/>
        <w:ind w:left="1440" w:hanging="1440"/>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sz w:val="20"/>
          <w:szCs w:val="20"/>
          <w:lang w:val="en-US"/>
        </w:rPr>
        <w:t xml:space="preserve">Constitutional law - Charter of Rights - Fundamental freedoms - Freedom of press - Criminal law - Evidence - Search warrant - Production order - Production order issued for records of communications between journalist and source who is under investigation for terrorist activity - What principles govern the analysis of the media interests in a case of a search warrant or production order targeting journalist-source communications - What principles govern the analysis of the law enforcement interests in such a case - What procedures should be followed by issuing and reviewing courts when conducting their review - Whether these issues can be addressed under a reformed </w:t>
      </w:r>
      <w:r w:rsidRPr="001F1A8B">
        <w:rPr>
          <w:rFonts w:eastAsia="Calibri" w:cs="Times New Roman"/>
          <w:i/>
          <w:sz w:val="20"/>
          <w:szCs w:val="20"/>
          <w:lang w:val="en-US"/>
        </w:rPr>
        <w:t xml:space="preserve">Canadian Broadcasting Corp. v. </w:t>
      </w:r>
      <w:proofErr w:type="spellStart"/>
      <w:r w:rsidRPr="001F1A8B">
        <w:rPr>
          <w:rFonts w:eastAsia="Calibri" w:cs="Times New Roman"/>
          <w:i/>
          <w:sz w:val="20"/>
          <w:szCs w:val="20"/>
          <w:lang w:val="en-US"/>
        </w:rPr>
        <w:t>Lessard</w:t>
      </w:r>
      <w:proofErr w:type="spellEnd"/>
      <w:r w:rsidRPr="001F1A8B">
        <w:rPr>
          <w:rFonts w:eastAsia="Calibri" w:cs="Times New Roman"/>
          <w:sz w:val="20"/>
          <w:szCs w:val="20"/>
          <w:lang w:val="en-US"/>
        </w:rPr>
        <w:t xml:space="preserve">, [1991] 3 S.C.R. 421 “balancing” process, or should this Court devise a new test or process more consistent with the role of a free press in modern Canadian society - Whether the courts below properly approached the review of the </w:t>
      </w:r>
      <w:r w:rsidRPr="001F1A8B">
        <w:rPr>
          <w:rFonts w:eastAsia="Calibri" w:cs="Times New Roman"/>
          <w:i/>
          <w:sz w:val="20"/>
          <w:szCs w:val="20"/>
          <w:lang w:val="en-US"/>
        </w:rPr>
        <w:t>ex parte</w:t>
      </w:r>
      <w:r w:rsidRPr="001F1A8B">
        <w:rPr>
          <w:rFonts w:eastAsia="Calibri" w:cs="Times New Roman"/>
          <w:sz w:val="20"/>
          <w:szCs w:val="20"/>
          <w:lang w:val="en-US"/>
        </w:rPr>
        <w:t xml:space="preserve"> publication ban over material filed in support of the request for the production order.</w:t>
      </w:r>
    </w:p>
    <w:p w:rsidR="001F1A8B" w:rsidRPr="001F1A8B" w:rsidRDefault="001F1A8B" w:rsidP="001F1A8B">
      <w:pPr>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rPr>
      </w:pPr>
      <w:r w:rsidRPr="001F1A8B">
        <w:rPr>
          <w:rFonts w:eastAsia="Calibri" w:cs="Times New Roman"/>
          <w:sz w:val="20"/>
          <w:szCs w:val="20"/>
          <w:lang w:val="en-US"/>
        </w:rPr>
        <w:t>In 2014, Mr. </w:t>
      </w:r>
      <w:proofErr w:type="spellStart"/>
      <w:r w:rsidRPr="001F1A8B">
        <w:rPr>
          <w:rFonts w:eastAsia="Calibri" w:cs="Times New Roman"/>
          <w:sz w:val="20"/>
          <w:szCs w:val="20"/>
          <w:lang w:val="en-US"/>
        </w:rPr>
        <w:t>Makuch</w:t>
      </w:r>
      <w:proofErr w:type="spellEnd"/>
      <w:r w:rsidRPr="001F1A8B">
        <w:rPr>
          <w:rFonts w:eastAsia="Calibri" w:cs="Times New Roman"/>
          <w:sz w:val="20"/>
          <w:szCs w:val="20"/>
          <w:lang w:val="en-US"/>
        </w:rPr>
        <w:t xml:space="preserve"> wrote and Vice Media published three articles about the involvement of Farah Shirdon with the terrorist group, the Islamic State of Iraq and Syria (“ISIS”), in the Middle East. The articles were largely based on communications between Messrs. </w:t>
      </w:r>
      <w:proofErr w:type="spellStart"/>
      <w:r w:rsidRPr="001F1A8B">
        <w:rPr>
          <w:rFonts w:eastAsia="Calibri" w:cs="Times New Roman"/>
          <w:sz w:val="20"/>
          <w:szCs w:val="20"/>
          <w:lang w:val="en-US"/>
        </w:rPr>
        <w:t>Makuch</w:t>
      </w:r>
      <w:proofErr w:type="spellEnd"/>
      <w:r w:rsidRPr="001F1A8B">
        <w:rPr>
          <w:rFonts w:eastAsia="Calibri" w:cs="Times New Roman"/>
          <w:sz w:val="20"/>
          <w:szCs w:val="20"/>
          <w:lang w:val="en-US"/>
        </w:rPr>
        <w:t xml:space="preserve"> and Shirdon through a text messaging service. The RCMP obtained a production order under s. 487.014 of the </w:t>
      </w:r>
      <w:r w:rsidRPr="001F1A8B">
        <w:rPr>
          <w:rFonts w:eastAsia="Calibri" w:cs="Times New Roman"/>
          <w:i/>
          <w:sz w:val="20"/>
          <w:szCs w:val="20"/>
          <w:lang w:val="en-US"/>
        </w:rPr>
        <w:t>Criminal Code</w:t>
      </w:r>
      <w:r w:rsidRPr="001F1A8B">
        <w:rPr>
          <w:rFonts w:eastAsia="Calibri" w:cs="Times New Roman"/>
          <w:sz w:val="20"/>
          <w:szCs w:val="20"/>
          <w:lang w:val="en-US"/>
        </w:rPr>
        <w:t xml:space="preserve">, directing </w:t>
      </w:r>
      <w:proofErr w:type="gramStart"/>
      <w:r w:rsidRPr="001F1A8B">
        <w:rPr>
          <w:rFonts w:eastAsia="Calibri" w:cs="Times New Roman"/>
          <w:sz w:val="20"/>
          <w:szCs w:val="20"/>
          <w:lang w:val="en-US"/>
        </w:rPr>
        <w:t>Vice</w:t>
      </w:r>
      <w:proofErr w:type="gramEnd"/>
      <w:r w:rsidRPr="001F1A8B">
        <w:rPr>
          <w:rFonts w:eastAsia="Calibri" w:cs="Times New Roman"/>
          <w:sz w:val="20"/>
          <w:szCs w:val="20"/>
          <w:lang w:val="en-US"/>
        </w:rPr>
        <w:t xml:space="preserve"> and Mr. </w:t>
      </w:r>
      <w:proofErr w:type="spellStart"/>
      <w:r w:rsidRPr="001F1A8B">
        <w:rPr>
          <w:rFonts w:eastAsia="Calibri" w:cs="Times New Roman"/>
          <w:sz w:val="20"/>
          <w:szCs w:val="20"/>
          <w:lang w:val="en-US"/>
        </w:rPr>
        <w:t>Makuch</w:t>
      </w:r>
      <w:proofErr w:type="spellEnd"/>
      <w:r w:rsidRPr="001F1A8B">
        <w:rPr>
          <w:rFonts w:eastAsia="Calibri" w:cs="Times New Roman"/>
          <w:sz w:val="20"/>
          <w:szCs w:val="20"/>
          <w:lang w:val="en-US"/>
        </w:rPr>
        <w:t xml:space="preserve"> to produce documents and data relating to their communications with Mr. Shirdon. The issuing judge also directed that all information relating to the application for the production order, including the affidavit sworn in support of the application, should be held under seal pending further court order. Vice and Mr. </w:t>
      </w:r>
      <w:proofErr w:type="spellStart"/>
      <w:r w:rsidRPr="001F1A8B">
        <w:rPr>
          <w:rFonts w:eastAsia="Calibri" w:cs="Times New Roman"/>
          <w:sz w:val="20"/>
          <w:szCs w:val="20"/>
          <w:lang w:val="en-US"/>
        </w:rPr>
        <w:t>Makuch</w:t>
      </w:r>
      <w:proofErr w:type="spellEnd"/>
      <w:r w:rsidRPr="001F1A8B">
        <w:rPr>
          <w:rFonts w:eastAsia="Calibri" w:cs="Times New Roman"/>
          <w:sz w:val="20"/>
          <w:szCs w:val="20"/>
          <w:lang w:val="en-US"/>
        </w:rPr>
        <w:t xml:space="preserve"> brought an application to quash or set aside the production order and an application to unseal the record relied on to obtain the order. The motion to quash was dismissed, and the sealing order was varied. Vice and Mr. </w:t>
      </w:r>
      <w:proofErr w:type="spellStart"/>
      <w:r w:rsidRPr="001F1A8B">
        <w:rPr>
          <w:rFonts w:eastAsia="Calibri" w:cs="Times New Roman"/>
          <w:sz w:val="20"/>
          <w:szCs w:val="20"/>
          <w:lang w:val="en-US"/>
        </w:rPr>
        <w:t>Makuch</w:t>
      </w:r>
      <w:proofErr w:type="spellEnd"/>
      <w:r w:rsidRPr="001F1A8B">
        <w:rPr>
          <w:rFonts w:eastAsia="Calibri" w:cs="Times New Roman"/>
          <w:sz w:val="20"/>
          <w:szCs w:val="20"/>
          <w:lang w:val="en-US"/>
        </w:rPr>
        <w:t xml:space="preserve"> appealed, but the Court of Appeal dismissed their appeal as it relates to the production order and varied in part the sealing/redaction order. With respect to the non-publication order, and subject to the parties agreeing on a variation of that order, it also dismissed that appeal.</w:t>
      </w: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sz w:val="20"/>
          <w:szCs w:val="20"/>
          <w:lang w:val="en-US"/>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lang w:val="fr-CA"/>
        </w:rPr>
      </w:pPr>
      <w:r w:rsidRPr="001F1A8B">
        <w:rPr>
          <w:rFonts w:eastAsia="Calibri" w:cs="Times New Roman"/>
          <w:b/>
          <w:sz w:val="20"/>
          <w:szCs w:val="20"/>
          <w:lang w:val="en-US"/>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37574</w:t>
      </w:r>
      <w:r w:rsidRPr="001F1A8B">
        <w:rPr>
          <w:rFonts w:eastAsia="Calibri" w:cs="Times New Roman"/>
          <w:sz w:val="20"/>
          <w:szCs w:val="20"/>
          <w:lang w:val="fr-CA"/>
        </w:rPr>
        <w:tab/>
      </w:r>
      <w:r w:rsidRPr="001F1A8B">
        <w:rPr>
          <w:rFonts w:eastAsia="Calibri" w:cs="Times New Roman"/>
          <w:b/>
          <w:i/>
          <w:sz w:val="20"/>
          <w:szCs w:val="20"/>
          <w:lang w:val="fr-CA"/>
        </w:rPr>
        <w:t xml:space="preserve">Vice Media Canada Inc. et Ben </w:t>
      </w:r>
      <w:proofErr w:type="spellStart"/>
      <w:r w:rsidRPr="001F1A8B">
        <w:rPr>
          <w:rFonts w:eastAsia="Calibri" w:cs="Times New Roman"/>
          <w:b/>
          <w:i/>
          <w:sz w:val="20"/>
          <w:szCs w:val="20"/>
          <w:lang w:val="fr-CA"/>
        </w:rPr>
        <w:t>Makuch</w:t>
      </w:r>
      <w:proofErr w:type="spellEnd"/>
      <w:r w:rsidRPr="001F1A8B">
        <w:rPr>
          <w:rFonts w:eastAsia="Calibri" w:cs="Times New Roman"/>
          <w:b/>
          <w:i/>
          <w:sz w:val="20"/>
          <w:szCs w:val="20"/>
          <w:lang w:val="fr-CA"/>
        </w:rPr>
        <w:t xml:space="preserve"> c. Sa Majesté la Reine du chef du Canada</w:t>
      </w:r>
    </w:p>
    <w:p w:rsidR="001F1A8B" w:rsidRPr="001F1A8B" w:rsidRDefault="001F1A8B" w:rsidP="001F1A8B">
      <w:pPr>
        <w:widowControl w:val="0"/>
        <w:spacing w:afterLines="20" w:after="48" w:line="259" w:lineRule="auto"/>
        <w:ind w:firstLine="720"/>
        <w:jc w:val="both"/>
        <w:rPr>
          <w:rFonts w:eastAsia="Calibri" w:cs="Times New Roman"/>
          <w:sz w:val="20"/>
          <w:szCs w:val="20"/>
          <w:lang w:val="fr-CA"/>
        </w:rPr>
      </w:pPr>
      <w:r w:rsidRPr="001F1A8B">
        <w:rPr>
          <w:rFonts w:eastAsia="Calibri" w:cs="Times New Roman"/>
          <w:sz w:val="20"/>
          <w:szCs w:val="20"/>
          <w:lang w:val="fr-CA"/>
        </w:rPr>
        <w:t>(Ont.) (Civile) (Sur autorisation)</w:t>
      </w:r>
    </w:p>
    <w:p w:rsidR="001F1A8B" w:rsidRPr="001F1A8B" w:rsidRDefault="001F1A8B" w:rsidP="001F1A8B">
      <w:pPr>
        <w:widowControl w:val="0"/>
        <w:spacing w:afterLines="20" w:after="48" w:line="259" w:lineRule="auto"/>
        <w:ind w:left="1440"/>
        <w:jc w:val="both"/>
        <w:rPr>
          <w:rFonts w:eastAsia="Calibri" w:cs="Times New Roman"/>
          <w:sz w:val="20"/>
          <w:szCs w:val="20"/>
          <w:lang w:val="fr-CA"/>
        </w:rPr>
      </w:pPr>
    </w:p>
    <w:p w:rsidR="001F1A8B" w:rsidRPr="001F1A8B" w:rsidRDefault="001F1A8B" w:rsidP="001F1A8B">
      <w:pPr>
        <w:spacing w:afterLines="20" w:after="48"/>
        <w:jc w:val="both"/>
        <w:rPr>
          <w:rFonts w:eastAsia="Calibri" w:cs="Times New Roman"/>
          <w:smallCaps/>
          <w:sz w:val="20"/>
          <w:szCs w:val="20"/>
          <w:lang w:val="fr-CA"/>
        </w:rPr>
      </w:pPr>
      <w:r w:rsidRPr="001F1A8B">
        <w:rPr>
          <w:rFonts w:eastAsia="Calibri" w:cs="Times New Roman"/>
          <w:smallCaps/>
          <w:sz w:val="20"/>
          <w:szCs w:val="20"/>
          <w:lang w:val="fr-CA"/>
        </w:rPr>
        <w:t>(Ordonnance de non-publication dans le dossier) (Ordonnance de mise sous scellés) (Le dossier de la Cour renferme des données que le public n’est pas autorisé à consulter)</w:t>
      </w:r>
    </w:p>
    <w:p w:rsidR="001F1A8B" w:rsidRPr="001F1A8B" w:rsidRDefault="001F1A8B" w:rsidP="001F1A8B">
      <w:pPr>
        <w:widowControl w:val="0"/>
        <w:spacing w:afterLines="20" w:after="48" w:line="259" w:lineRule="auto"/>
        <w:ind w:left="1440" w:hanging="1440"/>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 xml:space="preserve">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Quels principes régissent l’analyse des intérêts des médias dans le cas d’un mandat de perquisition ou d’une ordonnance de communication qui visent des communications entre un journaliste et une source? - Quels principes régissent l’analyse des intérêts des autorités chargées de l’application de la loi dans un tel cas? - Quelles procédures doivent suivre les cours qui décernent les mandats ou les ordonnances et les cours de révision dans le cadre de leur révision? - Ces questions peuvent-elles être traitées par l’application d’un processus de « pondération » modifié suivant l’arrêt </w:t>
      </w:r>
      <w:r w:rsidRPr="001F1A8B">
        <w:rPr>
          <w:rFonts w:eastAsia="Calibri" w:cs="Times New Roman"/>
          <w:i/>
          <w:sz w:val="20"/>
          <w:szCs w:val="20"/>
          <w:lang w:val="fr-CA"/>
        </w:rPr>
        <w:t>Société Radio-Canada c. Lessard</w:t>
      </w:r>
      <w:r w:rsidRPr="001F1A8B">
        <w:rPr>
          <w:rFonts w:eastAsia="Calibri" w:cs="Times New Roman"/>
          <w:sz w:val="20"/>
          <w:szCs w:val="20"/>
          <w:lang w:val="fr-CA"/>
        </w:rPr>
        <w:t xml:space="preserve">, [1991] 3 R.C.S. 421, où faut-il plutôt que notre Cour conçoive un nouveau critère ou processus plus compatible avec le rôle d’une presse libre dans la société canadienne moderne? - Les tribunaux inférieurs ont-ils correctement abordé le contrôle de l’ordonnance de non-publication </w:t>
      </w:r>
      <w:r w:rsidRPr="001F1A8B">
        <w:rPr>
          <w:rFonts w:eastAsia="Calibri" w:cs="Times New Roman"/>
          <w:i/>
          <w:sz w:val="20"/>
          <w:szCs w:val="20"/>
          <w:lang w:val="fr-CA"/>
        </w:rPr>
        <w:t>ex parte</w:t>
      </w:r>
      <w:r w:rsidRPr="001F1A8B">
        <w:rPr>
          <w:rFonts w:eastAsia="Calibri" w:cs="Times New Roman"/>
          <w:sz w:val="20"/>
          <w:szCs w:val="20"/>
          <w:lang w:val="fr-CA"/>
        </w:rPr>
        <w:t xml:space="preserve"> à l’égard de documents déposés au soutien de la demande d’ordonnance de communication?</w:t>
      </w: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sz w:val="20"/>
          <w:szCs w:val="20"/>
          <w:lang w:val="fr-CA"/>
        </w:rPr>
        <w:t>En 2014, M. </w:t>
      </w:r>
      <w:proofErr w:type="spellStart"/>
      <w:r w:rsidRPr="001F1A8B">
        <w:rPr>
          <w:rFonts w:eastAsia="Calibri" w:cs="Times New Roman"/>
          <w:sz w:val="20"/>
          <w:szCs w:val="20"/>
          <w:lang w:val="fr-CA"/>
        </w:rPr>
        <w:t>Makuch</w:t>
      </w:r>
      <w:proofErr w:type="spellEnd"/>
      <w:r w:rsidRPr="001F1A8B">
        <w:rPr>
          <w:rFonts w:eastAsia="Calibri" w:cs="Times New Roman"/>
          <w:sz w:val="20"/>
          <w:szCs w:val="20"/>
          <w:lang w:val="fr-CA"/>
        </w:rPr>
        <w:t xml:space="preserve"> a rédigé — et Vice Media a publié — trois articles sur l’implication de Farah </w:t>
      </w:r>
      <w:proofErr w:type="spellStart"/>
      <w:r w:rsidRPr="001F1A8B">
        <w:rPr>
          <w:rFonts w:eastAsia="Calibri" w:cs="Times New Roman"/>
          <w:sz w:val="20"/>
          <w:szCs w:val="20"/>
          <w:lang w:val="fr-CA"/>
        </w:rPr>
        <w:t>Shirdon</w:t>
      </w:r>
      <w:proofErr w:type="spellEnd"/>
      <w:r w:rsidRPr="001F1A8B">
        <w:rPr>
          <w:rFonts w:eastAsia="Calibri" w:cs="Times New Roman"/>
          <w:sz w:val="20"/>
          <w:szCs w:val="20"/>
          <w:lang w:val="fr-CA"/>
        </w:rPr>
        <w:t xml:space="preserve"> dans le groupe terroriste, l’État islamique en Iraq et en Syrie (l’« ÉIIS »), au Moyen-Orient. Les articles s’appuyaient en grande partie sur des communications entre MM. </w:t>
      </w:r>
      <w:proofErr w:type="spellStart"/>
      <w:r w:rsidRPr="001F1A8B">
        <w:rPr>
          <w:rFonts w:eastAsia="Calibri" w:cs="Times New Roman"/>
          <w:sz w:val="20"/>
          <w:szCs w:val="20"/>
          <w:lang w:val="fr-CA"/>
        </w:rPr>
        <w:t>Makuch</w:t>
      </w:r>
      <w:proofErr w:type="spellEnd"/>
      <w:r w:rsidRPr="001F1A8B">
        <w:rPr>
          <w:rFonts w:eastAsia="Calibri" w:cs="Times New Roman"/>
          <w:sz w:val="20"/>
          <w:szCs w:val="20"/>
          <w:lang w:val="fr-CA"/>
        </w:rPr>
        <w:t xml:space="preserve"> et </w:t>
      </w:r>
      <w:proofErr w:type="spellStart"/>
      <w:r w:rsidRPr="001F1A8B">
        <w:rPr>
          <w:rFonts w:eastAsia="Calibri" w:cs="Times New Roman"/>
          <w:sz w:val="20"/>
          <w:szCs w:val="20"/>
          <w:lang w:val="fr-CA"/>
        </w:rPr>
        <w:t>Shirdon</w:t>
      </w:r>
      <w:proofErr w:type="spellEnd"/>
      <w:r w:rsidRPr="001F1A8B">
        <w:rPr>
          <w:rFonts w:eastAsia="Calibri" w:cs="Times New Roman"/>
          <w:sz w:val="20"/>
          <w:szCs w:val="20"/>
          <w:lang w:val="fr-CA"/>
        </w:rPr>
        <w:t xml:space="preserve"> par un service de messagerie texte. La GRC a obtenu une ordonnance de communication en vertu de l’art. 487.014 du </w:t>
      </w:r>
      <w:r w:rsidRPr="001F1A8B">
        <w:rPr>
          <w:rFonts w:eastAsia="Calibri" w:cs="Times New Roman"/>
          <w:i/>
          <w:sz w:val="20"/>
          <w:szCs w:val="20"/>
          <w:lang w:val="fr-CA"/>
        </w:rPr>
        <w:t>Code criminel</w:t>
      </w:r>
      <w:r w:rsidRPr="001F1A8B">
        <w:rPr>
          <w:rFonts w:eastAsia="Calibri" w:cs="Times New Roman"/>
          <w:sz w:val="20"/>
          <w:szCs w:val="20"/>
          <w:lang w:val="fr-CA"/>
        </w:rPr>
        <w:t>, ordonnant à Vice et à M. </w:t>
      </w:r>
      <w:proofErr w:type="spellStart"/>
      <w:r w:rsidRPr="001F1A8B">
        <w:rPr>
          <w:rFonts w:eastAsia="Calibri" w:cs="Times New Roman"/>
          <w:sz w:val="20"/>
          <w:szCs w:val="20"/>
          <w:lang w:val="fr-CA"/>
        </w:rPr>
        <w:t>Makuch</w:t>
      </w:r>
      <w:proofErr w:type="spellEnd"/>
      <w:r w:rsidRPr="001F1A8B">
        <w:rPr>
          <w:rFonts w:eastAsia="Calibri" w:cs="Times New Roman"/>
          <w:sz w:val="20"/>
          <w:szCs w:val="20"/>
          <w:lang w:val="fr-CA"/>
        </w:rPr>
        <w:t xml:space="preserve"> de produire des documents et des données relatifs à leurs communications avec M. </w:t>
      </w:r>
      <w:proofErr w:type="spellStart"/>
      <w:r w:rsidRPr="001F1A8B">
        <w:rPr>
          <w:rFonts w:eastAsia="Calibri" w:cs="Times New Roman"/>
          <w:sz w:val="20"/>
          <w:szCs w:val="20"/>
          <w:lang w:val="fr-CA"/>
        </w:rPr>
        <w:t>Shirdon</w:t>
      </w:r>
      <w:proofErr w:type="spellEnd"/>
      <w:r w:rsidRPr="001F1A8B">
        <w:rPr>
          <w:rFonts w:eastAsia="Calibri" w:cs="Times New Roman"/>
          <w:sz w:val="20"/>
          <w:szCs w:val="20"/>
          <w:lang w:val="fr-CA"/>
        </w:rPr>
        <w:t>. Le juge qui a délivré l’ordonnance a également ordonné que tous les renseignements relatifs à la demande d’ordonnance de communication, y compris la déclaration sous serment au soutien de la demande, soient gardés sous scellés jusqu’à nouvel ordre de la cour. Vice et M. </w:t>
      </w:r>
      <w:proofErr w:type="spellStart"/>
      <w:r w:rsidRPr="001F1A8B">
        <w:rPr>
          <w:rFonts w:eastAsia="Calibri" w:cs="Times New Roman"/>
          <w:sz w:val="20"/>
          <w:szCs w:val="20"/>
          <w:lang w:val="fr-CA"/>
        </w:rPr>
        <w:t>Makuch</w:t>
      </w:r>
      <w:proofErr w:type="spellEnd"/>
      <w:r w:rsidRPr="001F1A8B">
        <w:rPr>
          <w:rFonts w:eastAsia="Calibri" w:cs="Times New Roman"/>
          <w:sz w:val="20"/>
          <w:szCs w:val="20"/>
          <w:lang w:val="fr-CA"/>
        </w:rPr>
        <w:t xml:space="preserve"> ont présenté une demande d’annulation de l’ordonnance de communication et une demande en vue de lever le scellé du dossier sur lequel on s’est appuyé pour obtenir l’ordonnance. L’ordonnance d’annulation a été rejetée et l’ordonnance de mise sous scellés a été modifiée. Vice et M. </w:t>
      </w:r>
      <w:proofErr w:type="spellStart"/>
      <w:r w:rsidRPr="001F1A8B">
        <w:rPr>
          <w:rFonts w:eastAsia="Calibri" w:cs="Times New Roman"/>
          <w:sz w:val="20"/>
          <w:szCs w:val="20"/>
          <w:lang w:val="fr-CA"/>
        </w:rPr>
        <w:t>Makuch</w:t>
      </w:r>
      <w:proofErr w:type="spellEnd"/>
      <w:r w:rsidRPr="001F1A8B">
        <w:rPr>
          <w:rFonts w:eastAsia="Calibri" w:cs="Times New Roman"/>
          <w:sz w:val="20"/>
          <w:szCs w:val="20"/>
          <w:lang w:val="fr-CA"/>
        </w:rPr>
        <w:t xml:space="preserve"> ont interjeté appel, mais la Cour d’appel a rejeté leur appel à l’égard de l’ordonnance de communication et modifié en partie l’ordonnance de mise sous scellés et de caviardage. Pour ce qui est de l’ordonnance de non-publication, et sous réserve de l’accord des parties quant à la modification de cette ordonnance, la Cour d’appel a également rejeté cet appel.</w:t>
      </w:r>
    </w:p>
    <w:p w:rsidR="001F1A8B" w:rsidRPr="001F1A8B" w:rsidRDefault="00227F09" w:rsidP="001F1A8B">
      <w:pPr>
        <w:spacing w:afterLines="20" w:after="48" w:line="259" w:lineRule="auto"/>
        <w:jc w:val="both"/>
        <w:rPr>
          <w:rFonts w:eastAsia="Calibri" w:cs="Times New Roman"/>
          <w:sz w:val="20"/>
          <w:szCs w:val="20"/>
          <w:lang w:val="fr-CA"/>
        </w:rPr>
      </w:pPr>
      <w:r>
        <w:rPr>
          <w:rFonts w:ascii="Calibri" w:eastAsia="Calibri" w:hAnsi="Calibri" w:cs="Times New Roman"/>
          <w:sz w:val="20"/>
          <w:szCs w:val="20"/>
          <w:lang w:val="fr-CA"/>
        </w:rPr>
        <w:pict>
          <v:rect id="_x0000_i1058" style="width:2in;height:1pt" o:hrpct="0" o:hralign="center" o:hrstd="t" o:hrnoshade="t" o:hr="t" fillcolor="black" stroked="f"/>
        </w:pict>
      </w:r>
    </w:p>
    <w:p w:rsidR="001F1A8B" w:rsidRDefault="001F1A8B" w:rsidP="001F1A8B">
      <w:pPr>
        <w:widowControl w:val="0"/>
        <w:spacing w:afterLines="20" w:after="48" w:line="259" w:lineRule="auto"/>
        <w:ind w:left="1440" w:hanging="1440"/>
        <w:jc w:val="both"/>
        <w:rPr>
          <w:rFonts w:eastAsia="Calibri" w:cs="Times New Roman"/>
          <w:b/>
          <w:sz w:val="20"/>
          <w:szCs w:val="20"/>
        </w:rPr>
      </w:pPr>
    </w:p>
    <w:p w:rsidR="001F1A8B" w:rsidRPr="001F1A8B" w:rsidRDefault="001F1A8B" w:rsidP="001F1A8B">
      <w:pPr>
        <w:widowControl w:val="0"/>
        <w:spacing w:afterLines="20" w:after="48" w:line="259" w:lineRule="auto"/>
        <w:ind w:left="1440" w:hanging="144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37687</w:t>
      </w:r>
      <w:r w:rsidRPr="001F1A8B">
        <w:rPr>
          <w:rFonts w:eastAsia="Calibri" w:cs="Times New Roman"/>
          <w:sz w:val="20"/>
          <w:szCs w:val="20"/>
        </w:rPr>
        <w:tab/>
      </w:r>
      <w:r w:rsidRPr="001F1A8B">
        <w:rPr>
          <w:rFonts w:eastAsia="Calibri" w:cs="Times New Roman"/>
          <w:b/>
          <w:i/>
          <w:sz w:val="20"/>
          <w:szCs w:val="20"/>
        </w:rPr>
        <w:t>Her Majesty the Queen v. Douglas Morrison</w:t>
      </w:r>
    </w:p>
    <w:p w:rsidR="001F1A8B" w:rsidRPr="001F1A8B" w:rsidRDefault="001F1A8B" w:rsidP="001F1A8B">
      <w:pPr>
        <w:widowControl w:val="0"/>
        <w:spacing w:afterLines="20" w:after="48" w:line="259" w:lineRule="auto"/>
        <w:ind w:left="1440" w:hanging="1440"/>
        <w:jc w:val="both"/>
        <w:rPr>
          <w:rFonts w:eastAsia="Calibri" w:cs="Times New Roman"/>
          <w:sz w:val="20"/>
          <w:szCs w:val="20"/>
        </w:rPr>
      </w:pPr>
      <w:r w:rsidRPr="001F1A8B">
        <w:rPr>
          <w:rFonts w:eastAsia="Calibri" w:cs="Times New Roman"/>
          <w:sz w:val="20"/>
          <w:szCs w:val="20"/>
        </w:rPr>
        <w:tab/>
        <w:t>(Ont.) (Criminal) (By Leave)</w:t>
      </w:r>
    </w:p>
    <w:p w:rsidR="001F1A8B" w:rsidRPr="001F1A8B" w:rsidRDefault="001F1A8B" w:rsidP="001F1A8B">
      <w:pPr>
        <w:widowControl w:val="0"/>
        <w:spacing w:afterLines="20" w:after="48" w:line="259" w:lineRule="auto"/>
        <w:ind w:left="1440" w:hanging="1440"/>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rPr>
      </w:pPr>
      <w:r w:rsidRPr="001F1A8B">
        <w:rPr>
          <w:rFonts w:eastAsia="Calibri" w:cs="Times New Roman"/>
          <w:i/>
          <w:sz w:val="20"/>
          <w:szCs w:val="20"/>
          <w:lang w:val="en-US"/>
        </w:rPr>
        <w:t>Charter of Rights</w:t>
      </w:r>
      <w:r w:rsidRPr="001F1A8B">
        <w:rPr>
          <w:rFonts w:eastAsia="Calibri" w:cs="Times New Roman"/>
          <w:sz w:val="20"/>
          <w:szCs w:val="20"/>
          <w:lang w:val="en-US"/>
        </w:rPr>
        <w:t xml:space="preserve"> - Constitutional law - Criminal law - Presumption of Innocence - Cruel and unusual punishment - Sentencing - Child luring -</w:t>
      </w:r>
      <w:r w:rsidRPr="001F1A8B">
        <w:rPr>
          <w:rFonts w:eastAsia="Calibri" w:cs="Times New Roman"/>
          <w:sz w:val="20"/>
          <w:szCs w:val="20"/>
        </w:rPr>
        <w:t xml:space="preserve"> Does the presumption of belief in age in s. 172.1(3) of the </w:t>
      </w:r>
      <w:r w:rsidRPr="001F1A8B">
        <w:rPr>
          <w:rFonts w:eastAsia="Calibri" w:cs="Times New Roman"/>
          <w:i/>
          <w:sz w:val="20"/>
          <w:szCs w:val="20"/>
        </w:rPr>
        <w:t>Criminal Code</w:t>
      </w:r>
      <w:r w:rsidRPr="001F1A8B">
        <w:rPr>
          <w:rFonts w:eastAsia="Calibri" w:cs="Times New Roman"/>
          <w:sz w:val="20"/>
          <w:szCs w:val="20"/>
        </w:rPr>
        <w:t xml:space="preserve"> infringe s. 11(d) of the </w:t>
      </w:r>
      <w:r w:rsidRPr="001F1A8B">
        <w:rPr>
          <w:rFonts w:eastAsia="Calibri" w:cs="Times New Roman"/>
          <w:i/>
          <w:sz w:val="20"/>
          <w:szCs w:val="20"/>
        </w:rPr>
        <w:t>Charter of Rights</w:t>
      </w:r>
      <w:r w:rsidRPr="001F1A8B">
        <w:rPr>
          <w:rFonts w:eastAsia="Calibri" w:cs="Times New Roman"/>
          <w:sz w:val="20"/>
          <w:szCs w:val="20"/>
        </w:rPr>
        <w:t xml:space="preserve"> </w:t>
      </w:r>
      <w:r w:rsidRPr="001F1A8B">
        <w:rPr>
          <w:rFonts w:eastAsia="Calibri" w:cs="Times New Roman"/>
          <w:sz w:val="20"/>
          <w:szCs w:val="20"/>
          <w:lang w:val="en-US"/>
        </w:rPr>
        <w:t>-</w:t>
      </w:r>
      <w:r w:rsidRPr="001F1A8B">
        <w:rPr>
          <w:rFonts w:eastAsia="Calibri" w:cs="Times New Roman"/>
          <w:sz w:val="20"/>
          <w:szCs w:val="20"/>
        </w:rPr>
        <w:t xml:space="preserve"> If so, is the infringement a reasonable limit prescribed by law as can be demonstrably justified in a free and democratic society under s. 1 of the </w:t>
      </w:r>
      <w:r w:rsidRPr="001F1A8B">
        <w:rPr>
          <w:rFonts w:eastAsia="Calibri" w:cs="Times New Roman"/>
          <w:i/>
          <w:sz w:val="20"/>
          <w:szCs w:val="20"/>
        </w:rPr>
        <w:t>Charter of Rights</w:t>
      </w:r>
      <w:r w:rsidRPr="001F1A8B">
        <w:rPr>
          <w:rFonts w:eastAsia="Calibri" w:cs="Times New Roman"/>
          <w:sz w:val="20"/>
          <w:szCs w:val="20"/>
        </w:rPr>
        <w:t xml:space="preserve"> </w:t>
      </w:r>
      <w:r w:rsidRPr="001F1A8B">
        <w:rPr>
          <w:rFonts w:eastAsia="Calibri" w:cs="Times New Roman"/>
          <w:sz w:val="20"/>
          <w:szCs w:val="20"/>
          <w:lang w:val="en-US"/>
        </w:rPr>
        <w:t xml:space="preserve">- </w:t>
      </w:r>
      <w:r w:rsidRPr="001F1A8B">
        <w:rPr>
          <w:rFonts w:eastAsia="Calibri" w:cs="Times New Roman"/>
          <w:sz w:val="20"/>
          <w:szCs w:val="20"/>
        </w:rPr>
        <w:t xml:space="preserve">Does the mandatory minimum sentence of one year under s. 172.1(2)(a) of the </w:t>
      </w:r>
      <w:r w:rsidRPr="001F1A8B">
        <w:rPr>
          <w:rFonts w:eastAsia="Calibri" w:cs="Times New Roman"/>
          <w:i/>
          <w:sz w:val="20"/>
          <w:szCs w:val="20"/>
        </w:rPr>
        <w:t>Criminal Code</w:t>
      </w:r>
      <w:r w:rsidRPr="001F1A8B">
        <w:rPr>
          <w:rFonts w:eastAsia="Calibri" w:cs="Times New Roman"/>
          <w:sz w:val="20"/>
          <w:szCs w:val="20"/>
        </w:rPr>
        <w:t xml:space="preserve"> infringe s. 12 of </w:t>
      </w:r>
      <w:r w:rsidRPr="001F1A8B">
        <w:rPr>
          <w:rFonts w:eastAsia="Calibri" w:cs="Times New Roman"/>
          <w:i/>
          <w:sz w:val="20"/>
          <w:szCs w:val="20"/>
        </w:rPr>
        <w:t xml:space="preserve">the Charter of Rights </w:t>
      </w:r>
      <w:r w:rsidRPr="001F1A8B">
        <w:rPr>
          <w:rFonts w:eastAsia="Calibri" w:cs="Times New Roman"/>
          <w:sz w:val="20"/>
          <w:szCs w:val="20"/>
          <w:lang w:val="en-US"/>
        </w:rPr>
        <w:t xml:space="preserve">- </w:t>
      </w:r>
      <w:r w:rsidRPr="001F1A8B">
        <w:rPr>
          <w:rFonts w:eastAsia="Calibri" w:cs="Times New Roman"/>
          <w:i/>
          <w:sz w:val="20"/>
          <w:szCs w:val="20"/>
          <w:lang w:val="en-US"/>
        </w:rPr>
        <w:t>Canadian Charter of Rights and Freedoms</w:t>
      </w:r>
      <w:r w:rsidRPr="001F1A8B">
        <w:rPr>
          <w:rFonts w:eastAsia="Calibri" w:cs="Times New Roman"/>
          <w:sz w:val="20"/>
          <w:szCs w:val="20"/>
          <w:lang w:val="en-US"/>
        </w:rPr>
        <w:t xml:space="preserve">, ss. 1, 11(d), 12; </w:t>
      </w:r>
      <w:r w:rsidRPr="001F1A8B">
        <w:rPr>
          <w:rFonts w:eastAsia="Calibri" w:cs="Times New Roman"/>
          <w:i/>
          <w:sz w:val="20"/>
          <w:szCs w:val="20"/>
          <w:lang w:val="en"/>
        </w:rPr>
        <w:t>Constitution Act, 1982</w:t>
      </w:r>
      <w:r w:rsidRPr="001F1A8B">
        <w:rPr>
          <w:rFonts w:eastAsia="Calibri" w:cs="Times New Roman"/>
          <w:sz w:val="20"/>
          <w:szCs w:val="20"/>
          <w:lang w:val="en"/>
        </w:rPr>
        <w:t>, s. 52(1).</w:t>
      </w:r>
    </w:p>
    <w:p w:rsidR="001F1A8B" w:rsidRPr="001F1A8B" w:rsidRDefault="001F1A8B" w:rsidP="001F1A8B">
      <w:pPr>
        <w:widowControl w:val="0"/>
        <w:spacing w:afterLines="20" w:after="48" w:line="259" w:lineRule="auto"/>
        <w:ind w:left="1440" w:hanging="1440"/>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lang w:val="en"/>
        </w:rPr>
      </w:pPr>
      <w:r w:rsidRPr="001F1A8B">
        <w:rPr>
          <w:rFonts w:eastAsia="Calibri" w:cs="Times New Roman"/>
          <w:sz w:val="20"/>
          <w:szCs w:val="20"/>
          <w:lang w:val="en"/>
        </w:rPr>
        <w:t xml:space="preserve">The respondent posted a personal advertisement on the website “Craigslist” in the section “casual encounters.” It was entitled: “Daddy looking for his little girl </w:t>
      </w:r>
      <w:r w:rsidRPr="001F1A8B">
        <w:rPr>
          <w:rFonts w:eastAsia="Calibri" w:cs="Times New Roman"/>
          <w:sz w:val="20"/>
          <w:szCs w:val="20"/>
          <w:lang w:val="en-US"/>
        </w:rPr>
        <w:t>-</w:t>
      </w:r>
      <w:r w:rsidRPr="001F1A8B">
        <w:rPr>
          <w:rFonts w:eastAsia="Calibri" w:cs="Times New Roman"/>
          <w:sz w:val="20"/>
          <w:szCs w:val="20"/>
          <w:lang w:val="en"/>
        </w:rPr>
        <w:t xml:space="preserve"> m4w </w:t>
      </w:r>
      <w:r w:rsidRPr="001F1A8B">
        <w:rPr>
          <w:rFonts w:eastAsia="Calibri" w:cs="Times New Roman"/>
          <w:sz w:val="20"/>
          <w:szCs w:val="20"/>
          <w:lang w:val="en-US"/>
        </w:rPr>
        <w:t>-</w:t>
      </w:r>
      <w:r w:rsidRPr="001F1A8B">
        <w:rPr>
          <w:rFonts w:eastAsia="Calibri" w:cs="Times New Roman"/>
          <w:sz w:val="20"/>
          <w:szCs w:val="20"/>
          <w:lang w:val="en"/>
        </w:rPr>
        <w:t xml:space="preserve"> 45 (Brampton)”. A person calling herself “Mia Andrews” responded to the ad, writing that she was 14 years old. Unbeknownst to the respondent, “Mia” was in fact a police officer. The police officer was reviewing internet ads on Craigslist to identify those that made arrangements for sexual encounters with underage persons. She generated the profile for the fictitious “Mia” and participated in the sexual conversations with the respondent, representing to him that she was 14. The respondent also suggested that they meet in person, however that meeting did not take place. The respondent testified that he thought he was participating in a sexual role-playing exchange with an adult female.</w:t>
      </w:r>
    </w:p>
    <w:p w:rsidR="001F1A8B" w:rsidRPr="001F1A8B" w:rsidRDefault="001F1A8B" w:rsidP="001F1A8B">
      <w:pPr>
        <w:spacing w:afterLines="20" w:after="48" w:line="259" w:lineRule="auto"/>
        <w:jc w:val="both"/>
        <w:rPr>
          <w:rFonts w:eastAsia="Calibri" w:cs="Times New Roman"/>
          <w:sz w:val="20"/>
          <w:szCs w:val="20"/>
          <w:lang w:val="en"/>
        </w:rPr>
      </w:pPr>
    </w:p>
    <w:p w:rsidR="001F1A8B" w:rsidRPr="001F1A8B" w:rsidRDefault="001F1A8B" w:rsidP="001F1A8B">
      <w:pPr>
        <w:shd w:val="clear" w:color="auto" w:fill="FFFFFF"/>
        <w:spacing w:before="120" w:afterLines="20" w:after="48"/>
        <w:jc w:val="both"/>
        <w:rPr>
          <w:rFonts w:eastAsia="Times New Roman" w:cs="Times New Roman"/>
          <w:sz w:val="20"/>
          <w:szCs w:val="20"/>
          <w:lang w:val="en"/>
        </w:rPr>
      </w:pPr>
      <w:r w:rsidRPr="001F1A8B">
        <w:rPr>
          <w:rFonts w:eastAsia="Times New Roman" w:cs="Times New Roman"/>
          <w:sz w:val="20"/>
          <w:szCs w:val="20"/>
          <w:lang w:val="en"/>
        </w:rPr>
        <w:t xml:space="preserve">The trial judge held that s. 172.1(3) of the </w:t>
      </w:r>
      <w:r w:rsidRPr="001F1A8B">
        <w:rPr>
          <w:rFonts w:eastAsia="Times New Roman" w:cs="Times New Roman"/>
          <w:i/>
          <w:sz w:val="20"/>
          <w:szCs w:val="20"/>
          <w:lang w:val="en"/>
        </w:rPr>
        <w:t>Criminal Code</w:t>
      </w:r>
      <w:r w:rsidRPr="001F1A8B">
        <w:rPr>
          <w:rFonts w:eastAsia="Times New Roman" w:cs="Times New Roman"/>
          <w:sz w:val="20"/>
          <w:szCs w:val="20"/>
        </w:rPr>
        <w:t xml:space="preserve">, R.S.C. 1985, </w:t>
      </w:r>
      <w:proofErr w:type="gramStart"/>
      <w:r w:rsidRPr="001F1A8B">
        <w:rPr>
          <w:rFonts w:eastAsia="Times New Roman" w:cs="Times New Roman"/>
          <w:sz w:val="20"/>
          <w:szCs w:val="20"/>
        </w:rPr>
        <w:t>c</w:t>
      </w:r>
      <w:proofErr w:type="gramEnd"/>
      <w:r w:rsidRPr="001F1A8B">
        <w:rPr>
          <w:rFonts w:eastAsia="Times New Roman" w:cs="Times New Roman"/>
          <w:sz w:val="20"/>
          <w:szCs w:val="20"/>
        </w:rPr>
        <w:t xml:space="preserve">. C-46 </w:t>
      </w:r>
      <w:r w:rsidRPr="001F1A8B">
        <w:rPr>
          <w:rFonts w:eastAsia="Times New Roman" w:cs="Times New Roman"/>
          <w:sz w:val="20"/>
          <w:szCs w:val="20"/>
          <w:lang w:val="en-US"/>
        </w:rPr>
        <w:t>-</w:t>
      </w:r>
      <w:r w:rsidRPr="001F1A8B">
        <w:rPr>
          <w:rFonts w:eastAsia="Times New Roman" w:cs="Times New Roman"/>
          <w:sz w:val="20"/>
          <w:szCs w:val="20"/>
          <w:lang w:val="en"/>
        </w:rPr>
        <w:t xml:space="preserve"> the presumption of belief </w:t>
      </w:r>
      <w:r w:rsidRPr="001F1A8B">
        <w:rPr>
          <w:rFonts w:eastAsia="Times New Roman" w:cs="Times New Roman"/>
          <w:sz w:val="20"/>
          <w:szCs w:val="20"/>
          <w:lang w:val="en-US"/>
        </w:rPr>
        <w:t>-</w:t>
      </w:r>
      <w:r w:rsidRPr="001F1A8B">
        <w:rPr>
          <w:rFonts w:eastAsia="Times New Roman" w:cs="Times New Roman"/>
          <w:sz w:val="20"/>
          <w:szCs w:val="20"/>
          <w:lang w:val="en"/>
        </w:rPr>
        <w:t xml:space="preserve"> infringed the respondent’s s. 11(d) </w:t>
      </w:r>
      <w:r w:rsidRPr="001F1A8B">
        <w:rPr>
          <w:rFonts w:eastAsia="Times New Roman" w:cs="Times New Roman"/>
          <w:i/>
          <w:sz w:val="20"/>
          <w:szCs w:val="20"/>
          <w:lang w:val="en"/>
        </w:rPr>
        <w:t xml:space="preserve">Charter </w:t>
      </w:r>
      <w:r w:rsidRPr="001F1A8B">
        <w:rPr>
          <w:rFonts w:eastAsia="Times New Roman" w:cs="Times New Roman"/>
          <w:sz w:val="20"/>
          <w:szCs w:val="20"/>
          <w:lang w:val="en"/>
        </w:rPr>
        <w:t xml:space="preserve">right. However, the trial judge held that the reasonable steps requirement in subsection 172.1(4) of the </w:t>
      </w:r>
      <w:r w:rsidRPr="001F1A8B">
        <w:rPr>
          <w:rFonts w:eastAsia="Times New Roman" w:cs="Times New Roman"/>
          <w:i/>
          <w:sz w:val="20"/>
          <w:szCs w:val="20"/>
          <w:lang w:val="en"/>
        </w:rPr>
        <w:t>Code</w:t>
      </w:r>
      <w:r w:rsidRPr="001F1A8B">
        <w:rPr>
          <w:rFonts w:eastAsia="Times New Roman" w:cs="Times New Roman"/>
          <w:sz w:val="20"/>
          <w:szCs w:val="20"/>
          <w:lang w:val="en"/>
        </w:rPr>
        <w:t xml:space="preserve"> is constitutionally valid and did not violate s. 7 of the </w:t>
      </w:r>
      <w:r w:rsidRPr="001F1A8B">
        <w:rPr>
          <w:rFonts w:eastAsia="Times New Roman" w:cs="Times New Roman"/>
          <w:i/>
          <w:sz w:val="20"/>
          <w:szCs w:val="20"/>
          <w:lang w:val="en"/>
        </w:rPr>
        <w:t>Charter</w:t>
      </w:r>
      <w:r w:rsidRPr="001F1A8B">
        <w:rPr>
          <w:rFonts w:eastAsia="Times New Roman" w:cs="Times New Roman"/>
          <w:sz w:val="20"/>
          <w:szCs w:val="20"/>
          <w:lang w:val="en"/>
        </w:rPr>
        <w:t xml:space="preserve">. The trial judge concluded, however, that the Crown had proven the elements of the child luring offence even without the benefit of the presumption of belief in age. The trial judge was satisfied beyond a reasonable doubt that the respondent did not take reasonable steps to ascertain the age of the person he was communicating with over the internet as required by s. 172 (4) of the </w:t>
      </w:r>
      <w:r w:rsidRPr="001F1A8B">
        <w:rPr>
          <w:rFonts w:eastAsia="Times New Roman" w:cs="Times New Roman"/>
          <w:i/>
          <w:sz w:val="20"/>
          <w:szCs w:val="20"/>
          <w:lang w:val="en"/>
        </w:rPr>
        <w:t>Code</w:t>
      </w:r>
      <w:r w:rsidRPr="001F1A8B">
        <w:rPr>
          <w:rFonts w:eastAsia="Times New Roman" w:cs="Times New Roman"/>
          <w:sz w:val="20"/>
          <w:szCs w:val="20"/>
          <w:lang w:val="en"/>
        </w:rPr>
        <w:t>. The respondent was convicted of child luring by means of a computer contrary to s. 172.1(1</w:t>
      </w:r>
      <w:proofErr w:type="gramStart"/>
      <w:r w:rsidRPr="001F1A8B">
        <w:rPr>
          <w:rFonts w:eastAsia="Times New Roman" w:cs="Times New Roman"/>
          <w:sz w:val="20"/>
          <w:szCs w:val="20"/>
          <w:lang w:val="en"/>
        </w:rPr>
        <w:t>)(</w:t>
      </w:r>
      <w:proofErr w:type="gramEnd"/>
      <w:r w:rsidRPr="001F1A8B">
        <w:rPr>
          <w:rFonts w:eastAsia="Times New Roman" w:cs="Times New Roman"/>
          <w:sz w:val="20"/>
          <w:szCs w:val="20"/>
          <w:lang w:val="en"/>
        </w:rPr>
        <w:t xml:space="preserve">b) of the </w:t>
      </w:r>
      <w:r w:rsidRPr="001F1A8B">
        <w:rPr>
          <w:rFonts w:eastAsia="Times New Roman" w:cs="Times New Roman"/>
          <w:i/>
          <w:sz w:val="20"/>
          <w:szCs w:val="20"/>
          <w:lang w:val="en"/>
        </w:rPr>
        <w:t>Code</w:t>
      </w:r>
      <w:r w:rsidRPr="001F1A8B">
        <w:rPr>
          <w:rFonts w:eastAsia="Times New Roman" w:cs="Times New Roman"/>
          <w:sz w:val="20"/>
          <w:szCs w:val="20"/>
          <w:lang w:val="en"/>
        </w:rPr>
        <w:t>. The designated offence referred to in s. 172.1(1</w:t>
      </w:r>
      <w:proofErr w:type="gramStart"/>
      <w:r w:rsidRPr="001F1A8B">
        <w:rPr>
          <w:rFonts w:eastAsia="Times New Roman" w:cs="Times New Roman"/>
          <w:sz w:val="20"/>
          <w:szCs w:val="20"/>
          <w:lang w:val="en"/>
        </w:rPr>
        <w:t>)(</w:t>
      </w:r>
      <w:proofErr w:type="gramEnd"/>
      <w:r w:rsidRPr="001F1A8B">
        <w:rPr>
          <w:rFonts w:eastAsia="Times New Roman" w:cs="Times New Roman"/>
          <w:sz w:val="20"/>
          <w:szCs w:val="20"/>
          <w:lang w:val="en"/>
        </w:rPr>
        <w:t xml:space="preserve">b) that formed the basis of the respondent’s conviction was invitation to sexual touching a person under 16 years of age, contrary to s. 152 of the </w:t>
      </w:r>
      <w:r w:rsidRPr="001F1A8B">
        <w:rPr>
          <w:rFonts w:eastAsia="Times New Roman" w:cs="Times New Roman"/>
          <w:i/>
          <w:sz w:val="20"/>
          <w:szCs w:val="20"/>
          <w:lang w:val="en"/>
        </w:rPr>
        <w:t>Code</w:t>
      </w:r>
      <w:r w:rsidRPr="001F1A8B">
        <w:rPr>
          <w:rFonts w:eastAsia="Times New Roman" w:cs="Times New Roman"/>
          <w:sz w:val="20"/>
          <w:szCs w:val="20"/>
          <w:lang w:val="en"/>
        </w:rPr>
        <w:t>. The sentencing judge held that the mandatory minimum sentence in s. 172.1(2</w:t>
      </w:r>
      <w:proofErr w:type="gramStart"/>
      <w:r w:rsidRPr="001F1A8B">
        <w:rPr>
          <w:rFonts w:eastAsia="Times New Roman" w:cs="Times New Roman"/>
          <w:sz w:val="20"/>
          <w:szCs w:val="20"/>
          <w:lang w:val="en"/>
        </w:rPr>
        <w:t>)(</w:t>
      </w:r>
      <w:proofErr w:type="gramEnd"/>
      <w:r w:rsidRPr="001F1A8B">
        <w:rPr>
          <w:rFonts w:eastAsia="Times New Roman" w:cs="Times New Roman"/>
          <w:sz w:val="20"/>
          <w:szCs w:val="20"/>
          <w:lang w:val="en"/>
        </w:rPr>
        <w:t xml:space="preserve">a) of the </w:t>
      </w:r>
      <w:r w:rsidRPr="001F1A8B">
        <w:rPr>
          <w:rFonts w:eastAsia="Times New Roman" w:cs="Times New Roman"/>
          <w:i/>
          <w:sz w:val="20"/>
          <w:szCs w:val="20"/>
          <w:lang w:val="en"/>
        </w:rPr>
        <w:t xml:space="preserve">Code </w:t>
      </w:r>
      <w:r w:rsidRPr="001F1A8B">
        <w:rPr>
          <w:rFonts w:eastAsia="Times New Roman" w:cs="Times New Roman"/>
          <w:sz w:val="20"/>
          <w:szCs w:val="20"/>
          <w:lang w:val="en"/>
        </w:rPr>
        <w:t xml:space="preserve">was grossly disproportionate and contrary to s. 12 of the </w:t>
      </w:r>
      <w:r w:rsidRPr="001F1A8B">
        <w:rPr>
          <w:rFonts w:eastAsia="Times New Roman" w:cs="Times New Roman"/>
          <w:i/>
          <w:sz w:val="20"/>
          <w:szCs w:val="20"/>
          <w:lang w:val="en"/>
        </w:rPr>
        <w:t>Charter</w:t>
      </w:r>
      <w:r w:rsidRPr="001F1A8B">
        <w:rPr>
          <w:rFonts w:eastAsia="Times New Roman" w:cs="Times New Roman"/>
          <w:sz w:val="20"/>
          <w:szCs w:val="20"/>
          <w:lang w:val="en"/>
        </w:rPr>
        <w:t xml:space="preserve">. The sentencing judge held that, in the absence of the mandatory minimum, he would have imposed a sentence of four months imprisonment, followed by a period of probation. The Court of Appeal dismissed both the respondent’s and the appellant’s appeals. The Court of Appeal agreed with the trial judge’s conclusions regarding the constitutionality of each of the </w:t>
      </w:r>
      <w:r w:rsidRPr="001F1A8B">
        <w:rPr>
          <w:rFonts w:eastAsia="Times New Roman" w:cs="Times New Roman"/>
          <w:i/>
          <w:iCs/>
          <w:sz w:val="20"/>
          <w:szCs w:val="20"/>
          <w:lang w:val="en"/>
        </w:rPr>
        <w:t>Code</w:t>
      </w:r>
      <w:r w:rsidRPr="001F1A8B">
        <w:rPr>
          <w:rFonts w:eastAsia="Times New Roman" w:cs="Times New Roman"/>
          <w:iCs/>
          <w:sz w:val="20"/>
          <w:szCs w:val="20"/>
          <w:lang w:val="en"/>
        </w:rPr>
        <w:t xml:space="preserve"> </w:t>
      </w:r>
      <w:r w:rsidRPr="001F1A8B">
        <w:rPr>
          <w:rFonts w:eastAsia="Times New Roman" w:cs="Times New Roman"/>
          <w:sz w:val="20"/>
          <w:szCs w:val="20"/>
          <w:lang w:val="en"/>
        </w:rPr>
        <w:t xml:space="preserve">provisions.  The Court of Appeal held that the mandatory minimum sentence of </w:t>
      </w:r>
      <w:r w:rsidRPr="001F1A8B">
        <w:rPr>
          <w:rFonts w:eastAsia="Times New Roman" w:cs="Times New Roman"/>
          <w:sz w:val="20"/>
          <w:szCs w:val="20"/>
          <w:lang w:val="en"/>
        </w:rPr>
        <w:lastRenderedPageBreak/>
        <w:t xml:space="preserve">one year of imprisonment contained in s. 172.1(2)(a) of the </w:t>
      </w:r>
      <w:r w:rsidRPr="001F1A8B">
        <w:rPr>
          <w:rFonts w:eastAsia="Times New Roman" w:cs="Times New Roman"/>
          <w:i/>
          <w:iCs/>
          <w:sz w:val="20"/>
          <w:szCs w:val="20"/>
          <w:lang w:val="en"/>
        </w:rPr>
        <w:t>Code</w:t>
      </w:r>
      <w:r w:rsidRPr="001F1A8B">
        <w:rPr>
          <w:rFonts w:eastAsia="Times New Roman" w:cs="Times New Roman"/>
          <w:sz w:val="20"/>
          <w:szCs w:val="20"/>
          <w:lang w:val="en"/>
        </w:rPr>
        <w:t xml:space="preserve"> is therefore of no force or effect pursuant to s. 52(1) of the </w:t>
      </w:r>
      <w:r w:rsidRPr="001F1A8B">
        <w:rPr>
          <w:rFonts w:eastAsia="Times New Roman" w:cs="Times New Roman"/>
          <w:i/>
          <w:sz w:val="20"/>
          <w:szCs w:val="20"/>
          <w:lang w:val="en"/>
        </w:rPr>
        <w:t>Constitution Act, 1982</w:t>
      </w:r>
      <w:r w:rsidRPr="001F1A8B">
        <w:rPr>
          <w:rFonts w:eastAsia="Times New Roman" w:cs="Times New Roman"/>
          <w:sz w:val="20"/>
          <w:szCs w:val="20"/>
          <w:lang w:val="en"/>
        </w:rPr>
        <w:t xml:space="preserve">.  </w:t>
      </w:r>
    </w:p>
    <w:p w:rsidR="001F1A8B" w:rsidRPr="001F1A8B" w:rsidRDefault="001F1A8B" w:rsidP="001F1A8B">
      <w:pPr>
        <w:spacing w:afterLines="20" w:after="48" w:line="259" w:lineRule="auto"/>
        <w:jc w:val="both"/>
        <w:rPr>
          <w:rFonts w:eastAsia="Calibri" w:cs="Times New Roman"/>
          <w:sz w:val="20"/>
          <w:szCs w:val="20"/>
          <w:lang w:val="en"/>
        </w:rPr>
      </w:pPr>
    </w:p>
    <w:p w:rsidR="001F1A8B" w:rsidRPr="001F1A8B" w:rsidRDefault="001F1A8B" w:rsidP="001F1A8B">
      <w:pPr>
        <w:widowControl w:val="0"/>
        <w:spacing w:afterLines="20" w:after="48"/>
        <w:ind w:left="1440" w:hanging="1440"/>
        <w:jc w:val="both"/>
        <w:rPr>
          <w:rFonts w:eastAsia="Calibri" w:cs="Times New Roman"/>
          <w:b/>
          <w:i/>
          <w:sz w:val="20"/>
          <w:szCs w:val="20"/>
          <w:lang w:val="fr-CA"/>
        </w:rPr>
      </w:pPr>
      <w:r w:rsidRPr="001F1A8B">
        <w:rPr>
          <w:rFonts w:eastAsia="Calibri" w:cs="Times New Roman"/>
          <w:b/>
          <w:sz w:val="20"/>
          <w:szCs w:val="20"/>
          <w:lang w:val="fr-CA"/>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fr-CA"/>
        </w:rPr>
        <w:fldChar w:fldCharType="end"/>
      </w:r>
      <w:r w:rsidRPr="001F1A8B">
        <w:rPr>
          <w:rFonts w:eastAsia="Calibri" w:cs="Times New Roman"/>
          <w:b/>
          <w:sz w:val="20"/>
          <w:szCs w:val="20"/>
          <w:lang w:val="fr-CA"/>
        </w:rPr>
        <w:t>37687</w:t>
      </w:r>
      <w:r w:rsidRPr="001F1A8B">
        <w:rPr>
          <w:rFonts w:eastAsia="Calibri" w:cs="Times New Roman"/>
          <w:sz w:val="20"/>
          <w:szCs w:val="20"/>
          <w:lang w:val="fr-CA"/>
        </w:rPr>
        <w:tab/>
      </w:r>
      <w:r w:rsidRPr="001F1A8B">
        <w:rPr>
          <w:rFonts w:eastAsia="Calibri" w:cs="Times New Roman"/>
          <w:b/>
          <w:i/>
          <w:sz w:val="20"/>
          <w:szCs w:val="20"/>
          <w:lang w:val="fr-CA"/>
        </w:rPr>
        <w:t>Sa Majesté la Reine c. Douglas Morrison</w:t>
      </w:r>
    </w:p>
    <w:p w:rsidR="001F1A8B" w:rsidRPr="001F1A8B" w:rsidRDefault="001F1A8B" w:rsidP="001F1A8B">
      <w:pPr>
        <w:widowControl w:val="0"/>
        <w:spacing w:afterLines="20" w:after="48"/>
        <w:ind w:left="1440" w:hanging="1440"/>
        <w:jc w:val="both"/>
        <w:rPr>
          <w:rFonts w:eastAsia="Calibri" w:cs="Times New Roman"/>
          <w:sz w:val="20"/>
          <w:szCs w:val="20"/>
          <w:lang w:val="fr-CA"/>
        </w:rPr>
      </w:pPr>
      <w:r w:rsidRPr="001F1A8B">
        <w:rPr>
          <w:rFonts w:eastAsia="Calibri" w:cs="Times New Roman"/>
          <w:sz w:val="20"/>
          <w:szCs w:val="20"/>
          <w:lang w:val="fr-CA"/>
        </w:rPr>
        <w:tab/>
        <w:t>(Ont.) (Criminelle) (Sur autorisation)</w:t>
      </w:r>
    </w:p>
    <w:p w:rsidR="001F1A8B" w:rsidRPr="001F1A8B" w:rsidRDefault="001F1A8B" w:rsidP="001F1A8B">
      <w:pPr>
        <w:spacing w:afterLines="20" w:after="48" w:line="259" w:lineRule="auto"/>
        <w:jc w:val="both"/>
        <w:rPr>
          <w:rFonts w:eastAsia="Calibri" w:cs="Times New Roman"/>
          <w:i/>
          <w:sz w:val="20"/>
          <w:szCs w:val="20"/>
          <w:lang w:val="fr-CA"/>
        </w:rPr>
      </w:pPr>
    </w:p>
    <w:p w:rsidR="001F1A8B" w:rsidRPr="001F1A8B" w:rsidRDefault="001F1A8B" w:rsidP="001F1A8B">
      <w:pPr>
        <w:spacing w:afterLines="20" w:after="48"/>
        <w:jc w:val="both"/>
        <w:rPr>
          <w:rFonts w:eastAsia="Calibri" w:cs="Times New Roman"/>
          <w:sz w:val="20"/>
          <w:szCs w:val="20"/>
          <w:lang w:val="fr-CA"/>
        </w:rPr>
      </w:pPr>
      <w:r w:rsidRPr="001F1A8B">
        <w:rPr>
          <w:rFonts w:eastAsia="Calibri" w:cs="Times New Roman"/>
          <w:i/>
          <w:sz w:val="20"/>
          <w:szCs w:val="20"/>
          <w:lang w:val="fr-CA"/>
        </w:rPr>
        <w:t>Charte des droits</w:t>
      </w:r>
      <w:r w:rsidRPr="001F1A8B">
        <w:rPr>
          <w:rFonts w:eastAsia="Calibri" w:cs="Times New Roman"/>
          <w:sz w:val="20"/>
          <w:szCs w:val="20"/>
          <w:lang w:val="fr-CA"/>
        </w:rPr>
        <w:t xml:space="preserve"> - Droit constitutionnel - Droit criminel - Présomption d’innocence - Peine cruelle et inusitée - Détermination de la peine - Leurre d’enfant - La présomption de croyance en l’âge prévue au </w:t>
      </w:r>
      <w:proofErr w:type="spellStart"/>
      <w:r w:rsidRPr="001F1A8B">
        <w:rPr>
          <w:rFonts w:eastAsia="Calibri" w:cs="Times New Roman"/>
          <w:sz w:val="20"/>
          <w:szCs w:val="20"/>
          <w:lang w:val="fr-CA"/>
        </w:rPr>
        <w:t>par</w:t>
      </w:r>
      <w:proofErr w:type="spellEnd"/>
      <w:r w:rsidRPr="001F1A8B">
        <w:rPr>
          <w:rFonts w:eastAsia="Calibri" w:cs="Times New Roman"/>
          <w:sz w:val="20"/>
          <w:szCs w:val="20"/>
          <w:lang w:val="fr-CA"/>
        </w:rPr>
        <w:t xml:space="preserve">. 172.1(3) du </w:t>
      </w:r>
      <w:r w:rsidRPr="001F1A8B">
        <w:rPr>
          <w:rFonts w:eastAsia="Calibri" w:cs="Times New Roman"/>
          <w:i/>
          <w:sz w:val="20"/>
          <w:szCs w:val="20"/>
          <w:lang w:val="fr-CA"/>
        </w:rPr>
        <w:t>Code criminel</w:t>
      </w:r>
      <w:r w:rsidRPr="001F1A8B">
        <w:rPr>
          <w:rFonts w:eastAsia="Calibri" w:cs="Times New Roman"/>
          <w:sz w:val="20"/>
          <w:szCs w:val="20"/>
          <w:lang w:val="fr-CA"/>
        </w:rPr>
        <w:t>, L.R.C. 1985, ch. C-46 viole-t-elle l’al. 11</w:t>
      </w:r>
      <w:r w:rsidRPr="001F1A8B">
        <w:rPr>
          <w:rFonts w:eastAsia="Calibri" w:cs="Times New Roman"/>
          <w:i/>
          <w:sz w:val="20"/>
          <w:szCs w:val="20"/>
          <w:lang w:val="fr-CA"/>
        </w:rPr>
        <w:t>d</w:t>
      </w:r>
      <w:r w:rsidRPr="001F1A8B">
        <w:rPr>
          <w:rFonts w:eastAsia="Calibri" w:cs="Times New Roman"/>
          <w:sz w:val="20"/>
          <w:szCs w:val="20"/>
          <w:lang w:val="fr-CA"/>
        </w:rPr>
        <w:t xml:space="preserve">) de la </w:t>
      </w:r>
      <w:r w:rsidRPr="001F1A8B">
        <w:rPr>
          <w:rFonts w:eastAsia="Calibri" w:cs="Times New Roman"/>
          <w:i/>
          <w:sz w:val="20"/>
          <w:szCs w:val="20"/>
          <w:lang w:val="fr-CA"/>
        </w:rPr>
        <w:t>Charte</w:t>
      </w:r>
      <w:r w:rsidRPr="001F1A8B">
        <w:rPr>
          <w:rFonts w:eastAsia="Calibri" w:cs="Times New Roman"/>
          <w:sz w:val="20"/>
          <w:szCs w:val="20"/>
          <w:lang w:val="fr-CA"/>
        </w:rPr>
        <w:t xml:space="preserve">? - Dans l’affirmative, s’agit-il d’une violation constituant une limite raisonnable prescrite par une règle de droit et dont la justification peut se démontrer dans une société libre et démocratique au sens de l’article premier de la </w:t>
      </w:r>
      <w:r w:rsidRPr="001F1A8B">
        <w:rPr>
          <w:rFonts w:eastAsia="Calibri" w:cs="Times New Roman"/>
          <w:i/>
          <w:sz w:val="20"/>
          <w:szCs w:val="20"/>
          <w:lang w:val="fr-CA"/>
        </w:rPr>
        <w:t>Charte des droits</w:t>
      </w:r>
      <w:r w:rsidRPr="001F1A8B">
        <w:rPr>
          <w:rFonts w:eastAsia="Calibri" w:cs="Times New Roman"/>
          <w:sz w:val="20"/>
          <w:szCs w:val="20"/>
          <w:lang w:val="fr-CA"/>
        </w:rPr>
        <w:t>? - La peine minimale obligatoire d’un an prescrite à l’al. 172.1(2)</w:t>
      </w:r>
      <w:r w:rsidRPr="001F1A8B">
        <w:rPr>
          <w:rFonts w:eastAsia="Calibri" w:cs="Times New Roman"/>
          <w:i/>
          <w:sz w:val="20"/>
          <w:szCs w:val="20"/>
          <w:lang w:val="fr-CA"/>
        </w:rPr>
        <w:t>a</w:t>
      </w:r>
      <w:r w:rsidRPr="001F1A8B">
        <w:rPr>
          <w:rFonts w:eastAsia="Calibri" w:cs="Times New Roman"/>
          <w:sz w:val="20"/>
          <w:szCs w:val="20"/>
          <w:lang w:val="fr-CA"/>
        </w:rPr>
        <w:t xml:space="preserve">) du </w:t>
      </w:r>
      <w:r w:rsidRPr="001F1A8B">
        <w:rPr>
          <w:rFonts w:eastAsia="Calibri" w:cs="Times New Roman"/>
          <w:i/>
          <w:sz w:val="20"/>
          <w:szCs w:val="20"/>
          <w:lang w:val="fr-CA"/>
        </w:rPr>
        <w:t>Code criminel</w:t>
      </w:r>
      <w:r w:rsidRPr="001F1A8B">
        <w:rPr>
          <w:rFonts w:eastAsia="Calibri" w:cs="Times New Roman"/>
          <w:sz w:val="20"/>
          <w:szCs w:val="20"/>
          <w:lang w:val="fr-CA"/>
        </w:rPr>
        <w:t xml:space="preserve"> viole-t-elle l’art. 12 de la </w:t>
      </w:r>
      <w:r w:rsidRPr="001F1A8B">
        <w:rPr>
          <w:rFonts w:eastAsia="Calibri" w:cs="Times New Roman"/>
          <w:i/>
          <w:sz w:val="20"/>
          <w:szCs w:val="20"/>
          <w:lang w:val="fr-CA"/>
        </w:rPr>
        <w:t>Charte des droits</w:t>
      </w:r>
      <w:r w:rsidRPr="001F1A8B">
        <w:rPr>
          <w:rFonts w:eastAsia="Calibri" w:cs="Times New Roman"/>
          <w:sz w:val="20"/>
          <w:szCs w:val="20"/>
          <w:lang w:val="fr-CA"/>
        </w:rPr>
        <w:t xml:space="preserve">? - </w:t>
      </w:r>
      <w:r w:rsidRPr="001F1A8B">
        <w:rPr>
          <w:rFonts w:eastAsia="Calibri" w:cs="Times New Roman"/>
          <w:i/>
          <w:sz w:val="20"/>
          <w:szCs w:val="20"/>
          <w:lang w:val="fr-CA"/>
        </w:rPr>
        <w:t>Charte canadienne des droits et libertés</w:t>
      </w:r>
      <w:r w:rsidRPr="001F1A8B">
        <w:rPr>
          <w:rFonts w:eastAsia="Calibri" w:cs="Times New Roman"/>
          <w:sz w:val="20"/>
          <w:szCs w:val="20"/>
          <w:lang w:val="fr-CA"/>
        </w:rPr>
        <w:t>, article premier, al. 11</w:t>
      </w:r>
      <w:r w:rsidRPr="001F1A8B">
        <w:rPr>
          <w:rFonts w:eastAsia="Calibri" w:cs="Times New Roman"/>
          <w:i/>
          <w:sz w:val="20"/>
          <w:szCs w:val="20"/>
          <w:lang w:val="fr-CA"/>
        </w:rPr>
        <w:t>d</w:t>
      </w:r>
      <w:r w:rsidRPr="001F1A8B">
        <w:rPr>
          <w:rFonts w:eastAsia="Calibri" w:cs="Times New Roman"/>
          <w:sz w:val="20"/>
          <w:szCs w:val="20"/>
          <w:lang w:val="fr-CA"/>
        </w:rPr>
        <w:t xml:space="preserve">), art. 12; </w:t>
      </w:r>
      <w:r w:rsidRPr="001F1A8B">
        <w:rPr>
          <w:rFonts w:eastAsia="Calibri" w:cs="Times New Roman"/>
          <w:i/>
          <w:sz w:val="20"/>
          <w:szCs w:val="20"/>
          <w:lang w:val="fr-CA"/>
        </w:rPr>
        <w:t>Loi constitutionnelle de 1982</w:t>
      </w:r>
      <w:r w:rsidRPr="001F1A8B">
        <w:rPr>
          <w:rFonts w:eastAsia="Calibri" w:cs="Times New Roman"/>
          <w:sz w:val="20"/>
          <w:szCs w:val="20"/>
          <w:lang w:val="fr-CA"/>
        </w:rPr>
        <w:t>, par. 52(1).</w:t>
      </w:r>
    </w:p>
    <w:p w:rsidR="001F1A8B" w:rsidRPr="001F1A8B" w:rsidRDefault="001F1A8B" w:rsidP="001F1A8B">
      <w:pPr>
        <w:spacing w:afterLines="20" w:after="48"/>
        <w:jc w:val="both"/>
        <w:rPr>
          <w:rFonts w:eastAsia="Calibri" w:cs="Times New Roman"/>
          <w:sz w:val="20"/>
          <w:szCs w:val="20"/>
          <w:lang w:val="fr-CA"/>
        </w:rPr>
      </w:pPr>
    </w:p>
    <w:p w:rsidR="001F1A8B" w:rsidRPr="001F1A8B" w:rsidRDefault="001F1A8B" w:rsidP="001F1A8B">
      <w:pPr>
        <w:spacing w:afterLines="20" w:after="48"/>
        <w:jc w:val="both"/>
        <w:rPr>
          <w:rFonts w:eastAsia="Calibri" w:cs="Times New Roman"/>
          <w:sz w:val="20"/>
          <w:szCs w:val="20"/>
          <w:lang w:val="fr-CA"/>
        </w:rPr>
      </w:pPr>
      <w:r w:rsidRPr="001F1A8B">
        <w:rPr>
          <w:rFonts w:eastAsia="Calibri" w:cs="Times New Roman"/>
          <w:sz w:val="20"/>
          <w:szCs w:val="20"/>
          <w:lang w:val="fr-CA"/>
        </w:rPr>
        <w:t>L’intimé a publié une annonce personnelle sur le site Web « </w:t>
      </w:r>
      <w:proofErr w:type="spellStart"/>
      <w:r w:rsidRPr="001F1A8B">
        <w:rPr>
          <w:rFonts w:eastAsia="Calibri" w:cs="Times New Roman"/>
          <w:sz w:val="20"/>
          <w:szCs w:val="20"/>
          <w:lang w:val="fr-CA"/>
        </w:rPr>
        <w:t>Craigslist</w:t>
      </w:r>
      <w:proofErr w:type="spellEnd"/>
      <w:r w:rsidRPr="001F1A8B">
        <w:rPr>
          <w:rFonts w:eastAsia="Calibri" w:cs="Times New Roman"/>
          <w:sz w:val="20"/>
          <w:szCs w:val="20"/>
          <w:lang w:val="fr-CA"/>
        </w:rPr>
        <w:t> » dans la section « brèves rencontres ». L’annonce était intitulée [</w:t>
      </w:r>
      <w:r w:rsidRPr="001F1A8B">
        <w:rPr>
          <w:rFonts w:eastAsia="Calibri" w:cs="Times New Roman"/>
          <w:smallCaps/>
          <w:sz w:val="20"/>
          <w:szCs w:val="20"/>
          <w:lang w:val="fr-CA"/>
        </w:rPr>
        <w:t>traduction</w:t>
      </w:r>
      <w:r w:rsidRPr="001F1A8B">
        <w:rPr>
          <w:rFonts w:eastAsia="Calibri" w:cs="Times New Roman"/>
          <w:sz w:val="20"/>
          <w:szCs w:val="20"/>
          <w:lang w:val="fr-CA"/>
        </w:rPr>
        <w:t xml:space="preserve">] « Papa à la recherche de sa petite fille - H </w:t>
      </w:r>
      <w:proofErr w:type="spellStart"/>
      <w:r w:rsidRPr="001F1A8B">
        <w:rPr>
          <w:rFonts w:eastAsia="Calibri" w:cs="Times New Roman"/>
          <w:sz w:val="20"/>
          <w:szCs w:val="20"/>
          <w:lang w:val="fr-CA"/>
        </w:rPr>
        <w:t>ch</w:t>
      </w:r>
      <w:proofErr w:type="spellEnd"/>
      <w:r w:rsidRPr="001F1A8B">
        <w:rPr>
          <w:rFonts w:eastAsia="Calibri" w:cs="Times New Roman"/>
          <w:sz w:val="20"/>
          <w:szCs w:val="20"/>
          <w:lang w:val="fr-CA"/>
        </w:rPr>
        <w:t xml:space="preserve"> F - 45 (Brampton) ». Une personne se présentant sous le nom de « Mia Andrews » a répondu à l’annonce, écrivant qu’elle était âgée de 14 ans. Ce que l’intimé ignorait, c’est que « Mia » était en fait une policière. La policière parcourait des annonces Internet sur </w:t>
      </w:r>
      <w:proofErr w:type="spellStart"/>
      <w:r w:rsidRPr="001F1A8B">
        <w:rPr>
          <w:rFonts w:eastAsia="Calibri" w:cs="Times New Roman"/>
          <w:sz w:val="20"/>
          <w:szCs w:val="20"/>
          <w:lang w:val="fr-CA"/>
        </w:rPr>
        <w:t>Craiglist</w:t>
      </w:r>
      <w:proofErr w:type="spellEnd"/>
      <w:r w:rsidRPr="001F1A8B">
        <w:rPr>
          <w:rFonts w:eastAsia="Calibri" w:cs="Times New Roman"/>
          <w:sz w:val="20"/>
          <w:szCs w:val="20"/>
          <w:lang w:val="fr-CA"/>
        </w:rPr>
        <w:t xml:space="preserve"> pour identifier celles qui organisaient des rencontres sexuelles avec des personnes mineures. Elle a créé un profil pour le personnage fictif de « Mia » et a participé à des conversations sexuelles avec l’intimé, lui disant qu’elle était âgée de 14 ans. L’intimé a en outre suggéré qu’ils se rencontrent en personne, mais cette rencontre n’a pas eu lieu. Dans son témoignage, l’intimé a affirmé croire qu’il participait à un jeu de rôles sexuels avec une femme adulte.</w:t>
      </w:r>
    </w:p>
    <w:p w:rsidR="001F1A8B" w:rsidRPr="001F1A8B" w:rsidRDefault="001F1A8B" w:rsidP="001F1A8B">
      <w:pPr>
        <w:shd w:val="clear" w:color="auto" w:fill="FFFFFF"/>
        <w:spacing w:before="120" w:afterLines="20" w:after="48"/>
        <w:jc w:val="both"/>
        <w:rPr>
          <w:rFonts w:eastAsia="Times New Roman" w:cs="Times New Roman"/>
          <w:sz w:val="20"/>
          <w:szCs w:val="20"/>
          <w:lang w:val="fr-CA"/>
        </w:rPr>
      </w:pPr>
    </w:p>
    <w:p w:rsidR="001F1A8B" w:rsidRPr="001F1A8B" w:rsidRDefault="001F1A8B" w:rsidP="001F1A8B">
      <w:pPr>
        <w:shd w:val="clear" w:color="auto" w:fill="FFFFFF"/>
        <w:spacing w:before="120" w:afterLines="20" w:after="48"/>
        <w:jc w:val="both"/>
        <w:rPr>
          <w:rFonts w:eastAsia="Times New Roman" w:cs="Times New Roman"/>
          <w:sz w:val="20"/>
          <w:szCs w:val="20"/>
          <w:lang w:val="fr-CA"/>
        </w:rPr>
      </w:pPr>
      <w:r w:rsidRPr="001F1A8B">
        <w:rPr>
          <w:rFonts w:eastAsia="Times New Roman" w:cs="Times New Roman"/>
          <w:sz w:val="20"/>
          <w:szCs w:val="20"/>
          <w:lang w:val="fr-CA"/>
        </w:rPr>
        <w:t xml:space="preserve">Selon le juge du procès, le par. 172.1(3) du </w:t>
      </w:r>
      <w:r w:rsidRPr="001F1A8B">
        <w:rPr>
          <w:rFonts w:eastAsia="Times New Roman" w:cs="Times New Roman"/>
          <w:i/>
          <w:sz w:val="20"/>
          <w:szCs w:val="20"/>
          <w:lang w:val="fr-CA"/>
        </w:rPr>
        <w:t>Code criminel</w:t>
      </w:r>
      <w:r w:rsidRPr="001F1A8B">
        <w:rPr>
          <w:rFonts w:eastAsia="Times New Roman" w:cs="Times New Roman"/>
          <w:sz w:val="20"/>
          <w:szCs w:val="20"/>
          <w:lang w:val="fr-CA"/>
        </w:rPr>
        <w:t>, L.R.C. 1985, ch. C-46, la présomption de croyance, portait atteinte au droit garanti à l’intimé par l’al. 11</w:t>
      </w:r>
      <w:r w:rsidRPr="001F1A8B">
        <w:rPr>
          <w:rFonts w:eastAsia="Times New Roman" w:cs="Times New Roman"/>
          <w:i/>
          <w:sz w:val="20"/>
          <w:szCs w:val="20"/>
          <w:lang w:val="fr-CA"/>
        </w:rPr>
        <w:t>d</w:t>
      </w:r>
      <w:r w:rsidRPr="001F1A8B">
        <w:rPr>
          <w:rFonts w:eastAsia="Times New Roman" w:cs="Times New Roman"/>
          <w:sz w:val="20"/>
          <w:szCs w:val="20"/>
          <w:lang w:val="fr-CA"/>
        </w:rPr>
        <w:t xml:space="preserve">) de la </w:t>
      </w:r>
      <w:r w:rsidRPr="001F1A8B">
        <w:rPr>
          <w:rFonts w:eastAsia="Times New Roman" w:cs="Times New Roman"/>
          <w:i/>
          <w:sz w:val="20"/>
          <w:szCs w:val="20"/>
          <w:lang w:val="fr-CA"/>
        </w:rPr>
        <w:t>Charte</w:t>
      </w:r>
      <w:r w:rsidRPr="001F1A8B">
        <w:rPr>
          <w:rFonts w:eastAsia="Times New Roman" w:cs="Times New Roman"/>
          <w:sz w:val="20"/>
          <w:szCs w:val="20"/>
          <w:lang w:val="fr-CA"/>
        </w:rPr>
        <w:t xml:space="preserve">. Par contre, il a statué que l’obligation de prendre des mesures raisonnables énoncée au </w:t>
      </w:r>
      <w:proofErr w:type="spellStart"/>
      <w:r w:rsidRPr="001F1A8B">
        <w:rPr>
          <w:rFonts w:eastAsia="Times New Roman" w:cs="Times New Roman"/>
          <w:sz w:val="20"/>
          <w:szCs w:val="20"/>
          <w:lang w:val="fr-CA"/>
        </w:rPr>
        <w:t>par</w:t>
      </w:r>
      <w:proofErr w:type="spellEnd"/>
      <w:r w:rsidRPr="001F1A8B">
        <w:rPr>
          <w:rFonts w:eastAsia="Times New Roman" w:cs="Times New Roman"/>
          <w:sz w:val="20"/>
          <w:szCs w:val="20"/>
          <w:lang w:val="fr-CA"/>
        </w:rPr>
        <w:t xml:space="preserve">. 172.1(4) du </w:t>
      </w:r>
      <w:r w:rsidRPr="001F1A8B">
        <w:rPr>
          <w:rFonts w:eastAsia="Times New Roman" w:cs="Times New Roman"/>
          <w:i/>
          <w:sz w:val="20"/>
          <w:szCs w:val="20"/>
          <w:lang w:val="fr-CA"/>
        </w:rPr>
        <w:t>Code</w:t>
      </w:r>
      <w:r w:rsidRPr="001F1A8B">
        <w:rPr>
          <w:rFonts w:eastAsia="Times New Roman" w:cs="Times New Roman"/>
          <w:sz w:val="20"/>
          <w:szCs w:val="20"/>
          <w:lang w:val="fr-CA"/>
        </w:rPr>
        <w:t xml:space="preserve"> était constitutionnellement valide et ne violait pas l’art. 7 de la </w:t>
      </w:r>
      <w:r w:rsidRPr="001F1A8B">
        <w:rPr>
          <w:rFonts w:eastAsia="Times New Roman" w:cs="Times New Roman"/>
          <w:i/>
          <w:sz w:val="20"/>
          <w:szCs w:val="20"/>
          <w:lang w:val="fr-CA"/>
        </w:rPr>
        <w:t>Charte</w:t>
      </w:r>
      <w:r w:rsidRPr="001F1A8B">
        <w:rPr>
          <w:rFonts w:eastAsia="Times New Roman" w:cs="Times New Roman"/>
          <w:sz w:val="20"/>
          <w:szCs w:val="20"/>
          <w:lang w:val="fr-CA"/>
        </w:rPr>
        <w:t xml:space="preserve">. Il a toutefois conclu que le ministère public avait prouvé les éléments de l’infraction de leurre d’enfant même sans invoquer la présomption de croyance quant à l’âge. Il était convaincu hors de tout doute raisonnable que l’intimé n’avait pas pris de mesures raisonnables pour s’assurer de l’âge de la personne avec qui il communiquait sur Internet, comme l’exige le par. 172(4) du </w:t>
      </w:r>
      <w:r w:rsidRPr="001F1A8B">
        <w:rPr>
          <w:rFonts w:eastAsia="Times New Roman" w:cs="Times New Roman"/>
          <w:i/>
          <w:sz w:val="20"/>
          <w:szCs w:val="20"/>
          <w:lang w:val="fr-CA"/>
        </w:rPr>
        <w:t>Code</w:t>
      </w:r>
      <w:r w:rsidRPr="001F1A8B">
        <w:rPr>
          <w:rFonts w:eastAsia="Times New Roman" w:cs="Times New Roman"/>
          <w:sz w:val="20"/>
          <w:szCs w:val="20"/>
          <w:lang w:val="fr-CA"/>
        </w:rPr>
        <w:t>. L’intimé a été reconnu coupable de leurre d’enfant au moyen d’un ordinateur, une infraction à l’al. 172.1(1)</w:t>
      </w:r>
      <w:r w:rsidRPr="001F1A8B">
        <w:rPr>
          <w:rFonts w:eastAsia="Times New Roman" w:cs="Times New Roman"/>
          <w:i/>
          <w:sz w:val="20"/>
          <w:szCs w:val="20"/>
          <w:lang w:val="fr-CA"/>
        </w:rPr>
        <w:t>b</w:t>
      </w:r>
      <w:r w:rsidRPr="001F1A8B">
        <w:rPr>
          <w:rFonts w:eastAsia="Times New Roman" w:cs="Times New Roman"/>
          <w:sz w:val="20"/>
          <w:szCs w:val="20"/>
          <w:lang w:val="fr-CA"/>
        </w:rPr>
        <w:t xml:space="preserve">) du </w:t>
      </w:r>
      <w:r w:rsidRPr="001F1A8B">
        <w:rPr>
          <w:rFonts w:eastAsia="Times New Roman" w:cs="Times New Roman"/>
          <w:i/>
          <w:sz w:val="20"/>
          <w:szCs w:val="20"/>
          <w:lang w:val="fr-CA"/>
        </w:rPr>
        <w:t>Code</w:t>
      </w:r>
      <w:r w:rsidRPr="001F1A8B">
        <w:rPr>
          <w:rFonts w:eastAsia="Times New Roman" w:cs="Times New Roman"/>
          <w:sz w:val="20"/>
          <w:szCs w:val="20"/>
          <w:lang w:val="fr-CA"/>
        </w:rPr>
        <w:t xml:space="preserve">. L’infraction désignée dont il est question à cet alinéa et sur laquelle reposait la déclaration de culpabilité de l’intimé était le fait d’avoir invité une personne âgée de moins de 16 ans à avoir des contacts sexuels, contrairement à l’art. 152 du </w:t>
      </w:r>
      <w:r w:rsidRPr="001F1A8B">
        <w:rPr>
          <w:rFonts w:eastAsia="Times New Roman" w:cs="Times New Roman"/>
          <w:i/>
          <w:sz w:val="20"/>
          <w:szCs w:val="20"/>
          <w:lang w:val="fr-CA"/>
        </w:rPr>
        <w:t>Code</w:t>
      </w:r>
      <w:r w:rsidRPr="001F1A8B">
        <w:rPr>
          <w:rFonts w:eastAsia="Times New Roman" w:cs="Times New Roman"/>
          <w:sz w:val="20"/>
          <w:szCs w:val="20"/>
          <w:lang w:val="fr-CA"/>
        </w:rPr>
        <w:t xml:space="preserve">. Le juge chargé de déterminer la peine a statué que la peine minimale obligatoire prévue au </w:t>
      </w:r>
      <w:proofErr w:type="spellStart"/>
      <w:r w:rsidRPr="001F1A8B">
        <w:rPr>
          <w:rFonts w:eastAsia="Times New Roman" w:cs="Times New Roman"/>
          <w:sz w:val="20"/>
          <w:szCs w:val="20"/>
          <w:lang w:val="fr-CA"/>
        </w:rPr>
        <w:t>par</w:t>
      </w:r>
      <w:proofErr w:type="spellEnd"/>
      <w:r w:rsidRPr="001F1A8B">
        <w:rPr>
          <w:rFonts w:eastAsia="Times New Roman" w:cs="Times New Roman"/>
          <w:sz w:val="20"/>
          <w:szCs w:val="20"/>
          <w:lang w:val="fr-CA"/>
        </w:rPr>
        <w:t xml:space="preserve">. 172.1(2) du </w:t>
      </w:r>
      <w:r w:rsidRPr="001F1A8B">
        <w:rPr>
          <w:rFonts w:eastAsia="Times New Roman" w:cs="Times New Roman"/>
          <w:i/>
          <w:sz w:val="20"/>
          <w:szCs w:val="20"/>
          <w:lang w:val="fr-CA"/>
        </w:rPr>
        <w:t xml:space="preserve">Code </w:t>
      </w:r>
      <w:r w:rsidRPr="001F1A8B">
        <w:rPr>
          <w:rFonts w:eastAsia="Times New Roman" w:cs="Times New Roman"/>
          <w:sz w:val="20"/>
          <w:szCs w:val="20"/>
          <w:lang w:val="fr-CA"/>
        </w:rPr>
        <w:t xml:space="preserve">était totalement disproportionnée, en contravention de l’art. 12 de la </w:t>
      </w:r>
      <w:r w:rsidRPr="001F1A8B">
        <w:rPr>
          <w:rFonts w:eastAsia="Times New Roman" w:cs="Times New Roman"/>
          <w:i/>
          <w:sz w:val="20"/>
          <w:szCs w:val="20"/>
          <w:lang w:val="fr-CA"/>
        </w:rPr>
        <w:t>Charte</w:t>
      </w:r>
      <w:r w:rsidRPr="001F1A8B">
        <w:rPr>
          <w:rFonts w:eastAsia="Times New Roman" w:cs="Times New Roman"/>
          <w:sz w:val="20"/>
          <w:szCs w:val="20"/>
          <w:lang w:val="fr-CA"/>
        </w:rPr>
        <w:t xml:space="preserve">. Le juge chargé de déterminer la peine a statué que, n’eût été la peine minimale obligatoire, il aurait infligé une peine d’emprisonnement de quatre mois, suivie d’une période de probation. La Cour d’appel a rejeté les appels de l’appelante et de l’intimé. Elle a souscrit aux conclusions du juge du procès au sujet de la constitutionnalité de chaque disposition pertinente du </w:t>
      </w:r>
      <w:r w:rsidRPr="001F1A8B">
        <w:rPr>
          <w:rFonts w:eastAsia="Times New Roman" w:cs="Times New Roman"/>
          <w:i/>
          <w:iCs/>
          <w:sz w:val="20"/>
          <w:szCs w:val="20"/>
          <w:lang w:val="fr-CA"/>
        </w:rPr>
        <w:t>Code</w:t>
      </w:r>
      <w:r w:rsidRPr="001F1A8B">
        <w:rPr>
          <w:rFonts w:eastAsia="Times New Roman" w:cs="Times New Roman"/>
          <w:sz w:val="20"/>
          <w:szCs w:val="20"/>
          <w:lang w:val="fr-CA"/>
        </w:rPr>
        <w:t>. La Cour d’appel a donc jugé que la peine minimale obligatoire d’un an d’emprisonnement prévue à l’al. 172.1(2)</w:t>
      </w:r>
      <w:r w:rsidRPr="001F1A8B">
        <w:rPr>
          <w:rFonts w:eastAsia="Times New Roman" w:cs="Times New Roman"/>
          <w:i/>
          <w:sz w:val="20"/>
          <w:szCs w:val="20"/>
          <w:lang w:val="fr-CA"/>
        </w:rPr>
        <w:t>a</w:t>
      </w:r>
      <w:r w:rsidRPr="001F1A8B">
        <w:rPr>
          <w:rFonts w:eastAsia="Times New Roman" w:cs="Times New Roman"/>
          <w:sz w:val="20"/>
          <w:szCs w:val="20"/>
          <w:lang w:val="fr-CA"/>
        </w:rPr>
        <w:t xml:space="preserve">) du </w:t>
      </w:r>
      <w:r w:rsidRPr="001F1A8B">
        <w:rPr>
          <w:rFonts w:eastAsia="Times New Roman" w:cs="Times New Roman"/>
          <w:i/>
          <w:iCs/>
          <w:sz w:val="20"/>
          <w:szCs w:val="20"/>
          <w:lang w:val="fr-CA"/>
        </w:rPr>
        <w:t>Code</w:t>
      </w:r>
      <w:r w:rsidRPr="001F1A8B">
        <w:rPr>
          <w:rFonts w:eastAsia="Times New Roman" w:cs="Times New Roman"/>
          <w:sz w:val="20"/>
          <w:szCs w:val="20"/>
          <w:lang w:val="fr-CA"/>
        </w:rPr>
        <w:t xml:space="preserve"> était inopérante en application du par. 52(1) de la </w:t>
      </w:r>
      <w:r w:rsidRPr="001F1A8B">
        <w:rPr>
          <w:rFonts w:eastAsia="Times New Roman" w:cs="Times New Roman"/>
          <w:i/>
          <w:sz w:val="20"/>
          <w:szCs w:val="20"/>
          <w:lang w:val="fr-CA"/>
        </w:rPr>
        <w:t>Loi</w:t>
      </w:r>
      <w:r w:rsidRPr="001F1A8B">
        <w:rPr>
          <w:rFonts w:eastAsia="Times New Roman" w:cs="Times New Roman"/>
          <w:sz w:val="20"/>
          <w:szCs w:val="20"/>
          <w:lang w:val="fr-CA"/>
        </w:rPr>
        <w:t xml:space="preserve"> </w:t>
      </w:r>
      <w:r w:rsidRPr="001F1A8B">
        <w:rPr>
          <w:rFonts w:eastAsia="Times New Roman" w:cs="Times New Roman"/>
          <w:i/>
          <w:sz w:val="20"/>
          <w:szCs w:val="20"/>
          <w:lang w:val="fr-CA"/>
        </w:rPr>
        <w:t>constitutionnelle de</w:t>
      </w:r>
      <w:r w:rsidRPr="001F1A8B">
        <w:rPr>
          <w:rFonts w:eastAsia="Times New Roman" w:cs="Times New Roman"/>
          <w:sz w:val="20"/>
          <w:szCs w:val="20"/>
          <w:lang w:val="fr-CA"/>
        </w:rPr>
        <w:t xml:space="preserve"> </w:t>
      </w:r>
      <w:r w:rsidRPr="001F1A8B">
        <w:rPr>
          <w:rFonts w:eastAsia="Times New Roman" w:cs="Times New Roman"/>
          <w:i/>
          <w:sz w:val="20"/>
          <w:szCs w:val="20"/>
          <w:lang w:val="fr-CA"/>
        </w:rPr>
        <w:t>1982</w:t>
      </w:r>
      <w:r w:rsidRPr="001F1A8B">
        <w:rPr>
          <w:rFonts w:eastAsia="Times New Roman" w:cs="Times New Roman"/>
          <w:sz w:val="20"/>
          <w:szCs w:val="20"/>
          <w:lang w:val="fr-CA"/>
        </w:rPr>
        <w:t xml:space="preserve">.  </w:t>
      </w:r>
    </w:p>
    <w:p w:rsidR="001F1A8B" w:rsidRPr="001F1A8B" w:rsidRDefault="00227F09" w:rsidP="001F1A8B">
      <w:pPr>
        <w:spacing w:afterLines="20" w:after="48" w:line="259" w:lineRule="auto"/>
        <w:jc w:val="both"/>
        <w:rPr>
          <w:rFonts w:eastAsia="Calibri" w:cs="Times New Roman"/>
          <w:sz w:val="20"/>
          <w:szCs w:val="20"/>
          <w:lang w:val="fr-CA"/>
        </w:rPr>
      </w:pPr>
      <w:r>
        <w:rPr>
          <w:rFonts w:ascii="Calibri" w:eastAsia="Calibri" w:hAnsi="Calibri" w:cs="Times New Roman"/>
          <w:sz w:val="20"/>
          <w:szCs w:val="20"/>
          <w:lang w:val="fr-CA"/>
        </w:rPr>
        <w:pict>
          <v:rect id="_x0000_i1059" style="width:2in;height:1pt" o:hrpct="0" o:hralign="center" o:hrstd="t" o:hrnoshade="t" o:hr="t" fillcolor="black" stroked="f"/>
        </w:pict>
      </w: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widowControl w:val="0"/>
        <w:spacing w:afterLines="20" w:after="48" w:line="259" w:lineRule="auto"/>
        <w:ind w:left="720" w:hanging="720"/>
        <w:jc w:val="both"/>
        <w:rPr>
          <w:rFonts w:eastAsia="Calibri" w:cs="Times New Roman"/>
          <w:b/>
          <w:i/>
          <w:sz w:val="20"/>
          <w:szCs w:val="20"/>
        </w:rPr>
      </w:pPr>
      <w:r w:rsidRPr="001F1A8B">
        <w:rPr>
          <w:rFonts w:eastAsia="Calibri" w:cs="Times New Roman"/>
          <w:b/>
          <w:sz w:val="20"/>
          <w:szCs w:val="20"/>
        </w:rPr>
        <w:fldChar w:fldCharType="begin"/>
      </w:r>
      <w:r w:rsidRPr="001F1A8B">
        <w:rPr>
          <w:rFonts w:eastAsia="Calibri" w:cs="Times New Roman"/>
          <w:b/>
          <w:sz w:val="20"/>
          <w:szCs w:val="20"/>
          <w:lang w:val="en-US"/>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rPr>
        <w:t>37518</w:t>
      </w:r>
      <w:r w:rsidRPr="001F1A8B">
        <w:rPr>
          <w:rFonts w:eastAsia="Calibri" w:cs="Times New Roman"/>
          <w:sz w:val="20"/>
          <w:szCs w:val="20"/>
        </w:rPr>
        <w:tab/>
      </w:r>
      <w:r w:rsidRPr="001F1A8B">
        <w:rPr>
          <w:rFonts w:eastAsia="Calibri" w:cs="Times New Roman"/>
          <w:b/>
          <w:i/>
          <w:sz w:val="20"/>
          <w:szCs w:val="20"/>
          <w:lang w:val="en-US"/>
        </w:rPr>
        <w:t>Sean Patrick Mills v. Her Majesty the Queen</w:t>
      </w:r>
    </w:p>
    <w:p w:rsidR="001F1A8B" w:rsidRPr="001F1A8B" w:rsidRDefault="001F1A8B" w:rsidP="001F1A8B">
      <w:pPr>
        <w:spacing w:afterLines="20" w:after="48"/>
        <w:ind w:firstLine="720"/>
        <w:jc w:val="both"/>
        <w:rPr>
          <w:rFonts w:eastAsia="Times New Roman" w:cs="Times New Roman"/>
          <w:sz w:val="20"/>
          <w:szCs w:val="20"/>
          <w:lang w:eastAsia="en-CA"/>
        </w:rPr>
      </w:pPr>
      <w:r w:rsidRPr="001F1A8B">
        <w:rPr>
          <w:rFonts w:eastAsia="Times New Roman" w:cs="Times New Roman"/>
          <w:sz w:val="20"/>
          <w:szCs w:val="20"/>
          <w:lang w:eastAsia="en-CA"/>
        </w:rPr>
        <w:t>(N.L.) (Criminal) (By Leave)</w:t>
      </w:r>
      <w:bookmarkStart w:id="8" w:name="4"/>
      <w:bookmarkEnd w:id="8"/>
    </w:p>
    <w:p w:rsidR="001F1A8B" w:rsidRPr="001F1A8B" w:rsidRDefault="001F1A8B" w:rsidP="001F1A8B">
      <w:pPr>
        <w:widowControl w:val="0"/>
        <w:spacing w:afterLines="20" w:after="48" w:line="259" w:lineRule="auto"/>
        <w:ind w:left="1440" w:hanging="1440"/>
        <w:jc w:val="both"/>
        <w:rPr>
          <w:rFonts w:eastAsia="Calibri" w:cs="Times New Roman"/>
          <w:sz w:val="20"/>
          <w:szCs w:val="20"/>
        </w:rPr>
      </w:pPr>
    </w:p>
    <w:p w:rsidR="001F1A8B" w:rsidRPr="001F1A8B" w:rsidRDefault="001F1A8B" w:rsidP="001F1A8B">
      <w:pPr>
        <w:spacing w:afterLines="20" w:after="48" w:line="259" w:lineRule="auto"/>
        <w:jc w:val="both"/>
        <w:rPr>
          <w:rFonts w:eastAsia="Calibri" w:cs="Times New Roman"/>
          <w:sz w:val="20"/>
          <w:szCs w:val="20"/>
          <w:lang w:val="en-US"/>
        </w:rPr>
      </w:pPr>
      <w:r w:rsidRPr="001F1A8B">
        <w:rPr>
          <w:rFonts w:eastAsia="Calibri" w:cs="Times New Roman"/>
          <w:i/>
          <w:sz w:val="20"/>
          <w:szCs w:val="20"/>
          <w:lang w:val="en-US"/>
        </w:rPr>
        <w:t>Charter of Rights and Freedoms</w:t>
      </w:r>
      <w:r w:rsidRPr="001F1A8B">
        <w:rPr>
          <w:rFonts w:eastAsia="Calibri" w:cs="Times New Roman"/>
          <w:sz w:val="20"/>
          <w:szCs w:val="20"/>
          <w:lang w:val="en-US"/>
        </w:rPr>
        <w:t xml:space="preserve"> - Search and seizure - Remedies - Exclusion of evidence - Criminal law - Internet luring -  Whether accused had reasonable expectation of privacy in emails captured by police - Whether seizure breached s. 8 of </w:t>
      </w:r>
      <w:r w:rsidRPr="001F1A8B">
        <w:rPr>
          <w:rFonts w:eastAsia="Calibri" w:cs="Times New Roman"/>
          <w:i/>
          <w:sz w:val="20"/>
          <w:szCs w:val="20"/>
          <w:lang w:val="en-US"/>
        </w:rPr>
        <w:t xml:space="preserve">Charter of Rights and Freedoms </w:t>
      </w:r>
      <w:r w:rsidRPr="001F1A8B">
        <w:rPr>
          <w:rFonts w:eastAsia="Calibri" w:cs="Times New Roman"/>
          <w:sz w:val="20"/>
          <w:szCs w:val="20"/>
          <w:lang w:val="en-US"/>
        </w:rPr>
        <w:t>- If so, appropriate remedy.</w:t>
      </w:r>
    </w:p>
    <w:p w:rsidR="001F1A8B" w:rsidRPr="001F1A8B" w:rsidRDefault="001F1A8B" w:rsidP="001F1A8B">
      <w:pPr>
        <w:spacing w:afterLines="20" w:after="48" w:line="259" w:lineRule="auto"/>
        <w:jc w:val="both"/>
        <w:rPr>
          <w:rFonts w:eastAsia="Calibri" w:cs="Times New Roman"/>
          <w:sz w:val="20"/>
          <w:szCs w:val="20"/>
          <w:lang w:val="en-US"/>
        </w:rPr>
      </w:pPr>
    </w:p>
    <w:p w:rsidR="001F1A8B" w:rsidRPr="001F1A8B" w:rsidRDefault="001F1A8B" w:rsidP="001F1A8B">
      <w:pPr>
        <w:spacing w:afterLines="20" w:after="48" w:line="259" w:lineRule="auto"/>
        <w:jc w:val="both"/>
        <w:rPr>
          <w:rFonts w:eastAsia="Calibri" w:cs="Times New Roman"/>
          <w:sz w:val="20"/>
          <w:szCs w:val="20"/>
        </w:rPr>
      </w:pPr>
      <w:r w:rsidRPr="001F1A8B">
        <w:rPr>
          <w:rFonts w:eastAsia="Calibri" w:cs="Times New Roman"/>
          <w:color w:val="000000"/>
          <w:sz w:val="20"/>
          <w:szCs w:val="20"/>
          <w:lang w:val="en-US"/>
        </w:rPr>
        <w:lastRenderedPageBreak/>
        <w:t xml:space="preserve">Mr. Mills was charged with four counts of </w:t>
      </w:r>
      <w:r w:rsidRPr="001F1A8B">
        <w:rPr>
          <w:rFonts w:eastAsia="Calibri" w:cs="Times New Roman"/>
          <w:sz w:val="20"/>
          <w:szCs w:val="20"/>
          <w:lang w:val="en-US"/>
        </w:rPr>
        <w:t>communicating by means of a computer with a person believed to be under age of sixteen years for a sexual purpose</w:t>
      </w:r>
      <w:r w:rsidRPr="001F1A8B">
        <w:rPr>
          <w:rFonts w:eastAsia="Calibri" w:cs="Times New Roman"/>
          <w:color w:val="000000"/>
          <w:sz w:val="20"/>
          <w:szCs w:val="20"/>
          <w:lang w:val="en-US"/>
        </w:rPr>
        <w:t>. Police officers</w:t>
      </w:r>
      <w:r w:rsidRPr="001F1A8B">
        <w:rPr>
          <w:rFonts w:eastAsia="Calibri" w:cs="Times New Roman"/>
          <w:sz w:val="20"/>
          <w:szCs w:val="20"/>
          <w:lang w:val="en-US"/>
        </w:rPr>
        <w:t xml:space="preserve"> created on-line profiles for two fictitious female high school students and received emails. Email correspondence became sexual in nature. With one on-line identity, the email correspondence culminated in an agreement to meet in a park for a sexual purpose. Police officers used a screen shot program to capture and record copies of the email communications. The police did not obtain judicial authorization to intercept communications</w:t>
      </w:r>
      <w:r w:rsidRPr="001F1A8B">
        <w:rPr>
          <w:rFonts w:eastAsia="Calibri" w:cs="Times New Roman"/>
          <w:color w:val="000000"/>
          <w:sz w:val="20"/>
          <w:szCs w:val="20"/>
          <w:lang w:val="en-US"/>
        </w:rPr>
        <w:t xml:space="preserve">. </w:t>
      </w:r>
      <w:r w:rsidRPr="001F1A8B">
        <w:rPr>
          <w:rFonts w:eastAsia="Calibri" w:cs="Times New Roman"/>
          <w:sz w:val="20"/>
          <w:szCs w:val="20"/>
          <w:lang w:val="en-US"/>
        </w:rPr>
        <w:t xml:space="preserve">Mr. Mills’ home was searched after his arrest under warrant and two computers were seized. Although the trial judge ruled that the communications were intercepted in breach of s. 8 of the </w:t>
      </w:r>
      <w:r w:rsidRPr="001F1A8B">
        <w:rPr>
          <w:rFonts w:eastAsia="Calibri" w:cs="Times New Roman"/>
          <w:i/>
          <w:sz w:val="20"/>
          <w:szCs w:val="20"/>
          <w:lang w:val="en-US"/>
        </w:rPr>
        <w:t>Charter of Rights and</w:t>
      </w:r>
      <w:r w:rsidRPr="001F1A8B">
        <w:rPr>
          <w:rFonts w:eastAsia="Calibri" w:cs="Times New Roman"/>
          <w:sz w:val="20"/>
          <w:szCs w:val="20"/>
          <w:lang w:val="en-US"/>
        </w:rPr>
        <w:t xml:space="preserve"> </w:t>
      </w:r>
      <w:r w:rsidRPr="001F1A8B">
        <w:rPr>
          <w:rFonts w:eastAsia="Calibri" w:cs="Times New Roman"/>
          <w:i/>
          <w:sz w:val="20"/>
          <w:szCs w:val="20"/>
          <w:lang w:val="en-US"/>
        </w:rPr>
        <w:t>Freedoms</w:t>
      </w:r>
      <w:r w:rsidRPr="001F1A8B">
        <w:rPr>
          <w:rFonts w:eastAsia="Calibri" w:cs="Times New Roman"/>
          <w:sz w:val="20"/>
          <w:szCs w:val="20"/>
          <w:lang w:val="en-US"/>
        </w:rPr>
        <w:t xml:space="preserve">, he admitted the screen shot records into evidence and directed the parties to address the appropriate remedy for the </w:t>
      </w:r>
      <w:r w:rsidRPr="001F1A8B">
        <w:rPr>
          <w:rFonts w:eastAsia="Calibri" w:cs="Times New Roman"/>
          <w:i/>
          <w:sz w:val="20"/>
          <w:szCs w:val="20"/>
          <w:lang w:val="en-US"/>
        </w:rPr>
        <w:t>Charter</w:t>
      </w:r>
      <w:r w:rsidRPr="001F1A8B">
        <w:rPr>
          <w:rFonts w:eastAsia="Calibri" w:cs="Times New Roman"/>
          <w:sz w:val="20"/>
          <w:szCs w:val="20"/>
          <w:lang w:val="en-US"/>
        </w:rPr>
        <w:t xml:space="preserve"> breach at trial. Mr. Mills was convicted on one count of internet luring. One count was stayed and he was acquitted on two counts. The trial judge reduced his sentence as a remedy for the breach of s. 8 of the </w:t>
      </w:r>
      <w:r w:rsidRPr="001F1A8B">
        <w:rPr>
          <w:rFonts w:eastAsia="Calibri" w:cs="Times New Roman"/>
          <w:i/>
          <w:sz w:val="20"/>
          <w:szCs w:val="20"/>
          <w:lang w:val="en-US"/>
        </w:rPr>
        <w:t>Charter</w:t>
      </w:r>
      <w:r w:rsidRPr="001F1A8B">
        <w:rPr>
          <w:rFonts w:eastAsia="Calibri" w:cs="Times New Roman"/>
          <w:sz w:val="20"/>
          <w:szCs w:val="20"/>
          <w:lang w:val="en-US"/>
        </w:rPr>
        <w:t xml:space="preserve">. </w:t>
      </w:r>
    </w:p>
    <w:p w:rsidR="001F1A8B" w:rsidRPr="001F1A8B" w:rsidRDefault="001F1A8B" w:rsidP="001F1A8B">
      <w:pPr>
        <w:widowControl w:val="0"/>
        <w:spacing w:afterLines="20" w:after="48"/>
        <w:ind w:left="720" w:hanging="720"/>
        <w:jc w:val="both"/>
        <w:rPr>
          <w:rFonts w:eastAsia="Calibri" w:cs="Times New Roman"/>
          <w:b/>
          <w:sz w:val="20"/>
          <w:szCs w:val="20"/>
        </w:rPr>
      </w:pPr>
    </w:p>
    <w:p w:rsidR="001F1A8B" w:rsidRPr="001F1A8B" w:rsidRDefault="001F1A8B" w:rsidP="001F1A8B">
      <w:pPr>
        <w:widowControl w:val="0"/>
        <w:spacing w:afterLines="20" w:after="48"/>
        <w:ind w:left="720" w:hanging="720"/>
        <w:jc w:val="both"/>
        <w:rPr>
          <w:rFonts w:eastAsia="Calibri" w:cs="Times New Roman"/>
          <w:b/>
          <w:sz w:val="20"/>
          <w:szCs w:val="20"/>
        </w:rPr>
      </w:pPr>
    </w:p>
    <w:p w:rsidR="001F1A8B" w:rsidRPr="001F1A8B" w:rsidRDefault="001F1A8B" w:rsidP="001F1A8B">
      <w:pPr>
        <w:widowControl w:val="0"/>
        <w:spacing w:afterLines="20" w:after="48"/>
        <w:ind w:left="720" w:hanging="720"/>
        <w:jc w:val="both"/>
        <w:rPr>
          <w:rFonts w:eastAsia="Calibri" w:cs="Times New Roman"/>
          <w:b/>
          <w:i/>
          <w:sz w:val="20"/>
          <w:szCs w:val="20"/>
          <w:lang w:val="fr-CA"/>
        </w:rPr>
      </w:pPr>
      <w:r w:rsidRPr="001F1A8B">
        <w:rPr>
          <w:rFonts w:eastAsia="Calibri" w:cs="Times New Roman"/>
          <w:b/>
          <w:sz w:val="20"/>
          <w:szCs w:val="20"/>
        </w:rPr>
        <w:fldChar w:fldCharType="begin"/>
      </w:r>
      <w:r w:rsidRPr="001F1A8B">
        <w:rPr>
          <w:rFonts w:eastAsia="Calibri" w:cs="Times New Roman"/>
          <w:b/>
          <w:sz w:val="20"/>
          <w:szCs w:val="20"/>
          <w:lang w:val="fr-CA"/>
        </w:rPr>
        <w:instrText xml:space="preserve"> SEQ CHAPTER \h \r 1</w:instrText>
      </w:r>
      <w:r w:rsidRPr="001F1A8B">
        <w:rPr>
          <w:rFonts w:eastAsia="Calibri" w:cs="Times New Roman"/>
          <w:b/>
          <w:sz w:val="20"/>
          <w:szCs w:val="20"/>
          <w:lang w:val="en-US"/>
        </w:rPr>
        <w:fldChar w:fldCharType="end"/>
      </w:r>
      <w:r w:rsidRPr="001F1A8B">
        <w:rPr>
          <w:rFonts w:eastAsia="Calibri" w:cs="Times New Roman"/>
          <w:b/>
          <w:sz w:val="20"/>
          <w:szCs w:val="20"/>
          <w:lang w:val="fr-CA"/>
        </w:rPr>
        <w:t>37518</w:t>
      </w:r>
      <w:r w:rsidRPr="001F1A8B">
        <w:rPr>
          <w:rFonts w:eastAsia="Calibri" w:cs="Times New Roman"/>
          <w:sz w:val="20"/>
          <w:szCs w:val="20"/>
          <w:lang w:val="fr-CA"/>
        </w:rPr>
        <w:tab/>
      </w:r>
      <w:r w:rsidRPr="001F1A8B">
        <w:rPr>
          <w:rFonts w:eastAsia="Calibri" w:cs="Times New Roman"/>
          <w:b/>
          <w:i/>
          <w:sz w:val="20"/>
          <w:szCs w:val="20"/>
          <w:lang w:val="fr-CA"/>
        </w:rPr>
        <w:t>Sean Patrick Mills c. Sa Majesté la Reine</w:t>
      </w:r>
    </w:p>
    <w:p w:rsidR="001F1A8B" w:rsidRPr="001F1A8B" w:rsidRDefault="001F1A8B" w:rsidP="001F1A8B">
      <w:pPr>
        <w:spacing w:afterLines="20" w:after="48"/>
        <w:ind w:firstLine="720"/>
        <w:jc w:val="both"/>
        <w:rPr>
          <w:rFonts w:eastAsia="Times New Roman" w:cs="Times New Roman"/>
          <w:sz w:val="20"/>
          <w:szCs w:val="20"/>
          <w:lang w:val="fr-CA" w:eastAsia="en-CA"/>
        </w:rPr>
      </w:pPr>
      <w:r w:rsidRPr="001F1A8B">
        <w:rPr>
          <w:rFonts w:eastAsia="Times New Roman" w:cs="Times New Roman"/>
          <w:sz w:val="20"/>
          <w:szCs w:val="20"/>
          <w:lang w:val="fr-CA" w:eastAsia="en-CA"/>
        </w:rPr>
        <w:t>(T.-N.-L.) (Criminelle) (De plein droit)</w:t>
      </w:r>
    </w:p>
    <w:p w:rsidR="001F1A8B" w:rsidRPr="001F1A8B" w:rsidRDefault="001F1A8B" w:rsidP="001F1A8B">
      <w:pPr>
        <w:spacing w:afterLines="20" w:after="48" w:line="259" w:lineRule="auto"/>
        <w:jc w:val="both"/>
        <w:rPr>
          <w:rFonts w:eastAsia="Calibri" w:cs="Times New Roman"/>
          <w:i/>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i/>
          <w:sz w:val="20"/>
          <w:szCs w:val="20"/>
          <w:lang w:val="fr-CA"/>
        </w:rPr>
        <w:t>Charte des droits et libertés</w:t>
      </w:r>
      <w:r w:rsidRPr="001F1A8B">
        <w:rPr>
          <w:rFonts w:eastAsia="Calibri" w:cs="Times New Roman"/>
          <w:sz w:val="20"/>
          <w:szCs w:val="20"/>
          <w:lang w:val="fr-CA"/>
        </w:rPr>
        <w:t xml:space="preserve"> - Fouilles, perquisitions et saisies - Réparations - Exclusion de la preuve - Droit criminel - Leurre par Internet - L’accusé avait-il une attente raisonnable au respect de sa vie privée à l’égard des courriels interceptés par la police? - La saisie a-t-elle contrevenu à l’art. 8 de la </w:t>
      </w:r>
      <w:r w:rsidRPr="001F1A8B">
        <w:rPr>
          <w:rFonts w:eastAsia="Calibri" w:cs="Times New Roman"/>
          <w:i/>
          <w:sz w:val="20"/>
          <w:szCs w:val="20"/>
          <w:lang w:val="fr-CA"/>
        </w:rPr>
        <w:t>Charte des droits et libertés</w:t>
      </w:r>
      <w:r w:rsidRPr="001F1A8B">
        <w:rPr>
          <w:rFonts w:eastAsia="Calibri" w:cs="Times New Roman"/>
          <w:sz w:val="20"/>
          <w:szCs w:val="20"/>
          <w:lang w:val="fr-CA"/>
        </w:rPr>
        <w:t>?</w:t>
      </w:r>
      <w:r w:rsidRPr="001F1A8B">
        <w:rPr>
          <w:rFonts w:eastAsia="Calibri" w:cs="Times New Roman"/>
          <w:i/>
          <w:sz w:val="20"/>
          <w:szCs w:val="20"/>
          <w:lang w:val="fr-CA"/>
        </w:rPr>
        <w:t xml:space="preserve"> </w:t>
      </w:r>
      <w:r w:rsidRPr="001F1A8B">
        <w:rPr>
          <w:rFonts w:eastAsia="Calibri" w:cs="Times New Roman"/>
          <w:sz w:val="20"/>
          <w:szCs w:val="20"/>
          <w:lang w:val="fr-CA"/>
        </w:rPr>
        <w:t xml:space="preserve">- Si oui, quelle est la réparation convenable? </w:t>
      </w:r>
    </w:p>
    <w:p w:rsidR="001F1A8B" w:rsidRPr="001F1A8B" w:rsidRDefault="001F1A8B" w:rsidP="001F1A8B">
      <w:pPr>
        <w:spacing w:afterLines="20" w:after="48" w:line="259" w:lineRule="auto"/>
        <w:jc w:val="both"/>
        <w:rPr>
          <w:rFonts w:eastAsia="Calibri" w:cs="Times New Roman"/>
          <w:sz w:val="20"/>
          <w:szCs w:val="20"/>
          <w:lang w:val="fr-CA"/>
        </w:rPr>
      </w:pPr>
    </w:p>
    <w:p w:rsidR="001F1A8B" w:rsidRPr="001F1A8B" w:rsidRDefault="001F1A8B" w:rsidP="001F1A8B">
      <w:pPr>
        <w:spacing w:afterLines="20" w:after="48" w:line="259" w:lineRule="auto"/>
        <w:jc w:val="both"/>
        <w:rPr>
          <w:rFonts w:eastAsia="Calibri" w:cs="Times New Roman"/>
          <w:sz w:val="20"/>
          <w:szCs w:val="20"/>
          <w:lang w:val="fr-CA"/>
        </w:rPr>
      </w:pPr>
      <w:r w:rsidRPr="001F1A8B">
        <w:rPr>
          <w:rFonts w:eastAsia="Calibri" w:cs="Times New Roman"/>
          <w:color w:val="000000"/>
          <w:sz w:val="20"/>
          <w:szCs w:val="20"/>
          <w:lang w:val="fr-CA"/>
        </w:rPr>
        <w:t xml:space="preserve">M. Mills a été accusé de quatre chefs de communication au moyen d’un ordinateur avec une personne qu’il croyait âgée de moins de seize ans dans un but sexuel. Les policiers ont créé des profils en lignes pour deux élèves fictives du secondaire et ont reçu des courriels. La correspondance par courriel prit une tournure sexuelle. Avec une identité en ligne, les parties à </w:t>
      </w:r>
      <w:r w:rsidRPr="001F1A8B">
        <w:rPr>
          <w:rFonts w:eastAsia="Calibri" w:cs="Times New Roman"/>
          <w:sz w:val="20"/>
          <w:szCs w:val="20"/>
          <w:lang w:val="fr-CA"/>
        </w:rPr>
        <w:t>la correspondance par courriel ont fini par convenir de se rencontrer dans un parc dans un but sexuel. Les policiers se sont servis d’un programme de capture d’écran pour intercepter et enregistrer des copies des courriels. La police n’a pas obtenu une autorisation judiciaire pour intercepter les communications</w:t>
      </w:r>
      <w:r w:rsidRPr="001F1A8B">
        <w:rPr>
          <w:rFonts w:eastAsia="Calibri" w:cs="Times New Roman"/>
          <w:color w:val="000000"/>
          <w:sz w:val="20"/>
          <w:szCs w:val="20"/>
          <w:lang w:val="fr-CA"/>
        </w:rPr>
        <w:t>. Le domicile de M</w:t>
      </w:r>
      <w:r w:rsidRPr="001F1A8B">
        <w:rPr>
          <w:rFonts w:eastAsia="Calibri" w:cs="Times New Roman"/>
          <w:sz w:val="20"/>
          <w:szCs w:val="20"/>
          <w:lang w:val="fr-CA"/>
        </w:rPr>
        <w:t xml:space="preserve">. Mills a été perquisitionné en vertu d’un mandat après son arrestation et les policiers ont saisi deux ordinateurs. Le juge du procès a décidé que les communications avaient été interceptées en violation de l’art. 8 de la </w:t>
      </w:r>
      <w:r w:rsidRPr="001F1A8B">
        <w:rPr>
          <w:rFonts w:eastAsia="Calibri" w:cs="Times New Roman"/>
          <w:i/>
          <w:sz w:val="20"/>
          <w:szCs w:val="20"/>
          <w:lang w:val="fr-CA"/>
        </w:rPr>
        <w:t>Charte des droits et libertés</w:t>
      </w:r>
      <w:r w:rsidRPr="001F1A8B">
        <w:rPr>
          <w:rFonts w:eastAsia="Calibri" w:cs="Times New Roman"/>
          <w:sz w:val="20"/>
          <w:szCs w:val="20"/>
          <w:lang w:val="fr-CA"/>
        </w:rPr>
        <w:t xml:space="preserve">, mais il a admis en preuve les relevés de capture d’écran et enjoint aux parties d’aborder au procès la question de la réparation convenable pour la violation de la </w:t>
      </w:r>
      <w:r w:rsidRPr="001F1A8B">
        <w:rPr>
          <w:rFonts w:eastAsia="Calibri" w:cs="Times New Roman"/>
          <w:i/>
          <w:sz w:val="20"/>
          <w:szCs w:val="20"/>
          <w:lang w:val="fr-CA"/>
        </w:rPr>
        <w:t>Charte</w:t>
      </w:r>
      <w:r w:rsidRPr="001F1A8B">
        <w:rPr>
          <w:rFonts w:eastAsia="Calibri" w:cs="Times New Roman"/>
          <w:sz w:val="20"/>
          <w:szCs w:val="20"/>
          <w:lang w:val="fr-CA"/>
        </w:rPr>
        <w:t xml:space="preserve">. M. Mills a été reconnu coupable d’un chef de leurre par Internet. Un chef d’accusation a été suspendu et M. Mills a été acquitté relativement à deux autres chefs. Le juge du procès a réduit sa peine en guise de réparation pour la violation de l’art. 8 de la </w:t>
      </w:r>
      <w:r w:rsidRPr="001F1A8B">
        <w:rPr>
          <w:rFonts w:eastAsia="Calibri" w:cs="Times New Roman"/>
          <w:i/>
          <w:sz w:val="20"/>
          <w:szCs w:val="20"/>
          <w:lang w:val="fr-CA"/>
        </w:rPr>
        <w:t>Charte</w:t>
      </w:r>
      <w:r w:rsidRPr="001F1A8B">
        <w:rPr>
          <w:rFonts w:eastAsia="Calibri" w:cs="Times New Roman"/>
          <w:sz w:val="20"/>
          <w:szCs w:val="20"/>
          <w:lang w:val="fr-CA"/>
        </w:rPr>
        <w:t xml:space="preserve">. </w:t>
      </w:r>
    </w:p>
    <w:p w:rsidR="001F1A8B" w:rsidRPr="001F1A8B" w:rsidRDefault="00227F09" w:rsidP="001F1A8B">
      <w:pPr>
        <w:spacing w:afterLines="20" w:after="48" w:line="259" w:lineRule="auto"/>
        <w:jc w:val="both"/>
        <w:rPr>
          <w:rFonts w:eastAsia="Calibri" w:cs="Times New Roman"/>
          <w:sz w:val="20"/>
          <w:szCs w:val="20"/>
          <w:lang w:val="fr-CA"/>
        </w:rPr>
      </w:pPr>
      <w:r>
        <w:rPr>
          <w:rFonts w:ascii="Calibri" w:eastAsia="Calibri" w:hAnsi="Calibri" w:cs="Times New Roman"/>
          <w:sz w:val="20"/>
          <w:szCs w:val="20"/>
          <w:lang w:val="fr-CA"/>
        </w:rPr>
        <w:pict>
          <v:rect id="_x0000_i1060" style="width:2in;height:1pt" o:hrpct="0" o:hralign="center" o:hrstd="t" o:hrnoshade="t" o:hr="t" fillcolor="black" stroked="f"/>
        </w:pict>
      </w:r>
    </w:p>
    <w:p w:rsidR="00C01FCB" w:rsidRDefault="00C01FCB" w:rsidP="001F1A8B">
      <w:pPr>
        <w:widowControl w:val="0"/>
        <w:ind w:right="169"/>
        <w:rPr>
          <w:sz w:val="20"/>
          <w:szCs w:val="20"/>
          <w:lang w:val="fr-CA"/>
        </w:rPr>
      </w:pPr>
    </w:p>
    <w:p w:rsidR="00D31D14" w:rsidRDefault="00D31D14" w:rsidP="00C01FCB">
      <w:pPr>
        <w:widowControl w:val="0"/>
        <w:rPr>
          <w:sz w:val="20"/>
          <w:szCs w:val="20"/>
          <w:lang w:val="fr-CA"/>
        </w:rPr>
      </w:pPr>
    </w:p>
    <w:p w:rsidR="00D31D14" w:rsidRPr="00167E4C" w:rsidRDefault="00D31D14" w:rsidP="00C01FCB">
      <w:pPr>
        <w:widowControl w:val="0"/>
        <w:rPr>
          <w:sz w:val="20"/>
          <w:szCs w:val="20"/>
          <w:lang w:val="fr-CA"/>
        </w:rPr>
      </w:pPr>
    </w:p>
    <w:p w:rsidR="000B3C9A" w:rsidRPr="00DD0B49" w:rsidRDefault="000B3C9A" w:rsidP="000B3C9A">
      <w:pPr>
        <w:tabs>
          <w:tab w:val="left" w:pos="-1440"/>
          <w:tab w:val="left" w:pos="-720"/>
        </w:tabs>
        <w:jc w:val="both"/>
        <w:rPr>
          <w:sz w:val="20"/>
          <w:szCs w:val="20"/>
          <w:lang w:val="fr-CA"/>
        </w:rPr>
      </w:pPr>
    </w:p>
    <w:p w:rsidR="005F263E" w:rsidRDefault="005F263E" w:rsidP="00782AE4">
      <w:pPr>
        <w:jc w:val="both"/>
        <w:rPr>
          <w:sz w:val="20"/>
          <w:szCs w:val="20"/>
          <w:lang w:val="fr-CA"/>
        </w:rPr>
      </w:pPr>
    </w:p>
    <w:p w:rsidR="00C01FCB" w:rsidRDefault="00C01FCB" w:rsidP="00782AE4">
      <w:pPr>
        <w:jc w:val="both"/>
        <w:rPr>
          <w:sz w:val="20"/>
          <w:szCs w:val="20"/>
          <w:lang w:val="fr-CA"/>
        </w:rPr>
      </w:pPr>
    </w:p>
    <w:p w:rsidR="00C01FCB" w:rsidRPr="00C50A5C" w:rsidRDefault="00C01FCB"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1F1A8B">
          <w:headerReference w:type="default" r:id="rId57"/>
          <w:footerReference w:type="default" r:id="rId58"/>
          <w:headerReference w:type="first" r:id="rId59"/>
          <w:footerReference w:type="first" r:id="rId60"/>
          <w:pgSz w:w="12240" w:h="15840"/>
          <w:pgMar w:top="720" w:right="1170" w:bottom="1080" w:left="1656" w:header="720" w:footer="965" w:gutter="0"/>
          <w:cols w:space="720"/>
          <w:titlePg/>
          <w:docGrid w:linePitch="326"/>
        </w:sectPr>
      </w:pPr>
    </w:p>
    <w:p w:rsidR="0041245B" w:rsidRDefault="0041245B" w:rsidP="0041245B">
      <w:pPr>
        <w:tabs>
          <w:tab w:val="center" w:pos="5489"/>
          <w:tab w:val="right" w:pos="10915"/>
        </w:tabs>
        <w:ind w:right="-91"/>
        <w:rPr>
          <w:rFonts w:ascii="Arial" w:hAnsi="Arial" w:cs="Arial"/>
          <w:sz w:val="18"/>
          <w:szCs w:val="18"/>
          <w:lang w:val="fr-FR"/>
        </w:rPr>
      </w:pPr>
      <w:bookmarkStart w:id="9" w:name="QuickMark"/>
      <w:bookmarkEnd w:id="9"/>
      <w:r>
        <w:rPr>
          <w:rFonts w:ascii="Arial" w:hAnsi="Arial" w:cs="Arial"/>
          <w:sz w:val="20"/>
          <w:lang w:val="fr-FR"/>
        </w:rPr>
        <w:lastRenderedPageBreak/>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D23B2D"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 xml:space="preserve">88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F4" w:rsidRDefault="00A246F4" w:rsidP="00A87207">
      <w:r>
        <w:separator/>
      </w:r>
    </w:p>
  </w:endnote>
  <w:endnote w:type="continuationSeparator" w:id="0">
    <w:p w:rsidR="00A246F4" w:rsidRDefault="00A246F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A87207">
    <w:pPr>
      <w:pStyle w:val="Footer"/>
    </w:pPr>
    <w:r>
      <w:pict>
        <v:rect id="_x0000_i1030" style="width:480.95pt;height:1pt" o:hralign="center" o:hrstd="t" o:hrnoshade="t" o:hr="t" fillcolor="black [3213]" stroked="f"/>
      </w:pict>
    </w:r>
  </w:p>
  <w:p w:rsidR="00A246F4" w:rsidRPr="00B7374B" w:rsidRDefault="00A246F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EB2B90">
    <w:pPr>
      <w:tabs>
        <w:tab w:val="center" w:pos="4680"/>
      </w:tabs>
    </w:pPr>
    <w:r>
      <w:pict>
        <v:rect id="_x0000_i1040" style="width:480.95pt;height:1pt" o:hralign="center" o:hrstd="t" o:hrnoshade="t" o:hr="t" fillcolor="black [3213]" stroked="f"/>
      </w:pict>
    </w:r>
  </w:p>
  <w:p w:rsidR="00A246F4" w:rsidRPr="0031432F" w:rsidRDefault="00A246F4" w:rsidP="00EB2B90">
    <w:pPr>
      <w:tabs>
        <w:tab w:val="center" w:pos="4680"/>
      </w:tabs>
    </w:pPr>
    <w:r>
      <w:tab/>
      <w:t xml:space="preserve">- </w:t>
    </w:r>
    <w:r>
      <w:fldChar w:fldCharType="begin"/>
    </w:r>
    <w:r>
      <w:instrText xml:space="preserve"> PAGE   \* MERGEFORMAT </w:instrText>
    </w:r>
    <w:r>
      <w:fldChar w:fldCharType="separate"/>
    </w:r>
    <w:r w:rsidR="0051382F">
      <w:rPr>
        <w:noProof/>
      </w:rPr>
      <w:t>546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46F4" w:rsidRDefault="00A246F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A246F4" w:rsidRDefault="00A246F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pPr>
      <w:pStyle w:val="Footer"/>
      <w:rPr>
        <w:lang w:val="fr-CA"/>
      </w:rPr>
    </w:pPr>
    <w:r>
      <w:rPr>
        <w:lang w:val="fr-CA"/>
      </w:rPr>
      <w:pict>
        <v:rect id="_x0000_i1046" style="width:480.95pt;height:1pt" o:hralign="center" o:hrstd="t" o:hrnoshade="t" o:hr="t" fillcolor="black [3213]" stroked="f"/>
      </w:pict>
    </w:r>
  </w:p>
  <w:p w:rsidR="00A246F4" w:rsidRDefault="00A246F4" w:rsidP="00EB2B90">
    <w:pPr>
      <w:tabs>
        <w:tab w:val="center" w:pos="4680"/>
      </w:tabs>
    </w:pPr>
    <w:r>
      <w:tab/>
      <w:t xml:space="preserve">- </w:t>
    </w:r>
    <w:r>
      <w:fldChar w:fldCharType="begin"/>
    </w:r>
    <w:r>
      <w:instrText xml:space="preserve"> PAGE   \* MERGEFORMAT </w:instrText>
    </w:r>
    <w:r>
      <w:fldChar w:fldCharType="separate"/>
    </w:r>
    <w:r w:rsidR="0051382F">
      <w:rPr>
        <w:noProof/>
      </w:rPr>
      <w:t>547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246F4" w:rsidRDefault="00A246F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246F4" w:rsidRDefault="00A246F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22323B">
    <w:r>
      <w:pict>
        <v:rect id="_x0000_i1049" style="width:480.95pt;height:1pt" o:hralign="center" o:hrstd="t" o:hrnoshade="t" o:hr="t" fillcolor="black [3213]" stroked="f"/>
      </w:pict>
    </w:r>
  </w:p>
  <w:p w:rsidR="00A246F4" w:rsidRDefault="00A246F4">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22323B">
    <w:r>
      <w:pict>
        <v:rect id="_x0000_i1050" style="width:480.95pt;height:1pt" o:hralign="center" o:hrstd="t" o:hrnoshade="t" o:hr="t" fillcolor="black [3213]" stroked="f"/>
      </w:pict>
    </w:r>
  </w:p>
  <w:p w:rsidR="00A246F4" w:rsidRDefault="00A246F4" w:rsidP="0022323B">
    <w:pPr>
      <w:tabs>
        <w:tab w:val="center" w:pos="4740"/>
      </w:tabs>
      <w:spacing w:line="0" w:lineRule="atLeast"/>
    </w:pPr>
    <w:r>
      <w:tab/>
      <w:t xml:space="preserve">- </w:t>
    </w:r>
    <w:r>
      <w:fldChar w:fldCharType="begin"/>
    </w:r>
    <w:r>
      <w:instrText xml:space="preserve"> PAGE   \* MERGEFORMAT </w:instrText>
    </w:r>
    <w:r>
      <w:fldChar w:fldCharType="separate"/>
    </w:r>
    <w:r w:rsidR="0051382F">
      <w:rPr>
        <w:noProof/>
      </w:rPr>
      <w:t>548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22323B">
    <w:r>
      <w:pict>
        <v:rect id="_x0000_i1061" style="width:480.95pt;height:1pt" o:hralign="center" o:hrstd="t" o:hrnoshade="t" o:hr="t" fillcolor="black [3213]" stroked="f"/>
      </w:pict>
    </w:r>
  </w:p>
  <w:p w:rsidR="00A246F4" w:rsidRDefault="00A246F4">
    <w:pPr>
      <w:tabs>
        <w:tab w:val="center" w:pos="4740"/>
      </w:tabs>
      <w:spacing w:line="0" w:lineRule="atLeast"/>
    </w:pPr>
    <w:r>
      <w:tab/>
      <w:t xml:space="preserve">- </w:t>
    </w:r>
    <w:r>
      <w:fldChar w:fldCharType="begin"/>
    </w:r>
    <w:r>
      <w:instrText xml:space="preserve"> PAGE   \* MERGEFORMAT </w:instrText>
    </w:r>
    <w:r>
      <w:fldChar w:fldCharType="separate"/>
    </w:r>
    <w:r w:rsidR="00227F09">
      <w:rPr>
        <w:noProof/>
      </w:rPr>
      <w:t>557</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22323B">
    <w:r>
      <w:pict>
        <v:rect id="_x0000_i1062" style="width:480.95pt;height:1pt" o:hralign="center" o:hrstd="t" o:hrnoshade="t" o:hr="t" fillcolor="black [3213]" stroked="f"/>
      </w:pict>
    </w:r>
  </w:p>
  <w:p w:rsidR="00A246F4" w:rsidRDefault="00A246F4" w:rsidP="0022323B">
    <w:pPr>
      <w:tabs>
        <w:tab w:val="center" w:pos="4740"/>
      </w:tabs>
      <w:spacing w:line="0" w:lineRule="atLeast"/>
    </w:pPr>
    <w:r>
      <w:tab/>
      <w:t xml:space="preserve">- </w:t>
    </w:r>
    <w:r>
      <w:fldChar w:fldCharType="begin"/>
    </w:r>
    <w:r>
      <w:instrText xml:space="preserve"> PAGE   \* MERGEFORMAT </w:instrText>
    </w:r>
    <w:r>
      <w:fldChar w:fldCharType="separate"/>
    </w:r>
    <w:r w:rsidR="0051382F">
      <w:rPr>
        <w:noProof/>
      </w:rPr>
      <w:t>549</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Pr="00924065" w:rsidRDefault="00A246F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755F22">
    <w:pPr>
      <w:tabs>
        <w:tab w:val="left" w:pos="-1440"/>
        <w:tab w:val="left" w:pos="-720"/>
      </w:tabs>
    </w:pPr>
    <w:r>
      <w:pict>
        <v:rect id="_x0000_i1031" style="width:480.95pt;height:1pt" o:hralign="center" o:hrstd="t" o:hrnoshade="t" o:hr="t" fillcolor="black [3213]" stroked="f"/>
      </w:pict>
    </w:r>
  </w:p>
  <w:p w:rsidR="00A246F4" w:rsidRPr="00954D22" w:rsidRDefault="00A246F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27F09">
      <w:rPr>
        <w:noProof/>
        <w:szCs w:val="24"/>
      </w:rPr>
      <w:t>540</w:t>
    </w:r>
    <w:r>
      <w:rPr>
        <w:szCs w:val="24"/>
      </w:rPr>
      <w:fldChar w:fldCharType="end"/>
    </w:r>
    <w:r w:rsidRPr="00954D22">
      <w:rPr>
        <w:szCs w:val="24"/>
      </w:rPr>
      <w:t xml:space="preserve"> -</w:t>
    </w:r>
  </w:p>
  <w:p w:rsidR="00A246F4" w:rsidRDefault="00A24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A87207">
    <w:pPr>
      <w:pStyle w:val="Footer"/>
    </w:pPr>
    <w:r>
      <w:pict>
        <v:rect id="_x0000_i1033" style="width:480.95pt;height:1pt" o:hralign="center" o:hrstd="t" o:hrnoshade="t" o:hr="t" fillcolor="black [3213]" stroked="f"/>
      </w:pict>
    </w:r>
  </w:p>
  <w:p w:rsidR="00A246F4" w:rsidRPr="00B7374B" w:rsidRDefault="00A246F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A246F4" w:rsidRPr="00954D22" w:rsidRDefault="00A246F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27F09">
      <w:rPr>
        <w:noProof/>
        <w:szCs w:val="24"/>
      </w:rPr>
      <w:t>541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46F4" w:rsidRDefault="00A246F4">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6" style="width:480.95pt;height:1pt" o:hralign="center" o:hrstd="t" o:hrnoshade="t" o:hr="t" fillcolor="black [3213]" stroked="f"/>
      </w:pict>
    </w:r>
  </w:p>
  <w:p w:rsidR="00A246F4" w:rsidRPr="0009648D" w:rsidRDefault="00A246F4" w:rsidP="00ED7E83">
    <w:pPr>
      <w:tabs>
        <w:tab w:val="center" w:pos="4680"/>
      </w:tabs>
    </w:pPr>
    <w:r>
      <w:tab/>
    </w:r>
    <w:r w:rsidRPr="0009648D">
      <w:t xml:space="preserve">- </w:t>
    </w:r>
    <w:r>
      <w:fldChar w:fldCharType="begin"/>
    </w:r>
    <w:r>
      <w:instrText xml:space="preserve"> PAGE   \* MERGEFORMAT </w:instrText>
    </w:r>
    <w:r>
      <w:fldChar w:fldCharType="separate"/>
    </w:r>
    <w:r w:rsidR="00227F09">
      <w:rPr>
        <w:noProof/>
      </w:rPr>
      <w:t>545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pPr>
      <w:pStyle w:val="Footer"/>
      <w:rPr>
        <w:lang w:val="fr-CA"/>
      </w:rPr>
    </w:pPr>
    <w:r>
      <w:rPr>
        <w:lang w:val="fr-CA"/>
      </w:rPr>
      <w:pict>
        <v:rect id="_x0000_i1037" style="width:480.95pt;height:1pt" o:hralign="center" o:hrstd="t" o:hrnoshade="t" o:hr="t" fillcolor="black [3213]" stroked="f"/>
      </w:pict>
    </w:r>
  </w:p>
  <w:p w:rsidR="00A246F4" w:rsidRDefault="00A246F4" w:rsidP="00245129">
    <w:pPr>
      <w:tabs>
        <w:tab w:val="center" w:pos="4680"/>
      </w:tabs>
    </w:pPr>
    <w:r>
      <w:tab/>
    </w:r>
    <w:r w:rsidRPr="0009648D">
      <w:t xml:space="preserve">- </w:t>
    </w:r>
    <w:r>
      <w:fldChar w:fldCharType="begin"/>
    </w:r>
    <w:r>
      <w:instrText xml:space="preserve"> PAGE   \* MERGEFORMAT </w:instrText>
    </w:r>
    <w:r>
      <w:fldChar w:fldCharType="separate"/>
    </w:r>
    <w:r w:rsidR="00227F09">
      <w:rPr>
        <w:noProof/>
      </w:rPr>
      <w:t>542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46F4" w:rsidRDefault="00A246F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227F09" w:rsidP="00755F22">
    <w:pPr>
      <w:tabs>
        <w:tab w:val="left" w:pos="-1440"/>
        <w:tab w:val="left" w:pos="-720"/>
      </w:tabs>
    </w:pPr>
    <w:r>
      <w:pict>
        <v:rect id="_x0000_i1039" style="width:480.95pt;height:1pt" o:hralign="center" o:hrstd="t" o:hrnoshade="t" o:hr="t" fillcolor="black [3213]" stroked="f"/>
      </w:pict>
    </w:r>
  </w:p>
  <w:p w:rsidR="00A246F4" w:rsidRDefault="00A246F4" w:rsidP="00EB2B90">
    <w:pPr>
      <w:tabs>
        <w:tab w:val="center" w:pos="4680"/>
      </w:tabs>
    </w:pPr>
    <w:r>
      <w:tab/>
      <w:t xml:space="preserve">- </w:t>
    </w:r>
    <w:r>
      <w:fldChar w:fldCharType="begin"/>
    </w:r>
    <w:r>
      <w:instrText xml:space="preserve"> PAGE   \* MERGEFORMAT </w:instrText>
    </w:r>
    <w:r>
      <w:fldChar w:fldCharType="separate"/>
    </w:r>
    <w:r>
      <w:rPr>
        <w:noProof/>
      </w:rPr>
      <w:t>504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F4" w:rsidRDefault="00A246F4" w:rsidP="00A87207">
      <w:r>
        <w:separator/>
      </w:r>
    </w:p>
  </w:footnote>
  <w:footnote w:type="continuationSeparator" w:id="0">
    <w:p w:rsidR="00A246F4" w:rsidRDefault="00A246F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246F4" w:rsidRPr="0044776A" w:rsidTr="00245129">
      <w:tc>
        <w:tcPr>
          <w:tcW w:w="4290" w:type="dxa"/>
          <w:tcMar>
            <w:left w:w="0" w:type="dxa"/>
            <w:right w:w="0" w:type="dxa"/>
          </w:tcMar>
        </w:tcPr>
        <w:p w:rsidR="00A246F4" w:rsidRPr="0044776A" w:rsidRDefault="00A246F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246F4" w:rsidRPr="0044776A" w:rsidRDefault="00A246F4" w:rsidP="002E2327">
          <w:pPr>
            <w:keepNext/>
            <w:keepLines/>
            <w:tabs>
              <w:tab w:val="left" w:pos="-1440"/>
              <w:tab w:val="left" w:pos="-720"/>
            </w:tabs>
            <w:jc w:val="center"/>
            <w:rPr>
              <w:sz w:val="20"/>
              <w:szCs w:val="20"/>
            </w:rPr>
          </w:pPr>
        </w:p>
        <w:p w:rsidR="00A246F4" w:rsidRPr="0044776A" w:rsidRDefault="00A246F4" w:rsidP="002E2327">
          <w:pPr>
            <w:keepNext/>
            <w:keepLines/>
            <w:tabs>
              <w:tab w:val="left" w:pos="-1440"/>
              <w:tab w:val="left" w:pos="-720"/>
            </w:tabs>
            <w:jc w:val="center"/>
            <w:rPr>
              <w:sz w:val="20"/>
              <w:szCs w:val="20"/>
            </w:rPr>
          </w:pPr>
        </w:p>
        <w:p w:rsidR="00A246F4" w:rsidRPr="0044776A" w:rsidRDefault="00A246F4" w:rsidP="002E2327">
          <w:pPr>
            <w:keepNext/>
            <w:keepLines/>
            <w:tabs>
              <w:tab w:val="left" w:pos="-1440"/>
              <w:tab w:val="left" w:pos="-720"/>
            </w:tabs>
            <w:jc w:val="center"/>
            <w:rPr>
              <w:sz w:val="20"/>
              <w:szCs w:val="20"/>
            </w:rPr>
          </w:pPr>
        </w:p>
      </w:tc>
      <w:tc>
        <w:tcPr>
          <w:tcW w:w="4320" w:type="dxa"/>
          <w:tcMar>
            <w:left w:w="0" w:type="dxa"/>
            <w:right w:w="0" w:type="dxa"/>
          </w:tcMar>
        </w:tcPr>
        <w:p w:rsidR="00A246F4" w:rsidRPr="0044776A" w:rsidRDefault="00A246F4" w:rsidP="002E2327">
          <w:pPr>
            <w:keepLines/>
            <w:rPr>
              <w:sz w:val="20"/>
              <w:szCs w:val="20"/>
              <w:lang w:val="fr-CA"/>
            </w:rPr>
          </w:pPr>
          <w:r w:rsidRPr="0044776A">
            <w:rPr>
              <w:sz w:val="20"/>
              <w:szCs w:val="20"/>
              <w:lang w:val="fr-CA"/>
            </w:rPr>
            <w:t>DEMANDES D'AUTORISATION D'APPEL DÉPOSÉES</w:t>
          </w:r>
        </w:p>
      </w:tc>
    </w:tr>
  </w:tbl>
  <w:p w:rsidR="00A246F4" w:rsidRDefault="00A246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46F4" w:rsidRPr="00D23B2D">
      <w:tc>
        <w:tcPr>
          <w:tcW w:w="4200" w:type="dxa"/>
          <w:tcMar>
            <w:left w:w="0" w:type="dxa"/>
            <w:right w:w="0" w:type="dxa"/>
          </w:tcMar>
        </w:tcPr>
        <w:p w:rsidR="00A246F4"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246F4"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46F4" w:rsidRPr="00B01A03"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246F4" w:rsidRPr="00B01A03"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46F4" w:rsidRPr="00B01A03"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246F4" w:rsidRPr="00D23B2D" w:rsidTr="00245129">
      <w:tc>
        <w:tcPr>
          <w:tcW w:w="4200" w:type="dxa"/>
          <w:tcMar>
            <w:left w:w="0" w:type="dxa"/>
            <w:right w:w="0" w:type="dxa"/>
          </w:tcMar>
        </w:tcPr>
        <w:p w:rsidR="00A246F4" w:rsidRPr="00F40249" w:rsidRDefault="00A246F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246F4" w:rsidRDefault="00A246F4" w:rsidP="00102926">
          <w:pPr>
            <w:keepNext/>
            <w:keepLines/>
            <w:tabs>
              <w:tab w:val="left" w:pos="-1440"/>
              <w:tab w:val="left" w:pos="-720"/>
            </w:tabs>
            <w:jc w:val="center"/>
            <w:rPr>
              <w:sz w:val="20"/>
              <w:szCs w:val="20"/>
            </w:rPr>
          </w:pPr>
        </w:p>
        <w:p w:rsidR="00A246F4" w:rsidRDefault="00A246F4" w:rsidP="00102926">
          <w:pPr>
            <w:keepNext/>
            <w:keepLines/>
            <w:tabs>
              <w:tab w:val="left" w:pos="-1440"/>
              <w:tab w:val="left" w:pos="-720"/>
            </w:tabs>
            <w:jc w:val="center"/>
            <w:rPr>
              <w:sz w:val="20"/>
              <w:szCs w:val="20"/>
            </w:rPr>
          </w:pPr>
        </w:p>
        <w:p w:rsidR="00A246F4" w:rsidRPr="00F40249" w:rsidRDefault="00A246F4" w:rsidP="00102926">
          <w:pPr>
            <w:keepNext/>
            <w:keepLines/>
            <w:tabs>
              <w:tab w:val="left" w:pos="-1440"/>
              <w:tab w:val="left" w:pos="-720"/>
            </w:tabs>
            <w:jc w:val="center"/>
            <w:rPr>
              <w:sz w:val="20"/>
              <w:szCs w:val="20"/>
            </w:rPr>
          </w:pPr>
        </w:p>
      </w:tc>
      <w:tc>
        <w:tcPr>
          <w:tcW w:w="4230" w:type="dxa"/>
          <w:tcMar>
            <w:left w:w="0" w:type="dxa"/>
            <w:right w:w="0" w:type="dxa"/>
          </w:tcMar>
        </w:tcPr>
        <w:p w:rsidR="00A246F4" w:rsidRPr="00F40249" w:rsidRDefault="00A246F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246F4" w:rsidRPr="00B01A03" w:rsidRDefault="00A246F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46F4">
      <w:tc>
        <w:tcPr>
          <w:tcW w:w="4200" w:type="dxa"/>
          <w:tcMar>
            <w:left w:w="0" w:type="dxa"/>
            <w:right w:w="0" w:type="dxa"/>
          </w:tcMar>
        </w:tcPr>
        <w:p w:rsidR="00A246F4" w:rsidRDefault="00A246F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246F4" w:rsidRDefault="00A246F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246F4" w:rsidRDefault="00A246F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246F4" w:rsidRDefault="00A246F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246F4" w:rsidRDefault="00A246F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246F4" w:rsidRDefault="00A246F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46F4" w:rsidRPr="00C50A5C" w:rsidTr="00245129">
      <w:tc>
        <w:tcPr>
          <w:tcW w:w="4200" w:type="dxa"/>
          <w:tcMar>
            <w:left w:w="0" w:type="dxa"/>
            <w:right w:w="0" w:type="dxa"/>
          </w:tcMar>
        </w:tcPr>
        <w:p w:rsidR="00A246F4" w:rsidRPr="00C50A5C" w:rsidRDefault="00A246F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246F4" w:rsidRPr="00C50A5C" w:rsidRDefault="00A246F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246F4" w:rsidRPr="00C50A5C" w:rsidRDefault="00A246F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246F4" w:rsidRPr="00C50A5C" w:rsidRDefault="00A246F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246F4" w:rsidRDefault="00A246F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46F4" w:rsidRPr="005F263E" w:rsidTr="00245129">
      <w:tc>
        <w:tcPr>
          <w:tcW w:w="4200" w:type="dxa"/>
          <w:tcMar>
            <w:left w:w="0" w:type="dxa"/>
            <w:right w:w="0" w:type="dxa"/>
          </w:tcMar>
        </w:tcPr>
        <w:p w:rsidR="00A246F4" w:rsidRPr="005F263E" w:rsidRDefault="00A246F4"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246F4" w:rsidRPr="005F263E" w:rsidRDefault="00A246F4" w:rsidP="00245129">
          <w:pPr>
            <w:keepNext/>
            <w:keepLines/>
            <w:tabs>
              <w:tab w:val="left" w:pos="-1440"/>
              <w:tab w:val="left" w:pos="-720"/>
            </w:tabs>
            <w:jc w:val="center"/>
            <w:rPr>
              <w:sz w:val="20"/>
              <w:szCs w:val="20"/>
            </w:rPr>
          </w:pPr>
        </w:p>
        <w:p w:rsidR="00A246F4" w:rsidRPr="005F263E" w:rsidRDefault="00A246F4" w:rsidP="00245129">
          <w:pPr>
            <w:keepNext/>
            <w:keepLines/>
            <w:tabs>
              <w:tab w:val="left" w:pos="-1440"/>
              <w:tab w:val="left" w:pos="-720"/>
            </w:tabs>
            <w:jc w:val="center"/>
            <w:rPr>
              <w:sz w:val="20"/>
              <w:szCs w:val="20"/>
            </w:rPr>
          </w:pPr>
        </w:p>
      </w:tc>
      <w:tc>
        <w:tcPr>
          <w:tcW w:w="4080" w:type="dxa"/>
          <w:tcMar>
            <w:left w:w="0" w:type="dxa"/>
            <w:right w:w="0" w:type="dxa"/>
          </w:tcMar>
        </w:tcPr>
        <w:p w:rsidR="00A246F4" w:rsidRPr="005F263E" w:rsidRDefault="00A246F4" w:rsidP="00245129">
          <w:pPr>
            <w:keepLines/>
            <w:tabs>
              <w:tab w:val="left" w:pos="-1440"/>
              <w:tab w:val="left" w:pos="-720"/>
            </w:tabs>
            <w:rPr>
              <w:sz w:val="20"/>
              <w:szCs w:val="20"/>
            </w:rPr>
          </w:pPr>
          <w:r w:rsidRPr="005F263E">
            <w:rPr>
              <w:sz w:val="20"/>
              <w:szCs w:val="20"/>
            </w:rPr>
            <w:t>RÉSUMÉS DES AFFAIRES</w:t>
          </w:r>
        </w:p>
      </w:tc>
    </w:tr>
  </w:tbl>
  <w:p w:rsidR="00A246F4" w:rsidRDefault="00A246F4"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46F4" w:rsidRPr="00D23B2D" w:rsidTr="00245129">
      <w:tc>
        <w:tcPr>
          <w:tcW w:w="4200" w:type="dxa"/>
          <w:tcMar>
            <w:left w:w="0" w:type="dxa"/>
            <w:right w:w="0" w:type="dxa"/>
          </w:tcMar>
        </w:tcPr>
        <w:p w:rsidR="00A246F4" w:rsidRPr="0044776A" w:rsidRDefault="00A246F4" w:rsidP="0044776A">
          <w:pPr>
            <w:keepNext/>
            <w:keepLines/>
            <w:widowControl w:val="0"/>
            <w:rPr>
              <w:sz w:val="20"/>
              <w:szCs w:val="20"/>
            </w:rPr>
          </w:pPr>
          <w:r>
            <w:rPr>
              <w:sz w:val="20"/>
              <w:szCs w:val="20"/>
            </w:rPr>
            <w:t>APPLICATIONS FOR LEAVE</w:t>
          </w:r>
        </w:p>
        <w:p w:rsidR="00A246F4" w:rsidRPr="0044776A" w:rsidRDefault="00A246F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246F4" w:rsidRPr="0044776A" w:rsidRDefault="00A246F4" w:rsidP="0044776A">
          <w:pPr>
            <w:keepNext/>
            <w:keepLines/>
            <w:widowControl w:val="0"/>
            <w:jc w:val="center"/>
            <w:rPr>
              <w:sz w:val="20"/>
              <w:szCs w:val="20"/>
            </w:rPr>
          </w:pPr>
        </w:p>
        <w:p w:rsidR="00A246F4" w:rsidRPr="0044776A" w:rsidRDefault="00A246F4" w:rsidP="0044776A">
          <w:pPr>
            <w:keepNext/>
            <w:keepLines/>
            <w:widowControl w:val="0"/>
            <w:jc w:val="center"/>
            <w:rPr>
              <w:sz w:val="20"/>
              <w:szCs w:val="20"/>
            </w:rPr>
          </w:pPr>
        </w:p>
        <w:p w:rsidR="00A246F4" w:rsidRPr="0044776A" w:rsidRDefault="00A246F4" w:rsidP="0044776A">
          <w:pPr>
            <w:keepNext/>
            <w:keepLines/>
            <w:widowControl w:val="0"/>
            <w:jc w:val="center"/>
            <w:rPr>
              <w:sz w:val="20"/>
              <w:szCs w:val="20"/>
            </w:rPr>
          </w:pPr>
        </w:p>
      </w:tc>
      <w:tc>
        <w:tcPr>
          <w:tcW w:w="4080" w:type="dxa"/>
          <w:tcMar>
            <w:left w:w="0" w:type="dxa"/>
            <w:right w:w="0" w:type="dxa"/>
          </w:tcMar>
        </w:tcPr>
        <w:p w:rsidR="00A246F4" w:rsidRPr="0044776A" w:rsidRDefault="00A246F4" w:rsidP="0044776A">
          <w:pPr>
            <w:keepLines/>
            <w:widowControl w:val="0"/>
            <w:rPr>
              <w:sz w:val="20"/>
              <w:szCs w:val="20"/>
              <w:lang w:val="fr-CA"/>
            </w:rPr>
          </w:pPr>
          <w:r w:rsidRPr="0044776A">
            <w:rPr>
              <w:sz w:val="20"/>
              <w:szCs w:val="20"/>
              <w:lang w:val="fr-CA"/>
            </w:rPr>
            <w:t>DEMANDES SOUMISES À LA COUR DEPUIS LA DERNIÈRE PARUTION</w:t>
          </w:r>
        </w:p>
        <w:p w:rsidR="00A246F4" w:rsidRPr="0044776A" w:rsidRDefault="00A246F4" w:rsidP="0044776A">
          <w:pPr>
            <w:widowControl w:val="0"/>
            <w:rPr>
              <w:sz w:val="20"/>
              <w:szCs w:val="20"/>
              <w:lang w:val="fr-CA"/>
            </w:rPr>
          </w:pPr>
        </w:p>
      </w:tc>
    </w:tr>
  </w:tbl>
  <w:p w:rsidR="00A246F4" w:rsidRPr="002E2327" w:rsidRDefault="00A246F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46F4" w:rsidRPr="00D23B2D">
      <w:tc>
        <w:tcPr>
          <w:tcW w:w="4200" w:type="dxa"/>
          <w:tcMar>
            <w:left w:w="0" w:type="dxa"/>
            <w:right w:w="0" w:type="dxa"/>
          </w:tcMar>
        </w:tcPr>
        <w:p w:rsidR="00A246F4"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246F4"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246F4"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46F4" w:rsidRPr="00FF6BA5"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246F4" w:rsidRPr="00FF6BA5"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246F4" w:rsidRPr="00FF6BA5"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246F4" w:rsidRPr="00FF6BA5"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46F4" w:rsidRPr="00D23B2D" w:rsidTr="00245129">
      <w:tc>
        <w:tcPr>
          <w:tcW w:w="4200" w:type="dxa"/>
          <w:tcMar>
            <w:left w:w="0" w:type="dxa"/>
            <w:right w:w="0" w:type="dxa"/>
          </w:tcMar>
        </w:tcPr>
        <w:p w:rsidR="00A246F4" w:rsidRPr="00755F22"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246F4" w:rsidRPr="00755F22"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246F4" w:rsidRPr="00755F22" w:rsidRDefault="00A246F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46F4" w:rsidRPr="00755F22" w:rsidRDefault="00A246F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46F4" w:rsidRPr="00755F22" w:rsidRDefault="00A246F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246F4" w:rsidRPr="00755F22"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246F4" w:rsidRPr="00FF6BA5" w:rsidRDefault="00A246F4"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Default="00A246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246F4">
      <w:tc>
        <w:tcPr>
          <w:tcW w:w="4230" w:type="dxa"/>
          <w:tcMar>
            <w:left w:w="0" w:type="dxa"/>
            <w:right w:w="0" w:type="dxa"/>
          </w:tcMar>
        </w:tcPr>
        <w:p w:rsidR="00A246F4" w:rsidRDefault="00A246F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246F4"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46F4" w:rsidRDefault="00A246F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246F4">
      <w:trPr>
        <w:gridAfter w:val="2"/>
        <w:wAfter w:w="5250" w:type="dxa"/>
      </w:trPr>
      <w:tc>
        <w:tcPr>
          <w:tcW w:w="4230" w:type="dxa"/>
          <w:tcMar>
            <w:left w:w="0" w:type="dxa"/>
            <w:right w:w="0" w:type="dxa"/>
          </w:tcMar>
        </w:tcPr>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246F4" w:rsidRDefault="00A2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246F4" w:rsidRPr="00755F22" w:rsidTr="00245129">
      <w:tc>
        <w:tcPr>
          <w:tcW w:w="4230" w:type="dxa"/>
          <w:tcMar>
            <w:left w:w="0" w:type="dxa"/>
            <w:right w:w="0" w:type="dxa"/>
          </w:tcMar>
        </w:tcPr>
        <w:p w:rsidR="00A246F4" w:rsidRPr="00755F22" w:rsidRDefault="00A246F4" w:rsidP="00831CA9">
          <w:pPr>
            <w:keepNext/>
            <w:keepLines/>
            <w:rPr>
              <w:sz w:val="20"/>
              <w:szCs w:val="20"/>
            </w:rPr>
          </w:pPr>
          <w:r w:rsidRPr="00755F22">
            <w:rPr>
              <w:sz w:val="20"/>
              <w:szCs w:val="20"/>
            </w:rPr>
            <w:t>MOTIONS</w:t>
          </w:r>
        </w:p>
      </w:tc>
      <w:tc>
        <w:tcPr>
          <w:tcW w:w="1170" w:type="dxa"/>
          <w:tcMar>
            <w:left w:w="0" w:type="dxa"/>
            <w:right w:w="0" w:type="dxa"/>
          </w:tcMar>
        </w:tcPr>
        <w:p w:rsidR="00A246F4" w:rsidRPr="00755F22" w:rsidRDefault="00A246F4" w:rsidP="00831CA9">
          <w:pPr>
            <w:keepLines/>
            <w:jc w:val="center"/>
            <w:rPr>
              <w:sz w:val="20"/>
              <w:szCs w:val="20"/>
            </w:rPr>
          </w:pPr>
        </w:p>
        <w:p w:rsidR="00A246F4" w:rsidRPr="00755F22" w:rsidRDefault="00A246F4" w:rsidP="00831CA9">
          <w:pPr>
            <w:keepLines/>
            <w:tabs>
              <w:tab w:val="left" w:pos="-1440"/>
              <w:tab w:val="left" w:pos="-720"/>
            </w:tabs>
            <w:jc w:val="center"/>
            <w:rPr>
              <w:sz w:val="20"/>
              <w:szCs w:val="20"/>
            </w:rPr>
          </w:pPr>
        </w:p>
      </w:tc>
      <w:tc>
        <w:tcPr>
          <w:tcW w:w="4080" w:type="dxa"/>
          <w:tcMar>
            <w:left w:w="0" w:type="dxa"/>
            <w:right w:w="0" w:type="dxa"/>
          </w:tcMar>
        </w:tcPr>
        <w:p w:rsidR="00A246F4" w:rsidRPr="00BA6468" w:rsidRDefault="00A246F4" w:rsidP="00BA6468">
          <w:pPr>
            <w:keepLines/>
            <w:rPr>
              <w:sz w:val="20"/>
              <w:szCs w:val="20"/>
              <w:lang w:val="fr-CA"/>
            </w:rPr>
          </w:pPr>
          <w:r w:rsidRPr="00BA6468">
            <w:rPr>
              <w:sz w:val="20"/>
              <w:szCs w:val="20"/>
              <w:lang w:val="fr-CA"/>
            </w:rPr>
            <w:t>REQUÊTES</w:t>
          </w:r>
        </w:p>
      </w:tc>
    </w:tr>
  </w:tbl>
  <w:p w:rsidR="00A246F4" w:rsidRDefault="00A246F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7A"/>
    <w:rsid w:val="00002704"/>
    <w:rsid w:val="0001263F"/>
    <w:rsid w:val="00020DC3"/>
    <w:rsid w:val="0003223B"/>
    <w:rsid w:val="000327B2"/>
    <w:rsid w:val="0004528B"/>
    <w:rsid w:val="00054B6C"/>
    <w:rsid w:val="00064FBA"/>
    <w:rsid w:val="00083125"/>
    <w:rsid w:val="00091FA6"/>
    <w:rsid w:val="00096BD9"/>
    <w:rsid w:val="000B3C9A"/>
    <w:rsid w:val="000B40A2"/>
    <w:rsid w:val="000B4624"/>
    <w:rsid w:val="000C0ACD"/>
    <w:rsid w:val="000C0D2A"/>
    <w:rsid w:val="000C5CE8"/>
    <w:rsid w:val="000E27A5"/>
    <w:rsid w:val="000E2959"/>
    <w:rsid w:val="000F0B60"/>
    <w:rsid w:val="00101D61"/>
    <w:rsid w:val="00102926"/>
    <w:rsid w:val="0010587F"/>
    <w:rsid w:val="00107A5C"/>
    <w:rsid w:val="00111C6B"/>
    <w:rsid w:val="0012102B"/>
    <w:rsid w:val="0013369E"/>
    <w:rsid w:val="00133A61"/>
    <w:rsid w:val="0013595D"/>
    <w:rsid w:val="00164E6D"/>
    <w:rsid w:val="0017100C"/>
    <w:rsid w:val="00183454"/>
    <w:rsid w:val="00195F99"/>
    <w:rsid w:val="001B157C"/>
    <w:rsid w:val="001B4006"/>
    <w:rsid w:val="001B5C23"/>
    <w:rsid w:val="001D0D5F"/>
    <w:rsid w:val="001D6B8C"/>
    <w:rsid w:val="001F1A8B"/>
    <w:rsid w:val="001F1F83"/>
    <w:rsid w:val="001F40DF"/>
    <w:rsid w:val="001F43F8"/>
    <w:rsid w:val="001F6B2D"/>
    <w:rsid w:val="002021A9"/>
    <w:rsid w:val="002139A7"/>
    <w:rsid w:val="00214047"/>
    <w:rsid w:val="00215F7C"/>
    <w:rsid w:val="0022323B"/>
    <w:rsid w:val="00227F09"/>
    <w:rsid w:val="002319E8"/>
    <w:rsid w:val="002410B8"/>
    <w:rsid w:val="00242AEE"/>
    <w:rsid w:val="00245129"/>
    <w:rsid w:val="00245879"/>
    <w:rsid w:val="00253236"/>
    <w:rsid w:val="00267FD5"/>
    <w:rsid w:val="00273FB3"/>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40B78"/>
    <w:rsid w:val="00355967"/>
    <w:rsid w:val="003743CC"/>
    <w:rsid w:val="00382C47"/>
    <w:rsid w:val="00384384"/>
    <w:rsid w:val="003866AE"/>
    <w:rsid w:val="003B3977"/>
    <w:rsid w:val="003C0085"/>
    <w:rsid w:val="003E1D4C"/>
    <w:rsid w:val="0041245B"/>
    <w:rsid w:val="004137A0"/>
    <w:rsid w:val="00422D9A"/>
    <w:rsid w:val="00432989"/>
    <w:rsid w:val="00440E24"/>
    <w:rsid w:val="0044776A"/>
    <w:rsid w:val="004519A1"/>
    <w:rsid w:val="00460AFC"/>
    <w:rsid w:val="0047471F"/>
    <w:rsid w:val="004B195E"/>
    <w:rsid w:val="004B66B4"/>
    <w:rsid w:val="004B7F60"/>
    <w:rsid w:val="004C1AAC"/>
    <w:rsid w:val="004E1E0A"/>
    <w:rsid w:val="004E5524"/>
    <w:rsid w:val="004F090E"/>
    <w:rsid w:val="00501F3C"/>
    <w:rsid w:val="0051382F"/>
    <w:rsid w:val="0052229C"/>
    <w:rsid w:val="00527CC7"/>
    <w:rsid w:val="00552E45"/>
    <w:rsid w:val="0056248C"/>
    <w:rsid w:val="00571CA4"/>
    <w:rsid w:val="00582136"/>
    <w:rsid w:val="005C6840"/>
    <w:rsid w:val="005F1ED8"/>
    <w:rsid w:val="005F263E"/>
    <w:rsid w:val="00600252"/>
    <w:rsid w:val="00612A40"/>
    <w:rsid w:val="00616F36"/>
    <w:rsid w:val="0062714A"/>
    <w:rsid w:val="00661AD5"/>
    <w:rsid w:val="00675479"/>
    <w:rsid w:val="00680709"/>
    <w:rsid w:val="00681F61"/>
    <w:rsid w:val="00696BF9"/>
    <w:rsid w:val="00697C62"/>
    <w:rsid w:val="006A329B"/>
    <w:rsid w:val="006A7EB8"/>
    <w:rsid w:val="006B514F"/>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34003"/>
    <w:rsid w:val="0083576A"/>
    <w:rsid w:val="008457B1"/>
    <w:rsid w:val="00850E1F"/>
    <w:rsid w:val="0085476B"/>
    <w:rsid w:val="0086340B"/>
    <w:rsid w:val="008902B1"/>
    <w:rsid w:val="00890FEB"/>
    <w:rsid w:val="00895E7E"/>
    <w:rsid w:val="008A5C1A"/>
    <w:rsid w:val="008D292F"/>
    <w:rsid w:val="008D7211"/>
    <w:rsid w:val="008E03DC"/>
    <w:rsid w:val="00902E51"/>
    <w:rsid w:val="00921CEE"/>
    <w:rsid w:val="00924065"/>
    <w:rsid w:val="00930D68"/>
    <w:rsid w:val="00932DB4"/>
    <w:rsid w:val="00941A4B"/>
    <w:rsid w:val="00946242"/>
    <w:rsid w:val="0095096B"/>
    <w:rsid w:val="00950B7E"/>
    <w:rsid w:val="00970CD3"/>
    <w:rsid w:val="009723FA"/>
    <w:rsid w:val="00984546"/>
    <w:rsid w:val="00996510"/>
    <w:rsid w:val="009D1F15"/>
    <w:rsid w:val="009D555E"/>
    <w:rsid w:val="009F3024"/>
    <w:rsid w:val="009F39BA"/>
    <w:rsid w:val="00A0355E"/>
    <w:rsid w:val="00A246F4"/>
    <w:rsid w:val="00A375D1"/>
    <w:rsid w:val="00A51D10"/>
    <w:rsid w:val="00A52A83"/>
    <w:rsid w:val="00A6552C"/>
    <w:rsid w:val="00A87207"/>
    <w:rsid w:val="00A935AA"/>
    <w:rsid w:val="00A956D3"/>
    <w:rsid w:val="00AB2201"/>
    <w:rsid w:val="00AD1D34"/>
    <w:rsid w:val="00AD3259"/>
    <w:rsid w:val="00AF1715"/>
    <w:rsid w:val="00AF3904"/>
    <w:rsid w:val="00B010C0"/>
    <w:rsid w:val="00B3597A"/>
    <w:rsid w:val="00B4740D"/>
    <w:rsid w:val="00B61629"/>
    <w:rsid w:val="00B64E5D"/>
    <w:rsid w:val="00B7374B"/>
    <w:rsid w:val="00B90DC0"/>
    <w:rsid w:val="00BA116A"/>
    <w:rsid w:val="00BA5582"/>
    <w:rsid w:val="00BA6468"/>
    <w:rsid w:val="00BB1D44"/>
    <w:rsid w:val="00BD06DA"/>
    <w:rsid w:val="00BD4217"/>
    <w:rsid w:val="00BF25F3"/>
    <w:rsid w:val="00BF624E"/>
    <w:rsid w:val="00C01FCB"/>
    <w:rsid w:val="00C1697B"/>
    <w:rsid w:val="00C21644"/>
    <w:rsid w:val="00C21CB5"/>
    <w:rsid w:val="00C406CA"/>
    <w:rsid w:val="00C46376"/>
    <w:rsid w:val="00C50A5C"/>
    <w:rsid w:val="00C50FDF"/>
    <w:rsid w:val="00C63381"/>
    <w:rsid w:val="00C72733"/>
    <w:rsid w:val="00C73D06"/>
    <w:rsid w:val="00C73E1B"/>
    <w:rsid w:val="00C7556C"/>
    <w:rsid w:val="00C759B4"/>
    <w:rsid w:val="00C77713"/>
    <w:rsid w:val="00C85BB7"/>
    <w:rsid w:val="00C97C4A"/>
    <w:rsid w:val="00CA2DEA"/>
    <w:rsid w:val="00CB3520"/>
    <w:rsid w:val="00CB36F6"/>
    <w:rsid w:val="00CB43D5"/>
    <w:rsid w:val="00CC4D84"/>
    <w:rsid w:val="00CE198A"/>
    <w:rsid w:val="00CF08C8"/>
    <w:rsid w:val="00D004FC"/>
    <w:rsid w:val="00D17602"/>
    <w:rsid w:val="00D23B2D"/>
    <w:rsid w:val="00D31D14"/>
    <w:rsid w:val="00D64901"/>
    <w:rsid w:val="00D76BDF"/>
    <w:rsid w:val="00D818B6"/>
    <w:rsid w:val="00D862C1"/>
    <w:rsid w:val="00D93B50"/>
    <w:rsid w:val="00D94028"/>
    <w:rsid w:val="00D94670"/>
    <w:rsid w:val="00DA46F6"/>
    <w:rsid w:val="00DA756F"/>
    <w:rsid w:val="00DC0577"/>
    <w:rsid w:val="00DD0B49"/>
    <w:rsid w:val="00DE0502"/>
    <w:rsid w:val="00DE349D"/>
    <w:rsid w:val="00E06DFA"/>
    <w:rsid w:val="00E0716D"/>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47F5B"/>
    <w:rsid w:val="00F526C8"/>
    <w:rsid w:val="00F761A3"/>
    <w:rsid w:val="00F9272D"/>
    <w:rsid w:val="00F9518C"/>
    <w:rsid w:val="00FA316E"/>
    <w:rsid w:val="00FA3373"/>
    <w:rsid w:val="00FA3656"/>
    <w:rsid w:val="00FA5483"/>
    <w:rsid w:val="00FA59EF"/>
    <w:rsid w:val="00FB19A2"/>
    <w:rsid w:val="00FB4A2E"/>
    <w:rsid w:val="00FD6CEB"/>
    <w:rsid w:val="00FE2440"/>
    <w:rsid w:val="00FE7C2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A24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F4"/>
    <w:rPr>
      <w:rFonts w:ascii="Segoe UI" w:hAnsi="Segoe UI" w:cs="Segoe UI"/>
      <w:sz w:val="18"/>
      <w:szCs w:val="18"/>
      <w:lang w:val="en-CA"/>
    </w:rPr>
  </w:style>
  <w:style w:type="paragraph" w:customStyle="1" w:styleId="SCCSsoc">
    <w:name w:val="SCC.Ssoc"/>
    <w:basedOn w:val="Normal"/>
    <w:next w:val="Normal"/>
    <w:link w:val="SCCSsocChar"/>
    <w:rsid w:val="00107A5C"/>
    <w:rPr>
      <w:i/>
      <w:sz w:val="20"/>
      <w:szCs w:val="20"/>
    </w:rPr>
  </w:style>
  <w:style w:type="character" w:customStyle="1" w:styleId="SCCSsocChar">
    <w:name w:val="SCC.Ssoc Char"/>
    <w:basedOn w:val="DefaultParagraphFont"/>
    <w:link w:val="SCCSsoc"/>
    <w:rsid w:val="00107A5C"/>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005">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20885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ab/abca/doc/2017/2017abca221/2017abca221.html?autocompleteStr=2017%20ABCA%20221&amp;autocompletePos=1" TargetMode="External"/><Relationship Id="rId39" Type="http://schemas.openxmlformats.org/officeDocument/2006/relationships/header" Target="header10.xml"/><Relationship Id="rId21" Type="http://schemas.openxmlformats.org/officeDocument/2006/relationships/hyperlink" Target="https://www.canlii.org/en/ab/abca/doc/2017/2017abca248/2017abca248.html?resultIndex=1" TargetMode="External"/><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hyperlink" Target="https://www.canlii.org/en/ca/laws/stat/sc-2001-c-27/latest/sc-2001-c-27.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en/ca/laws/stat/sc-2001-c-27/latest/sc-2001-c-27.html" TargetMode="External"/><Relationship Id="rId29" Type="http://schemas.openxmlformats.org/officeDocument/2006/relationships/header" Target="header5.xml"/><Relationship Id="rId41" Type="http://schemas.openxmlformats.org/officeDocument/2006/relationships/header" Target="header11.xml"/><Relationship Id="rId54" Type="http://schemas.openxmlformats.org/officeDocument/2006/relationships/hyperlink" Target="https://www.canlii.org/en/ca/laws/stat/sc-2001-c-27/latest/sc-2001-c-27.html" TargetMode="Externa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ab/abca/doc/2017/2017abca248/2017abca248.html?resultIndex=1"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3.xml"/><Relationship Id="rId53" Type="http://schemas.openxmlformats.org/officeDocument/2006/relationships/hyperlink" Target="https://www.canlii.org/en/ca/laws/stat/sc-2001-c-27/latest/sc-2001-c-27.html" TargetMode="Externa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ca/laws/stat/sc-2001-c-27/latest/sc-2001-c-27.html" TargetMode="External"/><Relationship Id="rId28" Type="http://schemas.openxmlformats.org/officeDocument/2006/relationships/hyperlink" Target="https://www.canlii.org/en/ab/abca/doc/2017/2017abca221/2017abca221.html?autocompleteStr=2017%20ABCA%20221&amp;autocompletePos=1" TargetMode="External"/><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hyperlink" Target="http://www.scc-csc.ca" TargetMode="External"/><Relationship Id="rId19" Type="http://schemas.openxmlformats.org/officeDocument/2006/relationships/hyperlink" Target="https://www.canlii.org/en/ca/laws/stat/sc-2001-c-27/latest/sc-2001-c-27.html"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ca/laws/stat/sc-2001-c-27/latest/sc-2001-c-27.html" TargetMode="External"/><Relationship Id="rId27" Type="http://schemas.openxmlformats.org/officeDocument/2006/relationships/hyperlink" Target="https://www.canlii.org/en/ab/abqb/doc/2016/2016abqb264/2016abqb264.html?autocompleteStr=2016%20ABQB%20264&amp;autocompletePos=1"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header" Target="header15.xml"/><Relationship Id="rId56" Type="http://schemas.openxmlformats.org/officeDocument/2006/relationships/hyperlink" Target="https://www.canlii.org/en/ca/laws/stat/sc-2001-c-27/latest/sc-2001-c-27.html"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qb/doc/2016/2016abqb264/2016abqb264.html?autocompleteStr=2016%20ABQB%20264&amp;autocompletePos=1"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C6F3-33AF-4C69-A451-05D433F9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23</Pages>
  <Words>10040</Words>
  <Characters>57231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2018-05-01T12:32:00Z</dcterms:created>
  <dcterms:modified xsi:type="dcterms:W3CDTF">2018-05-04T16:56:00Z</dcterms:modified>
</cp:coreProperties>
</file>