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C15495"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C1549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15495"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C15495"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C15495"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C15495"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C15495"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r w:rsidR="009F3024">
              <w:rPr>
                <w:rFonts w:ascii="Arial" w:hAnsi="Arial" w:cs="Arial"/>
                <w:i/>
                <w:sz w:val="20"/>
                <w:szCs w:val="20"/>
              </w:rPr>
              <w:t xml:space="preserve">onsult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668F4" w:rsidP="00F0068D">
      <w:pPr>
        <w:pBdr>
          <w:bottom w:val="single" w:sz="6" w:space="1" w:color="auto"/>
        </w:pBdr>
        <w:tabs>
          <w:tab w:val="center" w:pos="4680"/>
          <w:tab w:val="right" w:pos="9360"/>
        </w:tabs>
        <w:rPr>
          <w:lang w:val="fr-CA"/>
        </w:rPr>
      </w:pPr>
      <w:r>
        <w:rPr>
          <w:lang w:val="fr-CA"/>
        </w:rPr>
        <w:t>May 18</w:t>
      </w:r>
      <w:r w:rsidR="00440E24" w:rsidRPr="00675479">
        <w:rPr>
          <w:lang w:val="fr-CA"/>
        </w:rPr>
        <w:t>, 201</w:t>
      </w:r>
      <w:r w:rsidR="00DC0577">
        <w:rPr>
          <w:lang w:val="fr-CA"/>
        </w:rPr>
        <w:t>8</w:t>
      </w:r>
      <w:r w:rsidR="00C040D9">
        <w:rPr>
          <w:lang w:val="fr-CA"/>
        </w:rPr>
        <w:tab/>
        <w:t>599</w:t>
      </w:r>
      <w:r w:rsidR="00F0068D" w:rsidRPr="00675479">
        <w:rPr>
          <w:lang w:val="fr-CA"/>
        </w:rPr>
        <w:t xml:space="preserve"> - </w:t>
      </w:r>
      <w:r w:rsidR="00116E18">
        <w:rPr>
          <w:lang w:val="fr-CA"/>
        </w:rPr>
        <w:t>639</w:t>
      </w:r>
      <w:r w:rsidR="00440E24" w:rsidRPr="00675479">
        <w:rPr>
          <w:lang w:val="fr-CA"/>
        </w:rPr>
        <w:tab/>
      </w:r>
      <w:r w:rsidR="00440E24" w:rsidRPr="002E2327">
        <w:rPr>
          <w:lang w:val="fr-CA"/>
        </w:rPr>
        <w:t>Le</w:t>
      </w:r>
      <w:r>
        <w:rPr>
          <w:lang w:val="fr-CA"/>
        </w:rPr>
        <w:t xml:space="preserve"> 18 mai</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4668F4" w:rsidRDefault="00440E24" w:rsidP="00440E24">
      <w:pPr>
        <w:pBdr>
          <w:bottom w:val="single" w:sz="6" w:space="1" w:color="auto"/>
        </w:pBdr>
        <w:tabs>
          <w:tab w:val="right" w:pos="9360"/>
        </w:tabs>
        <w:rPr>
          <w:sz w:val="18"/>
          <w:szCs w:val="18"/>
          <w:lang w:val="fr-CA"/>
        </w:rPr>
      </w:pPr>
      <w:r w:rsidRPr="004668F4">
        <w:rPr>
          <w:sz w:val="18"/>
          <w:szCs w:val="18"/>
          <w:lang w:val="fr-CA"/>
        </w:rPr>
        <w:t>© Supreme Court of Canada (</w:t>
      </w:r>
      <w:r w:rsidR="0030050B" w:rsidRPr="004668F4">
        <w:rPr>
          <w:sz w:val="18"/>
          <w:szCs w:val="18"/>
          <w:lang w:val="fr-CA"/>
        </w:rPr>
        <w:t>201</w:t>
      </w:r>
      <w:r w:rsidR="004E5524" w:rsidRPr="004668F4">
        <w:rPr>
          <w:sz w:val="18"/>
          <w:szCs w:val="18"/>
          <w:lang w:val="fr-CA"/>
        </w:rPr>
        <w:t>8</w:t>
      </w:r>
      <w:r w:rsidRPr="004668F4">
        <w:rPr>
          <w:sz w:val="18"/>
          <w:szCs w:val="18"/>
          <w:lang w:val="fr-CA"/>
        </w:rPr>
        <w:t>)</w:t>
      </w:r>
      <w:r w:rsidRPr="004668F4">
        <w:rPr>
          <w:sz w:val="18"/>
          <w:szCs w:val="18"/>
          <w:lang w:val="fr-CA"/>
        </w:rPr>
        <w:tab/>
        <w:t>© Cour suprême du Canada (</w:t>
      </w:r>
      <w:r w:rsidR="0030050B" w:rsidRPr="004668F4">
        <w:rPr>
          <w:sz w:val="18"/>
          <w:szCs w:val="18"/>
          <w:lang w:val="fr-CA"/>
        </w:rPr>
        <w:t>201</w:t>
      </w:r>
      <w:r w:rsidR="004E5524" w:rsidRPr="004668F4">
        <w:rPr>
          <w:sz w:val="18"/>
          <w:szCs w:val="18"/>
          <w:lang w:val="fr-CA"/>
        </w:rPr>
        <w:t>8</w:t>
      </w:r>
      <w:r w:rsidRPr="004668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FE4582" w:rsidTr="000B487D">
        <w:trPr>
          <w:trHeight w:val="4284"/>
        </w:trPr>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Appeals heard since </w:t>
            </w:r>
            <w:r w:rsidR="00845C2A">
              <w:rPr>
                <w:rFonts w:cs="Times New Roman"/>
                <w:sz w:val="20"/>
                <w:szCs w:val="20"/>
              </w:rPr>
              <w:t xml:space="preserve">the </w:t>
            </w:r>
            <w:r w:rsidRPr="002E2327">
              <w:rPr>
                <w:rFonts w:cs="Times New Roman"/>
                <w:sz w:val="20"/>
                <w:szCs w:val="20"/>
              </w:rPr>
              <w:t>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A87207" w:rsidRPr="002E2327" w:rsidRDefault="0095096B" w:rsidP="00B05BC3">
            <w:pPr>
              <w:tabs>
                <w:tab w:val="right" w:pos="9360"/>
              </w:tabs>
              <w:rPr>
                <w:rFonts w:cs="Times New Roman"/>
                <w:sz w:val="20"/>
                <w:szCs w:val="20"/>
              </w:rPr>
            </w:pPr>
            <w:r w:rsidRPr="002E2327">
              <w:rPr>
                <w:rFonts w:cs="Times New Roman"/>
                <w:sz w:val="20"/>
                <w:szCs w:val="20"/>
              </w:rPr>
              <w:t>Headnotes of recent judgments</w:t>
            </w:r>
          </w:p>
        </w:tc>
        <w:tc>
          <w:tcPr>
            <w:tcW w:w="1980" w:type="dxa"/>
          </w:tcPr>
          <w:p w:rsidR="00A87207" w:rsidRDefault="000B487D" w:rsidP="00053279">
            <w:pPr>
              <w:jc w:val="center"/>
              <w:rPr>
                <w:rFonts w:cs="Times New Roman"/>
                <w:sz w:val="20"/>
                <w:szCs w:val="20"/>
              </w:rPr>
            </w:pPr>
            <w:r>
              <w:rPr>
                <w:rFonts w:cs="Times New Roman"/>
                <w:sz w:val="20"/>
                <w:szCs w:val="20"/>
              </w:rPr>
              <w:t>599 - 602</w:t>
            </w:r>
          </w:p>
          <w:p w:rsidR="000B487D" w:rsidRDefault="000B487D" w:rsidP="00053279">
            <w:pPr>
              <w:jc w:val="center"/>
              <w:rPr>
                <w:rFonts w:cs="Times New Roman"/>
                <w:sz w:val="20"/>
                <w:szCs w:val="20"/>
              </w:rPr>
            </w:pPr>
          </w:p>
          <w:p w:rsidR="000B487D" w:rsidRDefault="000B487D" w:rsidP="00053279">
            <w:pPr>
              <w:jc w:val="center"/>
              <w:rPr>
                <w:rFonts w:cs="Times New Roman"/>
                <w:sz w:val="20"/>
                <w:szCs w:val="20"/>
              </w:rPr>
            </w:pPr>
          </w:p>
          <w:p w:rsidR="000B487D" w:rsidRDefault="000B487D" w:rsidP="00053279">
            <w:pPr>
              <w:jc w:val="center"/>
              <w:rPr>
                <w:rFonts w:cs="Times New Roman"/>
                <w:sz w:val="20"/>
                <w:szCs w:val="20"/>
              </w:rPr>
            </w:pPr>
            <w:r>
              <w:rPr>
                <w:rFonts w:cs="Times New Roman"/>
                <w:sz w:val="20"/>
                <w:szCs w:val="20"/>
              </w:rPr>
              <w:t>603</w:t>
            </w:r>
          </w:p>
          <w:p w:rsidR="000B487D" w:rsidRDefault="000B487D" w:rsidP="00053279">
            <w:pPr>
              <w:jc w:val="center"/>
              <w:rPr>
                <w:rFonts w:cs="Times New Roman"/>
                <w:sz w:val="20"/>
                <w:szCs w:val="20"/>
              </w:rPr>
            </w:pPr>
          </w:p>
          <w:p w:rsidR="000B487D" w:rsidRDefault="000B487D" w:rsidP="00053279">
            <w:pPr>
              <w:jc w:val="center"/>
              <w:rPr>
                <w:rFonts w:cs="Times New Roman"/>
                <w:sz w:val="20"/>
                <w:szCs w:val="20"/>
              </w:rPr>
            </w:pPr>
          </w:p>
          <w:p w:rsidR="000B487D" w:rsidRDefault="000B487D" w:rsidP="00053279">
            <w:pPr>
              <w:jc w:val="center"/>
              <w:rPr>
                <w:rFonts w:cs="Times New Roman"/>
                <w:sz w:val="20"/>
                <w:szCs w:val="20"/>
              </w:rPr>
            </w:pPr>
            <w:r>
              <w:rPr>
                <w:rFonts w:cs="Times New Roman"/>
                <w:sz w:val="20"/>
                <w:szCs w:val="20"/>
              </w:rPr>
              <w:t>604 - 620</w:t>
            </w:r>
          </w:p>
          <w:p w:rsidR="000B487D" w:rsidRDefault="000B487D" w:rsidP="00053279">
            <w:pPr>
              <w:jc w:val="center"/>
              <w:rPr>
                <w:rFonts w:cs="Times New Roman"/>
                <w:sz w:val="20"/>
                <w:szCs w:val="20"/>
              </w:rPr>
            </w:pPr>
          </w:p>
          <w:p w:rsidR="000B487D" w:rsidRDefault="000B487D" w:rsidP="00053279">
            <w:pPr>
              <w:jc w:val="center"/>
              <w:rPr>
                <w:rFonts w:cs="Times New Roman"/>
                <w:sz w:val="20"/>
                <w:szCs w:val="20"/>
              </w:rPr>
            </w:pPr>
          </w:p>
          <w:p w:rsidR="000B487D" w:rsidRDefault="000B487D" w:rsidP="00053279">
            <w:pPr>
              <w:jc w:val="center"/>
              <w:rPr>
                <w:rFonts w:cs="Times New Roman"/>
                <w:sz w:val="20"/>
                <w:szCs w:val="20"/>
              </w:rPr>
            </w:pPr>
            <w:r>
              <w:rPr>
                <w:rFonts w:cs="Times New Roman"/>
                <w:sz w:val="20"/>
                <w:szCs w:val="20"/>
              </w:rPr>
              <w:t>621</w:t>
            </w:r>
          </w:p>
          <w:p w:rsidR="000B487D" w:rsidRDefault="000B487D" w:rsidP="00053279">
            <w:pPr>
              <w:jc w:val="center"/>
              <w:rPr>
                <w:rFonts w:cs="Times New Roman"/>
                <w:sz w:val="20"/>
                <w:szCs w:val="20"/>
              </w:rPr>
            </w:pPr>
          </w:p>
          <w:p w:rsidR="000B487D" w:rsidRDefault="000B487D" w:rsidP="00053279">
            <w:pPr>
              <w:jc w:val="center"/>
              <w:rPr>
                <w:rFonts w:cs="Times New Roman"/>
                <w:sz w:val="20"/>
                <w:szCs w:val="20"/>
              </w:rPr>
            </w:pPr>
            <w:r>
              <w:rPr>
                <w:rFonts w:cs="Times New Roman"/>
                <w:sz w:val="20"/>
                <w:szCs w:val="20"/>
              </w:rPr>
              <w:t>622 - 630</w:t>
            </w:r>
          </w:p>
          <w:p w:rsidR="000B487D" w:rsidRDefault="000B487D" w:rsidP="00053279">
            <w:pPr>
              <w:jc w:val="center"/>
              <w:rPr>
                <w:rFonts w:cs="Times New Roman"/>
                <w:sz w:val="20"/>
                <w:szCs w:val="20"/>
              </w:rPr>
            </w:pPr>
          </w:p>
          <w:p w:rsidR="000B487D" w:rsidRDefault="000B487D" w:rsidP="00053279">
            <w:pPr>
              <w:jc w:val="center"/>
              <w:rPr>
                <w:rFonts w:cs="Times New Roman"/>
                <w:sz w:val="20"/>
                <w:szCs w:val="20"/>
              </w:rPr>
            </w:pPr>
          </w:p>
          <w:p w:rsidR="000B487D" w:rsidRDefault="000B487D" w:rsidP="00053279">
            <w:pPr>
              <w:jc w:val="center"/>
              <w:rPr>
                <w:rFonts w:cs="Times New Roman"/>
                <w:sz w:val="20"/>
                <w:szCs w:val="20"/>
              </w:rPr>
            </w:pPr>
            <w:r>
              <w:rPr>
                <w:rFonts w:cs="Times New Roman"/>
                <w:sz w:val="20"/>
                <w:szCs w:val="20"/>
              </w:rPr>
              <w:t>631</w:t>
            </w:r>
          </w:p>
          <w:p w:rsidR="000B487D" w:rsidRDefault="000B487D" w:rsidP="00053279">
            <w:pPr>
              <w:jc w:val="center"/>
              <w:rPr>
                <w:rFonts w:cs="Times New Roman"/>
                <w:sz w:val="20"/>
                <w:szCs w:val="20"/>
              </w:rPr>
            </w:pPr>
          </w:p>
          <w:p w:rsidR="000B487D" w:rsidRDefault="000B487D" w:rsidP="00053279">
            <w:pPr>
              <w:jc w:val="center"/>
              <w:rPr>
                <w:rFonts w:cs="Times New Roman"/>
                <w:sz w:val="20"/>
                <w:szCs w:val="20"/>
              </w:rPr>
            </w:pPr>
          </w:p>
          <w:p w:rsidR="000B487D" w:rsidRPr="002E2327" w:rsidRDefault="00FE4582" w:rsidP="000B487D">
            <w:pPr>
              <w:jc w:val="center"/>
              <w:rPr>
                <w:rFonts w:cs="Times New Roman"/>
                <w:sz w:val="20"/>
                <w:szCs w:val="20"/>
              </w:rPr>
            </w:pPr>
            <w:r>
              <w:rPr>
                <w:rFonts w:cs="Times New Roman"/>
                <w:sz w:val="20"/>
                <w:szCs w:val="20"/>
              </w:rPr>
              <w:t>632 -</w:t>
            </w:r>
            <w:bookmarkStart w:id="0" w:name="_GoBack"/>
            <w:bookmarkEnd w:id="0"/>
            <w:r w:rsidR="000B487D">
              <w:rPr>
                <w:rFonts w:cs="Times New Roman"/>
                <w:sz w:val="20"/>
                <w:szCs w:val="20"/>
              </w:rPr>
              <w:t xml:space="preserve"> 639</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A87207" w:rsidRPr="002E2327" w:rsidRDefault="0095096B" w:rsidP="00053279">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tc>
      </w:tr>
    </w:tbl>
    <w:p w:rsidR="0095096B" w:rsidRPr="003D09BC"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FE458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92A23" w:rsidRPr="00C21644" w:rsidTr="003B3977">
        <w:tc>
          <w:tcPr>
            <w:tcW w:w="4320" w:type="dxa"/>
            <w:vMerge w:val="restart"/>
            <w:shd w:val="clear" w:color="auto" w:fill="auto"/>
          </w:tcPr>
          <w:p w:rsidR="00C92A23" w:rsidRPr="00C92A23" w:rsidRDefault="00C92A23" w:rsidP="005F1ED8">
            <w:pPr>
              <w:rPr>
                <w:b/>
                <w:sz w:val="20"/>
                <w:szCs w:val="20"/>
              </w:rPr>
            </w:pPr>
            <w:r w:rsidRPr="00C92A23">
              <w:rPr>
                <w:b/>
                <w:sz w:val="20"/>
                <w:szCs w:val="20"/>
              </w:rPr>
              <w:t xml:space="preserve">0969708 B.C. Ltd. and Kootenay Lake Estates Ltd. </w:t>
            </w:r>
          </w:p>
          <w:p w:rsidR="00C92A23" w:rsidRPr="00C92A23" w:rsidRDefault="00C92A23" w:rsidP="005F1ED8">
            <w:pPr>
              <w:tabs>
                <w:tab w:val="left" w:pos="-1440"/>
                <w:tab w:val="left" w:pos="-720"/>
              </w:tabs>
              <w:rPr>
                <w:sz w:val="20"/>
                <w:szCs w:val="20"/>
              </w:rPr>
            </w:pPr>
            <w:r w:rsidRPr="00C92A23">
              <w:rPr>
                <w:sz w:val="20"/>
                <w:szCs w:val="20"/>
              </w:rPr>
              <w:tab/>
            </w:r>
            <w:r>
              <w:rPr>
                <w:sz w:val="20"/>
                <w:szCs w:val="20"/>
              </w:rPr>
              <w:t>Tim Pearkes</w:t>
            </w:r>
            <w:r w:rsidRPr="00C92A23">
              <w:rPr>
                <w:sz w:val="20"/>
                <w:szCs w:val="20"/>
              </w:rPr>
              <w:t xml:space="preserve"> </w:t>
            </w:r>
          </w:p>
          <w:p w:rsidR="00C92A23" w:rsidRPr="00C92A23" w:rsidRDefault="00C92A23" w:rsidP="005F1ED8">
            <w:pPr>
              <w:tabs>
                <w:tab w:val="left" w:pos="-1440"/>
                <w:tab w:val="left" w:pos="-720"/>
              </w:tabs>
              <w:rPr>
                <w:sz w:val="20"/>
                <w:szCs w:val="20"/>
              </w:rPr>
            </w:pPr>
            <w:r w:rsidRPr="00C92A23">
              <w:rPr>
                <w:sz w:val="20"/>
                <w:szCs w:val="20"/>
              </w:rPr>
              <w:tab/>
            </w:r>
            <w:r>
              <w:rPr>
                <w:sz w:val="20"/>
                <w:szCs w:val="20"/>
              </w:rPr>
              <w:t>Pearkes &amp; Fernandez</w:t>
            </w:r>
          </w:p>
          <w:p w:rsidR="00C92A23" w:rsidRPr="00C92A23" w:rsidRDefault="00C92A23" w:rsidP="005F1ED8">
            <w:pPr>
              <w:tabs>
                <w:tab w:val="left" w:pos="-1440"/>
                <w:tab w:val="left" w:pos="-720"/>
              </w:tabs>
              <w:rPr>
                <w:sz w:val="20"/>
                <w:szCs w:val="20"/>
              </w:rPr>
            </w:pPr>
          </w:p>
          <w:p w:rsidR="00C92A23" w:rsidRPr="00C92A23" w:rsidRDefault="00C92A23" w:rsidP="005F1ED8">
            <w:pPr>
              <w:tabs>
                <w:tab w:val="left" w:pos="-1440"/>
                <w:tab w:val="left" w:pos="-720"/>
              </w:tabs>
              <w:rPr>
                <w:sz w:val="20"/>
                <w:szCs w:val="20"/>
              </w:rPr>
            </w:pPr>
            <w:r w:rsidRPr="00C92A23">
              <w:rPr>
                <w:sz w:val="20"/>
                <w:szCs w:val="20"/>
              </w:rPr>
              <w:tab/>
              <w:t>v. (3</w:t>
            </w:r>
            <w:r>
              <w:rPr>
                <w:sz w:val="20"/>
                <w:szCs w:val="20"/>
              </w:rPr>
              <w:t>8027</w:t>
            </w:r>
            <w:r w:rsidRPr="00C92A23">
              <w:rPr>
                <w:sz w:val="20"/>
                <w:szCs w:val="20"/>
              </w:rPr>
              <w:t>)</w:t>
            </w:r>
          </w:p>
          <w:p w:rsidR="00C92A23" w:rsidRPr="00C92A23" w:rsidRDefault="00C92A23" w:rsidP="005F1ED8">
            <w:pPr>
              <w:tabs>
                <w:tab w:val="left" w:pos="-1440"/>
                <w:tab w:val="left" w:pos="-720"/>
              </w:tabs>
              <w:rPr>
                <w:sz w:val="20"/>
                <w:szCs w:val="20"/>
              </w:rPr>
            </w:pPr>
          </w:p>
          <w:p w:rsidR="00C92A23" w:rsidRPr="00C92A23" w:rsidRDefault="00C92A23" w:rsidP="005F1ED8">
            <w:pPr>
              <w:tabs>
                <w:tab w:val="left" w:pos="-1440"/>
                <w:tab w:val="left" w:pos="-720"/>
              </w:tabs>
              <w:rPr>
                <w:b/>
                <w:sz w:val="20"/>
                <w:szCs w:val="20"/>
              </w:rPr>
            </w:pPr>
            <w:r>
              <w:rPr>
                <w:b/>
                <w:sz w:val="20"/>
                <w:szCs w:val="20"/>
              </w:rPr>
              <w:t>Charles Brooke Leatherman et al.</w:t>
            </w:r>
            <w:r w:rsidRPr="00C92A23">
              <w:rPr>
                <w:sz w:val="20"/>
                <w:szCs w:val="20"/>
              </w:rPr>
              <w:t xml:space="preserve"> </w:t>
            </w:r>
            <w:r w:rsidRPr="00C92A23">
              <w:rPr>
                <w:b/>
                <w:sz w:val="20"/>
                <w:szCs w:val="20"/>
              </w:rPr>
              <w:t>(</w:t>
            </w:r>
            <w:r>
              <w:rPr>
                <w:b/>
                <w:sz w:val="20"/>
                <w:szCs w:val="20"/>
              </w:rPr>
              <w:t>B.C.</w:t>
            </w:r>
            <w:r w:rsidRPr="00C92A23">
              <w:rPr>
                <w:b/>
                <w:sz w:val="20"/>
                <w:szCs w:val="20"/>
              </w:rPr>
              <w:t>)</w:t>
            </w:r>
          </w:p>
          <w:p w:rsidR="00C92A23" w:rsidRPr="00C92A23" w:rsidRDefault="00C92A23" w:rsidP="005F1ED8">
            <w:pPr>
              <w:tabs>
                <w:tab w:val="left" w:pos="-1440"/>
                <w:tab w:val="left" w:pos="-720"/>
              </w:tabs>
              <w:rPr>
                <w:sz w:val="20"/>
                <w:szCs w:val="20"/>
              </w:rPr>
            </w:pPr>
            <w:r w:rsidRPr="00C92A23">
              <w:rPr>
                <w:sz w:val="20"/>
                <w:szCs w:val="20"/>
              </w:rPr>
              <w:tab/>
            </w:r>
            <w:r>
              <w:rPr>
                <w:sz w:val="20"/>
                <w:szCs w:val="20"/>
              </w:rPr>
              <w:t>Ryan D.W. Dalziel</w:t>
            </w:r>
          </w:p>
          <w:p w:rsidR="00C92A23" w:rsidRPr="00C92A23" w:rsidRDefault="00C92A23" w:rsidP="005F1ED8">
            <w:pPr>
              <w:tabs>
                <w:tab w:val="left" w:pos="-1440"/>
                <w:tab w:val="left" w:pos="-720"/>
              </w:tabs>
              <w:rPr>
                <w:sz w:val="20"/>
                <w:szCs w:val="20"/>
              </w:rPr>
            </w:pPr>
            <w:r w:rsidRPr="00C92A23">
              <w:rPr>
                <w:sz w:val="20"/>
                <w:szCs w:val="20"/>
              </w:rPr>
              <w:tab/>
            </w:r>
            <w:r>
              <w:rPr>
                <w:sz w:val="20"/>
                <w:szCs w:val="20"/>
              </w:rPr>
              <w:t>Norton Rose Fulbright Canada LLP</w:t>
            </w:r>
          </w:p>
          <w:p w:rsidR="00C92A23" w:rsidRPr="00C92A23" w:rsidRDefault="00C92A23" w:rsidP="005F1ED8">
            <w:pPr>
              <w:tabs>
                <w:tab w:val="left" w:pos="-1440"/>
                <w:tab w:val="left" w:pos="-720"/>
              </w:tabs>
              <w:rPr>
                <w:sz w:val="20"/>
                <w:szCs w:val="20"/>
              </w:rPr>
            </w:pPr>
          </w:p>
          <w:p w:rsidR="00C92A23" w:rsidRDefault="00C92A23" w:rsidP="005F1ED8">
            <w:pPr>
              <w:rPr>
                <w:sz w:val="20"/>
                <w:szCs w:val="20"/>
              </w:rPr>
            </w:pPr>
            <w:r w:rsidRPr="00C92A23">
              <w:rPr>
                <w:sz w:val="20"/>
                <w:szCs w:val="20"/>
              </w:rPr>
              <w:t>FILING DATE: 2</w:t>
            </w:r>
            <w:r>
              <w:rPr>
                <w:sz w:val="20"/>
                <w:szCs w:val="20"/>
              </w:rPr>
              <w:t>3</w:t>
            </w:r>
            <w:r w:rsidRPr="00C92A23">
              <w:rPr>
                <w:sz w:val="20"/>
                <w:szCs w:val="20"/>
              </w:rPr>
              <w:t>.0</w:t>
            </w:r>
            <w:r>
              <w:rPr>
                <w:sz w:val="20"/>
                <w:szCs w:val="20"/>
              </w:rPr>
              <w:t>3</w:t>
            </w:r>
            <w:r w:rsidRPr="00C92A23">
              <w:rPr>
                <w:sz w:val="20"/>
                <w:szCs w:val="20"/>
              </w:rPr>
              <w:t>.201</w:t>
            </w:r>
            <w:r>
              <w:rPr>
                <w:sz w:val="20"/>
                <w:szCs w:val="20"/>
              </w:rPr>
              <w:t>8</w:t>
            </w:r>
          </w:p>
          <w:p w:rsidR="00C92A23" w:rsidRDefault="00C92A23" w:rsidP="005F1ED8">
            <w:pPr>
              <w:rPr>
                <w:sz w:val="20"/>
                <w:szCs w:val="20"/>
              </w:rPr>
            </w:pPr>
          </w:p>
          <w:p w:rsidR="00C92A23" w:rsidRDefault="00C92A23" w:rsidP="005F1ED8">
            <w:pPr>
              <w:rPr>
                <w:sz w:val="20"/>
                <w:szCs w:val="20"/>
              </w:rPr>
            </w:pPr>
            <w:r>
              <w:rPr>
                <w:sz w:val="20"/>
                <w:szCs w:val="20"/>
              </w:rPr>
              <w:t xml:space="preserve">- and between - </w:t>
            </w:r>
          </w:p>
          <w:p w:rsidR="00C92A23" w:rsidRDefault="00C92A23" w:rsidP="005F1ED8">
            <w:pPr>
              <w:rPr>
                <w:sz w:val="20"/>
                <w:szCs w:val="20"/>
              </w:rPr>
            </w:pPr>
          </w:p>
          <w:p w:rsidR="00C92A23" w:rsidRPr="00C92A23" w:rsidRDefault="00C92A23" w:rsidP="00C92A23">
            <w:pPr>
              <w:tabs>
                <w:tab w:val="left" w:pos="-1440"/>
                <w:tab w:val="left" w:pos="-720"/>
              </w:tabs>
              <w:rPr>
                <w:b/>
                <w:sz w:val="20"/>
                <w:szCs w:val="20"/>
              </w:rPr>
            </w:pPr>
            <w:r>
              <w:rPr>
                <w:b/>
                <w:sz w:val="20"/>
                <w:szCs w:val="20"/>
              </w:rPr>
              <w:t xml:space="preserve">Charles Brooke </w:t>
            </w:r>
            <w:r w:rsidRPr="00C92A23">
              <w:rPr>
                <w:b/>
                <w:sz w:val="20"/>
                <w:szCs w:val="20"/>
              </w:rPr>
              <w:t>Leatherman et al.</w:t>
            </w:r>
            <w:r>
              <w:rPr>
                <w:sz w:val="20"/>
                <w:szCs w:val="20"/>
              </w:rPr>
              <w:t xml:space="preserve"> </w:t>
            </w:r>
            <w:r w:rsidRPr="00C92A23">
              <w:rPr>
                <w:b/>
                <w:sz w:val="20"/>
                <w:szCs w:val="20"/>
              </w:rPr>
              <w:t>(</w:t>
            </w:r>
            <w:r>
              <w:rPr>
                <w:b/>
                <w:sz w:val="20"/>
                <w:szCs w:val="20"/>
              </w:rPr>
              <w:t>B.C.</w:t>
            </w:r>
            <w:r w:rsidRPr="00C92A23">
              <w:rPr>
                <w:b/>
                <w:sz w:val="20"/>
                <w:szCs w:val="20"/>
              </w:rPr>
              <w:t>)</w:t>
            </w:r>
          </w:p>
          <w:p w:rsidR="00C92A23" w:rsidRPr="00C92A23" w:rsidRDefault="00C92A23" w:rsidP="00C92A23">
            <w:pPr>
              <w:tabs>
                <w:tab w:val="left" w:pos="-1440"/>
                <w:tab w:val="left" w:pos="-720"/>
              </w:tabs>
              <w:rPr>
                <w:sz w:val="20"/>
                <w:szCs w:val="20"/>
              </w:rPr>
            </w:pPr>
            <w:r w:rsidRPr="00C92A23">
              <w:rPr>
                <w:sz w:val="20"/>
                <w:szCs w:val="20"/>
              </w:rPr>
              <w:tab/>
            </w:r>
            <w:r>
              <w:rPr>
                <w:sz w:val="20"/>
                <w:szCs w:val="20"/>
              </w:rPr>
              <w:t>Ryan D.W. Dalziel</w:t>
            </w:r>
          </w:p>
          <w:p w:rsidR="00C92A23" w:rsidRPr="00C92A23" w:rsidRDefault="00C92A23" w:rsidP="00C92A23">
            <w:pPr>
              <w:tabs>
                <w:tab w:val="left" w:pos="-1440"/>
                <w:tab w:val="left" w:pos="-720"/>
              </w:tabs>
              <w:rPr>
                <w:sz w:val="20"/>
                <w:szCs w:val="20"/>
              </w:rPr>
            </w:pPr>
            <w:r w:rsidRPr="00C92A23">
              <w:rPr>
                <w:sz w:val="20"/>
                <w:szCs w:val="20"/>
              </w:rPr>
              <w:tab/>
            </w:r>
            <w:r>
              <w:rPr>
                <w:sz w:val="20"/>
                <w:szCs w:val="20"/>
              </w:rPr>
              <w:t>Norton Rose Fulbright Canada LLP</w:t>
            </w:r>
          </w:p>
          <w:p w:rsidR="00C92A23" w:rsidRDefault="00C92A23" w:rsidP="00C92A23">
            <w:pPr>
              <w:tabs>
                <w:tab w:val="left" w:pos="-1440"/>
                <w:tab w:val="left" w:pos="-720"/>
              </w:tabs>
              <w:rPr>
                <w:sz w:val="20"/>
                <w:szCs w:val="20"/>
              </w:rPr>
            </w:pPr>
          </w:p>
          <w:p w:rsidR="00C92A23" w:rsidRPr="00C92A23" w:rsidRDefault="00C92A23" w:rsidP="00C92A23">
            <w:pPr>
              <w:tabs>
                <w:tab w:val="left" w:pos="-1440"/>
                <w:tab w:val="left" w:pos="-720"/>
              </w:tabs>
              <w:ind w:left="720"/>
              <w:rPr>
                <w:sz w:val="20"/>
                <w:szCs w:val="20"/>
              </w:rPr>
            </w:pPr>
            <w:r w:rsidRPr="00C92A23">
              <w:rPr>
                <w:sz w:val="20"/>
                <w:szCs w:val="20"/>
              </w:rPr>
              <w:t>v. (3</w:t>
            </w:r>
            <w:r>
              <w:rPr>
                <w:sz w:val="20"/>
                <w:szCs w:val="20"/>
              </w:rPr>
              <w:t>8027</w:t>
            </w:r>
            <w:r w:rsidRPr="00C92A23">
              <w:rPr>
                <w:sz w:val="20"/>
                <w:szCs w:val="20"/>
              </w:rPr>
              <w:t>)</w:t>
            </w:r>
          </w:p>
          <w:p w:rsidR="00C92A23" w:rsidRDefault="00C92A23" w:rsidP="00C92A23">
            <w:pPr>
              <w:tabs>
                <w:tab w:val="left" w:pos="-1440"/>
                <w:tab w:val="left" w:pos="-720"/>
              </w:tabs>
              <w:rPr>
                <w:sz w:val="20"/>
                <w:szCs w:val="20"/>
              </w:rPr>
            </w:pPr>
          </w:p>
          <w:p w:rsidR="00C92A23" w:rsidRPr="00C92A23" w:rsidRDefault="00C92A23" w:rsidP="00C92A23">
            <w:pPr>
              <w:rPr>
                <w:b/>
                <w:sz w:val="20"/>
                <w:szCs w:val="20"/>
              </w:rPr>
            </w:pPr>
            <w:r w:rsidRPr="00C92A23">
              <w:rPr>
                <w:b/>
                <w:sz w:val="20"/>
                <w:szCs w:val="20"/>
              </w:rPr>
              <w:t xml:space="preserve">0969708 B.C. Ltd. and Kootenay Lake Estates Ltd. </w:t>
            </w:r>
          </w:p>
          <w:p w:rsidR="00C92A23" w:rsidRPr="00C92A23" w:rsidRDefault="00C92A23" w:rsidP="00C92A23">
            <w:pPr>
              <w:tabs>
                <w:tab w:val="left" w:pos="-1440"/>
                <w:tab w:val="left" w:pos="-720"/>
              </w:tabs>
              <w:rPr>
                <w:sz w:val="20"/>
                <w:szCs w:val="20"/>
              </w:rPr>
            </w:pPr>
            <w:r w:rsidRPr="00C92A23">
              <w:rPr>
                <w:sz w:val="20"/>
                <w:szCs w:val="20"/>
              </w:rPr>
              <w:tab/>
            </w:r>
            <w:r>
              <w:rPr>
                <w:sz w:val="20"/>
                <w:szCs w:val="20"/>
              </w:rPr>
              <w:t>Tim Pearkes</w:t>
            </w:r>
            <w:r w:rsidRPr="00C92A23">
              <w:rPr>
                <w:sz w:val="20"/>
                <w:szCs w:val="20"/>
              </w:rPr>
              <w:t xml:space="preserve"> </w:t>
            </w:r>
          </w:p>
          <w:p w:rsidR="00C92A23" w:rsidRPr="00C92A23" w:rsidRDefault="00C92A23" w:rsidP="00C92A23">
            <w:pPr>
              <w:tabs>
                <w:tab w:val="left" w:pos="-1440"/>
                <w:tab w:val="left" w:pos="-720"/>
              </w:tabs>
              <w:rPr>
                <w:sz w:val="20"/>
                <w:szCs w:val="20"/>
              </w:rPr>
            </w:pPr>
            <w:r w:rsidRPr="00C92A23">
              <w:rPr>
                <w:sz w:val="20"/>
                <w:szCs w:val="20"/>
              </w:rPr>
              <w:tab/>
            </w:r>
            <w:r>
              <w:rPr>
                <w:sz w:val="20"/>
                <w:szCs w:val="20"/>
              </w:rPr>
              <w:t>Pearkes &amp; Fernandez</w:t>
            </w:r>
          </w:p>
          <w:p w:rsidR="00C92A23" w:rsidRDefault="00C92A23" w:rsidP="005F1ED8">
            <w:pPr>
              <w:rPr>
                <w:sz w:val="20"/>
                <w:szCs w:val="20"/>
              </w:rPr>
            </w:pPr>
          </w:p>
          <w:p w:rsidR="00C92A23" w:rsidRDefault="00C92A23" w:rsidP="00C92A23">
            <w:pPr>
              <w:rPr>
                <w:sz w:val="20"/>
                <w:szCs w:val="20"/>
              </w:rPr>
            </w:pPr>
            <w:r w:rsidRPr="00C92A23">
              <w:rPr>
                <w:sz w:val="20"/>
                <w:szCs w:val="20"/>
              </w:rPr>
              <w:t>FILING DATE: 2</w:t>
            </w:r>
            <w:r>
              <w:rPr>
                <w:sz w:val="20"/>
                <w:szCs w:val="20"/>
              </w:rPr>
              <w:t>9</w:t>
            </w:r>
            <w:r w:rsidRPr="00C92A23">
              <w:rPr>
                <w:sz w:val="20"/>
                <w:szCs w:val="20"/>
              </w:rPr>
              <w:t>.0</w:t>
            </w:r>
            <w:r>
              <w:rPr>
                <w:sz w:val="20"/>
                <w:szCs w:val="20"/>
              </w:rPr>
              <w:t>3</w:t>
            </w:r>
            <w:r w:rsidRPr="00C92A23">
              <w:rPr>
                <w:sz w:val="20"/>
                <w:szCs w:val="20"/>
              </w:rPr>
              <w:t>.201</w:t>
            </w:r>
            <w:r>
              <w:rPr>
                <w:sz w:val="20"/>
                <w:szCs w:val="20"/>
              </w:rPr>
              <w:t>8</w:t>
            </w:r>
          </w:p>
          <w:p w:rsidR="00C92A23" w:rsidRPr="00C92A23" w:rsidRDefault="00C92A23" w:rsidP="005F1ED8">
            <w:pPr>
              <w:rPr>
                <w:sz w:val="20"/>
                <w:szCs w:val="20"/>
              </w:rPr>
            </w:pPr>
          </w:p>
          <w:p w:rsidR="00C92A23" w:rsidRDefault="00FE4582" w:rsidP="005F1ED8">
            <w:pPr>
              <w:rPr>
                <w:sz w:val="20"/>
                <w:szCs w:val="20"/>
                <w:lang w:val="fr-CA"/>
              </w:rPr>
            </w:pPr>
            <w:r>
              <w:rPr>
                <w:sz w:val="20"/>
                <w:szCs w:val="20"/>
                <w:lang w:val="fr-CA"/>
              </w:rPr>
              <w:pict>
                <v:rect id="_x0000_i1025" style="width:108pt;height:1pt" o:hrpct="0" o:hralign="center" o:hrstd="t" o:hrnoshade="t" o:hr="t" fillcolor="black [3213]" stroked="f"/>
              </w:pict>
            </w:r>
          </w:p>
          <w:p w:rsidR="00C92A23" w:rsidRPr="00C92A23" w:rsidRDefault="00C92A23" w:rsidP="005F1ED8">
            <w:pPr>
              <w:rPr>
                <w:sz w:val="20"/>
                <w:szCs w:val="20"/>
              </w:rPr>
            </w:pPr>
          </w:p>
        </w:tc>
        <w:tc>
          <w:tcPr>
            <w:tcW w:w="1181" w:type="dxa"/>
            <w:shd w:val="clear" w:color="auto" w:fill="auto"/>
          </w:tcPr>
          <w:p w:rsidR="00C92A23" w:rsidRPr="00C92A23" w:rsidRDefault="00C92A23" w:rsidP="00242AEE">
            <w:pPr>
              <w:jc w:val="center"/>
              <w:rPr>
                <w:sz w:val="20"/>
                <w:szCs w:val="20"/>
              </w:rPr>
            </w:pPr>
          </w:p>
          <w:p w:rsidR="00C92A23" w:rsidRPr="00C92A23" w:rsidRDefault="00C92A23" w:rsidP="00242AEE">
            <w:pPr>
              <w:jc w:val="center"/>
              <w:rPr>
                <w:sz w:val="20"/>
                <w:szCs w:val="20"/>
              </w:rPr>
            </w:pPr>
          </w:p>
          <w:p w:rsidR="00C92A23" w:rsidRPr="00C92A23" w:rsidRDefault="00C92A23" w:rsidP="00242AEE">
            <w:pPr>
              <w:jc w:val="center"/>
              <w:rPr>
                <w:sz w:val="20"/>
                <w:szCs w:val="20"/>
              </w:rPr>
            </w:pPr>
          </w:p>
          <w:p w:rsidR="00C92A23" w:rsidRPr="00C92A23" w:rsidRDefault="00C92A23" w:rsidP="00242AEE">
            <w:pPr>
              <w:jc w:val="center"/>
              <w:rPr>
                <w:sz w:val="20"/>
                <w:szCs w:val="20"/>
              </w:rPr>
            </w:pPr>
          </w:p>
          <w:p w:rsidR="00C92A23" w:rsidRPr="00C92A23" w:rsidRDefault="00C92A23" w:rsidP="00242AEE">
            <w:pPr>
              <w:jc w:val="center"/>
              <w:rPr>
                <w:sz w:val="20"/>
                <w:szCs w:val="20"/>
              </w:rPr>
            </w:pPr>
          </w:p>
          <w:p w:rsidR="00C92A23" w:rsidRPr="00C92A23" w:rsidRDefault="00C92A23" w:rsidP="00242AEE">
            <w:pPr>
              <w:jc w:val="center"/>
              <w:rPr>
                <w:sz w:val="20"/>
                <w:szCs w:val="20"/>
              </w:rPr>
            </w:pPr>
          </w:p>
          <w:p w:rsidR="00C92A23" w:rsidRPr="00C92A23" w:rsidRDefault="00C92A23" w:rsidP="00242AEE">
            <w:pPr>
              <w:jc w:val="center"/>
              <w:rPr>
                <w:sz w:val="20"/>
                <w:szCs w:val="20"/>
              </w:rPr>
            </w:pPr>
          </w:p>
          <w:p w:rsidR="00C92A23" w:rsidRPr="00C92A23" w:rsidRDefault="00C92A23" w:rsidP="00242AEE">
            <w:pPr>
              <w:jc w:val="center"/>
              <w:rPr>
                <w:sz w:val="20"/>
                <w:szCs w:val="20"/>
              </w:rPr>
            </w:pPr>
          </w:p>
          <w:p w:rsidR="00C92A23" w:rsidRPr="00C92A23" w:rsidRDefault="00C92A23" w:rsidP="00242AEE">
            <w:pPr>
              <w:jc w:val="center"/>
              <w:rPr>
                <w:sz w:val="20"/>
                <w:szCs w:val="20"/>
              </w:rPr>
            </w:pPr>
          </w:p>
          <w:p w:rsidR="00C92A23" w:rsidRPr="00C92A23" w:rsidRDefault="00C92A23" w:rsidP="00242AEE">
            <w:pPr>
              <w:jc w:val="center"/>
              <w:rPr>
                <w:sz w:val="20"/>
                <w:szCs w:val="20"/>
              </w:rPr>
            </w:pPr>
          </w:p>
          <w:p w:rsidR="00C92A23" w:rsidRPr="00C92A23" w:rsidRDefault="00C92A23" w:rsidP="00242AEE">
            <w:pPr>
              <w:jc w:val="center"/>
              <w:rPr>
                <w:sz w:val="20"/>
                <w:szCs w:val="20"/>
              </w:rPr>
            </w:pPr>
          </w:p>
          <w:p w:rsidR="00C92A23" w:rsidRPr="00C92A23" w:rsidRDefault="00C92A23" w:rsidP="00242AEE">
            <w:pPr>
              <w:jc w:val="center"/>
              <w:rPr>
                <w:sz w:val="20"/>
                <w:szCs w:val="20"/>
              </w:rPr>
            </w:pPr>
          </w:p>
          <w:p w:rsidR="00C92A23" w:rsidRPr="00C92A23" w:rsidRDefault="00C92A23" w:rsidP="00242AEE">
            <w:pPr>
              <w:jc w:val="center"/>
              <w:rPr>
                <w:sz w:val="20"/>
                <w:szCs w:val="20"/>
              </w:rPr>
            </w:pPr>
          </w:p>
        </w:tc>
        <w:tc>
          <w:tcPr>
            <w:tcW w:w="4320" w:type="dxa"/>
            <w:shd w:val="clear" w:color="auto" w:fill="auto"/>
          </w:tcPr>
          <w:p w:rsidR="00C92A23" w:rsidRPr="00C15495" w:rsidRDefault="00C92A23" w:rsidP="005F1ED8">
            <w:pPr>
              <w:keepNext/>
              <w:keepLines/>
              <w:tabs>
                <w:tab w:val="left" w:pos="-1440"/>
                <w:tab w:val="left" w:pos="-720"/>
              </w:tabs>
              <w:rPr>
                <w:b/>
                <w:sz w:val="20"/>
                <w:szCs w:val="20"/>
                <w:lang w:val="en-US"/>
              </w:rPr>
            </w:pPr>
            <w:r w:rsidRPr="00C15495">
              <w:rPr>
                <w:b/>
                <w:sz w:val="20"/>
                <w:szCs w:val="20"/>
                <w:lang w:val="en-US"/>
              </w:rPr>
              <w:t xml:space="preserve">Ramy Yared et al. </w:t>
            </w:r>
          </w:p>
          <w:p w:rsidR="00C92A23" w:rsidRPr="00C15495" w:rsidRDefault="00C92A23" w:rsidP="005F1ED8">
            <w:pPr>
              <w:keepNext/>
              <w:keepLines/>
              <w:tabs>
                <w:tab w:val="left" w:pos="-1440"/>
                <w:tab w:val="left" w:pos="-720"/>
              </w:tabs>
              <w:rPr>
                <w:sz w:val="20"/>
                <w:szCs w:val="20"/>
                <w:lang w:val="en-US"/>
              </w:rPr>
            </w:pPr>
            <w:r w:rsidRPr="00C15495">
              <w:rPr>
                <w:sz w:val="20"/>
                <w:szCs w:val="20"/>
                <w:lang w:val="en-US"/>
              </w:rPr>
              <w:tab/>
              <w:t>Stewart Litvack</w:t>
            </w:r>
          </w:p>
          <w:p w:rsidR="00C92A23" w:rsidRPr="00C92A23" w:rsidRDefault="00C92A23" w:rsidP="005F1ED8">
            <w:pPr>
              <w:keepNext/>
              <w:keepLines/>
              <w:tabs>
                <w:tab w:val="left" w:pos="-1440"/>
                <w:tab w:val="left" w:pos="-720"/>
              </w:tabs>
              <w:rPr>
                <w:sz w:val="20"/>
                <w:szCs w:val="20"/>
                <w:lang w:val="en-US"/>
              </w:rPr>
            </w:pPr>
            <w:r w:rsidRPr="00C15495">
              <w:rPr>
                <w:sz w:val="20"/>
                <w:szCs w:val="20"/>
                <w:lang w:val="en-US"/>
              </w:rPr>
              <w:tab/>
            </w:r>
            <w:r w:rsidRPr="00C92A23">
              <w:rPr>
                <w:sz w:val="20"/>
                <w:szCs w:val="20"/>
                <w:lang w:val="en-US"/>
              </w:rPr>
              <w:t>Robinson Sheppard Shapiro</w:t>
            </w:r>
          </w:p>
          <w:p w:rsidR="00C92A23" w:rsidRPr="00C92A23" w:rsidRDefault="00C92A23" w:rsidP="005F1ED8">
            <w:pPr>
              <w:keepNext/>
              <w:keepLines/>
              <w:tabs>
                <w:tab w:val="left" w:pos="-1440"/>
                <w:tab w:val="left" w:pos="-720"/>
              </w:tabs>
              <w:rPr>
                <w:sz w:val="20"/>
                <w:szCs w:val="20"/>
                <w:lang w:val="en-US"/>
              </w:rPr>
            </w:pPr>
          </w:p>
          <w:p w:rsidR="00C92A23" w:rsidRPr="00C92A23" w:rsidRDefault="00C92A23" w:rsidP="005F1ED8">
            <w:pPr>
              <w:keepNext/>
              <w:keepLines/>
              <w:tabs>
                <w:tab w:val="left" w:pos="-1440"/>
                <w:tab w:val="left" w:pos="-720"/>
              </w:tabs>
              <w:rPr>
                <w:sz w:val="20"/>
                <w:szCs w:val="20"/>
                <w:lang w:val="en-US"/>
              </w:rPr>
            </w:pPr>
            <w:r w:rsidRPr="00C92A23">
              <w:rPr>
                <w:sz w:val="20"/>
                <w:szCs w:val="20"/>
                <w:lang w:val="en-US"/>
              </w:rPr>
              <w:tab/>
              <w:t>v. (38089)</w:t>
            </w:r>
          </w:p>
          <w:p w:rsidR="00C92A23" w:rsidRPr="00C92A23" w:rsidRDefault="00C92A23" w:rsidP="005F1ED8">
            <w:pPr>
              <w:keepNext/>
              <w:keepLines/>
              <w:tabs>
                <w:tab w:val="left" w:pos="-1440"/>
                <w:tab w:val="left" w:pos="-720"/>
              </w:tabs>
              <w:rPr>
                <w:sz w:val="20"/>
                <w:szCs w:val="20"/>
                <w:lang w:val="en-US"/>
              </w:rPr>
            </w:pPr>
          </w:p>
          <w:p w:rsidR="00C92A23" w:rsidRPr="00C92A23" w:rsidRDefault="00C92A23" w:rsidP="005F1ED8">
            <w:pPr>
              <w:keepNext/>
              <w:keepLines/>
              <w:tabs>
                <w:tab w:val="left" w:pos="-1440"/>
                <w:tab w:val="left" w:pos="-720"/>
              </w:tabs>
              <w:rPr>
                <w:b/>
                <w:sz w:val="20"/>
                <w:szCs w:val="20"/>
                <w:lang w:val="en-US"/>
              </w:rPr>
            </w:pPr>
            <w:r w:rsidRPr="00C92A23">
              <w:rPr>
                <w:b/>
                <w:sz w:val="20"/>
                <w:szCs w:val="20"/>
                <w:lang w:val="en-US"/>
              </w:rPr>
              <w:t>Roger Karam (Que.)</w:t>
            </w:r>
          </w:p>
          <w:p w:rsidR="00C92A23" w:rsidRPr="00806A5B" w:rsidRDefault="00C92A23" w:rsidP="005F1ED8">
            <w:pPr>
              <w:keepNext/>
              <w:keepLines/>
              <w:tabs>
                <w:tab w:val="left" w:pos="-1440"/>
                <w:tab w:val="left" w:pos="-720"/>
              </w:tabs>
              <w:rPr>
                <w:sz w:val="20"/>
                <w:szCs w:val="20"/>
                <w:lang w:val="fr-CA"/>
              </w:rPr>
            </w:pPr>
            <w:r w:rsidRPr="00C92A23">
              <w:rPr>
                <w:sz w:val="20"/>
                <w:szCs w:val="20"/>
                <w:lang w:val="en-US"/>
              </w:rPr>
              <w:tab/>
            </w:r>
            <w:r>
              <w:rPr>
                <w:sz w:val="20"/>
                <w:szCs w:val="20"/>
                <w:lang w:val="fr-CA"/>
              </w:rPr>
              <w:t>Antoine Aylwin</w:t>
            </w:r>
          </w:p>
          <w:p w:rsidR="00C92A23" w:rsidRPr="00806A5B" w:rsidRDefault="00C92A23" w:rsidP="005F1ED8">
            <w:pPr>
              <w:keepNext/>
              <w:keepLines/>
              <w:tabs>
                <w:tab w:val="left" w:pos="-1440"/>
                <w:tab w:val="left" w:pos="-720"/>
              </w:tabs>
              <w:rPr>
                <w:sz w:val="20"/>
                <w:szCs w:val="20"/>
                <w:lang w:val="fr-CA"/>
              </w:rPr>
            </w:pPr>
            <w:r w:rsidRPr="00806A5B">
              <w:rPr>
                <w:sz w:val="20"/>
                <w:szCs w:val="20"/>
                <w:lang w:val="fr-CA"/>
              </w:rPr>
              <w:tab/>
            </w:r>
            <w:r>
              <w:rPr>
                <w:sz w:val="20"/>
                <w:szCs w:val="20"/>
                <w:lang w:val="fr-CA"/>
              </w:rPr>
              <w:t>Fasken Martineau DuMoulin LLP</w:t>
            </w:r>
          </w:p>
          <w:p w:rsidR="00C92A23" w:rsidRPr="00806A5B" w:rsidRDefault="00C92A23" w:rsidP="005F1ED8">
            <w:pPr>
              <w:keepNext/>
              <w:keepLines/>
              <w:tabs>
                <w:tab w:val="left" w:pos="-1440"/>
                <w:tab w:val="left" w:pos="-720"/>
              </w:tabs>
              <w:rPr>
                <w:sz w:val="20"/>
                <w:szCs w:val="20"/>
                <w:lang w:val="fr-CA"/>
              </w:rPr>
            </w:pPr>
          </w:p>
          <w:p w:rsidR="00C92A23" w:rsidRPr="00806A5B" w:rsidRDefault="00C92A23" w:rsidP="00C92A23">
            <w:pPr>
              <w:rPr>
                <w:sz w:val="20"/>
                <w:szCs w:val="20"/>
                <w:lang w:val="fr-CA"/>
              </w:rPr>
            </w:pPr>
            <w:r>
              <w:rPr>
                <w:sz w:val="20"/>
                <w:szCs w:val="20"/>
                <w:lang w:val="fr-CA"/>
              </w:rPr>
              <w:t>FILING DATE</w:t>
            </w:r>
            <w:r w:rsidRPr="00806A5B">
              <w:rPr>
                <w:sz w:val="20"/>
                <w:szCs w:val="20"/>
                <w:lang w:val="fr-CA"/>
              </w:rPr>
              <w:t xml:space="preserve">: </w:t>
            </w:r>
            <w:r>
              <w:rPr>
                <w:sz w:val="20"/>
                <w:szCs w:val="20"/>
                <w:lang w:val="fr-CA"/>
              </w:rPr>
              <w:t>27</w:t>
            </w:r>
            <w:r w:rsidRPr="00806A5B">
              <w:rPr>
                <w:sz w:val="20"/>
                <w:szCs w:val="20"/>
                <w:lang w:val="fr-CA"/>
              </w:rPr>
              <w:t>.0</w:t>
            </w:r>
            <w:r>
              <w:rPr>
                <w:sz w:val="20"/>
                <w:szCs w:val="20"/>
                <w:lang w:val="fr-CA"/>
              </w:rPr>
              <w:t>4</w:t>
            </w:r>
            <w:r w:rsidRPr="00806A5B">
              <w:rPr>
                <w:sz w:val="20"/>
                <w:szCs w:val="20"/>
                <w:lang w:val="fr-CA"/>
              </w:rPr>
              <w:t>.201</w:t>
            </w:r>
            <w:r>
              <w:rPr>
                <w:sz w:val="20"/>
                <w:szCs w:val="20"/>
                <w:lang w:val="fr-CA"/>
              </w:rPr>
              <w:t>8</w:t>
            </w:r>
            <w:r w:rsidR="00FE4582">
              <w:rPr>
                <w:sz w:val="20"/>
                <w:szCs w:val="20"/>
                <w:lang w:val="fr-CA"/>
              </w:rPr>
              <w:pict>
                <v:rect id="_x0000_i1026" style="width:108pt;height:1pt" o:hrpct="0" o:hralign="center" o:hrstd="t" o:hrnoshade="t" o:hr="t" fillcolor="black [3213]" stroked="f"/>
              </w:pict>
            </w:r>
          </w:p>
        </w:tc>
      </w:tr>
      <w:tr w:rsidR="00C92A23" w:rsidRPr="00C92A23" w:rsidTr="003B3977">
        <w:tc>
          <w:tcPr>
            <w:tcW w:w="4320" w:type="dxa"/>
            <w:vMerge/>
            <w:shd w:val="clear" w:color="auto" w:fill="auto"/>
          </w:tcPr>
          <w:p w:rsidR="00C92A23" w:rsidRPr="00A935AA" w:rsidRDefault="00C92A23" w:rsidP="003B3977">
            <w:pPr>
              <w:rPr>
                <w:sz w:val="20"/>
                <w:szCs w:val="20"/>
              </w:rPr>
            </w:pPr>
          </w:p>
        </w:tc>
        <w:tc>
          <w:tcPr>
            <w:tcW w:w="1181" w:type="dxa"/>
            <w:shd w:val="clear" w:color="auto" w:fill="auto"/>
          </w:tcPr>
          <w:p w:rsidR="00C92A23" w:rsidRPr="00A935AA" w:rsidRDefault="00C92A23" w:rsidP="00242AEE">
            <w:pPr>
              <w:jc w:val="center"/>
              <w:rPr>
                <w:sz w:val="20"/>
                <w:szCs w:val="20"/>
              </w:rPr>
            </w:pPr>
          </w:p>
        </w:tc>
        <w:tc>
          <w:tcPr>
            <w:tcW w:w="4320" w:type="dxa"/>
            <w:shd w:val="clear" w:color="auto" w:fill="auto"/>
          </w:tcPr>
          <w:p w:rsidR="00C92A23" w:rsidRPr="00C92A23" w:rsidRDefault="00C92A23" w:rsidP="00C92A23">
            <w:pPr>
              <w:keepNext/>
              <w:keepLines/>
              <w:tabs>
                <w:tab w:val="left" w:pos="-1440"/>
                <w:tab w:val="left" w:pos="-720"/>
              </w:tabs>
              <w:rPr>
                <w:b/>
                <w:sz w:val="20"/>
                <w:szCs w:val="20"/>
                <w:lang w:val="en-US"/>
              </w:rPr>
            </w:pPr>
            <w:r>
              <w:rPr>
                <w:b/>
                <w:sz w:val="20"/>
                <w:szCs w:val="20"/>
                <w:lang w:val="en-US"/>
              </w:rPr>
              <w:t>Steven Duane John Rivard</w:t>
            </w:r>
          </w:p>
          <w:p w:rsidR="00C92A23" w:rsidRPr="00C92A23" w:rsidRDefault="00C92A23" w:rsidP="00C92A23">
            <w:pPr>
              <w:keepNext/>
              <w:keepLines/>
              <w:tabs>
                <w:tab w:val="left" w:pos="-1440"/>
                <w:tab w:val="left" w:pos="-720"/>
              </w:tabs>
              <w:rPr>
                <w:sz w:val="20"/>
                <w:szCs w:val="20"/>
                <w:lang w:val="en-US"/>
              </w:rPr>
            </w:pPr>
            <w:r w:rsidRPr="00C92A23">
              <w:rPr>
                <w:sz w:val="20"/>
                <w:szCs w:val="20"/>
                <w:lang w:val="en-US"/>
              </w:rPr>
              <w:tab/>
            </w:r>
            <w:r>
              <w:rPr>
                <w:sz w:val="20"/>
                <w:szCs w:val="20"/>
                <w:lang w:val="en-US"/>
              </w:rPr>
              <w:t>Myron W. Shulgan, Q.C.</w:t>
            </w:r>
          </w:p>
          <w:p w:rsidR="00C92A23" w:rsidRPr="00C92A23" w:rsidRDefault="00C92A23" w:rsidP="00C92A23">
            <w:pPr>
              <w:keepNext/>
              <w:keepLines/>
              <w:tabs>
                <w:tab w:val="left" w:pos="-1440"/>
                <w:tab w:val="left" w:pos="-720"/>
              </w:tabs>
              <w:rPr>
                <w:sz w:val="20"/>
                <w:szCs w:val="20"/>
                <w:lang w:val="en-US"/>
              </w:rPr>
            </w:pPr>
            <w:r>
              <w:rPr>
                <w:sz w:val="20"/>
                <w:szCs w:val="20"/>
                <w:lang w:val="en-US"/>
              </w:rPr>
              <w:tab/>
              <w:t>Strosberg Sasso Sutts LLP</w:t>
            </w:r>
          </w:p>
          <w:p w:rsidR="00C92A23" w:rsidRPr="00C92A23" w:rsidRDefault="00C92A23" w:rsidP="00C92A23">
            <w:pPr>
              <w:keepNext/>
              <w:keepLines/>
              <w:tabs>
                <w:tab w:val="left" w:pos="-1440"/>
                <w:tab w:val="left" w:pos="-720"/>
              </w:tabs>
              <w:rPr>
                <w:sz w:val="20"/>
                <w:szCs w:val="20"/>
                <w:lang w:val="en-US"/>
              </w:rPr>
            </w:pPr>
          </w:p>
          <w:p w:rsidR="00C92A23" w:rsidRPr="00C92A23" w:rsidRDefault="00C92A23" w:rsidP="00C92A23">
            <w:pPr>
              <w:keepNext/>
              <w:keepLines/>
              <w:tabs>
                <w:tab w:val="left" w:pos="-1440"/>
                <w:tab w:val="left" w:pos="-720"/>
              </w:tabs>
              <w:rPr>
                <w:sz w:val="20"/>
                <w:szCs w:val="20"/>
                <w:lang w:val="en-US"/>
              </w:rPr>
            </w:pPr>
            <w:r w:rsidRPr="00C92A23">
              <w:rPr>
                <w:sz w:val="20"/>
                <w:szCs w:val="20"/>
                <w:lang w:val="en-US"/>
              </w:rPr>
              <w:tab/>
              <w:t>v. (3</w:t>
            </w:r>
            <w:r>
              <w:rPr>
                <w:sz w:val="20"/>
                <w:szCs w:val="20"/>
                <w:lang w:val="en-US"/>
              </w:rPr>
              <w:t>8086</w:t>
            </w:r>
            <w:r w:rsidRPr="00C92A23">
              <w:rPr>
                <w:sz w:val="20"/>
                <w:szCs w:val="20"/>
                <w:lang w:val="en-US"/>
              </w:rPr>
              <w:t>)</w:t>
            </w:r>
          </w:p>
          <w:p w:rsidR="00C92A23" w:rsidRPr="00C92A23" w:rsidRDefault="00C92A23" w:rsidP="00C92A23">
            <w:pPr>
              <w:keepNext/>
              <w:keepLines/>
              <w:tabs>
                <w:tab w:val="left" w:pos="-1440"/>
                <w:tab w:val="left" w:pos="-720"/>
              </w:tabs>
              <w:rPr>
                <w:sz w:val="20"/>
                <w:szCs w:val="20"/>
                <w:lang w:val="en-US"/>
              </w:rPr>
            </w:pPr>
          </w:p>
          <w:p w:rsidR="00C92A23" w:rsidRPr="00C15495" w:rsidRDefault="00C92A23" w:rsidP="00C92A23">
            <w:pPr>
              <w:keepNext/>
              <w:keepLines/>
              <w:tabs>
                <w:tab w:val="left" w:pos="-1440"/>
                <w:tab w:val="left" w:pos="-720"/>
              </w:tabs>
              <w:rPr>
                <w:b/>
                <w:sz w:val="20"/>
                <w:szCs w:val="20"/>
                <w:lang w:val="en-US"/>
              </w:rPr>
            </w:pPr>
            <w:r>
              <w:rPr>
                <w:b/>
                <w:sz w:val="20"/>
                <w:szCs w:val="20"/>
                <w:lang w:val="en-US"/>
              </w:rPr>
              <w:t>Janine Therese Morris et al.</w:t>
            </w:r>
            <w:r w:rsidRPr="00C92A23">
              <w:rPr>
                <w:b/>
                <w:sz w:val="20"/>
                <w:szCs w:val="20"/>
                <w:lang w:val="en-US"/>
              </w:rPr>
              <w:t xml:space="preserve"> </w:t>
            </w:r>
            <w:r w:rsidR="006811F1">
              <w:rPr>
                <w:b/>
                <w:sz w:val="20"/>
                <w:szCs w:val="20"/>
                <w:lang w:val="en-US"/>
              </w:rPr>
              <w:t>(Ont</w:t>
            </w:r>
            <w:r w:rsidRPr="00C15495">
              <w:rPr>
                <w:b/>
                <w:sz w:val="20"/>
                <w:szCs w:val="20"/>
                <w:lang w:val="en-US"/>
              </w:rPr>
              <w:t>.)</w:t>
            </w:r>
          </w:p>
          <w:p w:rsidR="00C92A23" w:rsidRPr="00C15495" w:rsidRDefault="00C92A23" w:rsidP="00C92A23">
            <w:pPr>
              <w:keepNext/>
              <w:keepLines/>
              <w:tabs>
                <w:tab w:val="left" w:pos="-1440"/>
                <w:tab w:val="left" w:pos="-720"/>
              </w:tabs>
              <w:rPr>
                <w:sz w:val="20"/>
                <w:szCs w:val="20"/>
                <w:lang w:val="en-US"/>
              </w:rPr>
            </w:pPr>
            <w:r w:rsidRPr="00C15495">
              <w:rPr>
                <w:sz w:val="20"/>
                <w:szCs w:val="20"/>
                <w:lang w:val="en-US"/>
              </w:rPr>
              <w:tab/>
              <w:t>Evert Van Woudenburg</w:t>
            </w:r>
          </w:p>
          <w:p w:rsidR="00C92A23" w:rsidRPr="00C15495" w:rsidRDefault="00C92A23" w:rsidP="00C92A23">
            <w:pPr>
              <w:keepNext/>
              <w:keepLines/>
              <w:tabs>
                <w:tab w:val="left" w:pos="-1440"/>
                <w:tab w:val="left" w:pos="-720"/>
              </w:tabs>
              <w:rPr>
                <w:sz w:val="20"/>
                <w:szCs w:val="20"/>
                <w:lang w:val="en-US"/>
              </w:rPr>
            </w:pPr>
            <w:r w:rsidRPr="00C15495">
              <w:rPr>
                <w:sz w:val="20"/>
                <w:szCs w:val="20"/>
                <w:lang w:val="en-US"/>
              </w:rPr>
              <w:tab/>
              <w:t>Gardiner, Roberts LLP</w:t>
            </w:r>
          </w:p>
          <w:p w:rsidR="00C92A23" w:rsidRPr="00C15495" w:rsidRDefault="00C92A23" w:rsidP="00C92A23">
            <w:pPr>
              <w:keepNext/>
              <w:keepLines/>
              <w:tabs>
                <w:tab w:val="left" w:pos="-1440"/>
                <w:tab w:val="left" w:pos="-720"/>
              </w:tabs>
              <w:rPr>
                <w:sz w:val="20"/>
                <w:szCs w:val="20"/>
                <w:lang w:val="en-US"/>
              </w:rPr>
            </w:pPr>
          </w:p>
          <w:p w:rsidR="00C92A23" w:rsidRPr="00C15495" w:rsidRDefault="00E579F6" w:rsidP="00E579F6">
            <w:pPr>
              <w:rPr>
                <w:sz w:val="20"/>
                <w:szCs w:val="20"/>
                <w:lang w:val="en-US"/>
              </w:rPr>
            </w:pPr>
            <w:r w:rsidRPr="00C15495">
              <w:rPr>
                <w:sz w:val="20"/>
                <w:szCs w:val="20"/>
                <w:lang w:val="en-US"/>
              </w:rPr>
              <w:t>FILING DATE</w:t>
            </w:r>
            <w:r w:rsidR="00C92A23" w:rsidRPr="00C15495">
              <w:rPr>
                <w:sz w:val="20"/>
                <w:szCs w:val="20"/>
                <w:lang w:val="en-US"/>
              </w:rPr>
              <w:t>: 27.04.201</w:t>
            </w:r>
            <w:r w:rsidRPr="00C15495">
              <w:rPr>
                <w:sz w:val="20"/>
                <w:szCs w:val="20"/>
                <w:lang w:val="en-US"/>
              </w:rPr>
              <w:t>8</w:t>
            </w:r>
            <w:r w:rsidR="00FE4582">
              <w:rPr>
                <w:sz w:val="20"/>
                <w:szCs w:val="20"/>
                <w:lang w:val="fr-CA"/>
              </w:rPr>
              <w:pict>
                <v:rect id="_x0000_i1027" style="width:108pt;height:1pt" o:hrpct="0" o:hralign="center" o:hrstd="t" o:hrnoshade="t" o:hr="t" fillcolor="black [3213]" stroked="f"/>
              </w:pict>
            </w:r>
          </w:p>
        </w:tc>
      </w:tr>
      <w:tr w:rsidR="00C21644" w:rsidRPr="00A935AA" w:rsidTr="00C92A23">
        <w:trPr>
          <w:trHeight w:val="2880"/>
        </w:trPr>
        <w:tc>
          <w:tcPr>
            <w:tcW w:w="4320" w:type="dxa"/>
            <w:shd w:val="clear" w:color="auto" w:fill="auto"/>
          </w:tcPr>
          <w:p w:rsidR="00C92A23" w:rsidRPr="009B53D0" w:rsidRDefault="00C92A23" w:rsidP="00C92A23">
            <w:pPr>
              <w:keepNext/>
              <w:keepLines/>
              <w:tabs>
                <w:tab w:val="left" w:pos="-1440"/>
                <w:tab w:val="left" w:pos="-720"/>
              </w:tabs>
              <w:rPr>
                <w:b/>
                <w:sz w:val="20"/>
                <w:szCs w:val="20"/>
                <w:lang w:val="fr-CA"/>
              </w:rPr>
            </w:pPr>
            <w:r w:rsidRPr="009B53D0">
              <w:rPr>
                <w:b/>
                <w:sz w:val="20"/>
                <w:szCs w:val="20"/>
                <w:lang w:val="fr-CA"/>
              </w:rPr>
              <w:t xml:space="preserve">X. </w:t>
            </w:r>
          </w:p>
          <w:p w:rsidR="00C92A23" w:rsidRPr="009B53D0" w:rsidRDefault="00C92A23" w:rsidP="00C92A23">
            <w:pPr>
              <w:keepNext/>
              <w:keepLines/>
              <w:tabs>
                <w:tab w:val="left" w:pos="-1440"/>
                <w:tab w:val="left" w:pos="-720"/>
              </w:tabs>
              <w:rPr>
                <w:sz w:val="20"/>
                <w:szCs w:val="20"/>
                <w:lang w:val="fr-CA"/>
              </w:rPr>
            </w:pPr>
            <w:r w:rsidRPr="009B53D0">
              <w:rPr>
                <w:sz w:val="20"/>
                <w:szCs w:val="20"/>
                <w:lang w:val="fr-CA"/>
              </w:rPr>
              <w:tab/>
              <w:t>Maxime H</w:t>
            </w:r>
            <w:r>
              <w:rPr>
                <w:sz w:val="20"/>
                <w:szCs w:val="20"/>
                <w:lang w:val="fr-CA"/>
              </w:rPr>
              <w:t>é</w:t>
            </w:r>
            <w:r w:rsidRPr="009B53D0">
              <w:rPr>
                <w:sz w:val="20"/>
                <w:szCs w:val="20"/>
                <w:lang w:val="fr-CA"/>
              </w:rPr>
              <w:t>bert Lafontaine</w:t>
            </w:r>
          </w:p>
          <w:p w:rsidR="00C92A23" w:rsidRPr="009B53D0" w:rsidRDefault="00C92A23" w:rsidP="00C92A23">
            <w:pPr>
              <w:keepNext/>
              <w:keepLines/>
              <w:tabs>
                <w:tab w:val="left" w:pos="-1440"/>
                <w:tab w:val="left" w:pos="-720"/>
              </w:tabs>
              <w:rPr>
                <w:sz w:val="20"/>
                <w:szCs w:val="20"/>
                <w:lang w:val="fr-CA"/>
              </w:rPr>
            </w:pPr>
            <w:r w:rsidRPr="009B53D0">
              <w:rPr>
                <w:sz w:val="20"/>
                <w:szCs w:val="20"/>
                <w:lang w:val="fr-CA"/>
              </w:rPr>
              <w:tab/>
              <w:t>Latour Dorval Avocats</w:t>
            </w:r>
          </w:p>
          <w:p w:rsidR="00C92A23" w:rsidRPr="009B53D0" w:rsidRDefault="00C92A23" w:rsidP="00C92A23">
            <w:pPr>
              <w:keepNext/>
              <w:keepLines/>
              <w:tabs>
                <w:tab w:val="left" w:pos="-1440"/>
                <w:tab w:val="left" w:pos="-720"/>
              </w:tabs>
              <w:rPr>
                <w:sz w:val="20"/>
                <w:szCs w:val="20"/>
                <w:lang w:val="fr-CA"/>
              </w:rPr>
            </w:pPr>
          </w:p>
          <w:p w:rsidR="00C92A23" w:rsidRPr="00C92A23" w:rsidRDefault="00C92A23" w:rsidP="00C92A23">
            <w:pPr>
              <w:keepNext/>
              <w:keepLines/>
              <w:tabs>
                <w:tab w:val="left" w:pos="-1440"/>
                <w:tab w:val="left" w:pos="-720"/>
              </w:tabs>
              <w:rPr>
                <w:sz w:val="20"/>
                <w:szCs w:val="20"/>
                <w:lang w:val="fr-CA"/>
              </w:rPr>
            </w:pPr>
            <w:r w:rsidRPr="009B53D0">
              <w:rPr>
                <w:sz w:val="20"/>
                <w:szCs w:val="20"/>
                <w:lang w:val="fr-CA"/>
              </w:rPr>
              <w:tab/>
            </w:r>
            <w:r w:rsidRPr="00C92A23">
              <w:rPr>
                <w:sz w:val="20"/>
                <w:szCs w:val="20"/>
                <w:lang w:val="fr-CA"/>
              </w:rPr>
              <w:t>c. (</w:t>
            </w:r>
            <w:r w:rsidR="006811F1">
              <w:rPr>
                <w:sz w:val="20"/>
                <w:szCs w:val="20"/>
                <w:lang w:val="fr-CA"/>
              </w:rPr>
              <w:t>38034</w:t>
            </w:r>
            <w:r w:rsidRPr="00C92A23">
              <w:rPr>
                <w:sz w:val="20"/>
                <w:szCs w:val="20"/>
                <w:lang w:val="fr-CA"/>
              </w:rPr>
              <w:t>)</w:t>
            </w:r>
          </w:p>
          <w:p w:rsidR="00C92A23" w:rsidRPr="00C92A23" w:rsidRDefault="00C92A23" w:rsidP="00C92A23">
            <w:pPr>
              <w:keepNext/>
              <w:keepLines/>
              <w:tabs>
                <w:tab w:val="left" w:pos="-1440"/>
                <w:tab w:val="left" w:pos="-720"/>
              </w:tabs>
              <w:rPr>
                <w:sz w:val="20"/>
                <w:szCs w:val="20"/>
                <w:lang w:val="fr-CA"/>
              </w:rPr>
            </w:pPr>
          </w:p>
          <w:p w:rsidR="00C92A23" w:rsidRPr="00C92A23" w:rsidRDefault="00C92A23" w:rsidP="00C92A23">
            <w:pPr>
              <w:keepNext/>
              <w:keepLines/>
              <w:tabs>
                <w:tab w:val="left" w:pos="-1440"/>
                <w:tab w:val="left" w:pos="-720"/>
              </w:tabs>
              <w:rPr>
                <w:b/>
                <w:sz w:val="20"/>
                <w:szCs w:val="20"/>
                <w:lang w:val="fr-CA"/>
              </w:rPr>
            </w:pPr>
            <w:r w:rsidRPr="00C92A23">
              <w:rPr>
                <w:b/>
                <w:sz w:val="20"/>
                <w:szCs w:val="20"/>
                <w:lang w:val="fr-CA"/>
              </w:rPr>
              <w:t>Sa Majesté la Reine (Qc)</w:t>
            </w:r>
          </w:p>
          <w:p w:rsidR="00C92A23" w:rsidRPr="00C92A23" w:rsidRDefault="00C92A23" w:rsidP="00C92A23">
            <w:pPr>
              <w:keepNext/>
              <w:keepLines/>
              <w:tabs>
                <w:tab w:val="left" w:pos="-1440"/>
                <w:tab w:val="left" w:pos="-720"/>
              </w:tabs>
              <w:rPr>
                <w:sz w:val="20"/>
                <w:szCs w:val="20"/>
                <w:lang w:val="fr-CA"/>
              </w:rPr>
            </w:pPr>
            <w:r w:rsidRPr="00C92A23">
              <w:rPr>
                <w:sz w:val="20"/>
                <w:szCs w:val="20"/>
                <w:lang w:val="fr-CA"/>
              </w:rPr>
              <w:tab/>
              <w:t>Mario Giroux</w:t>
            </w:r>
          </w:p>
          <w:p w:rsidR="00C92A23" w:rsidRPr="00C92A23" w:rsidRDefault="00C92A23" w:rsidP="00C92A23">
            <w:pPr>
              <w:keepNext/>
              <w:keepLines/>
              <w:tabs>
                <w:tab w:val="left" w:pos="-1440"/>
                <w:tab w:val="left" w:pos="-720"/>
              </w:tabs>
              <w:ind w:left="720"/>
              <w:rPr>
                <w:sz w:val="20"/>
                <w:szCs w:val="20"/>
                <w:lang w:val="fr-CA"/>
              </w:rPr>
            </w:pPr>
            <w:r w:rsidRPr="00C92A23">
              <w:rPr>
                <w:sz w:val="20"/>
                <w:szCs w:val="20"/>
                <w:lang w:val="fr-CA"/>
              </w:rPr>
              <w:t>Directeur des poursuites criminelles et pénales du Québec</w:t>
            </w:r>
          </w:p>
          <w:p w:rsidR="00C92A23" w:rsidRPr="00C92A23" w:rsidRDefault="00C92A23" w:rsidP="00C92A23">
            <w:pPr>
              <w:keepNext/>
              <w:keepLines/>
              <w:tabs>
                <w:tab w:val="left" w:pos="-1440"/>
                <w:tab w:val="left" w:pos="-720"/>
              </w:tabs>
              <w:rPr>
                <w:sz w:val="20"/>
                <w:szCs w:val="20"/>
                <w:lang w:val="fr-CA"/>
              </w:rPr>
            </w:pPr>
          </w:p>
          <w:p w:rsidR="00C21644" w:rsidRDefault="00C92A23" w:rsidP="00C92A23">
            <w:pPr>
              <w:rPr>
                <w:sz w:val="20"/>
                <w:szCs w:val="20"/>
                <w:lang w:val="fr-CA"/>
              </w:rPr>
            </w:pPr>
            <w:r w:rsidRPr="00C92A23">
              <w:rPr>
                <w:sz w:val="20"/>
                <w:szCs w:val="20"/>
                <w:lang w:val="en-US"/>
              </w:rPr>
              <w:t xml:space="preserve">DATE DE PRODUCTION: </w:t>
            </w:r>
            <w:r>
              <w:rPr>
                <w:sz w:val="20"/>
                <w:szCs w:val="20"/>
                <w:lang w:val="en-US"/>
              </w:rPr>
              <w:t>26</w:t>
            </w:r>
            <w:r w:rsidRPr="00C92A23">
              <w:rPr>
                <w:sz w:val="20"/>
                <w:szCs w:val="20"/>
                <w:lang w:val="en-US"/>
              </w:rPr>
              <w:t>.0</w:t>
            </w:r>
            <w:r w:rsidR="00E579F6">
              <w:rPr>
                <w:sz w:val="20"/>
                <w:szCs w:val="20"/>
                <w:lang w:val="en-US"/>
              </w:rPr>
              <w:t>3</w:t>
            </w:r>
            <w:r w:rsidRPr="00C92A23">
              <w:rPr>
                <w:sz w:val="20"/>
                <w:szCs w:val="20"/>
                <w:lang w:val="en-US"/>
              </w:rPr>
              <w:t>.201</w:t>
            </w:r>
            <w:r w:rsidR="00E579F6">
              <w:rPr>
                <w:sz w:val="20"/>
                <w:szCs w:val="20"/>
                <w:lang w:val="en-US"/>
              </w:rPr>
              <w:t>8</w:t>
            </w:r>
            <w:r w:rsidR="00FE4582">
              <w:rPr>
                <w:sz w:val="20"/>
                <w:szCs w:val="20"/>
                <w:lang w:val="fr-CA"/>
              </w:rPr>
              <w:pict>
                <v:rect id="_x0000_i1028" style="width:108pt;height:1pt" o:hrpct="0" o:hralign="center" o:hrstd="t" o:hrnoshade="t" o:hr="t" fillcolor="black [3213]" stroked="f"/>
              </w:pict>
            </w:r>
          </w:p>
          <w:p w:rsidR="00C92A23" w:rsidRPr="00A935AA" w:rsidRDefault="00C92A23" w:rsidP="00C92A23">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92A23" w:rsidRPr="00C15495" w:rsidRDefault="00C92A23" w:rsidP="00C92A23">
            <w:pPr>
              <w:keepNext/>
              <w:keepLines/>
              <w:tabs>
                <w:tab w:val="left" w:pos="-1440"/>
                <w:tab w:val="left" w:pos="-720"/>
              </w:tabs>
              <w:rPr>
                <w:b/>
                <w:sz w:val="20"/>
                <w:szCs w:val="20"/>
                <w:lang w:val="fr-CA"/>
              </w:rPr>
            </w:pPr>
            <w:r w:rsidRPr="00C15495">
              <w:rPr>
                <w:b/>
                <w:sz w:val="20"/>
                <w:szCs w:val="20"/>
                <w:lang w:val="fr-CA"/>
              </w:rPr>
              <w:t>Tzvi Lexier</w:t>
            </w:r>
          </w:p>
          <w:p w:rsidR="00C92A23" w:rsidRPr="00C15495" w:rsidRDefault="00C92A23" w:rsidP="00C92A23">
            <w:pPr>
              <w:keepNext/>
              <w:keepLines/>
              <w:tabs>
                <w:tab w:val="left" w:pos="-1440"/>
                <w:tab w:val="left" w:pos="-720"/>
              </w:tabs>
              <w:rPr>
                <w:sz w:val="20"/>
                <w:szCs w:val="20"/>
                <w:lang w:val="fr-CA"/>
              </w:rPr>
            </w:pPr>
            <w:r w:rsidRPr="00C15495">
              <w:rPr>
                <w:sz w:val="20"/>
                <w:szCs w:val="20"/>
                <w:lang w:val="fr-CA"/>
              </w:rPr>
              <w:tab/>
              <w:t>Nicolas M. Rouleau</w:t>
            </w:r>
          </w:p>
          <w:p w:rsidR="00C92A23" w:rsidRPr="00C15495" w:rsidRDefault="00C92A23" w:rsidP="00C92A23">
            <w:pPr>
              <w:keepNext/>
              <w:keepLines/>
              <w:tabs>
                <w:tab w:val="left" w:pos="-1440"/>
                <w:tab w:val="left" w:pos="-720"/>
              </w:tabs>
              <w:rPr>
                <w:sz w:val="20"/>
                <w:szCs w:val="20"/>
                <w:lang w:val="fr-CA"/>
              </w:rPr>
            </w:pPr>
          </w:p>
          <w:p w:rsidR="00C92A23" w:rsidRPr="00C15495" w:rsidRDefault="00C92A23" w:rsidP="00C92A23">
            <w:pPr>
              <w:keepNext/>
              <w:keepLines/>
              <w:tabs>
                <w:tab w:val="left" w:pos="-1440"/>
                <w:tab w:val="left" w:pos="-720"/>
              </w:tabs>
              <w:rPr>
                <w:sz w:val="20"/>
                <w:szCs w:val="20"/>
                <w:lang w:val="fr-CA"/>
              </w:rPr>
            </w:pPr>
            <w:r w:rsidRPr="00C15495">
              <w:rPr>
                <w:sz w:val="20"/>
                <w:szCs w:val="20"/>
                <w:lang w:val="fr-CA"/>
              </w:rPr>
              <w:tab/>
              <w:t>v. (37952)</w:t>
            </w:r>
          </w:p>
          <w:p w:rsidR="00C92A23" w:rsidRPr="00C15495" w:rsidRDefault="00C92A23" w:rsidP="00C92A23">
            <w:pPr>
              <w:keepNext/>
              <w:keepLines/>
              <w:tabs>
                <w:tab w:val="left" w:pos="-1440"/>
                <w:tab w:val="left" w:pos="-720"/>
              </w:tabs>
              <w:rPr>
                <w:sz w:val="20"/>
                <w:szCs w:val="20"/>
                <w:lang w:val="fr-CA"/>
              </w:rPr>
            </w:pPr>
          </w:p>
          <w:p w:rsidR="00C92A23" w:rsidRPr="00C92A23" w:rsidRDefault="00C92A23" w:rsidP="00C92A23">
            <w:pPr>
              <w:keepNext/>
              <w:keepLines/>
              <w:tabs>
                <w:tab w:val="left" w:pos="-1440"/>
                <w:tab w:val="left" w:pos="-720"/>
              </w:tabs>
              <w:rPr>
                <w:b/>
                <w:sz w:val="20"/>
                <w:szCs w:val="20"/>
                <w:lang w:val="en-US"/>
              </w:rPr>
            </w:pPr>
            <w:r>
              <w:rPr>
                <w:b/>
                <w:sz w:val="20"/>
                <w:szCs w:val="20"/>
                <w:lang w:val="en-US"/>
              </w:rPr>
              <w:t>Attorney General of Canada</w:t>
            </w:r>
            <w:r w:rsidRPr="00C92A23">
              <w:rPr>
                <w:b/>
                <w:sz w:val="20"/>
                <w:szCs w:val="20"/>
                <w:lang w:val="en-US"/>
              </w:rPr>
              <w:t xml:space="preserve"> (</w:t>
            </w:r>
            <w:r>
              <w:rPr>
                <w:b/>
                <w:sz w:val="20"/>
                <w:szCs w:val="20"/>
                <w:lang w:val="en-US"/>
              </w:rPr>
              <w:t>Ont</w:t>
            </w:r>
            <w:r w:rsidRPr="00C92A23">
              <w:rPr>
                <w:b/>
                <w:sz w:val="20"/>
                <w:szCs w:val="20"/>
                <w:lang w:val="en-US"/>
              </w:rPr>
              <w:t>.)</w:t>
            </w:r>
          </w:p>
          <w:p w:rsidR="00C92A23" w:rsidRPr="00C92A23" w:rsidRDefault="00C92A23" w:rsidP="00C92A23">
            <w:pPr>
              <w:keepNext/>
              <w:keepLines/>
              <w:tabs>
                <w:tab w:val="left" w:pos="-1440"/>
                <w:tab w:val="left" w:pos="-720"/>
              </w:tabs>
              <w:rPr>
                <w:sz w:val="20"/>
                <w:szCs w:val="20"/>
                <w:lang w:val="en-US"/>
              </w:rPr>
            </w:pPr>
            <w:r w:rsidRPr="00C92A23">
              <w:rPr>
                <w:sz w:val="20"/>
                <w:szCs w:val="20"/>
                <w:lang w:val="en-US"/>
              </w:rPr>
              <w:tab/>
            </w:r>
            <w:r>
              <w:rPr>
                <w:sz w:val="20"/>
                <w:szCs w:val="20"/>
                <w:lang w:val="en-US"/>
              </w:rPr>
              <w:t>Heather J. Graham</w:t>
            </w:r>
          </w:p>
          <w:p w:rsidR="00C92A23" w:rsidRPr="00C92A23" w:rsidRDefault="00C92A23" w:rsidP="00C92A23">
            <w:pPr>
              <w:keepNext/>
              <w:keepLines/>
              <w:tabs>
                <w:tab w:val="left" w:pos="-1440"/>
                <w:tab w:val="left" w:pos="-720"/>
              </w:tabs>
              <w:rPr>
                <w:sz w:val="20"/>
                <w:szCs w:val="20"/>
                <w:lang w:val="en-US"/>
              </w:rPr>
            </w:pPr>
            <w:r w:rsidRPr="00C92A23">
              <w:rPr>
                <w:sz w:val="20"/>
                <w:szCs w:val="20"/>
                <w:lang w:val="en-US"/>
              </w:rPr>
              <w:tab/>
            </w:r>
            <w:r>
              <w:rPr>
                <w:sz w:val="20"/>
                <w:szCs w:val="20"/>
                <w:lang w:val="en-US"/>
              </w:rPr>
              <w:t>Department of Justice Canada</w:t>
            </w:r>
          </w:p>
          <w:p w:rsidR="00C92A23" w:rsidRPr="00C92A23" w:rsidRDefault="00C92A23" w:rsidP="00C92A23">
            <w:pPr>
              <w:keepNext/>
              <w:keepLines/>
              <w:tabs>
                <w:tab w:val="left" w:pos="-1440"/>
                <w:tab w:val="left" w:pos="-720"/>
              </w:tabs>
              <w:rPr>
                <w:sz w:val="20"/>
                <w:szCs w:val="20"/>
                <w:lang w:val="en-US"/>
              </w:rPr>
            </w:pPr>
          </w:p>
          <w:p w:rsidR="00C21644" w:rsidRPr="00A935AA" w:rsidRDefault="00E579F6" w:rsidP="00E579F6">
            <w:pPr>
              <w:rPr>
                <w:sz w:val="20"/>
                <w:szCs w:val="20"/>
              </w:rPr>
            </w:pPr>
            <w:r>
              <w:rPr>
                <w:sz w:val="20"/>
                <w:szCs w:val="20"/>
                <w:lang w:val="en-US"/>
              </w:rPr>
              <w:t>FILING DATE: 10</w:t>
            </w:r>
            <w:r w:rsidR="00C92A23" w:rsidRPr="00C92A23">
              <w:rPr>
                <w:sz w:val="20"/>
                <w:szCs w:val="20"/>
                <w:lang w:val="en-US"/>
              </w:rPr>
              <w:t>.04.201</w:t>
            </w:r>
            <w:r>
              <w:rPr>
                <w:sz w:val="20"/>
                <w:szCs w:val="20"/>
                <w:lang w:val="en-US"/>
              </w:rPr>
              <w:t>8</w:t>
            </w:r>
            <w:r w:rsidR="00FE4582">
              <w:rPr>
                <w:sz w:val="20"/>
                <w:szCs w:val="20"/>
                <w:lang w:val="fr-CA"/>
              </w:rPr>
              <w:pict>
                <v:rect id="_x0000_i1029" style="width:108pt;height:1pt" o:hrpct="0" o:hralign="center" o:hrstd="t" o:hrnoshade="t" o:hr="t" fillcolor="black [3213]" stroked="f"/>
              </w:pict>
            </w:r>
          </w:p>
        </w:tc>
      </w:tr>
    </w:tbl>
    <w:p w:rsidR="009B53D0" w:rsidRDefault="009B53D0">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9B53D0" w:rsidRPr="00A935AA" w:rsidTr="00C92A23">
        <w:trPr>
          <w:trHeight w:val="2880"/>
        </w:trPr>
        <w:tc>
          <w:tcPr>
            <w:tcW w:w="4320" w:type="dxa"/>
            <w:shd w:val="clear" w:color="auto" w:fill="auto"/>
          </w:tcPr>
          <w:p w:rsidR="009B53D0" w:rsidRPr="00C92A23" w:rsidRDefault="009B53D0" w:rsidP="009B53D0">
            <w:pPr>
              <w:keepNext/>
              <w:keepLines/>
              <w:tabs>
                <w:tab w:val="left" w:pos="-1440"/>
                <w:tab w:val="left" w:pos="-720"/>
              </w:tabs>
              <w:rPr>
                <w:b/>
                <w:sz w:val="20"/>
                <w:szCs w:val="20"/>
                <w:lang w:val="en-US"/>
              </w:rPr>
            </w:pPr>
            <w:r>
              <w:rPr>
                <w:b/>
                <w:sz w:val="20"/>
                <w:szCs w:val="20"/>
                <w:lang w:val="en-US"/>
              </w:rPr>
              <w:lastRenderedPageBreak/>
              <w:t>Oxford Properties Group Inc.</w:t>
            </w:r>
          </w:p>
          <w:p w:rsidR="009B53D0" w:rsidRPr="00C92A23" w:rsidRDefault="009B53D0" w:rsidP="009B53D0">
            <w:pPr>
              <w:keepNext/>
              <w:keepLines/>
              <w:tabs>
                <w:tab w:val="left" w:pos="-1440"/>
                <w:tab w:val="left" w:pos="-720"/>
              </w:tabs>
              <w:rPr>
                <w:sz w:val="20"/>
                <w:szCs w:val="20"/>
                <w:lang w:val="en-US"/>
              </w:rPr>
            </w:pPr>
            <w:r w:rsidRPr="00C92A23">
              <w:rPr>
                <w:sz w:val="20"/>
                <w:szCs w:val="20"/>
                <w:lang w:val="en-US"/>
              </w:rPr>
              <w:tab/>
            </w:r>
            <w:r>
              <w:rPr>
                <w:sz w:val="20"/>
                <w:szCs w:val="20"/>
                <w:lang w:val="en-US"/>
              </w:rPr>
              <w:t>Al Meghji</w:t>
            </w:r>
          </w:p>
          <w:p w:rsidR="009B53D0" w:rsidRPr="00C92A23" w:rsidRDefault="009B53D0" w:rsidP="009B53D0">
            <w:pPr>
              <w:keepNext/>
              <w:keepLines/>
              <w:tabs>
                <w:tab w:val="left" w:pos="-1440"/>
                <w:tab w:val="left" w:pos="-720"/>
              </w:tabs>
              <w:rPr>
                <w:sz w:val="20"/>
                <w:szCs w:val="20"/>
                <w:lang w:val="en-US"/>
              </w:rPr>
            </w:pPr>
            <w:r>
              <w:rPr>
                <w:sz w:val="20"/>
                <w:szCs w:val="20"/>
                <w:lang w:val="en-US"/>
              </w:rPr>
              <w:tab/>
              <w:t>Osler, Hoskin &amp; Harcourt LLP</w:t>
            </w:r>
          </w:p>
          <w:p w:rsidR="009B53D0" w:rsidRPr="00C92A23" w:rsidRDefault="009B53D0" w:rsidP="009B53D0">
            <w:pPr>
              <w:keepNext/>
              <w:keepLines/>
              <w:tabs>
                <w:tab w:val="left" w:pos="-1440"/>
                <w:tab w:val="left" w:pos="-720"/>
              </w:tabs>
              <w:rPr>
                <w:sz w:val="20"/>
                <w:szCs w:val="20"/>
                <w:lang w:val="en-US"/>
              </w:rPr>
            </w:pPr>
          </w:p>
          <w:p w:rsidR="009B53D0" w:rsidRPr="00C92A23" w:rsidRDefault="009B53D0" w:rsidP="009B53D0">
            <w:pPr>
              <w:keepNext/>
              <w:keepLines/>
              <w:tabs>
                <w:tab w:val="left" w:pos="-1440"/>
                <w:tab w:val="left" w:pos="-720"/>
              </w:tabs>
              <w:rPr>
                <w:sz w:val="20"/>
                <w:szCs w:val="20"/>
                <w:lang w:val="en-US"/>
              </w:rPr>
            </w:pPr>
            <w:r w:rsidRPr="00C92A23">
              <w:rPr>
                <w:sz w:val="20"/>
                <w:szCs w:val="20"/>
                <w:lang w:val="en-US"/>
              </w:rPr>
              <w:tab/>
              <w:t>v. (3</w:t>
            </w:r>
            <w:r>
              <w:rPr>
                <w:sz w:val="20"/>
                <w:szCs w:val="20"/>
                <w:lang w:val="en-US"/>
              </w:rPr>
              <w:t>8049</w:t>
            </w:r>
            <w:r w:rsidRPr="00C92A23">
              <w:rPr>
                <w:sz w:val="20"/>
                <w:szCs w:val="20"/>
                <w:lang w:val="en-US"/>
              </w:rPr>
              <w:t>)</w:t>
            </w:r>
          </w:p>
          <w:p w:rsidR="009B53D0" w:rsidRPr="00C92A23" w:rsidRDefault="009B53D0" w:rsidP="009B53D0">
            <w:pPr>
              <w:keepNext/>
              <w:keepLines/>
              <w:tabs>
                <w:tab w:val="left" w:pos="-1440"/>
                <w:tab w:val="left" w:pos="-720"/>
              </w:tabs>
              <w:rPr>
                <w:sz w:val="20"/>
                <w:szCs w:val="20"/>
                <w:lang w:val="en-US"/>
              </w:rPr>
            </w:pPr>
          </w:p>
          <w:p w:rsidR="009B53D0" w:rsidRPr="009B53D0" w:rsidRDefault="009B53D0" w:rsidP="009B53D0">
            <w:pPr>
              <w:keepNext/>
              <w:keepLines/>
              <w:tabs>
                <w:tab w:val="left" w:pos="-1440"/>
                <w:tab w:val="left" w:pos="-720"/>
              </w:tabs>
              <w:rPr>
                <w:b/>
                <w:sz w:val="20"/>
                <w:szCs w:val="20"/>
                <w:lang w:val="en-US"/>
              </w:rPr>
            </w:pPr>
            <w:r>
              <w:rPr>
                <w:b/>
                <w:sz w:val="20"/>
                <w:szCs w:val="20"/>
                <w:lang w:val="en-US"/>
              </w:rPr>
              <w:t>Her Majesty the Queen</w:t>
            </w:r>
            <w:r w:rsidRPr="00C92A23">
              <w:rPr>
                <w:b/>
                <w:sz w:val="20"/>
                <w:szCs w:val="20"/>
                <w:lang w:val="en-US"/>
              </w:rPr>
              <w:t xml:space="preserve"> </w:t>
            </w:r>
            <w:r>
              <w:rPr>
                <w:b/>
                <w:sz w:val="20"/>
                <w:szCs w:val="20"/>
                <w:lang w:val="en-US"/>
              </w:rPr>
              <w:t>(F.C</w:t>
            </w:r>
            <w:r w:rsidRPr="009B53D0">
              <w:rPr>
                <w:b/>
                <w:sz w:val="20"/>
                <w:szCs w:val="20"/>
                <w:lang w:val="en-US"/>
              </w:rPr>
              <w:t>.)</w:t>
            </w:r>
          </w:p>
          <w:p w:rsidR="009B53D0" w:rsidRPr="009B53D0" w:rsidRDefault="009B53D0" w:rsidP="009B53D0">
            <w:pPr>
              <w:keepNext/>
              <w:keepLines/>
              <w:tabs>
                <w:tab w:val="left" w:pos="-1440"/>
                <w:tab w:val="left" w:pos="-720"/>
              </w:tabs>
              <w:rPr>
                <w:sz w:val="20"/>
                <w:szCs w:val="20"/>
                <w:lang w:val="en-US"/>
              </w:rPr>
            </w:pPr>
            <w:r w:rsidRPr="009B53D0">
              <w:rPr>
                <w:sz w:val="20"/>
                <w:szCs w:val="20"/>
                <w:lang w:val="en-US"/>
              </w:rPr>
              <w:tab/>
            </w:r>
            <w:r>
              <w:rPr>
                <w:sz w:val="20"/>
                <w:szCs w:val="20"/>
                <w:lang w:val="en-US"/>
              </w:rPr>
              <w:t>Perry Derksen</w:t>
            </w:r>
          </w:p>
          <w:p w:rsidR="009B53D0" w:rsidRPr="009B53D0" w:rsidRDefault="009B53D0" w:rsidP="009B53D0">
            <w:pPr>
              <w:keepNext/>
              <w:keepLines/>
              <w:tabs>
                <w:tab w:val="left" w:pos="-1440"/>
                <w:tab w:val="left" w:pos="-720"/>
              </w:tabs>
              <w:rPr>
                <w:sz w:val="20"/>
                <w:szCs w:val="20"/>
                <w:lang w:val="en-US"/>
              </w:rPr>
            </w:pPr>
            <w:r w:rsidRPr="009B53D0">
              <w:rPr>
                <w:sz w:val="20"/>
                <w:szCs w:val="20"/>
                <w:lang w:val="en-US"/>
              </w:rPr>
              <w:tab/>
            </w:r>
            <w:r>
              <w:rPr>
                <w:sz w:val="20"/>
                <w:szCs w:val="20"/>
                <w:lang w:val="en-US"/>
              </w:rPr>
              <w:t>A.G. of Canada</w:t>
            </w:r>
          </w:p>
          <w:p w:rsidR="009B53D0" w:rsidRPr="009B53D0" w:rsidRDefault="009B53D0" w:rsidP="009B53D0">
            <w:pPr>
              <w:keepNext/>
              <w:keepLines/>
              <w:tabs>
                <w:tab w:val="left" w:pos="-1440"/>
                <w:tab w:val="left" w:pos="-720"/>
              </w:tabs>
              <w:rPr>
                <w:sz w:val="20"/>
                <w:szCs w:val="20"/>
                <w:lang w:val="en-US"/>
              </w:rPr>
            </w:pPr>
          </w:p>
          <w:p w:rsidR="009B53D0" w:rsidRPr="009B53D0" w:rsidRDefault="009B53D0" w:rsidP="009B53D0">
            <w:pPr>
              <w:keepNext/>
              <w:keepLines/>
              <w:tabs>
                <w:tab w:val="left" w:pos="-1440"/>
                <w:tab w:val="left" w:pos="-720"/>
              </w:tabs>
              <w:rPr>
                <w:b/>
                <w:sz w:val="20"/>
                <w:szCs w:val="20"/>
                <w:lang w:val="en-US"/>
              </w:rPr>
            </w:pPr>
            <w:r w:rsidRPr="009B53D0">
              <w:rPr>
                <w:sz w:val="20"/>
                <w:szCs w:val="20"/>
                <w:lang w:val="en-US"/>
              </w:rPr>
              <w:t xml:space="preserve">FILING DATE: </w:t>
            </w:r>
            <w:r>
              <w:rPr>
                <w:sz w:val="20"/>
                <w:szCs w:val="20"/>
                <w:lang w:val="en-US"/>
              </w:rPr>
              <w:t>03</w:t>
            </w:r>
            <w:r w:rsidRPr="009B53D0">
              <w:rPr>
                <w:sz w:val="20"/>
                <w:szCs w:val="20"/>
                <w:lang w:val="en-US"/>
              </w:rPr>
              <w:t>.04.2018</w:t>
            </w:r>
            <w:r w:rsidR="00FE4582">
              <w:rPr>
                <w:sz w:val="20"/>
                <w:szCs w:val="20"/>
                <w:lang w:val="fr-CA"/>
              </w:rPr>
              <w:pict>
                <v:rect id="_x0000_i1030" style="width:108pt;height:1pt" o:hrpct="0" o:hralign="center" o:hrstd="t" o:hrnoshade="t" o:hr="t" fillcolor="black [3213]" stroked="f"/>
              </w:pict>
            </w:r>
          </w:p>
        </w:tc>
        <w:tc>
          <w:tcPr>
            <w:tcW w:w="1181" w:type="dxa"/>
            <w:shd w:val="clear" w:color="auto" w:fill="auto"/>
          </w:tcPr>
          <w:p w:rsidR="009B53D0" w:rsidRPr="00A935AA" w:rsidRDefault="009B53D0" w:rsidP="00242AEE">
            <w:pPr>
              <w:jc w:val="center"/>
              <w:rPr>
                <w:sz w:val="20"/>
                <w:szCs w:val="20"/>
              </w:rPr>
            </w:pPr>
          </w:p>
        </w:tc>
        <w:tc>
          <w:tcPr>
            <w:tcW w:w="4320" w:type="dxa"/>
            <w:shd w:val="clear" w:color="auto" w:fill="auto"/>
          </w:tcPr>
          <w:p w:rsidR="009B53D0" w:rsidRPr="009B53D0" w:rsidRDefault="009B53D0" w:rsidP="009B53D0">
            <w:pPr>
              <w:keepNext/>
              <w:keepLines/>
              <w:tabs>
                <w:tab w:val="left" w:pos="-1440"/>
                <w:tab w:val="left" w:pos="-720"/>
              </w:tabs>
              <w:rPr>
                <w:b/>
                <w:sz w:val="20"/>
                <w:szCs w:val="20"/>
                <w:lang w:val="fr-CA"/>
              </w:rPr>
            </w:pPr>
            <w:r>
              <w:rPr>
                <w:b/>
                <w:sz w:val="20"/>
                <w:szCs w:val="20"/>
                <w:lang w:val="fr-CA"/>
              </w:rPr>
              <w:t>Ville de Montréal</w:t>
            </w:r>
            <w:r w:rsidRPr="009B53D0">
              <w:rPr>
                <w:b/>
                <w:sz w:val="20"/>
                <w:szCs w:val="20"/>
                <w:lang w:val="fr-CA"/>
              </w:rPr>
              <w:t xml:space="preserve"> </w:t>
            </w:r>
          </w:p>
          <w:p w:rsidR="009B53D0" w:rsidRPr="009B53D0" w:rsidRDefault="009B53D0" w:rsidP="009B53D0">
            <w:pPr>
              <w:keepNext/>
              <w:keepLines/>
              <w:tabs>
                <w:tab w:val="left" w:pos="-1440"/>
                <w:tab w:val="left" w:pos="-720"/>
              </w:tabs>
              <w:rPr>
                <w:sz w:val="20"/>
                <w:szCs w:val="20"/>
                <w:lang w:val="fr-CA"/>
              </w:rPr>
            </w:pPr>
            <w:r w:rsidRPr="009B53D0">
              <w:rPr>
                <w:sz w:val="20"/>
                <w:szCs w:val="20"/>
                <w:lang w:val="fr-CA"/>
              </w:rPr>
              <w:tab/>
            </w:r>
            <w:r>
              <w:rPr>
                <w:sz w:val="20"/>
                <w:szCs w:val="20"/>
                <w:lang w:val="fr-CA"/>
              </w:rPr>
              <w:t>Olivier Nadon</w:t>
            </w:r>
          </w:p>
          <w:p w:rsidR="009B53D0" w:rsidRPr="009B53D0" w:rsidRDefault="009B53D0" w:rsidP="009B53D0">
            <w:pPr>
              <w:keepNext/>
              <w:keepLines/>
              <w:tabs>
                <w:tab w:val="left" w:pos="-1440"/>
                <w:tab w:val="left" w:pos="-720"/>
              </w:tabs>
              <w:rPr>
                <w:sz w:val="20"/>
                <w:szCs w:val="20"/>
                <w:lang w:val="fr-CA"/>
              </w:rPr>
            </w:pPr>
            <w:r w:rsidRPr="009B53D0">
              <w:rPr>
                <w:sz w:val="20"/>
                <w:szCs w:val="20"/>
                <w:lang w:val="fr-CA"/>
              </w:rPr>
              <w:tab/>
            </w:r>
            <w:r>
              <w:rPr>
                <w:sz w:val="20"/>
                <w:szCs w:val="20"/>
                <w:lang w:val="fr-CA"/>
              </w:rPr>
              <w:t>Gagnier Guay Biron</w:t>
            </w:r>
          </w:p>
          <w:p w:rsidR="009B53D0" w:rsidRPr="009B53D0" w:rsidRDefault="009B53D0" w:rsidP="009B53D0">
            <w:pPr>
              <w:keepNext/>
              <w:keepLines/>
              <w:tabs>
                <w:tab w:val="left" w:pos="-1440"/>
                <w:tab w:val="left" w:pos="-720"/>
              </w:tabs>
              <w:rPr>
                <w:sz w:val="20"/>
                <w:szCs w:val="20"/>
                <w:lang w:val="fr-CA"/>
              </w:rPr>
            </w:pPr>
          </w:p>
          <w:p w:rsidR="009B53D0" w:rsidRPr="00C92A23" w:rsidRDefault="009B53D0" w:rsidP="009B53D0">
            <w:pPr>
              <w:keepNext/>
              <w:keepLines/>
              <w:tabs>
                <w:tab w:val="left" w:pos="-1440"/>
                <w:tab w:val="left" w:pos="-720"/>
              </w:tabs>
              <w:rPr>
                <w:sz w:val="20"/>
                <w:szCs w:val="20"/>
                <w:lang w:val="fr-CA"/>
              </w:rPr>
            </w:pPr>
            <w:r w:rsidRPr="009B53D0">
              <w:rPr>
                <w:sz w:val="20"/>
                <w:szCs w:val="20"/>
                <w:lang w:val="fr-CA"/>
              </w:rPr>
              <w:tab/>
            </w:r>
            <w:r>
              <w:rPr>
                <w:sz w:val="20"/>
                <w:szCs w:val="20"/>
                <w:lang w:val="fr-CA"/>
              </w:rPr>
              <w:t>c. (38066</w:t>
            </w:r>
            <w:r w:rsidRPr="00C92A23">
              <w:rPr>
                <w:sz w:val="20"/>
                <w:szCs w:val="20"/>
                <w:lang w:val="fr-CA"/>
              </w:rPr>
              <w:t>)</w:t>
            </w:r>
          </w:p>
          <w:p w:rsidR="009B53D0" w:rsidRPr="00C92A23" w:rsidRDefault="009B53D0" w:rsidP="009B53D0">
            <w:pPr>
              <w:keepNext/>
              <w:keepLines/>
              <w:tabs>
                <w:tab w:val="left" w:pos="-1440"/>
                <w:tab w:val="left" w:pos="-720"/>
              </w:tabs>
              <w:rPr>
                <w:sz w:val="20"/>
                <w:szCs w:val="20"/>
                <w:lang w:val="fr-CA"/>
              </w:rPr>
            </w:pPr>
          </w:p>
          <w:p w:rsidR="009B53D0" w:rsidRPr="00C92A23" w:rsidRDefault="009B53D0" w:rsidP="009B53D0">
            <w:pPr>
              <w:keepNext/>
              <w:keepLines/>
              <w:tabs>
                <w:tab w:val="left" w:pos="-1440"/>
                <w:tab w:val="left" w:pos="-720"/>
              </w:tabs>
              <w:rPr>
                <w:b/>
                <w:sz w:val="20"/>
                <w:szCs w:val="20"/>
                <w:lang w:val="fr-CA"/>
              </w:rPr>
            </w:pPr>
            <w:r>
              <w:rPr>
                <w:b/>
                <w:sz w:val="20"/>
                <w:szCs w:val="20"/>
                <w:lang w:val="fr-CA"/>
              </w:rPr>
              <w:t>Octane Stratégie inc.</w:t>
            </w:r>
            <w:r w:rsidRPr="00C92A23">
              <w:rPr>
                <w:b/>
                <w:sz w:val="20"/>
                <w:szCs w:val="20"/>
                <w:lang w:val="fr-CA"/>
              </w:rPr>
              <w:t xml:space="preserve"> (Qc)</w:t>
            </w:r>
          </w:p>
          <w:p w:rsidR="009B53D0" w:rsidRPr="00C92A23" w:rsidRDefault="009B53D0" w:rsidP="009B53D0">
            <w:pPr>
              <w:keepNext/>
              <w:keepLines/>
              <w:tabs>
                <w:tab w:val="left" w:pos="-1440"/>
                <w:tab w:val="left" w:pos="-720"/>
              </w:tabs>
              <w:rPr>
                <w:sz w:val="20"/>
                <w:szCs w:val="20"/>
                <w:lang w:val="fr-CA"/>
              </w:rPr>
            </w:pPr>
            <w:r w:rsidRPr="00C92A23">
              <w:rPr>
                <w:sz w:val="20"/>
                <w:szCs w:val="20"/>
                <w:lang w:val="fr-CA"/>
              </w:rPr>
              <w:tab/>
            </w:r>
            <w:r>
              <w:rPr>
                <w:sz w:val="20"/>
                <w:szCs w:val="20"/>
                <w:lang w:val="fr-CA"/>
              </w:rPr>
              <w:t>Sylvain Dorais</w:t>
            </w:r>
          </w:p>
          <w:p w:rsidR="009B53D0" w:rsidRPr="00C92A23" w:rsidRDefault="009B53D0" w:rsidP="009B53D0">
            <w:pPr>
              <w:keepNext/>
              <w:keepLines/>
              <w:tabs>
                <w:tab w:val="left" w:pos="-1440"/>
                <w:tab w:val="left" w:pos="-720"/>
              </w:tabs>
              <w:ind w:left="720"/>
              <w:rPr>
                <w:sz w:val="20"/>
                <w:szCs w:val="20"/>
                <w:lang w:val="fr-CA"/>
              </w:rPr>
            </w:pPr>
            <w:r>
              <w:rPr>
                <w:sz w:val="20"/>
                <w:szCs w:val="20"/>
                <w:lang w:val="fr-CA"/>
              </w:rPr>
              <w:t>GWBR, s.e.n.c.r.l.</w:t>
            </w:r>
          </w:p>
          <w:p w:rsidR="009B53D0" w:rsidRPr="00C92A23" w:rsidRDefault="009B53D0" w:rsidP="009B53D0">
            <w:pPr>
              <w:keepNext/>
              <w:keepLines/>
              <w:tabs>
                <w:tab w:val="left" w:pos="-1440"/>
                <w:tab w:val="left" w:pos="-720"/>
              </w:tabs>
              <w:rPr>
                <w:sz w:val="20"/>
                <w:szCs w:val="20"/>
                <w:lang w:val="fr-CA"/>
              </w:rPr>
            </w:pPr>
          </w:p>
          <w:p w:rsidR="009B53D0" w:rsidRDefault="009B53D0" w:rsidP="009B53D0">
            <w:pPr>
              <w:rPr>
                <w:sz w:val="20"/>
                <w:szCs w:val="20"/>
                <w:lang w:val="fr-CA"/>
              </w:rPr>
            </w:pPr>
            <w:r w:rsidRPr="00C92A23">
              <w:rPr>
                <w:sz w:val="20"/>
                <w:szCs w:val="20"/>
                <w:lang w:val="en-US"/>
              </w:rPr>
              <w:t xml:space="preserve">DATE DE PRODUCTION: </w:t>
            </w:r>
            <w:r>
              <w:rPr>
                <w:sz w:val="20"/>
                <w:szCs w:val="20"/>
                <w:lang w:val="en-US"/>
              </w:rPr>
              <w:t>13</w:t>
            </w:r>
            <w:r w:rsidRPr="00C92A23">
              <w:rPr>
                <w:sz w:val="20"/>
                <w:szCs w:val="20"/>
                <w:lang w:val="en-US"/>
              </w:rPr>
              <w:t>.0</w:t>
            </w:r>
            <w:r>
              <w:rPr>
                <w:sz w:val="20"/>
                <w:szCs w:val="20"/>
                <w:lang w:val="en-US"/>
              </w:rPr>
              <w:t>4</w:t>
            </w:r>
            <w:r w:rsidRPr="00C92A23">
              <w:rPr>
                <w:sz w:val="20"/>
                <w:szCs w:val="20"/>
                <w:lang w:val="en-US"/>
              </w:rPr>
              <w:t>.201</w:t>
            </w:r>
            <w:r>
              <w:rPr>
                <w:sz w:val="20"/>
                <w:szCs w:val="20"/>
                <w:lang w:val="en-US"/>
              </w:rPr>
              <w:t>8</w:t>
            </w:r>
            <w:r w:rsidR="00FE4582">
              <w:rPr>
                <w:sz w:val="20"/>
                <w:szCs w:val="20"/>
                <w:lang w:val="fr-CA"/>
              </w:rPr>
              <w:pict>
                <v:rect id="_x0000_i1031" style="width:108pt;height:1pt" o:hrpct="0" o:hralign="center" o:hrstd="t" o:hrnoshade="t" o:hr="t" fillcolor="black [3213]" stroked="f"/>
              </w:pict>
            </w:r>
          </w:p>
          <w:p w:rsidR="009B53D0" w:rsidRDefault="009B53D0" w:rsidP="00C92A23">
            <w:pPr>
              <w:keepNext/>
              <w:keepLines/>
              <w:tabs>
                <w:tab w:val="left" w:pos="-1440"/>
                <w:tab w:val="left" w:pos="-720"/>
              </w:tabs>
              <w:rPr>
                <w:b/>
                <w:sz w:val="20"/>
                <w:szCs w:val="20"/>
                <w:lang w:val="en-US"/>
              </w:rPr>
            </w:pPr>
          </w:p>
        </w:tc>
      </w:tr>
      <w:tr w:rsidR="009B53D0" w:rsidRPr="00A935AA" w:rsidTr="00C92A23">
        <w:trPr>
          <w:trHeight w:val="2880"/>
        </w:trPr>
        <w:tc>
          <w:tcPr>
            <w:tcW w:w="4320" w:type="dxa"/>
            <w:shd w:val="clear" w:color="auto" w:fill="auto"/>
          </w:tcPr>
          <w:p w:rsidR="009B53D0" w:rsidRPr="00C92A23" w:rsidRDefault="009B53D0" w:rsidP="009B53D0">
            <w:pPr>
              <w:keepNext/>
              <w:keepLines/>
              <w:tabs>
                <w:tab w:val="left" w:pos="-1440"/>
                <w:tab w:val="left" w:pos="-720"/>
              </w:tabs>
              <w:rPr>
                <w:b/>
                <w:sz w:val="20"/>
                <w:szCs w:val="20"/>
                <w:lang w:val="en-US"/>
              </w:rPr>
            </w:pPr>
            <w:r>
              <w:rPr>
                <w:b/>
                <w:sz w:val="20"/>
                <w:szCs w:val="20"/>
                <w:lang w:val="en-US"/>
              </w:rPr>
              <w:t>Randolph (Randy) Fleming</w:t>
            </w:r>
          </w:p>
          <w:p w:rsidR="009B53D0" w:rsidRPr="00C92A23" w:rsidRDefault="009B53D0" w:rsidP="009B53D0">
            <w:pPr>
              <w:keepNext/>
              <w:keepLines/>
              <w:tabs>
                <w:tab w:val="left" w:pos="-1440"/>
                <w:tab w:val="left" w:pos="-720"/>
              </w:tabs>
              <w:rPr>
                <w:sz w:val="20"/>
                <w:szCs w:val="20"/>
                <w:lang w:val="en-US"/>
              </w:rPr>
            </w:pPr>
            <w:r w:rsidRPr="00C92A23">
              <w:rPr>
                <w:sz w:val="20"/>
                <w:szCs w:val="20"/>
                <w:lang w:val="en-US"/>
              </w:rPr>
              <w:tab/>
            </w:r>
            <w:r>
              <w:rPr>
                <w:sz w:val="20"/>
                <w:szCs w:val="20"/>
                <w:lang w:val="en-US"/>
              </w:rPr>
              <w:t>Michael Bordin</w:t>
            </w:r>
          </w:p>
          <w:p w:rsidR="009B53D0" w:rsidRPr="00C92A23" w:rsidRDefault="00D14794" w:rsidP="009B53D0">
            <w:pPr>
              <w:keepNext/>
              <w:keepLines/>
              <w:tabs>
                <w:tab w:val="left" w:pos="-1440"/>
                <w:tab w:val="left" w:pos="-720"/>
              </w:tabs>
              <w:rPr>
                <w:sz w:val="20"/>
                <w:szCs w:val="20"/>
                <w:lang w:val="en-US"/>
              </w:rPr>
            </w:pPr>
            <w:r>
              <w:rPr>
                <w:sz w:val="20"/>
                <w:szCs w:val="20"/>
                <w:lang w:val="en-US"/>
              </w:rPr>
              <w:tab/>
            </w:r>
            <w:r w:rsidR="009B53D0">
              <w:rPr>
                <w:sz w:val="20"/>
                <w:szCs w:val="20"/>
                <w:lang w:val="en-US"/>
              </w:rPr>
              <w:t>Evans Sweeny Bordin LLP</w:t>
            </w:r>
          </w:p>
          <w:p w:rsidR="009B53D0" w:rsidRPr="00C92A23" w:rsidRDefault="009B53D0" w:rsidP="009B53D0">
            <w:pPr>
              <w:keepNext/>
              <w:keepLines/>
              <w:tabs>
                <w:tab w:val="left" w:pos="-1440"/>
                <w:tab w:val="left" w:pos="-720"/>
              </w:tabs>
              <w:rPr>
                <w:sz w:val="20"/>
                <w:szCs w:val="20"/>
                <w:lang w:val="en-US"/>
              </w:rPr>
            </w:pPr>
          </w:p>
          <w:p w:rsidR="009B53D0" w:rsidRPr="00C92A23" w:rsidRDefault="009B53D0" w:rsidP="009B53D0">
            <w:pPr>
              <w:keepNext/>
              <w:keepLines/>
              <w:tabs>
                <w:tab w:val="left" w:pos="-1440"/>
                <w:tab w:val="left" w:pos="-720"/>
              </w:tabs>
              <w:rPr>
                <w:sz w:val="20"/>
                <w:szCs w:val="20"/>
                <w:lang w:val="en-US"/>
              </w:rPr>
            </w:pPr>
            <w:r w:rsidRPr="00C92A23">
              <w:rPr>
                <w:sz w:val="20"/>
                <w:szCs w:val="20"/>
                <w:lang w:val="en-US"/>
              </w:rPr>
              <w:tab/>
              <w:t>v. (3</w:t>
            </w:r>
            <w:r>
              <w:rPr>
                <w:sz w:val="20"/>
                <w:szCs w:val="20"/>
                <w:lang w:val="en-US"/>
              </w:rPr>
              <w:t>8087</w:t>
            </w:r>
            <w:r w:rsidRPr="00C92A23">
              <w:rPr>
                <w:sz w:val="20"/>
                <w:szCs w:val="20"/>
                <w:lang w:val="en-US"/>
              </w:rPr>
              <w:t>)</w:t>
            </w:r>
          </w:p>
          <w:p w:rsidR="009B53D0" w:rsidRPr="00C92A23" w:rsidRDefault="009B53D0" w:rsidP="009B53D0">
            <w:pPr>
              <w:keepNext/>
              <w:keepLines/>
              <w:tabs>
                <w:tab w:val="left" w:pos="-1440"/>
                <w:tab w:val="left" w:pos="-720"/>
              </w:tabs>
              <w:rPr>
                <w:sz w:val="20"/>
                <w:szCs w:val="20"/>
                <w:lang w:val="en-US"/>
              </w:rPr>
            </w:pPr>
          </w:p>
          <w:p w:rsidR="009B53D0" w:rsidRPr="009B53D0" w:rsidRDefault="009B53D0" w:rsidP="009B53D0">
            <w:pPr>
              <w:keepNext/>
              <w:keepLines/>
              <w:tabs>
                <w:tab w:val="left" w:pos="-1440"/>
                <w:tab w:val="left" w:pos="-720"/>
              </w:tabs>
              <w:rPr>
                <w:b/>
                <w:sz w:val="20"/>
                <w:szCs w:val="20"/>
                <w:lang w:val="en-US"/>
              </w:rPr>
            </w:pPr>
            <w:r>
              <w:rPr>
                <w:b/>
                <w:sz w:val="20"/>
                <w:szCs w:val="20"/>
                <w:lang w:val="en-US"/>
              </w:rPr>
              <w:t>Her Majesty the Queen</w:t>
            </w:r>
            <w:r w:rsidRPr="00C92A23">
              <w:rPr>
                <w:b/>
                <w:sz w:val="20"/>
                <w:szCs w:val="20"/>
                <w:lang w:val="en-US"/>
              </w:rPr>
              <w:t xml:space="preserve"> </w:t>
            </w:r>
            <w:r>
              <w:rPr>
                <w:b/>
                <w:sz w:val="20"/>
                <w:szCs w:val="20"/>
                <w:lang w:val="en-US"/>
              </w:rPr>
              <w:t>in Right of the Province of Ontario et al. (Ont</w:t>
            </w:r>
            <w:r w:rsidRPr="009B53D0">
              <w:rPr>
                <w:b/>
                <w:sz w:val="20"/>
                <w:szCs w:val="20"/>
                <w:lang w:val="en-US"/>
              </w:rPr>
              <w:t>.)</w:t>
            </w:r>
          </w:p>
          <w:p w:rsidR="009B53D0" w:rsidRPr="009B53D0" w:rsidRDefault="009B53D0" w:rsidP="009B53D0">
            <w:pPr>
              <w:keepNext/>
              <w:keepLines/>
              <w:tabs>
                <w:tab w:val="left" w:pos="-1440"/>
                <w:tab w:val="left" w:pos="-720"/>
              </w:tabs>
              <w:rPr>
                <w:sz w:val="20"/>
                <w:szCs w:val="20"/>
                <w:lang w:val="en-US"/>
              </w:rPr>
            </w:pPr>
            <w:r w:rsidRPr="009B53D0">
              <w:rPr>
                <w:sz w:val="20"/>
                <w:szCs w:val="20"/>
                <w:lang w:val="en-US"/>
              </w:rPr>
              <w:tab/>
            </w:r>
            <w:r>
              <w:rPr>
                <w:sz w:val="20"/>
                <w:szCs w:val="20"/>
                <w:lang w:val="en-US"/>
              </w:rPr>
              <w:t>Judie Im</w:t>
            </w:r>
          </w:p>
          <w:p w:rsidR="009B53D0" w:rsidRPr="009B53D0" w:rsidRDefault="009B53D0" w:rsidP="009B53D0">
            <w:pPr>
              <w:keepNext/>
              <w:keepLines/>
              <w:tabs>
                <w:tab w:val="left" w:pos="-1440"/>
                <w:tab w:val="left" w:pos="-720"/>
              </w:tabs>
              <w:rPr>
                <w:sz w:val="20"/>
                <w:szCs w:val="20"/>
                <w:lang w:val="en-US"/>
              </w:rPr>
            </w:pPr>
            <w:r w:rsidRPr="009B53D0">
              <w:rPr>
                <w:sz w:val="20"/>
                <w:szCs w:val="20"/>
                <w:lang w:val="en-US"/>
              </w:rPr>
              <w:tab/>
            </w:r>
            <w:r>
              <w:rPr>
                <w:sz w:val="20"/>
                <w:szCs w:val="20"/>
                <w:lang w:val="en-US"/>
              </w:rPr>
              <w:t>A.G. of Ontario</w:t>
            </w:r>
          </w:p>
          <w:p w:rsidR="009B53D0" w:rsidRPr="009B53D0" w:rsidRDefault="009B53D0" w:rsidP="009B53D0">
            <w:pPr>
              <w:keepNext/>
              <w:keepLines/>
              <w:tabs>
                <w:tab w:val="left" w:pos="-1440"/>
                <w:tab w:val="left" w:pos="-720"/>
              </w:tabs>
              <w:rPr>
                <w:sz w:val="20"/>
                <w:szCs w:val="20"/>
                <w:lang w:val="en-US"/>
              </w:rPr>
            </w:pPr>
          </w:p>
          <w:p w:rsidR="009B53D0" w:rsidRDefault="009B53D0" w:rsidP="009B53D0">
            <w:pPr>
              <w:keepNext/>
              <w:keepLines/>
              <w:tabs>
                <w:tab w:val="left" w:pos="-1440"/>
                <w:tab w:val="left" w:pos="-720"/>
              </w:tabs>
              <w:rPr>
                <w:sz w:val="20"/>
                <w:szCs w:val="20"/>
                <w:lang w:val="fr-CA"/>
              </w:rPr>
            </w:pPr>
            <w:r w:rsidRPr="009B53D0">
              <w:rPr>
                <w:sz w:val="20"/>
                <w:szCs w:val="20"/>
                <w:lang w:val="en-US"/>
              </w:rPr>
              <w:t xml:space="preserve">FILING DATE: </w:t>
            </w:r>
            <w:r>
              <w:rPr>
                <w:sz w:val="20"/>
                <w:szCs w:val="20"/>
                <w:lang w:val="en-US"/>
              </w:rPr>
              <w:t>27</w:t>
            </w:r>
            <w:r w:rsidRPr="009B53D0">
              <w:rPr>
                <w:sz w:val="20"/>
                <w:szCs w:val="20"/>
                <w:lang w:val="en-US"/>
              </w:rPr>
              <w:t>.04.2018</w:t>
            </w:r>
            <w:r w:rsidR="00FE4582">
              <w:rPr>
                <w:sz w:val="20"/>
                <w:szCs w:val="20"/>
                <w:lang w:val="fr-CA"/>
              </w:rPr>
              <w:pict>
                <v:rect id="_x0000_i1032" style="width:108pt;height:1pt" o:hrpct="0" o:hralign="center" o:hrstd="t" o:hrnoshade="t" o:hr="t" fillcolor="black [3213]" stroked="f"/>
              </w:pict>
            </w:r>
          </w:p>
          <w:p w:rsidR="00A847C2" w:rsidRDefault="00A847C2" w:rsidP="009B53D0">
            <w:pPr>
              <w:keepNext/>
              <w:keepLines/>
              <w:tabs>
                <w:tab w:val="left" w:pos="-1440"/>
                <w:tab w:val="left" w:pos="-720"/>
              </w:tabs>
              <w:rPr>
                <w:b/>
                <w:sz w:val="20"/>
                <w:szCs w:val="20"/>
                <w:lang w:val="en-US"/>
              </w:rPr>
            </w:pPr>
          </w:p>
        </w:tc>
        <w:tc>
          <w:tcPr>
            <w:tcW w:w="1181" w:type="dxa"/>
            <w:shd w:val="clear" w:color="auto" w:fill="auto"/>
          </w:tcPr>
          <w:p w:rsidR="009B53D0" w:rsidRPr="00A935AA" w:rsidRDefault="009B53D0" w:rsidP="00242AEE">
            <w:pPr>
              <w:jc w:val="center"/>
              <w:rPr>
                <w:sz w:val="20"/>
                <w:szCs w:val="20"/>
              </w:rPr>
            </w:pPr>
          </w:p>
        </w:tc>
        <w:tc>
          <w:tcPr>
            <w:tcW w:w="4320" w:type="dxa"/>
            <w:shd w:val="clear" w:color="auto" w:fill="auto"/>
          </w:tcPr>
          <w:p w:rsidR="00B81863" w:rsidRPr="00C92A23" w:rsidRDefault="00B81863" w:rsidP="00B81863">
            <w:pPr>
              <w:keepNext/>
              <w:keepLines/>
              <w:tabs>
                <w:tab w:val="left" w:pos="-1440"/>
                <w:tab w:val="left" w:pos="-720"/>
              </w:tabs>
              <w:rPr>
                <w:b/>
                <w:sz w:val="20"/>
                <w:szCs w:val="20"/>
                <w:lang w:val="en-US"/>
              </w:rPr>
            </w:pPr>
            <w:r>
              <w:rPr>
                <w:b/>
                <w:sz w:val="20"/>
                <w:szCs w:val="20"/>
                <w:lang w:val="en-US"/>
              </w:rPr>
              <w:t>The Woodstock Police Services Board et al.</w:t>
            </w:r>
          </w:p>
          <w:p w:rsidR="00B81863" w:rsidRPr="00C92A23" w:rsidRDefault="00B81863" w:rsidP="00B81863">
            <w:pPr>
              <w:keepNext/>
              <w:keepLines/>
              <w:tabs>
                <w:tab w:val="left" w:pos="-1440"/>
                <w:tab w:val="left" w:pos="-720"/>
              </w:tabs>
              <w:rPr>
                <w:sz w:val="20"/>
                <w:szCs w:val="20"/>
                <w:lang w:val="en-US"/>
              </w:rPr>
            </w:pPr>
            <w:r w:rsidRPr="00C92A23">
              <w:rPr>
                <w:sz w:val="20"/>
                <w:szCs w:val="20"/>
                <w:lang w:val="en-US"/>
              </w:rPr>
              <w:tab/>
            </w:r>
            <w:r>
              <w:rPr>
                <w:sz w:val="20"/>
                <w:szCs w:val="20"/>
                <w:lang w:val="en-US"/>
              </w:rPr>
              <w:t>Brian McCall</w:t>
            </w:r>
          </w:p>
          <w:p w:rsidR="00B81863" w:rsidRPr="00C92A23" w:rsidRDefault="00B81863" w:rsidP="00B81863">
            <w:pPr>
              <w:keepNext/>
              <w:keepLines/>
              <w:tabs>
                <w:tab w:val="left" w:pos="-1440"/>
                <w:tab w:val="left" w:pos="-720"/>
              </w:tabs>
              <w:rPr>
                <w:sz w:val="20"/>
                <w:szCs w:val="20"/>
                <w:lang w:val="en-US"/>
              </w:rPr>
            </w:pPr>
            <w:r>
              <w:rPr>
                <w:sz w:val="20"/>
                <w:szCs w:val="20"/>
                <w:lang w:val="en-US"/>
              </w:rPr>
              <w:tab/>
              <w:t>McCall Dawson Osterberg Handler LLP</w:t>
            </w:r>
          </w:p>
          <w:p w:rsidR="00B81863" w:rsidRPr="00C92A23" w:rsidRDefault="00B81863" w:rsidP="00B81863">
            <w:pPr>
              <w:keepNext/>
              <w:keepLines/>
              <w:tabs>
                <w:tab w:val="left" w:pos="-1440"/>
                <w:tab w:val="left" w:pos="-720"/>
              </w:tabs>
              <w:rPr>
                <w:sz w:val="20"/>
                <w:szCs w:val="20"/>
                <w:lang w:val="en-US"/>
              </w:rPr>
            </w:pPr>
          </w:p>
          <w:p w:rsidR="00B81863" w:rsidRPr="00C92A23" w:rsidRDefault="00B81863" w:rsidP="00B81863">
            <w:pPr>
              <w:keepNext/>
              <w:keepLines/>
              <w:tabs>
                <w:tab w:val="left" w:pos="-1440"/>
                <w:tab w:val="left" w:pos="-720"/>
              </w:tabs>
              <w:rPr>
                <w:sz w:val="20"/>
                <w:szCs w:val="20"/>
                <w:lang w:val="en-US"/>
              </w:rPr>
            </w:pPr>
            <w:r w:rsidRPr="00C92A23">
              <w:rPr>
                <w:sz w:val="20"/>
                <w:szCs w:val="20"/>
                <w:lang w:val="en-US"/>
              </w:rPr>
              <w:tab/>
              <w:t>v. (3</w:t>
            </w:r>
            <w:r>
              <w:rPr>
                <w:sz w:val="20"/>
                <w:szCs w:val="20"/>
                <w:lang w:val="en-US"/>
              </w:rPr>
              <w:t>8061</w:t>
            </w:r>
            <w:r w:rsidRPr="00C92A23">
              <w:rPr>
                <w:sz w:val="20"/>
                <w:szCs w:val="20"/>
                <w:lang w:val="en-US"/>
              </w:rPr>
              <w:t>)</w:t>
            </w:r>
          </w:p>
          <w:p w:rsidR="00B81863" w:rsidRPr="00C92A23" w:rsidRDefault="00B81863" w:rsidP="00B81863">
            <w:pPr>
              <w:keepNext/>
              <w:keepLines/>
              <w:tabs>
                <w:tab w:val="left" w:pos="-1440"/>
                <w:tab w:val="left" w:pos="-720"/>
              </w:tabs>
              <w:rPr>
                <w:sz w:val="20"/>
                <w:szCs w:val="20"/>
                <w:lang w:val="en-US"/>
              </w:rPr>
            </w:pPr>
          </w:p>
          <w:p w:rsidR="00B81863" w:rsidRPr="009B53D0" w:rsidRDefault="00B81863" w:rsidP="00B81863">
            <w:pPr>
              <w:keepNext/>
              <w:keepLines/>
              <w:tabs>
                <w:tab w:val="left" w:pos="-1440"/>
                <w:tab w:val="left" w:pos="-720"/>
              </w:tabs>
              <w:rPr>
                <w:b/>
                <w:sz w:val="20"/>
                <w:szCs w:val="20"/>
                <w:lang w:val="en-US"/>
              </w:rPr>
            </w:pPr>
            <w:r>
              <w:rPr>
                <w:b/>
                <w:sz w:val="20"/>
                <w:szCs w:val="20"/>
                <w:lang w:val="en-US"/>
              </w:rPr>
              <w:t>Everton Brown (Ont</w:t>
            </w:r>
            <w:r w:rsidRPr="009B53D0">
              <w:rPr>
                <w:b/>
                <w:sz w:val="20"/>
                <w:szCs w:val="20"/>
                <w:lang w:val="en-US"/>
              </w:rPr>
              <w:t>.)</w:t>
            </w:r>
          </w:p>
          <w:p w:rsidR="00B81863" w:rsidRPr="009B53D0" w:rsidRDefault="00B81863" w:rsidP="00B81863">
            <w:pPr>
              <w:keepNext/>
              <w:keepLines/>
              <w:tabs>
                <w:tab w:val="left" w:pos="-1440"/>
                <w:tab w:val="left" w:pos="-720"/>
              </w:tabs>
              <w:rPr>
                <w:sz w:val="20"/>
                <w:szCs w:val="20"/>
                <w:lang w:val="en-US"/>
              </w:rPr>
            </w:pPr>
            <w:r w:rsidRPr="009B53D0">
              <w:rPr>
                <w:sz w:val="20"/>
                <w:szCs w:val="20"/>
                <w:lang w:val="en-US"/>
              </w:rPr>
              <w:tab/>
            </w:r>
            <w:r>
              <w:rPr>
                <w:sz w:val="20"/>
                <w:szCs w:val="20"/>
                <w:lang w:val="en-US"/>
              </w:rPr>
              <w:t>Osborne G. Barnwell</w:t>
            </w:r>
          </w:p>
          <w:p w:rsidR="00B81863" w:rsidRPr="009B53D0" w:rsidRDefault="00B81863" w:rsidP="00B81863">
            <w:pPr>
              <w:keepNext/>
              <w:keepLines/>
              <w:tabs>
                <w:tab w:val="left" w:pos="-1440"/>
                <w:tab w:val="left" w:pos="-720"/>
              </w:tabs>
              <w:rPr>
                <w:sz w:val="20"/>
                <w:szCs w:val="20"/>
                <w:lang w:val="en-US"/>
              </w:rPr>
            </w:pPr>
            <w:r w:rsidRPr="009B53D0">
              <w:rPr>
                <w:sz w:val="20"/>
                <w:szCs w:val="20"/>
                <w:lang w:val="en-US"/>
              </w:rPr>
              <w:tab/>
            </w:r>
            <w:r>
              <w:rPr>
                <w:sz w:val="20"/>
                <w:szCs w:val="20"/>
                <w:lang w:val="en-US"/>
              </w:rPr>
              <w:t>OGB Law</w:t>
            </w:r>
          </w:p>
          <w:p w:rsidR="00B81863" w:rsidRPr="009B53D0" w:rsidRDefault="00B81863" w:rsidP="00B81863">
            <w:pPr>
              <w:keepNext/>
              <w:keepLines/>
              <w:tabs>
                <w:tab w:val="left" w:pos="-1440"/>
                <w:tab w:val="left" w:pos="-720"/>
              </w:tabs>
              <w:rPr>
                <w:sz w:val="20"/>
                <w:szCs w:val="20"/>
                <w:lang w:val="en-US"/>
              </w:rPr>
            </w:pPr>
          </w:p>
          <w:p w:rsidR="009B53D0" w:rsidRPr="009B53D0" w:rsidRDefault="00B81863" w:rsidP="00B81863">
            <w:pPr>
              <w:keepNext/>
              <w:keepLines/>
              <w:tabs>
                <w:tab w:val="left" w:pos="-1440"/>
                <w:tab w:val="left" w:pos="-720"/>
              </w:tabs>
              <w:rPr>
                <w:b/>
                <w:sz w:val="20"/>
                <w:szCs w:val="20"/>
                <w:lang w:val="en-US"/>
              </w:rPr>
            </w:pPr>
            <w:r w:rsidRPr="009B53D0">
              <w:rPr>
                <w:sz w:val="20"/>
                <w:szCs w:val="20"/>
                <w:lang w:val="en-US"/>
              </w:rPr>
              <w:t xml:space="preserve">FILING DATE: </w:t>
            </w:r>
            <w:r>
              <w:rPr>
                <w:sz w:val="20"/>
                <w:szCs w:val="20"/>
                <w:lang w:val="en-US"/>
              </w:rPr>
              <w:t>06</w:t>
            </w:r>
            <w:r w:rsidRPr="009B53D0">
              <w:rPr>
                <w:sz w:val="20"/>
                <w:szCs w:val="20"/>
                <w:lang w:val="en-US"/>
              </w:rPr>
              <w:t>.04.2018</w:t>
            </w:r>
            <w:r w:rsidR="00FE4582">
              <w:rPr>
                <w:sz w:val="20"/>
                <w:szCs w:val="20"/>
                <w:lang w:val="fr-CA"/>
              </w:rPr>
              <w:pict>
                <v:rect id="_x0000_i1033" style="width:108pt;height:1pt" o:hrpct="0" o:hralign="center" o:hrstd="t" o:hrnoshade="t" o:hr="t" fillcolor="black [3213]" stroked="f"/>
              </w:pict>
            </w:r>
          </w:p>
        </w:tc>
      </w:tr>
      <w:tr w:rsidR="00A847C2" w:rsidRPr="00FE4582" w:rsidTr="00C92A23">
        <w:trPr>
          <w:trHeight w:val="2880"/>
        </w:trPr>
        <w:tc>
          <w:tcPr>
            <w:tcW w:w="4320" w:type="dxa"/>
            <w:shd w:val="clear" w:color="auto" w:fill="auto"/>
          </w:tcPr>
          <w:p w:rsidR="00A847C2" w:rsidRPr="00C92A23" w:rsidRDefault="00A847C2" w:rsidP="00A847C2">
            <w:pPr>
              <w:keepNext/>
              <w:keepLines/>
              <w:tabs>
                <w:tab w:val="left" w:pos="-1440"/>
                <w:tab w:val="left" w:pos="-720"/>
              </w:tabs>
              <w:rPr>
                <w:b/>
                <w:sz w:val="20"/>
                <w:szCs w:val="20"/>
                <w:lang w:val="en-US"/>
              </w:rPr>
            </w:pPr>
            <w:r>
              <w:rPr>
                <w:b/>
                <w:sz w:val="20"/>
                <w:szCs w:val="20"/>
                <w:lang w:val="en-US"/>
              </w:rPr>
              <w:t>James Patrick Boyer</w:t>
            </w:r>
          </w:p>
          <w:p w:rsidR="00A847C2" w:rsidRPr="00C92A23" w:rsidRDefault="00A847C2" w:rsidP="00A847C2">
            <w:pPr>
              <w:keepNext/>
              <w:keepLines/>
              <w:tabs>
                <w:tab w:val="left" w:pos="-1440"/>
                <w:tab w:val="left" w:pos="-720"/>
              </w:tabs>
              <w:rPr>
                <w:sz w:val="20"/>
                <w:szCs w:val="20"/>
                <w:lang w:val="en-US"/>
              </w:rPr>
            </w:pPr>
            <w:r w:rsidRPr="00C92A23">
              <w:rPr>
                <w:sz w:val="20"/>
                <w:szCs w:val="20"/>
                <w:lang w:val="en-US"/>
              </w:rPr>
              <w:tab/>
            </w:r>
            <w:r>
              <w:rPr>
                <w:sz w:val="20"/>
                <w:szCs w:val="20"/>
                <w:lang w:val="en-US"/>
              </w:rPr>
              <w:t>James N. Korpan, Q.C.</w:t>
            </w:r>
          </w:p>
          <w:p w:rsidR="00A847C2" w:rsidRPr="00C92A23" w:rsidRDefault="00A847C2" w:rsidP="00A847C2">
            <w:pPr>
              <w:keepNext/>
              <w:keepLines/>
              <w:tabs>
                <w:tab w:val="left" w:pos="-1440"/>
                <w:tab w:val="left" w:pos="-720"/>
              </w:tabs>
              <w:rPr>
                <w:sz w:val="20"/>
                <w:szCs w:val="20"/>
                <w:lang w:val="en-US"/>
              </w:rPr>
            </w:pPr>
            <w:r>
              <w:rPr>
                <w:sz w:val="20"/>
                <w:szCs w:val="20"/>
                <w:lang w:val="en-US"/>
              </w:rPr>
              <w:tab/>
              <w:t>McDougall Gauley LLP</w:t>
            </w:r>
          </w:p>
          <w:p w:rsidR="00A847C2" w:rsidRPr="00C92A23" w:rsidRDefault="00A847C2" w:rsidP="00A847C2">
            <w:pPr>
              <w:keepNext/>
              <w:keepLines/>
              <w:tabs>
                <w:tab w:val="left" w:pos="-1440"/>
                <w:tab w:val="left" w:pos="-720"/>
              </w:tabs>
              <w:rPr>
                <w:sz w:val="20"/>
                <w:szCs w:val="20"/>
                <w:lang w:val="en-US"/>
              </w:rPr>
            </w:pPr>
          </w:p>
          <w:p w:rsidR="00A847C2" w:rsidRPr="00C92A23" w:rsidRDefault="00A847C2" w:rsidP="00A847C2">
            <w:pPr>
              <w:keepNext/>
              <w:keepLines/>
              <w:tabs>
                <w:tab w:val="left" w:pos="-1440"/>
                <w:tab w:val="left" w:pos="-720"/>
              </w:tabs>
              <w:rPr>
                <w:sz w:val="20"/>
                <w:szCs w:val="20"/>
                <w:lang w:val="en-US"/>
              </w:rPr>
            </w:pPr>
            <w:r w:rsidRPr="00C92A23">
              <w:rPr>
                <w:sz w:val="20"/>
                <w:szCs w:val="20"/>
                <w:lang w:val="en-US"/>
              </w:rPr>
              <w:tab/>
              <w:t>v. (3</w:t>
            </w:r>
            <w:r>
              <w:rPr>
                <w:sz w:val="20"/>
                <w:szCs w:val="20"/>
                <w:lang w:val="en-US"/>
              </w:rPr>
              <w:t>8044</w:t>
            </w:r>
            <w:r w:rsidRPr="00C92A23">
              <w:rPr>
                <w:sz w:val="20"/>
                <w:szCs w:val="20"/>
                <w:lang w:val="en-US"/>
              </w:rPr>
              <w:t>)</w:t>
            </w:r>
          </w:p>
          <w:p w:rsidR="00A847C2" w:rsidRPr="00C92A23" w:rsidRDefault="00A847C2" w:rsidP="00A847C2">
            <w:pPr>
              <w:keepNext/>
              <w:keepLines/>
              <w:tabs>
                <w:tab w:val="left" w:pos="-1440"/>
                <w:tab w:val="left" w:pos="-720"/>
              </w:tabs>
              <w:rPr>
                <w:sz w:val="20"/>
                <w:szCs w:val="20"/>
                <w:lang w:val="en-US"/>
              </w:rPr>
            </w:pPr>
          </w:p>
          <w:p w:rsidR="00A847C2" w:rsidRPr="009B53D0" w:rsidRDefault="00A847C2" w:rsidP="00A847C2">
            <w:pPr>
              <w:keepNext/>
              <w:keepLines/>
              <w:tabs>
                <w:tab w:val="left" w:pos="-1440"/>
                <w:tab w:val="left" w:pos="-720"/>
              </w:tabs>
              <w:rPr>
                <w:b/>
                <w:sz w:val="20"/>
                <w:szCs w:val="20"/>
                <w:lang w:val="en-US"/>
              </w:rPr>
            </w:pPr>
            <w:r>
              <w:rPr>
                <w:b/>
                <w:sz w:val="20"/>
                <w:szCs w:val="20"/>
                <w:lang w:val="en-US"/>
              </w:rPr>
              <w:t>Her Majesty the Queen</w:t>
            </w:r>
            <w:r w:rsidRPr="00C92A23">
              <w:rPr>
                <w:b/>
                <w:sz w:val="20"/>
                <w:szCs w:val="20"/>
                <w:lang w:val="en-US"/>
              </w:rPr>
              <w:t xml:space="preserve"> </w:t>
            </w:r>
            <w:r>
              <w:rPr>
                <w:b/>
                <w:sz w:val="20"/>
                <w:szCs w:val="20"/>
                <w:lang w:val="en-US"/>
              </w:rPr>
              <w:t>(Sask</w:t>
            </w:r>
            <w:r w:rsidRPr="009B53D0">
              <w:rPr>
                <w:b/>
                <w:sz w:val="20"/>
                <w:szCs w:val="20"/>
                <w:lang w:val="en-US"/>
              </w:rPr>
              <w:t>.)</w:t>
            </w:r>
          </w:p>
          <w:p w:rsidR="00A847C2" w:rsidRPr="009B53D0" w:rsidRDefault="00A847C2" w:rsidP="00A847C2">
            <w:pPr>
              <w:keepNext/>
              <w:keepLines/>
              <w:tabs>
                <w:tab w:val="left" w:pos="-1440"/>
                <w:tab w:val="left" w:pos="-720"/>
              </w:tabs>
              <w:rPr>
                <w:sz w:val="20"/>
                <w:szCs w:val="20"/>
                <w:lang w:val="en-US"/>
              </w:rPr>
            </w:pPr>
            <w:r w:rsidRPr="009B53D0">
              <w:rPr>
                <w:sz w:val="20"/>
                <w:szCs w:val="20"/>
                <w:lang w:val="en-US"/>
              </w:rPr>
              <w:tab/>
            </w:r>
            <w:r>
              <w:rPr>
                <w:sz w:val="20"/>
                <w:szCs w:val="20"/>
                <w:lang w:val="en-US"/>
              </w:rPr>
              <w:t xml:space="preserve">Erin Bartsch </w:t>
            </w:r>
          </w:p>
          <w:p w:rsidR="00A847C2" w:rsidRPr="009B53D0" w:rsidRDefault="00A847C2" w:rsidP="00A847C2">
            <w:pPr>
              <w:keepNext/>
              <w:keepLines/>
              <w:tabs>
                <w:tab w:val="left" w:pos="-1440"/>
                <w:tab w:val="left" w:pos="-720"/>
              </w:tabs>
              <w:rPr>
                <w:sz w:val="20"/>
                <w:szCs w:val="20"/>
                <w:lang w:val="en-US"/>
              </w:rPr>
            </w:pPr>
            <w:r w:rsidRPr="009B53D0">
              <w:rPr>
                <w:sz w:val="20"/>
                <w:szCs w:val="20"/>
                <w:lang w:val="en-US"/>
              </w:rPr>
              <w:tab/>
            </w:r>
            <w:r>
              <w:rPr>
                <w:sz w:val="20"/>
                <w:szCs w:val="20"/>
                <w:lang w:val="en-US"/>
              </w:rPr>
              <w:t>A.G. for Saskatchewan</w:t>
            </w:r>
          </w:p>
          <w:p w:rsidR="00A847C2" w:rsidRPr="009B53D0" w:rsidRDefault="00A847C2" w:rsidP="00A847C2">
            <w:pPr>
              <w:keepNext/>
              <w:keepLines/>
              <w:tabs>
                <w:tab w:val="left" w:pos="-1440"/>
                <w:tab w:val="left" w:pos="-720"/>
              </w:tabs>
              <w:rPr>
                <w:sz w:val="20"/>
                <w:szCs w:val="20"/>
                <w:lang w:val="en-US"/>
              </w:rPr>
            </w:pPr>
          </w:p>
          <w:p w:rsidR="00A847C2" w:rsidRDefault="00A847C2" w:rsidP="00A847C2">
            <w:pPr>
              <w:keepNext/>
              <w:keepLines/>
              <w:tabs>
                <w:tab w:val="left" w:pos="-1440"/>
                <w:tab w:val="left" w:pos="-720"/>
              </w:tabs>
              <w:rPr>
                <w:b/>
                <w:sz w:val="20"/>
                <w:szCs w:val="20"/>
                <w:lang w:val="en-US"/>
              </w:rPr>
            </w:pPr>
            <w:r w:rsidRPr="009B53D0">
              <w:rPr>
                <w:sz w:val="20"/>
                <w:szCs w:val="20"/>
                <w:lang w:val="en-US"/>
              </w:rPr>
              <w:t xml:space="preserve">FILING DATE: </w:t>
            </w:r>
            <w:r w:rsidR="008476C6">
              <w:rPr>
                <w:sz w:val="20"/>
                <w:szCs w:val="20"/>
                <w:lang w:val="en-US"/>
              </w:rPr>
              <w:t>26</w:t>
            </w:r>
            <w:r w:rsidRPr="009B53D0">
              <w:rPr>
                <w:sz w:val="20"/>
                <w:szCs w:val="20"/>
                <w:lang w:val="en-US"/>
              </w:rPr>
              <w:t>.0</w:t>
            </w:r>
            <w:r w:rsidR="008476C6">
              <w:rPr>
                <w:sz w:val="20"/>
                <w:szCs w:val="20"/>
                <w:lang w:val="en-US"/>
              </w:rPr>
              <w:t>3</w:t>
            </w:r>
            <w:r w:rsidRPr="009B53D0">
              <w:rPr>
                <w:sz w:val="20"/>
                <w:szCs w:val="20"/>
                <w:lang w:val="en-US"/>
              </w:rPr>
              <w:t>.2018</w:t>
            </w:r>
            <w:r w:rsidR="00FE4582">
              <w:rPr>
                <w:sz w:val="20"/>
                <w:szCs w:val="20"/>
                <w:lang w:val="fr-CA"/>
              </w:rPr>
              <w:pict>
                <v:rect id="_x0000_i1034" style="width:108pt;height:1pt" o:hrpct="0" o:hralign="center" o:hrstd="t" o:hrnoshade="t" o:hr="t" fillcolor="black [3213]" stroked="f"/>
              </w:pict>
            </w:r>
          </w:p>
        </w:tc>
        <w:tc>
          <w:tcPr>
            <w:tcW w:w="1181" w:type="dxa"/>
            <w:shd w:val="clear" w:color="auto" w:fill="auto"/>
          </w:tcPr>
          <w:p w:rsidR="00A847C2" w:rsidRPr="00A935AA" w:rsidRDefault="00A847C2" w:rsidP="00242AEE">
            <w:pPr>
              <w:jc w:val="center"/>
              <w:rPr>
                <w:sz w:val="20"/>
                <w:szCs w:val="20"/>
              </w:rPr>
            </w:pPr>
          </w:p>
        </w:tc>
        <w:tc>
          <w:tcPr>
            <w:tcW w:w="4320" w:type="dxa"/>
            <w:shd w:val="clear" w:color="auto" w:fill="auto"/>
          </w:tcPr>
          <w:p w:rsidR="008476C6" w:rsidRPr="00C92A23" w:rsidRDefault="00D14794" w:rsidP="008476C6">
            <w:pPr>
              <w:keepNext/>
              <w:keepLines/>
              <w:tabs>
                <w:tab w:val="left" w:pos="-1440"/>
                <w:tab w:val="left" w:pos="-720"/>
              </w:tabs>
              <w:rPr>
                <w:b/>
                <w:sz w:val="20"/>
                <w:szCs w:val="20"/>
                <w:lang w:val="en-US"/>
              </w:rPr>
            </w:pPr>
            <w:r>
              <w:rPr>
                <w:b/>
                <w:sz w:val="20"/>
                <w:szCs w:val="20"/>
                <w:lang w:val="en-US"/>
              </w:rPr>
              <w:t>1068754 Alberta Ltd. as</w:t>
            </w:r>
            <w:r w:rsidR="00CA7A98">
              <w:rPr>
                <w:b/>
                <w:sz w:val="20"/>
                <w:szCs w:val="20"/>
                <w:lang w:val="en-US"/>
              </w:rPr>
              <w:t xml:space="preserve"> sole trustee of the DGGMC Bitton Trust</w:t>
            </w:r>
          </w:p>
          <w:p w:rsidR="008476C6" w:rsidRPr="00C92A23" w:rsidRDefault="008476C6" w:rsidP="008476C6">
            <w:pPr>
              <w:keepNext/>
              <w:keepLines/>
              <w:tabs>
                <w:tab w:val="left" w:pos="-1440"/>
                <w:tab w:val="left" w:pos="-720"/>
              </w:tabs>
              <w:rPr>
                <w:sz w:val="20"/>
                <w:szCs w:val="20"/>
                <w:lang w:val="en-US"/>
              </w:rPr>
            </w:pPr>
            <w:r w:rsidRPr="00C92A23">
              <w:rPr>
                <w:sz w:val="20"/>
                <w:szCs w:val="20"/>
                <w:lang w:val="en-US"/>
              </w:rPr>
              <w:tab/>
            </w:r>
            <w:r w:rsidR="00CA7A98">
              <w:rPr>
                <w:sz w:val="20"/>
                <w:szCs w:val="20"/>
                <w:lang w:val="en-US"/>
              </w:rPr>
              <w:t>Stéphane Eljarrat</w:t>
            </w:r>
          </w:p>
          <w:p w:rsidR="008476C6" w:rsidRPr="00CA7A98" w:rsidRDefault="008476C6" w:rsidP="008476C6">
            <w:pPr>
              <w:keepNext/>
              <w:keepLines/>
              <w:tabs>
                <w:tab w:val="left" w:pos="-1440"/>
                <w:tab w:val="left" w:pos="-720"/>
              </w:tabs>
              <w:rPr>
                <w:sz w:val="20"/>
                <w:szCs w:val="20"/>
                <w:lang w:val="en-US"/>
              </w:rPr>
            </w:pPr>
            <w:r>
              <w:rPr>
                <w:sz w:val="20"/>
                <w:szCs w:val="20"/>
                <w:lang w:val="en-US"/>
              </w:rPr>
              <w:tab/>
            </w:r>
            <w:r w:rsidR="00CA7A98">
              <w:rPr>
                <w:sz w:val="20"/>
                <w:szCs w:val="20"/>
                <w:lang w:val="en-US"/>
              </w:rPr>
              <w:t>Davies Ward Phillips &amp; Vineberg LLP</w:t>
            </w:r>
          </w:p>
          <w:p w:rsidR="008476C6" w:rsidRPr="00CA7A98" w:rsidRDefault="008476C6" w:rsidP="008476C6">
            <w:pPr>
              <w:keepNext/>
              <w:keepLines/>
              <w:tabs>
                <w:tab w:val="left" w:pos="-1440"/>
                <w:tab w:val="left" w:pos="-720"/>
              </w:tabs>
              <w:rPr>
                <w:sz w:val="20"/>
                <w:szCs w:val="20"/>
                <w:lang w:val="en-US"/>
              </w:rPr>
            </w:pPr>
          </w:p>
          <w:p w:rsidR="008476C6" w:rsidRPr="00CA7A98" w:rsidRDefault="008476C6" w:rsidP="008476C6">
            <w:pPr>
              <w:keepNext/>
              <w:keepLines/>
              <w:tabs>
                <w:tab w:val="left" w:pos="-1440"/>
                <w:tab w:val="left" w:pos="-720"/>
              </w:tabs>
              <w:rPr>
                <w:sz w:val="20"/>
                <w:szCs w:val="20"/>
                <w:lang w:val="fr-CA"/>
              </w:rPr>
            </w:pPr>
            <w:r w:rsidRPr="00CA7A98">
              <w:rPr>
                <w:sz w:val="20"/>
                <w:szCs w:val="20"/>
                <w:lang w:val="en-US"/>
              </w:rPr>
              <w:tab/>
            </w:r>
            <w:r w:rsidRPr="00CA7A98">
              <w:rPr>
                <w:sz w:val="20"/>
                <w:szCs w:val="20"/>
                <w:lang w:val="fr-CA"/>
              </w:rPr>
              <w:t>v. (3</w:t>
            </w:r>
            <w:r w:rsidR="00CA7A98" w:rsidRPr="00CA7A98">
              <w:rPr>
                <w:sz w:val="20"/>
                <w:szCs w:val="20"/>
                <w:lang w:val="fr-CA"/>
              </w:rPr>
              <w:t>7999)</w:t>
            </w:r>
          </w:p>
          <w:p w:rsidR="008476C6" w:rsidRPr="00CA7A98" w:rsidRDefault="008476C6" w:rsidP="008476C6">
            <w:pPr>
              <w:keepNext/>
              <w:keepLines/>
              <w:tabs>
                <w:tab w:val="left" w:pos="-1440"/>
                <w:tab w:val="left" w:pos="-720"/>
              </w:tabs>
              <w:rPr>
                <w:sz w:val="20"/>
                <w:szCs w:val="20"/>
                <w:lang w:val="fr-CA"/>
              </w:rPr>
            </w:pPr>
          </w:p>
          <w:p w:rsidR="008476C6" w:rsidRPr="00CA7A98" w:rsidRDefault="00CA7A98" w:rsidP="008476C6">
            <w:pPr>
              <w:keepNext/>
              <w:keepLines/>
              <w:tabs>
                <w:tab w:val="left" w:pos="-1440"/>
                <w:tab w:val="left" w:pos="-720"/>
              </w:tabs>
              <w:rPr>
                <w:b/>
                <w:sz w:val="20"/>
                <w:szCs w:val="20"/>
                <w:lang w:val="fr-CA"/>
              </w:rPr>
            </w:pPr>
            <w:r w:rsidRPr="00CA7A98">
              <w:rPr>
                <w:b/>
                <w:sz w:val="20"/>
                <w:szCs w:val="20"/>
                <w:lang w:val="fr-CA"/>
              </w:rPr>
              <w:t>Agence du revenue du Québec</w:t>
            </w:r>
            <w:r w:rsidR="008476C6" w:rsidRPr="00CA7A98">
              <w:rPr>
                <w:b/>
                <w:sz w:val="20"/>
                <w:szCs w:val="20"/>
                <w:lang w:val="fr-CA"/>
              </w:rPr>
              <w:t xml:space="preserve"> (</w:t>
            </w:r>
            <w:r w:rsidRPr="00CA7A98">
              <w:rPr>
                <w:b/>
                <w:sz w:val="20"/>
                <w:szCs w:val="20"/>
                <w:lang w:val="fr-CA"/>
              </w:rPr>
              <w:t>Que</w:t>
            </w:r>
            <w:r w:rsidR="008476C6" w:rsidRPr="00CA7A98">
              <w:rPr>
                <w:b/>
                <w:sz w:val="20"/>
                <w:szCs w:val="20"/>
                <w:lang w:val="fr-CA"/>
              </w:rPr>
              <w:t>.)</w:t>
            </w:r>
          </w:p>
          <w:p w:rsidR="008476C6" w:rsidRPr="005600E7" w:rsidRDefault="008476C6" w:rsidP="008476C6">
            <w:pPr>
              <w:keepNext/>
              <w:keepLines/>
              <w:tabs>
                <w:tab w:val="left" w:pos="-1440"/>
                <w:tab w:val="left" w:pos="-720"/>
              </w:tabs>
              <w:rPr>
                <w:sz w:val="20"/>
                <w:szCs w:val="20"/>
                <w:lang w:val="fr-CA"/>
              </w:rPr>
            </w:pPr>
            <w:r w:rsidRPr="00CA7A98">
              <w:rPr>
                <w:sz w:val="20"/>
                <w:szCs w:val="20"/>
                <w:lang w:val="fr-CA"/>
              </w:rPr>
              <w:tab/>
            </w:r>
            <w:r w:rsidR="00CA7A98" w:rsidRPr="005600E7">
              <w:rPr>
                <w:sz w:val="20"/>
                <w:szCs w:val="20"/>
                <w:lang w:val="fr-CA"/>
              </w:rPr>
              <w:t>Antoine Lamarre</w:t>
            </w:r>
          </w:p>
          <w:p w:rsidR="008476C6" w:rsidRPr="005600E7" w:rsidRDefault="00CA7A98" w:rsidP="008476C6">
            <w:pPr>
              <w:keepNext/>
              <w:keepLines/>
              <w:tabs>
                <w:tab w:val="left" w:pos="-1440"/>
                <w:tab w:val="left" w:pos="-720"/>
              </w:tabs>
              <w:ind w:left="720"/>
              <w:rPr>
                <w:sz w:val="20"/>
                <w:szCs w:val="20"/>
                <w:lang w:val="fr-CA"/>
              </w:rPr>
            </w:pPr>
            <w:r w:rsidRPr="005600E7">
              <w:rPr>
                <w:sz w:val="20"/>
                <w:szCs w:val="20"/>
                <w:lang w:val="fr-CA"/>
              </w:rPr>
              <w:t>Larivière Meunier</w:t>
            </w:r>
          </w:p>
          <w:p w:rsidR="008476C6" w:rsidRPr="005600E7" w:rsidRDefault="008476C6" w:rsidP="008476C6">
            <w:pPr>
              <w:keepNext/>
              <w:keepLines/>
              <w:tabs>
                <w:tab w:val="left" w:pos="-1440"/>
                <w:tab w:val="left" w:pos="-720"/>
              </w:tabs>
              <w:rPr>
                <w:sz w:val="20"/>
                <w:szCs w:val="20"/>
                <w:lang w:val="fr-CA"/>
              </w:rPr>
            </w:pPr>
          </w:p>
          <w:p w:rsidR="00A847C2" w:rsidRPr="005600E7" w:rsidRDefault="008476C6" w:rsidP="008476C6">
            <w:pPr>
              <w:keepNext/>
              <w:keepLines/>
              <w:tabs>
                <w:tab w:val="left" w:pos="-1440"/>
                <w:tab w:val="left" w:pos="-720"/>
              </w:tabs>
              <w:rPr>
                <w:sz w:val="20"/>
                <w:szCs w:val="20"/>
                <w:lang w:val="fr-CA"/>
              </w:rPr>
            </w:pPr>
            <w:r w:rsidRPr="005600E7">
              <w:rPr>
                <w:sz w:val="20"/>
                <w:szCs w:val="20"/>
                <w:lang w:val="fr-CA"/>
              </w:rPr>
              <w:t xml:space="preserve">FILING DATE: </w:t>
            </w:r>
            <w:r w:rsidR="00CA7A98" w:rsidRPr="005600E7">
              <w:rPr>
                <w:sz w:val="20"/>
                <w:szCs w:val="20"/>
                <w:lang w:val="fr-CA"/>
              </w:rPr>
              <w:t>09</w:t>
            </w:r>
            <w:r w:rsidRPr="005600E7">
              <w:rPr>
                <w:sz w:val="20"/>
                <w:szCs w:val="20"/>
                <w:lang w:val="fr-CA"/>
              </w:rPr>
              <w:t>.03.2018</w:t>
            </w:r>
            <w:r w:rsidR="00FE4582">
              <w:rPr>
                <w:sz w:val="20"/>
                <w:szCs w:val="20"/>
                <w:lang w:val="fr-CA"/>
              </w:rPr>
              <w:pict>
                <v:rect id="_x0000_i1035" style="width:108pt;height:1pt" o:hrpct="0" o:hralign="center" o:hrstd="t" o:hrnoshade="t" o:hr="t" fillcolor="black [3213]" stroked="f"/>
              </w:pict>
            </w:r>
          </w:p>
          <w:p w:rsidR="008476C6" w:rsidRPr="005600E7" w:rsidRDefault="008476C6" w:rsidP="008476C6">
            <w:pPr>
              <w:keepNext/>
              <w:keepLines/>
              <w:tabs>
                <w:tab w:val="left" w:pos="-1440"/>
                <w:tab w:val="left" w:pos="-720"/>
              </w:tabs>
              <w:rPr>
                <w:b/>
                <w:sz w:val="20"/>
                <w:szCs w:val="20"/>
                <w:lang w:val="fr-CA"/>
              </w:rPr>
            </w:pPr>
          </w:p>
        </w:tc>
      </w:tr>
      <w:tr w:rsidR="008476C6" w:rsidRPr="00FE4582" w:rsidTr="00C92A23">
        <w:trPr>
          <w:trHeight w:val="2880"/>
        </w:trPr>
        <w:tc>
          <w:tcPr>
            <w:tcW w:w="4320" w:type="dxa"/>
            <w:shd w:val="clear" w:color="auto" w:fill="auto"/>
          </w:tcPr>
          <w:p w:rsidR="005600E7" w:rsidRPr="005600E7" w:rsidRDefault="005600E7" w:rsidP="005600E7">
            <w:pPr>
              <w:keepNext/>
              <w:keepLines/>
              <w:tabs>
                <w:tab w:val="left" w:pos="-1440"/>
                <w:tab w:val="left" w:pos="-720"/>
              </w:tabs>
              <w:rPr>
                <w:b/>
                <w:sz w:val="20"/>
                <w:szCs w:val="20"/>
                <w:lang w:val="fr-CA"/>
              </w:rPr>
            </w:pPr>
            <w:r w:rsidRPr="005600E7">
              <w:rPr>
                <w:b/>
                <w:sz w:val="20"/>
                <w:szCs w:val="20"/>
                <w:lang w:val="fr-CA"/>
              </w:rPr>
              <w:t>Samson Mac et al.</w:t>
            </w:r>
          </w:p>
          <w:p w:rsidR="005600E7" w:rsidRPr="005600E7" w:rsidRDefault="005600E7" w:rsidP="005600E7">
            <w:pPr>
              <w:keepNext/>
              <w:keepLines/>
              <w:tabs>
                <w:tab w:val="left" w:pos="-1440"/>
                <w:tab w:val="left" w:pos="-720"/>
              </w:tabs>
              <w:rPr>
                <w:sz w:val="20"/>
                <w:szCs w:val="20"/>
                <w:lang w:val="fr-CA"/>
              </w:rPr>
            </w:pPr>
            <w:r w:rsidRPr="005600E7">
              <w:rPr>
                <w:sz w:val="20"/>
                <w:szCs w:val="20"/>
                <w:lang w:val="fr-CA"/>
              </w:rPr>
              <w:tab/>
              <w:t>Samson Mac</w:t>
            </w:r>
          </w:p>
          <w:p w:rsidR="005600E7" w:rsidRPr="00C15495" w:rsidRDefault="005600E7" w:rsidP="005600E7">
            <w:pPr>
              <w:keepNext/>
              <w:keepLines/>
              <w:tabs>
                <w:tab w:val="left" w:pos="-1440"/>
                <w:tab w:val="left" w:pos="-720"/>
              </w:tabs>
              <w:rPr>
                <w:sz w:val="20"/>
                <w:szCs w:val="20"/>
                <w:lang w:val="fr-CA"/>
              </w:rPr>
            </w:pPr>
          </w:p>
          <w:p w:rsidR="005600E7" w:rsidRPr="00C92A23" w:rsidRDefault="005600E7" w:rsidP="005600E7">
            <w:pPr>
              <w:keepNext/>
              <w:keepLines/>
              <w:tabs>
                <w:tab w:val="left" w:pos="-1440"/>
                <w:tab w:val="left" w:pos="-720"/>
              </w:tabs>
              <w:rPr>
                <w:sz w:val="20"/>
                <w:szCs w:val="20"/>
                <w:lang w:val="en-US"/>
              </w:rPr>
            </w:pPr>
            <w:r w:rsidRPr="00C15495">
              <w:rPr>
                <w:sz w:val="20"/>
                <w:szCs w:val="20"/>
                <w:lang w:val="fr-CA"/>
              </w:rPr>
              <w:tab/>
            </w:r>
            <w:r>
              <w:rPr>
                <w:sz w:val="20"/>
                <w:szCs w:val="20"/>
                <w:lang w:val="en-US"/>
              </w:rPr>
              <w:t>v. (37841</w:t>
            </w:r>
            <w:r w:rsidRPr="00C92A23">
              <w:rPr>
                <w:sz w:val="20"/>
                <w:szCs w:val="20"/>
                <w:lang w:val="en-US"/>
              </w:rPr>
              <w:t>)</w:t>
            </w:r>
          </w:p>
          <w:p w:rsidR="005600E7" w:rsidRPr="00C92A23" w:rsidRDefault="005600E7" w:rsidP="005600E7">
            <w:pPr>
              <w:keepNext/>
              <w:keepLines/>
              <w:tabs>
                <w:tab w:val="left" w:pos="-1440"/>
                <w:tab w:val="left" w:pos="-720"/>
              </w:tabs>
              <w:rPr>
                <w:sz w:val="20"/>
                <w:szCs w:val="20"/>
                <w:lang w:val="en-US"/>
              </w:rPr>
            </w:pPr>
          </w:p>
          <w:p w:rsidR="005600E7" w:rsidRPr="009B53D0" w:rsidRDefault="00D14794" w:rsidP="005600E7">
            <w:pPr>
              <w:keepNext/>
              <w:keepLines/>
              <w:tabs>
                <w:tab w:val="left" w:pos="-1440"/>
                <w:tab w:val="left" w:pos="-720"/>
              </w:tabs>
              <w:rPr>
                <w:b/>
                <w:sz w:val="20"/>
                <w:szCs w:val="20"/>
                <w:lang w:val="en-US"/>
              </w:rPr>
            </w:pPr>
            <w:r>
              <w:rPr>
                <w:b/>
                <w:sz w:val="20"/>
                <w:szCs w:val="20"/>
                <w:lang w:val="en-US"/>
              </w:rPr>
              <w:t>Sally Kit</w:t>
            </w:r>
            <w:r w:rsidR="005600E7">
              <w:rPr>
                <w:b/>
                <w:sz w:val="20"/>
                <w:szCs w:val="20"/>
                <w:lang w:val="en-US"/>
              </w:rPr>
              <w:t xml:space="preserve"> Hing Mak</w:t>
            </w:r>
            <w:r w:rsidR="005600E7" w:rsidRPr="00C92A23">
              <w:rPr>
                <w:b/>
                <w:sz w:val="20"/>
                <w:szCs w:val="20"/>
                <w:lang w:val="en-US"/>
              </w:rPr>
              <w:t xml:space="preserve"> </w:t>
            </w:r>
            <w:r w:rsidR="005600E7">
              <w:rPr>
                <w:b/>
                <w:sz w:val="20"/>
                <w:szCs w:val="20"/>
                <w:lang w:val="en-US"/>
              </w:rPr>
              <w:t>(B.C</w:t>
            </w:r>
            <w:r w:rsidR="005600E7" w:rsidRPr="009B53D0">
              <w:rPr>
                <w:b/>
                <w:sz w:val="20"/>
                <w:szCs w:val="20"/>
                <w:lang w:val="en-US"/>
              </w:rPr>
              <w:t>.)</w:t>
            </w:r>
          </w:p>
          <w:p w:rsidR="005600E7" w:rsidRPr="009B53D0" w:rsidRDefault="005600E7" w:rsidP="005600E7">
            <w:pPr>
              <w:keepNext/>
              <w:keepLines/>
              <w:tabs>
                <w:tab w:val="left" w:pos="-1440"/>
                <w:tab w:val="left" w:pos="-720"/>
              </w:tabs>
              <w:rPr>
                <w:sz w:val="20"/>
                <w:szCs w:val="20"/>
                <w:lang w:val="en-US"/>
              </w:rPr>
            </w:pPr>
            <w:r w:rsidRPr="009B53D0">
              <w:rPr>
                <w:sz w:val="20"/>
                <w:szCs w:val="20"/>
                <w:lang w:val="en-US"/>
              </w:rPr>
              <w:tab/>
            </w:r>
            <w:r>
              <w:rPr>
                <w:sz w:val="20"/>
                <w:szCs w:val="20"/>
                <w:lang w:val="en-US"/>
              </w:rPr>
              <w:t xml:space="preserve">Scott M. Kerwin </w:t>
            </w:r>
          </w:p>
          <w:p w:rsidR="005600E7" w:rsidRPr="009B53D0" w:rsidRDefault="005600E7" w:rsidP="005600E7">
            <w:pPr>
              <w:keepNext/>
              <w:keepLines/>
              <w:tabs>
                <w:tab w:val="left" w:pos="-1440"/>
                <w:tab w:val="left" w:pos="-720"/>
              </w:tabs>
              <w:rPr>
                <w:sz w:val="20"/>
                <w:szCs w:val="20"/>
                <w:lang w:val="en-US"/>
              </w:rPr>
            </w:pPr>
            <w:r w:rsidRPr="009B53D0">
              <w:rPr>
                <w:sz w:val="20"/>
                <w:szCs w:val="20"/>
                <w:lang w:val="en-US"/>
              </w:rPr>
              <w:tab/>
            </w:r>
            <w:r>
              <w:rPr>
                <w:sz w:val="20"/>
                <w:szCs w:val="20"/>
                <w:lang w:val="en-US"/>
              </w:rPr>
              <w:t>Borden Ladner Gervais LLP</w:t>
            </w:r>
          </w:p>
          <w:p w:rsidR="005600E7" w:rsidRPr="009B53D0" w:rsidRDefault="005600E7" w:rsidP="005600E7">
            <w:pPr>
              <w:keepNext/>
              <w:keepLines/>
              <w:tabs>
                <w:tab w:val="left" w:pos="-1440"/>
                <w:tab w:val="left" w:pos="-720"/>
              </w:tabs>
              <w:rPr>
                <w:sz w:val="20"/>
                <w:szCs w:val="20"/>
                <w:lang w:val="en-US"/>
              </w:rPr>
            </w:pPr>
          </w:p>
          <w:p w:rsidR="008476C6" w:rsidRPr="005600E7" w:rsidRDefault="005600E7" w:rsidP="005600E7">
            <w:pPr>
              <w:keepNext/>
              <w:keepLines/>
              <w:tabs>
                <w:tab w:val="left" w:pos="-1440"/>
                <w:tab w:val="left" w:pos="-720"/>
              </w:tabs>
              <w:rPr>
                <w:b/>
                <w:sz w:val="20"/>
                <w:szCs w:val="20"/>
                <w:lang w:val="en-US"/>
              </w:rPr>
            </w:pPr>
            <w:r w:rsidRPr="009B53D0">
              <w:rPr>
                <w:sz w:val="20"/>
                <w:szCs w:val="20"/>
                <w:lang w:val="en-US"/>
              </w:rPr>
              <w:t xml:space="preserve">FILING DATE: </w:t>
            </w:r>
            <w:r>
              <w:rPr>
                <w:sz w:val="20"/>
                <w:szCs w:val="20"/>
                <w:lang w:val="en-US"/>
              </w:rPr>
              <w:t>30.10</w:t>
            </w:r>
            <w:r w:rsidRPr="009B53D0">
              <w:rPr>
                <w:sz w:val="20"/>
                <w:szCs w:val="20"/>
                <w:lang w:val="en-US"/>
              </w:rPr>
              <w:t>.201</w:t>
            </w:r>
            <w:r>
              <w:rPr>
                <w:sz w:val="20"/>
                <w:szCs w:val="20"/>
                <w:lang w:val="en-US"/>
              </w:rPr>
              <w:t>7</w:t>
            </w:r>
            <w:r w:rsidR="00FE4582">
              <w:rPr>
                <w:sz w:val="20"/>
                <w:szCs w:val="20"/>
                <w:lang w:val="fr-CA"/>
              </w:rPr>
              <w:pict>
                <v:rect id="_x0000_i1036" style="width:108pt;height:1pt" o:hrpct="0" o:hralign="center" o:hrstd="t" o:hrnoshade="t" o:hr="t" fillcolor="black [3213]" stroked="f"/>
              </w:pict>
            </w:r>
          </w:p>
        </w:tc>
        <w:tc>
          <w:tcPr>
            <w:tcW w:w="1181" w:type="dxa"/>
            <w:shd w:val="clear" w:color="auto" w:fill="auto"/>
          </w:tcPr>
          <w:p w:rsidR="008476C6" w:rsidRPr="005600E7" w:rsidRDefault="008476C6" w:rsidP="00242AEE">
            <w:pPr>
              <w:jc w:val="center"/>
              <w:rPr>
                <w:sz w:val="20"/>
                <w:szCs w:val="20"/>
                <w:lang w:val="en-US"/>
              </w:rPr>
            </w:pPr>
          </w:p>
        </w:tc>
        <w:tc>
          <w:tcPr>
            <w:tcW w:w="4320" w:type="dxa"/>
            <w:shd w:val="clear" w:color="auto" w:fill="auto"/>
          </w:tcPr>
          <w:p w:rsidR="009E236E" w:rsidRPr="009B53D0" w:rsidRDefault="009E236E" w:rsidP="009E236E">
            <w:pPr>
              <w:keepNext/>
              <w:keepLines/>
              <w:tabs>
                <w:tab w:val="left" w:pos="-1440"/>
                <w:tab w:val="left" w:pos="-720"/>
              </w:tabs>
              <w:rPr>
                <w:b/>
                <w:sz w:val="20"/>
                <w:szCs w:val="20"/>
                <w:lang w:val="fr-CA"/>
              </w:rPr>
            </w:pPr>
            <w:r>
              <w:rPr>
                <w:b/>
                <w:sz w:val="20"/>
                <w:szCs w:val="20"/>
                <w:lang w:val="fr-CA"/>
              </w:rPr>
              <w:t>Louis Portokallis et autre</w:t>
            </w:r>
          </w:p>
          <w:p w:rsidR="009E236E" w:rsidRPr="009B53D0" w:rsidRDefault="009E236E" w:rsidP="009E236E">
            <w:pPr>
              <w:keepNext/>
              <w:keepLines/>
              <w:tabs>
                <w:tab w:val="left" w:pos="-1440"/>
                <w:tab w:val="left" w:pos="-720"/>
              </w:tabs>
              <w:rPr>
                <w:sz w:val="20"/>
                <w:szCs w:val="20"/>
                <w:lang w:val="fr-CA"/>
              </w:rPr>
            </w:pPr>
            <w:r w:rsidRPr="009B53D0">
              <w:rPr>
                <w:sz w:val="20"/>
                <w:szCs w:val="20"/>
                <w:lang w:val="fr-CA"/>
              </w:rPr>
              <w:tab/>
            </w:r>
            <w:r>
              <w:rPr>
                <w:sz w:val="20"/>
                <w:szCs w:val="20"/>
                <w:lang w:val="fr-CA"/>
              </w:rPr>
              <w:t>François Daigle</w:t>
            </w:r>
          </w:p>
          <w:p w:rsidR="009E236E" w:rsidRPr="009B53D0" w:rsidRDefault="009E236E" w:rsidP="009E236E">
            <w:pPr>
              <w:keepNext/>
              <w:keepLines/>
              <w:tabs>
                <w:tab w:val="left" w:pos="-1440"/>
                <w:tab w:val="left" w:pos="-720"/>
              </w:tabs>
              <w:rPr>
                <w:sz w:val="20"/>
                <w:szCs w:val="20"/>
                <w:lang w:val="fr-CA"/>
              </w:rPr>
            </w:pPr>
            <w:r w:rsidRPr="009B53D0">
              <w:rPr>
                <w:sz w:val="20"/>
                <w:szCs w:val="20"/>
                <w:lang w:val="fr-CA"/>
              </w:rPr>
              <w:tab/>
            </w:r>
            <w:r>
              <w:rPr>
                <w:sz w:val="20"/>
                <w:szCs w:val="20"/>
                <w:lang w:val="fr-CA"/>
              </w:rPr>
              <w:t>Daigle, avocats fiscalistes inc.</w:t>
            </w:r>
          </w:p>
          <w:p w:rsidR="009E236E" w:rsidRPr="009B53D0" w:rsidRDefault="009E236E" w:rsidP="009E236E">
            <w:pPr>
              <w:keepNext/>
              <w:keepLines/>
              <w:tabs>
                <w:tab w:val="left" w:pos="-1440"/>
                <w:tab w:val="left" w:pos="-720"/>
              </w:tabs>
              <w:rPr>
                <w:sz w:val="20"/>
                <w:szCs w:val="20"/>
                <w:lang w:val="fr-CA"/>
              </w:rPr>
            </w:pPr>
          </w:p>
          <w:p w:rsidR="009E236E" w:rsidRPr="00C92A23" w:rsidRDefault="009E236E" w:rsidP="009E236E">
            <w:pPr>
              <w:keepNext/>
              <w:keepLines/>
              <w:tabs>
                <w:tab w:val="left" w:pos="-1440"/>
                <w:tab w:val="left" w:pos="-720"/>
              </w:tabs>
              <w:rPr>
                <w:sz w:val="20"/>
                <w:szCs w:val="20"/>
                <w:lang w:val="fr-CA"/>
              </w:rPr>
            </w:pPr>
            <w:r w:rsidRPr="009B53D0">
              <w:rPr>
                <w:sz w:val="20"/>
                <w:szCs w:val="20"/>
                <w:lang w:val="fr-CA"/>
              </w:rPr>
              <w:tab/>
            </w:r>
            <w:r>
              <w:rPr>
                <w:sz w:val="20"/>
                <w:szCs w:val="20"/>
                <w:lang w:val="fr-CA"/>
              </w:rPr>
              <w:t>c. (38054</w:t>
            </w:r>
            <w:r w:rsidRPr="00C92A23">
              <w:rPr>
                <w:sz w:val="20"/>
                <w:szCs w:val="20"/>
                <w:lang w:val="fr-CA"/>
              </w:rPr>
              <w:t>)</w:t>
            </w:r>
          </w:p>
          <w:p w:rsidR="009E236E" w:rsidRPr="00C92A23" w:rsidRDefault="009E236E" w:rsidP="009E236E">
            <w:pPr>
              <w:keepNext/>
              <w:keepLines/>
              <w:tabs>
                <w:tab w:val="left" w:pos="-1440"/>
                <w:tab w:val="left" w:pos="-720"/>
              </w:tabs>
              <w:rPr>
                <w:sz w:val="20"/>
                <w:szCs w:val="20"/>
                <w:lang w:val="fr-CA"/>
              </w:rPr>
            </w:pPr>
          </w:p>
          <w:p w:rsidR="009E236E" w:rsidRPr="00C92A23" w:rsidRDefault="009E236E" w:rsidP="009E236E">
            <w:pPr>
              <w:keepNext/>
              <w:keepLines/>
              <w:tabs>
                <w:tab w:val="left" w:pos="-1440"/>
                <w:tab w:val="left" w:pos="-720"/>
              </w:tabs>
              <w:rPr>
                <w:b/>
                <w:sz w:val="20"/>
                <w:szCs w:val="20"/>
                <w:lang w:val="fr-CA"/>
              </w:rPr>
            </w:pPr>
            <w:r>
              <w:rPr>
                <w:b/>
                <w:sz w:val="20"/>
                <w:szCs w:val="20"/>
                <w:lang w:val="fr-CA"/>
              </w:rPr>
              <w:t>Agence du revenu du Québec</w:t>
            </w:r>
            <w:r w:rsidRPr="00C92A23">
              <w:rPr>
                <w:b/>
                <w:sz w:val="20"/>
                <w:szCs w:val="20"/>
                <w:lang w:val="fr-CA"/>
              </w:rPr>
              <w:t xml:space="preserve"> (Qc)</w:t>
            </w:r>
          </w:p>
          <w:p w:rsidR="009E236E" w:rsidRPr="00C92A23" w:rsidRDefault="009E236E" w:rsidP="009E236E">
            <w:pPr>
              <w:keepNext/>
              <w:keepLines/>
              <w:tabs>
                <w:tab w:val="left" w:pos="-1440"/>
                <w:tab w:val="left" w:pos="-720"/>
              </w:tabs>
              <w:rPr>
                <w:sz w:val="20"/>
                <w:szCs w:val="20"/>
                <w:lang w:val="fr-CA"/>
              </w:rPr>
            </w:pPr>
            <w:r w:rsidRPr="00C92A23">
              <w:rPr>
                <w:sz w:val="20"/>
                <w:szCs w:val="20"/>
                <w:lang w:val="fr-CA"/>
              </w:rPr>
              <w:tab/>
            </w:r>
            <w:r>
              <w:rPr>
                <w:sz w:val="20"/>
                <w:szCs w:val="20"/>
                <w:lang w:val="fr-CA"/>
              </w:rPr>
              <w:t>Bobbie Dion</w:t>
            </w:r>
          </w:p>
          <w:p w:rsidR="009E236E" w:rsidRPr="00C92A23" w:rsidRDefault="009E236E" w:rsidP="009E236E">
            <w:pPr>
              <w:keepNext/>
              <w:keepLines/>
              <w:tabs>
                <w:tab w:val="left" w:pos="-1440"/>
                <w:tab w:val="left" w:pos="-720"/>
              </w:tabs>
              <w:ind w:left="720"/>
              <w:rPr>
                <w:sz w:val="20"/>
                <w:szCs w:val="20"/>
                <w:lang w:val="fr-CA"/>
              </w:rPr>
            </w:pPr>
            <w:r>
              <w:rPr>
                <w:sz w:val="20"/>
                <w:szCs w:val="20"/>
                <w:lang w:val="fr-CA"/>
              </w:rPr>
              <w:t>Larivière Meunier</w:t>
            </w:r>
          </w:p>
          <w:p w:rsidR="009E236E" w:rsidRPr="00C92A23" w:rsidRDefault="009E236E" w:rsidP="009E236E">
            <w:pPr>
              <w:keepNext/>
              <w:keepLines/>
              <w:tabs>
                <w:tab w:val="left" w:pos="-1440"/>
                <w:tab w:val="left" w:pos="-720"/>
              </w:tabs>
              <w:rPr>
                <w:sz w:val="20"/>
                <w:szCs w:val="20"/>
                <w:lang w:val="fr-CA"/>
              </w:rPr>
            </w:pPr>
          </w:p>
          <w:p w:rsidR="009E236E" w:rsidRDefault="009E236E" w:rsidP="009E236E">
            <w:pPr>
              <w:rPr>
                <w:sz w:val="20"/>
                <w:szCs w:val="20"/>
                <w:lang w:val="fr-CA"/>
              </w:rPr>
            </w:pPr>
            <w:r w:rsidRPr="00A127CF">
              <w:rPr>
                <w:sz w:val="20"/>
                <w:szCs w:val="20"/>
                <w:lang w:val="fr-CA"/>
              </w:rPr>
              <w:t>DATE DE PRODUCTION: 05.04.2018</w:t>
            </w:r>
            <w:r w:rsidR="00FE4582">
              <w:rPr>
                <w:sz w:val="20"/>
                <w:szCs w:val="20"/>
                <w:lang w:val="fr-CA"/>
              </w:rPr>
              <w:pict>
                <v:rect id="_x0000_i1037" style="width:108pt;height:1pt" o:hrpct="0" o:hralign="center" o:hrstd="t" o:hrnoshade="t" o:hr="t" fillcolor="black [3213]" stroked="f"/>
              </w:pict>
            </w:r>
          </w:p>
          <w:p w:rsidR="008476C6" w:rsidRPr="00A127CF" w:rsidRDefault="008476C6" w:rsidP="008476C6">
            <w:pPr>
              <w:keepNext/>
              <w:keepLines/>
              <w:tabs>
                <w:tab w:val="left" w:pos="-1440"/>
                <w:tab w:val="left" w:pos="-720"/>
              </w:tabs>
              <w:rPr>
                <w:b/>
                <w:sz w:val="20"/>
                <w:szCs w:val="20"/>
                <w:lang w:val="fr-CA"/>
              </w:rPr>
            </w:pPr>
          </w:p>
        </w:tc>
      </w:tr>
      <w:tr w:rsidR="00A127CF" w:rsidRPr="00CC5E92" w:rsidTr="00C92A23">
        <w:trPr>
          <w:trHeight w:val="2880"/>
        </w:trPr>
        <w:tc>
          <w:tcPr>
            <w:tcW w:w="4320" w:type="dxa"/>
            <w:shd w:val="clear" w:color="auto" w:fill="auto"/>
          </w:tcPr>
          <w:p w:rsidR="00CC5E92" w:rsidRPr="00CC5E92" w:rsidRDefault="00CC5E92" w:rsidP="00CC5E92">
            <w:pPr>
              <w:keepNext/>
              <w:keepLines/>
              <w:tabs>
                <w:tab w:val="left" w:pos="-1440"/>
                <w:tab w:val="left" w:pos="-720"/>
              </w:tabs>
              <w:rPr>
                <w:b/>
                <w:sz w:val="20"/>
                <w:szCs w:val="20"/>
                <w:lang w:val="en-US"/>
              </w:rPr>
            </w:pPr>
            <w:r w:rsidRPr="00CC5E92">
              <w:rPr>
                <w:b/>
                <w:sz w:val="20"/>
                <w:szCs w:val="20"/>
                <w:lang w:val="en-US"/>
              </w:rPr>
              <w:lastRenderedPageBreak/>
              <w:t xml:space="preserve">Sun Wave Forest Products Ltd. </w:t>
            </w:r>
          </w:p>
          <w:p w:rsidR="00CC5E92" w:rsidRPr="00CC5E92" w:rsidRDefault="00CC5E92" w:rsidP="00CC5E92">
            <w:pPr>
              <w:keepNext/>
              <w:keepLines/>
              <w:tabs>
                <w:tab w:val="left" w:pos="-1440"/>
                <w:tab w:val="left" w:pos="-720"/>
              </w:tabs>
              <w:rPr>
                <w:sz w:val="20"/>
                <w:szCs w:val="20"/>
                <w:lang w:val="en-US"/>
              </w:rPr>
            </w:pPr>
            <w:r w:rsidRPr="00CC5E92">
              <w:rPr>
                <w:sz w:val="20"/>
                <w:szCs w:val="20"/>
                <w:lang w:val="en-US"/>
              </w:rPr>
              <w:tab/>
              <w:t>John Reiterowski</w:t>
            </w:r>
          </w:p>
          <w:p w:rsidR="00CC5E92" w:rsidRPr="00CC5E92" w:rsidRDefault="00CC5E92" w:rsidP="00CC5E92">
            <w:pPr>
              <w:keepNext/>
              <w:keepLines/>
              <w:tabs>
                <w:tab w:val="left" w:pos="-1440"/>
                <w:tab w:val="left" w:pos="-720"/>
              </w:tabs>
              <w:ind w:left="720"/>
              <w:rPr>
                <w:sz w:val="20"/>
                <w:szCs w:val="20"/>
                <w:lang w:val="en-US"/>
              </w:rPr>
            </w:pPr>
            <w:r w:rsidRPr="00CC5E92">
              <w:rPr>
                <w:sz w:val="20"/>
                <w:szCs w:val="20"/>
                <w:lang w:val="en-US"/>
              </w:rPr>
              <w:t>DS Lawyers Canada LLP</w:t>
            </w:r>
          </w:p>
          <w:p w:rsidR="00CC5E92" w:rsidRPr="00CC5E92" w:rsidRDefault="00CC5E92" w:rsidP="00CC5E92">
            <w:pPr>
              <w:keepNext/>
              <w:keepLines/>
              <w:tabs>
                <w:tab w:val="left" w:pos="-1440"/>
                <w:tab w:val="left" w:pos="-720"/>
              </w:tabs>
              <w:rPr>
                <w:sz w:val="20"/>
                <w:szCs w:val="20"/>
                <w:lang w:val="en-US"/>
              </w:rPr>
            </w:pPr>
          </w:p>
          <w:p w:rsidR="00CC5E92" w:rsidRPr="00C92A23" w:rsidRDefault="00CC5E92" w:rsidP="00CC5E92">
            <w:pPr>
              <w:keepNext/>
              <w:keepLines/>
              <w:tabs>
                <w:tab w:val="left" w:pos="-1440"/>
                <w:tab w:val="left" w:pos="-720"/>
              </w:tabs>
              <w:rPr>
                <w:sz w:val="20"/>
                <w:szCs w:val="20"/>
                <w:lang w:val="en-US"/>
              </w:rPr>
            </w:pPr>
            <w:r w:rsidRPr="00CC5E92">
              <w:rPr>
                <w:sz w:val="20"/>
                <w:szCs w:val="20"/>
                <w:lang w:val="en-US"/>
              </w:rPr>
              <w:tab/>
            </w:r>
            <w:r>
              <w:rPr>
                <w:sz w:val="20"/>
                <w:szCs w:val="20"/>
                <w:lang w:val="en-US"/>
              </w:rPr>
              <w:t>v. (38067</w:t>
            </w:r>
            <w:r w:rsidRPr="00C92A23">
              <w:rPr>
                <w:sz w:val="20"/>
                <w:szCs w:val="20"/>
                <w:lang w:val="en-US"/>
              </w:rPr>
              <w:t>)</w:t>
            </w:r>
          </w:p>
          <w:p w:rsidR="00CC5E92" w:rsidRPr="00C92A23" w:rsidRDefault="00CC5E92" w:rsidP="00CC5E92">
            <w:pPr>
              <w:keepNext/>
              <w:keepLines/>
              <w:tabs>
                <w:tab w:val="left" w:pos="-1440"/>
                <w:tab w:val="left" w:pos="-720"/>
              </w:tabs>
              <w:rPr>
                <w:sz w:val="20"/>
                <w:szCs w:val="20"/>
                <w:lang w:val="en-US"/>
              </w:rPr>
            </w:pPr>
          </w:p>
          <w:p w:rsidR="00CC5E92" w:rsidRPr="009B53D0" w:rsidRDefault="00CC5E92" w:rsidP="00CC5E92">
            <w:pPr>
              <w:keepNext/>
              <w:keepLines/>
              <w:tabs>
                <w:tab w:val="left" w:pos="-1440"/>
                <w:tab w:val="left" w:pos="-720"/>
              </w:tabs>
              <w:rPr>
                <w:b/>
                <w:sz w:val="20"/>
                <w:szCs w:val="20"/>
                <w:lang w:val="en-US"/>
              </w:rPr>
            </w:pPr>
            <w:r>
              <w:rPr>
                <w:b/>
                <w:sz w:val="20"/>
                <w:szCs w:val="20"/>
                <w:lang w:val="en-US"/>
              </w:rPr>
              <w:t>Susanna Xu also known as Jie Xu et al.</w:t>
            </w:r>
            <w:r w:rsidRPr="00C92A23">
              <w:rPr>
                <w:b/>
                <w:sz w:val="20"/>
                <w:szCs w:val="20"/>
                <w:lang w:val="en-US"/>
              </w:rPr>
              <w:t xml:space="preserve"> </w:t>
            </w:r>
            <w:r>
              <w:rPr>
                <w:b/>
                <w:sz w:val="20"/>
                <w:szCs w:val="20"/>
                <w:lang w:val="en-US"/>
              </w:rPr>
              <w:t>(B.C</w:t>
            </w:r>
            <w:r w:rsidRPr="009B53D0">
              <w:rPr>
                <w:b/>
                <w:sz w:val="20"/>
                <w:szCs w:val="20"/>
                <w:lang w:val="en-US"/>
              </w:rPr>
              <w:t>.)</w:t>
            </w:r>
          </w:p>
          <w:p w:rsidR="00CC5E92" w:rsidRPr="009B53D0" w:rsidRDefault="00CC5E92" w:rsidP="00CC5E92">
            <w:pPr>
              <w:keepNext/>
              <w:keepLines/>
              <w:tabs>
                <w:tab w:val="left" w:pos="-1440"/>
                <w:tab w:val="left" w:pos="-720"/>
              </w:tabs>
              <w:rPr>
                <w:sz w:val="20"/>
                <w:szCs w:val="20"/>
                <w:lang w:val="en-US"/>
              </w:rPr>
            </w:pPr>
            <w:r w:rsidRPr="009B53D0">
              <w:rPr>
                <w:sz w:val="20"/>
                <w:szCs w:val="20"/>
                <w:lang w:val="en-US"/>
              </w:rPr>
              <w:tab/>
            </w:r>
            <w:r>
              <w:rPr>
                <w:sz w:val="20"/>
                <w:szCs w:val="20"/>
                <w:lang w:val="en-US"/>
              </w:rPr>
              <w:t xml:space="preserve">Lyle G. Harris </w:t>
            </w:r>
          </w:p>
          <w:p w:rsidR="00CC5E92" w:rsidRPr="009B53D0" w:rsidRDefault="00CC5E92" w:rsidP="00CC5E92">
            <w:pPr>
              <w:keepNext/>
              <w:keepLines/>
              <w:tabs>
                <w:tab w:val="left" w:pos="-1440"/>
                <w:tab w:val="left" w:pos="-720"/>
              </w:tabs>
              <w:rPr>
                <w:sz w:val="20"/>
                <w:szCs w:val="20"/>
                <w:lang w:val="en-US"/>
              </w:rPr>
            </w:pPr>
            <w:r w:rsidRPr="009B53D0">
              <w:rPr>
                <w:sz w:val="20"/>
                <w:szCs w:val="20"/>
                <w:lang w:val="en-US"/>
              </w:rPr>
              <w:tab/>
            </w:r>
            <w:r>
              <w:rPr>
                <w:sz w:val="20"/>
                <w:szCs w:val="20"/>
                <w:lang w:val="en-US"/>
              </w:rPr>
              <w:t>Harris &amp; Brun Law Corporation</w:t>
            </w:r>
          </w:p>
          <w:p w:rsidR="00CC5E92" w:rsidRPr="009B53D0" w:rsidRDefault="00CC5E92" w:rsidP="00CC5E92">
            <w:pPr>
              <w:keepNext/>
              <w:keepLines/>
              <w:tabs>
                <w:tab w:val="left" w:pos="-1440"/>
                <w:tab w:val="left" w:pos="-720"/>
              </w:tabs>
              <w:rPr>
                <w:sz w:val="20"/>
                <w:szCs w:val="20"/>
                <w:lang w:val="en-US"/>
              </w:rPr>
            </w:pPr>
          </w:p>
          <w:p w:rsidR="00A127CF" w:rsidRPr="00CC5E92" w:rsidRDefault="00CC5E92" w:rsidP="00CC5E92">
            <w:pPr>
              <w:keepNext/>
              <w:keepLines/>
              <w:tabs>
                <w:tab w:val="left" w:pos="-1440"/>
                <w:tab w:val="left" w:pos="-720"/>
              </w:tabs>
              <w:rPr>
                <w:b/>
                <w:sz w:val="20"/>
                <w:szCs w:val="20"/>
                <w:lang w:val="en-US"/>
              </w:rPr>
            </w:pPr>
            <w:r w:rsidRPr="009B53D0">
              <w:rPr>
                <w:sz w:val="20"/>
                <w:szCs w:val="20"/>
                <w:lang w:val="en-US"/>
              </w:rPr>
              <w:t xml:space="preserve">FILING DATE: </w:t>
            </w:r>
            <w:r>
              <w:rPr>
                <w:sz w:val="20"/>
                <w:szCs w:val="20"/>
                <w:lang w:val="en-US"/>
              </w:rPr>
              <w:t>17.04</w:t>
            </w:r>
            <w:r w:rsidRPr="009B53D0">
              <w:rPr>
                <w:sz w:val="20"/>
                <w:szCs w:val="20"/>
                <w:lang w:val="en-US"/>
              </w:rPr>
              <w:t>.201</w:t>
            </w:r>
            <w:r>
              <w:rPr>
                <w:sz w:val="20"/>
                <w:szCs w:val="20"/>
                <w:lang w:val="en-US"/>
              </w:rPr>
              <w:t>8</w:t>
            </w:r>
            <w:r w:rsidR="00FE4582">
              <w:rPr>
                <w:sz w:val="20"/>
                <w:szCs w:val="20"/>
                <w:lang w:val="fr-CA"/>
              </w:rPr>
              <w:pict>
                <v:rect id="_x0000_i1038" style="width:108pt;height:1pt" o:hrpct="0" o:hralign="center" o:hrstd="t" o:hrnoshade="t" o:hr="t" fillcolor="black [3213]" stroked="f"/>
              </w:pict>
            </w:r>
          </w:p>
        </w:tc>
        <w:tc>
          <w:tcPr>
            <w:tcW w:w="1181" w:type="dxa"/>
            <w:shd w:val="clear" w:color="auto" w:fill="auto"/>
          </w:tcPr>
          <w:p w:rsidR="00A127CF" w:rsidRPr="005600E7" w:rsidRDefault="00A127CF" w:rsidP="00242AEE">
            <w:pPr>
              <w:jc w:val="center"/>
              <w:rPr>
                <w:sz w:val="20"/>
                <w:szCs w:val="20"/>
                <w:lang w:val="en-US"/>
              </w:rPr>
            </w:pPr>
          </w:p>
        </w:tc>
        <w:tc>
          <w:tcPr>
            <w:tcW w:w="4320" w:type="dxa"/>
            <w:shd w:val="clear" w:color="auto" w:fill="auto"/>
          </w:tcPr>
          <w:p w:rsidR="00995328" w:rsidRPr="00CC5E92" w:rsidRDefault="00995328" w:rsidP="00995328">
            <w:pPr>
              <w:keepNext/>
              <w:keepLines/>
              <w:tabs>
                <w:tab w:val="left" w:pos="-1440"/>
                <w:tab w:val="left" w:pos="-720"/>
              </w:tabs>
              <w:rPr>
                <w:b/>
                <w:sz w:val="20"/>
                <w:szCs w:val="20"/>
                <w:lang w:val="en-US"/>
              </w:rPr>
            </w:pPr>
            <w:r>
              <w:rPr>
                <w:b/>
                <w:sz w:val="20"/>
                <w:szCs w:val="20"/>
                <w:lang w:val="en-US"/>
              </w:rPr>
              <w:t>Balpreet Singh et al.</w:t>
            </w:r>
          </w:p>
          <w:p w:rsidR="00995328" w:rsidRPr="00CC5E92" w:rsidRDefault="00995328" w:rsidP="00995328">
            <w:pPr>
              <w:keepNext/>
              <w:keepLines/>
              <w:tabs>
                <w:tab w:val="left" w:pos="-1440"/>
                <w:tab w:val="left" w:pos="-720"/>
              </w:tabs>
              <w:rPr>
                <w:sz w:val="20"/>
                <w:szCs w:val="20"/>
                <w:lang w:val="en-US"/>
              </w:rPr>
            </w:pPr>
            <w:r w:rsidRPr="00CC5E92">
              <w:rPr>
                <w:sz w:val="20"/>
                <w:szCs w:val="20"/>
                <w:lang w:val="en-US"/>
              </w:rPr>
              <w:tab/>
            </w:r>
            <w:r>
              <w:rPr>
                <w:sz w:val="20"/>
                <w:szCs w:val="20"/>
                <w:lang w:val="en-US"/>
              </w:rPr>
              <w:t>Julius H. Grey</w:t>
            </w:r>
          </w:p>
          <w:p w:rsidR="00995328" w:rsidRPr="00CC5E92" w:rsidRDefault="00995328" w:rsidP="00995328">
            <w:pPr>
              <w:keepNext/>
              <w:keepLines/>
              <w:tabs>
                <w:tab w:val="left" w:pos="-1440"/>
                <w:tab w:val="left" w:pos="-720"/>
              </w:tabs>
              <w:ind w:left="720"/>
              <w:rPr>
                <w:sz w:val="20"/>
                <w:szCs w:val="20"/>
                <w:lang w:val="en-US"/>
              </w:rPr>
            </w:pPr>
            <w:r>
              <w:rPr>
                <w:sz w:val="20"/>
                <w:szCs w:val="20"/>
                <w:lang w:val="en-US"/>
              </w:rPr>
              <w:t>Grey, Casgrain s.e.n.c.</w:t>
            </w:r>
          </w:p>
          <w:p w:rsidR="00995328" w:rsidRPr="00CC5E92" w:rsidRDefault="00995328" w:rsidP="00995328">
            <w:pPr>
              <w:keepNext/>
              <w:keepLines/>
              <w:tabs>
                <w:tab w:val="left" w:pos="-1440"/>
                <w:tab w:val="left" w:pos="-720"/>
              </w:tabs>
              <w:rPr>
                <w:sz w:val="20"/>
                <w:szCs w:val="20"/>
                <w:lang w:val="en-US"/>
              </w:rPr>
            </w:pPr>
          </w:p>
          <w:p w:rsidR="00995328" w:rsidRPr="00995328" w:rsidRDefault="00995328" w:rsidP="00995328">
            <w:pPr>
              <w:keepNext/>
              <w:keepLines/>
              <w:tabs>
                <w:tab w:val="left" w:pos="-1440"/>
                <w:tab w:val="left" w:pos="-720"/>
              </w:tabs>
              <w:rPr>
                <w:sz w:val="20"/>
                <w:szCs w:val="20"/>
                <w:lang w:val="fr-CA"/>
              </w:rPr>
            </w:pPr>
            <w:r w:rsidRPr="00CC5E92">
              <w:rPr>
                <w:sz w:val="20"/>
                <w:szCs w:val="20"/>
                <w:lang w:val="en-US"/>
              </w:rPr>
              <w:tab/>
            </w:r>
            <w:r w:rsidRPr="00995328">
              <w:rPr>
                <w:sz w:val="20"/>
                <w:szCs w:val="20"/>
                <w:lang w:val="fr-CA"/>
              </w:rPr>
              <w:t>v. (38071)</w:t>
            </w:r>
          </w:p>
          <w:p w:rsidR="00995328" w:rsidRPr="00995328" w:rsidRDefault="00995328" w:rsidP="00995328">
            <w:pPr>
              <w:keepNext/>
              <w:keepLines/>
              <w:tabs>
                <w:tab w:val="left" w:pos="-1440"/>
                <w:tab w:val="left" w:pos="-720"/>
              </w:tabs>
              <w:rPr>
                <w:sz w:val="20"/>
                <w:szCs w:val="20"/>
                <w:lang w:val="fr-CA"/>
              </w:rPr>
            </w:pPr>
          </w:p>
          <w:p w:rsidR="00995328" w:rsidRPr="00995328" w:rsidRDefault="00995328" w:rsidP="00995328">
            <w:pPr>
              <w:keepNext/>
              <w:keepLines/>
              <w:tabs>
                <w:tab w:val="left" w:pos="-1440"/>
                <w:tab w:val="left" w:pos="-720"/>
              </w:tabs>
              <w:rPr>
                <w:b/>
                <w:sz w:val="20"/>
                <w:szCs w:val="20"/>
                <w:lang w:val="fr-CA"/>
              </w:rPr>
            </w:pPr>
            <w:r w:rsidRPr="00995328">
              <w:rPr>
                <w:b/>
                <w:sz w:val="20"/>
                <w:szCs w:val="20"/>
                <w:lang w:val="fr-CA"/>
              </w:rPr>
              <w:t>A.G. of Québec (Que.)</w:t>
            </w:r>
          </w:p>
          <w:p w:rsidR="00995328" w:rsidRPr="00995328" w:rsidRDefault="00995328" w:rsidP="00995328">
            <w:pPr>
              <w:keepNext/>
              <w:keepLines/>
              <w:tabs>
                <w:tab w:val="left" w:pos="-1440"/>
                <w:tab w:val="left" w:pos="-720"/>
              </w:tabs>
              <w:rPr>
                <w:sz w:val="20"/>
                <w:szCs w:val="20"/>
                <w:lang w:val="fr-CA"/>
              </w:rPr>
            </w:pPr>
            <w:r w:rsidRPr="00995328">
              <w:rPr>
                <w:sz w:val="20"/>
                <w:szCs w:val="20"/>
                <w:lang w:val="fr-CA"/>
              </w:rPr>
              <w:tab/>
              <w:t xml:space="preserve">Benoit Boucher </w:t>
            </w:r>
          </w:p>
          <w:p w:rsidR="00995328" w:rsidRPr="009B53D0" w:rsidRDefault="00995328" w:rsidP="00995328">
            <w:pPr>
              <w:keepNext/>
              <w:keepLines/>
              <w:tabs>
                <w:tab w:val="left" w:pos="-1440"/>
                <w:tab w:val="left" w:pos="-720"/>
              </w:tabs>
              <w:rPr>
                <w:sz w:val="20"/>
                <w:szCs w:val="20"/>
                <w:lang w:val="en-US"/>
              </w:rPr>
            </w:pPr>
            <w:r w:rsidRPr="00995328">
              <w:rPr>
                <w:sz w:val="20"/>
                <w:szCs w:val="20"/>
                <w:lang w:val="fr-CA"/>
              </w:rPr>
              <w:tab/>
            </w:r>
            <w:r>
              <w:rPr>
                <w:sz w:val="20"/>
                <w:szCs w:val="20"/>
                <w:lang w:val="en-US"/>
              </w:rPr>
              <w:t>Bernard Roy</w:t>
            </w:r>
          </w:p>
          <w:p w:rsidR="00995328" w:rsidRPr="009B53D0" w:rsidRDefault="00995328" w:rsidP="00995328">
            <w:pPr>
              <w:keepNext/>
              <w:keepLines/>
              <w:tabs>
                <w:tab w:val="left" w:pos="-1440"/>
                <w:tab w:val="left" w:pos="-720"/>
              </w:tabs>
              <w:rPr>
                <w:sz w:val="20"/>
                <w:szCs w:val="20"/>
                <w:lang w:val="en-US"/>
              </w:rPr>
            </w:pPr>
          </w:p>
          <w:p w:rsidR="00A127CF" w:rsidRPr="00CC5E92" w:rsidRDefault="00995328" w:rsidP="00995328">
            <w:pPr>
              <w:keepNext/>
              <w:keepLines/>
              <w:tabs>
                <w:tab w:val="left" w:pos="-1440"/>
                <w:tab w:val="left" w:pos="-720"/>
              </w:tabs>
              <w:rPr>
                <w:b/>
                <w:sz w:val="20"/>
                <w:szCs w:val="20"/>
                <w:lang w:val="en-US"/>
              </w:rPr>
            </w:pPr>
            <w:r w:rsidRPr="009B53D0">
              <w:rPr>
                <w:sz w:val="20"/>
                <w:szCs w:val="20"/>
                <w:lang w:val="en-US"/>
              </w:rPr>
              <w:t xml:space="preserve">FILING DATE: </w:t>
            </w:r>
            <w:r>
              <w:rPr>
                <w:sz w:val="20"/>
                <w:szCs w:val="20"/>
                <w:lang w:val="en-US"/>
              </w:rPr>
              <w:t>20.04</w:t>
            </w:r>
            <w:r w:rsidRPr="009B53D0">
              <w:rPr>
                <w:sz w:val="20"/>
                <w:szCs w:val="20"/>
                <w:lang w:val="en-US"/>
              </w:rPr>
              <w:t>.201</w:t>
            </w:r>
            <w:r>
              <w:rPr>
                <w:sz w:val="20"/>
                <w:szCs w:val="20"/>
                <w:lang w:val="en-US"/>
              </w:rPr>
              <w:t>8</w:t>
            </w:r>
            <w:r w:rsidR="00FE4582">
              <w:rPr>
                <w:sz w:val="20"/>
                <w:szCs w:val="20"/>
                <w:lang w:val="fr-CA"/>
              </w:rPr>
              <w:pict>
                <v:rect id="_x0000_i1039" style="width:108pt;height:1pt" o:hrpct="0" o:hralign="center" o:hrstd="t" o:hrnoshade="t" o:hr="t" fillcolor="black [3213]" stroked="f"/>
              </w:pict>
            </w:r>
          </w:p>
        </w:tc>
      </w:tr>
      <w:tr w:rsidR="001235FC" w:rsidRPr="00AB7F09" w:rsidTr="00C92A23">
        <w:trPr>
          <w:trHeight w:val="2880"/>
        </w:trPr>
        <w:tc>
          <w:tcPr>
            <w:tcW w:w="4320" w:type="dxa"/>
            <w:shd w:val="clear" w:color="auto" w:fill="auto"/>
          </w:tcPr>
          <w:p w:rsidR="00D14794" w:rsidRPr="00797FDA" w:rsidRDefault="00D14794" w:rsidP="00D14794">
            <w:pPr>
              <w:keepNext/>
              <w:keepLines/>
              <w:tabs>
                <w:tab w:val="left" w:pos="-1440"/>
                <w:tab w:val="left" w:pos="-720"/>
              </w:tabs>
              <w:rPr>
                <w:b/>
                <w:sz w:val="20"/>
                <w:szCs w:val="20"/>
                <w:lang w:val="en-US"/>
              </w:rPr>
            </w:pPr>
            <w:r>
              <w:rPr>
                <w:b/>
                <w:sz w:val="20"/>
                <w:szCs w:val="20"/>
                <w:lang w:val="en-US"/>
              </w:rPr>
              <w:t>Judith Isaac as Estate Trustee of the Estate of Glen Michael Isaac, deceased et al.</w:t>
            </w:r>
          </w:p>
          <w:p w:rsidR="00D14794" w:rsidRPr="00797FDA" w:rsidRDefault="00D14794" w:rsidP="00D14794">
            <w:pPr>
              <w:keepNext/>
              <w:keepLines/>
              <w:tabs>
                <w:tab w:val="left" w:pos="-1440"/>
                <w:tab w:val="left" w:pos="-720"/>
              </w:tabs>
              <w:rPr>
                <w:sz w:val="20"/>
                <w:szCs w:val="20"/>
                <w:lang w:val="en-US"/>
              </w:rPr>
            </w:pPr>
            <w:r w:rsidRPr="00797FDA">
              <w:rPr>
                <w:sz w:val="20"/>
                <w:szCs w:val="20"/>
                <w:lang w:val="en-US"/>
              </w:rPr>
              <w:tab/>
            </w:r>
            <w:r>
              <w:rPr>
                <w:sz w:val="20"/>
                <w:szCs w:val="20"/>
                <w:lang w:val="en-US"/>
              </w:rPr>
              <w:t>Kevin A. Egan</w:t>
            </w:r>
          </w:p>
          <w:p w:rsidR="00D14794" w:rsidRPr="00797FDA" w:rsidRDefault="00D14794" w:rsidP="00D14794">
            <w:pPr>
              <w:keepNext/>
              <w:keepLines/>
              <w:tabs>
                <w:tab w:val="left" w:pos="-1440"/>
                <w:tab w:val="left" w:pos="-720"/>
              </w:tabs>
              <w:rPr>
                <w:sz w:val="20"/>
                <w:szCs w:val="20"/>
                <w:lang w:val="en-US"/>
              </w:rPr>
            </w:pPr>
            <w:r w:rsidRPr="00797FDA">
              <w:rPr>
                <w:sz w:val="20"/>
                <w:szCs w:val="20"/>
                <w:lang w:val="en-US"/>
              </w:rPr>
              <w:tab/>
            </w:r>
            <w:r>
              <w:rPr>
                <w:sz w:val="20"/>
                <w:szCs w:val="20"/>
                <w:lang w:val="en-US"/>
              </w:rPr>
              <w:t>McKenzie Lake Lawyers LLP</w:t>
            </w:r>
          </w:p>
          <w:p w:rsidR="00D14794" w:rsidRPr="00797FDA" w:rsidRDefault="00D14794" w:rsidP="00D14794">
            <w:pPr>
              <w:keepNext/>
              <w:keepLines/>
              <w:tabs>
                <w:tab w:val="left" w:pos="-1440"/>
                <w:tab w:val="left" w:pos="-720"/>
              </w:tabs>
              <w:rPr>
                <w:sz w:val="20"/>
                <w:szCs w:val="20"/>
                <w:lang w:val="en-US"/>
              </w:rPr>
            </w:pPr>
          </w:p>
          <w:p w:rsidR="00D14794" w:rsidRPr="00C15495" w:rsidRDefault="00D14794" w:rsidP="00D14794">
            <w:pPr>
              <w:keepNext/>
              <w:keepLines/>
              <w:tabs>
                <w:tab w:val="left" w:pos="-1440"/>
                <w:tab w:val="left" w:pos="-720"/>
              </w:tabs>
              <w:rPr>
                <w:sz w:val="20"/>
                <w:szCs w:val="20"/>
                <w:lang w:val="fr-CA"/>
              </w:rPr>
            </w:pPr>
            <w:r w:rsidRPr="00797FDA">
              <w:rPr>
                <w:sz w:val="20"/>
                <w:szCs w:val="20"/>
                <w:lang w:val="en-US"/>
              </w:rPr>
              <w:tab/>
            </w:r>
            <w:r w:rsidRPr="00C15495">
              <w:rPr>
                <w:sz w:val="20"/>
                <w:szCs w:val="20"/>
                <w:lang w:val="fr-CA"/>
              </w:rPr>
              <w:t>v. (38078)</w:t>
            </w:r>
          </w:p>
          <w:p w:rsidR="00D14794" w:rsidRPr="00C15495" w:rsidRDefault="00D14794" w:rsidP="00D14794">
            <w:pPr>
              <w:keepNext/>
              <w:keepLines/>
              <w:tabs>
                <w:tab w:val="left" w:pos="-1440"/>
                <w:tab w:val="left" w:pos="-720"/>
              </w:tabs>
              <w:rPr>
                <w:sz w:val="20"/>
                <w:szCs w:val="20"/>
                <w:lang w:val="fr-CA"/>
              </w:rPr>
            </w:pPr>
          </w:p>
          <w:p w:rsidR="00D14794" w:rsidRPr="00C15495" w:rsidRDefault="00D14794" w:rsidP="00D14794">
            <w:pPr>
              <w:keepNext/>
              <w:keepLines/>
              <w:tabs>
                <w:tab w:val="left" w:pos="-1440"/>
                <w:tab w:val="left" w:pos="-720"/>
              </w:tabs>
              <w:rPr>
                <w:b/>
                <w:sz w:val="20"/>
                <w:szCs w:val="20"/>
                <w:lang w:val="en-US"/>
              </w:rPr>
            </w:pPr>
            <w:r w:rsidRPr="00797FDA">
              <w:rPr>
                <w:b/>
                <w:sz w:val="20"/>
                <w:szCs w:val="20"/>
                <w:lang w:val="fr-CA"/>
              </w:rPr>
              <w:t xml:space="preserve">Ilona Irena Matuszynska et al. </w:t>
            </w:r>
            <w:r w:rsidRPr="00C15495">
              <w:rPr>
                <w:b/>
                <w:sz w:val="20"/>
                <w:szCs w:val="20"/>
                <w:lang w:val="en-US"/>
              </w:rPr>
              <w:t>(Ont.)</w:t>
            </w:r>
          </w:p>
          <w:p w:rsidR="00D14794" w:rsidRPr="00C15495" w:rsidRDefault="00D14794" w:rsidP="00D14794">
            <w:pPr>
              <w:keepNext/>
              <w:keepLines/>
              <w:tabs>
                <w:tab w:val="left" w:pos="-1440"/>
                <w:tab w:val="left" w:pos="-720"/>
              </w:tabs>
              <w:rPr>
                <w:sz w:val="20"/>
                <w:szCs w:val="20"/>
                <w:lang w:val="en-US"/>
              </w:rPr>
            </w:pPr>
            <w:r w:rsidRPr="00C15495">
              <w:rPr>
                <w:sz w:val="20"/>
                <w:szCs w:val="20"/>
                <w:lang w:val="en-US"/>
              </w:rPr>
              <w:tab/>
              <w:t>Gerard T. Tillmann</w:t>
            </w:r>
          </w:p>
          <w:p w:rsidR="00D14794" w:rsidRPr="00797FDA" w:rsidRDefault="00D14794" w:rsidP="00D14794">
            <w:pPr>
              <w:keepNext/>
              <w:keepLines/>
              <w:tabs>
                <w:tab w:val="left" w:pos="-1440"/>
                <w:tab w:val="left" w:pos="-720"/>
              </w:tabs>
              <w:ind w:left="720"/>
              <w:rPr>
                <w:sz w:val="20"/>
                <w:szCs w:val="20"/>
                <w:lang w:val="en-US"/>
              </w:rPr>
            </w:pPr>
            <w:r w:rsidRPr="00797FDA">
              <w:rPr>
                <w:sz w:val="20"/>
                <w:szCs w:val="20"/>
                <w:lang w:val="en-US"/>
              </w:rPr>
              <w:t>Harrison Pensa LLP</w:t>
            </w:r>
          </w:p>
          <w:p w:rsidR="00D14794" w:rsidRPr="00797FDA" w:rsidRDefault="00D14794" w:rsidP="00D14794">
            <w:pPr>
              <w:keepNext/>
              <w:keepLines/>
              <w:tabs>
                <w:tab w:val="left" w:pos="-1440"/>
                <w:tab w:val="left" w:pos="-720"/>
              </w:tabs>
              <w:rPr>
                <w:sz w:val="20"/>
                <w:szCs w:val="20"/>
                <w:lang w:val="en-US"/>
              </w:rPr>
            </w:pPr>
          </w:p>
          <w:p w:rsidR="00D14794" w:rsidRPr="00797FDA" w:rsidRDefault="00D14794" w:rsidP="00D14794">
            <w:pPr>
              <w:rPr>
                <w:sz w:val="20"/>
                <w:szCs w:val="20"/>
                <w:lang w:val="en-US"/>
              </w:rPr>
            </w:pPr>
            <w:r w:rsidRPr="00797FDA">
              <w:rPr>
                <w:sz w:val="20"/>
                <w:szCs w:val="20"/>
                <w:lang w:val="en-US"/>
              </w:rPr>
              <w:t>FILING DATE: 23.04.2018</w:t>
            </w:r>
            <w:r w:rsidR="00FE4582">
              <w:rPr>
                <w:sz w:val="20"/>
                <w:szCs w:val="20"/>
                <w:lang w:val="fr-CA"/>
              </w:rPr>
              <w:pict>
                <v:rect id="_x0000_i1040" style="width:108pt;height:1pt" o:hrpct="0" o:hralign="center" o:hrstd="t" o:hrnoshade="t" o:hr="t" fillcolor="black [3213]" stroked="f"/>
              </w:pict>
            </w:r>
          </w:p>
          <w:p w:rsidR="001235FC" w:rsidRPr="00FE4582" w:rsidRDefault="001235FC" w:rsidP="00D14794">
            <w:pPr>
              <w:keepNext/>
              <w:keepLines/>
              <w:tabs>
                <w:tab w:val="left" w:pos="-1440"/>
                <w:tab w:val="left" w:pos="-720"/>
              </w:tabs>
              <w:rPr>
                <w:sz w:val="20"/>
                <w:szCs w:val="20"/>
                <w:lang w:val="en-US"/>
              </w:rPr>
            </w:pPr>
          </w:p>
        </w:tc>
        <w:tc>
          <w:tcPr>
            <w:tcW w:w="1181" w:type="dxa"/>
            <w:shd w:val="clear" w:color="auto" w:fill="auto"/>
          </w:tcPr>
          <w:p w:rsidR="001235FC" w:rsidRPr="00FE4582" w:rsidRDefault="001235FC" w:rsidP="00242AEE">
            <w:pPr>
              <w:jc w:val="center"/>
              <w:rPr>
                <w:sz w:val="20"/>
                <w:szCs w:val="20"/>
                <w:lang w:val="en-US"/>
              </w:rPr>
            </w:pPr>
          </w:p>
        </w:tc>
        <w:tc>
          <w:tcPr>
            <w:tcW w:w="4320" w:type="dxa"/>
            <w:shd w:val="clear" w:color="auto" w:fill="auto"/>
          </w:tcPr>
          <w:p w:rsidR="00AB7F09" w:rsidRPr="00C15495" w:rsidRDefault="00AB7F09" w:rsidP="00AB7F09">
            <w:pPr>
              <w:keepNext/>
              <w:keepLines/>
              <w:tabs>
                <w:tab w:val="left" w:pos="-1440"/>
                <w:tab w:val="left" w:pos="-720"/>
              </w:tabs>
              <w:rPr>
                <w:b/>
                <w:sz w:val="20"/>
                <w:szCs w:val="20"/>
                <w:lang w:val="en-US"/>
              </w:rPr>
            </w:pPr>
            <w:r w:rsidRPr="00C15495">
              <w:rPr>
                <w:b/>
                <w:sz w:val="20"/>
                <w:szCs w:val="20"/>
                <w:lang w:val="en-US"/>
              </w:rPr>
              <w:t>Eliana Marengo</w:t>
            </w:r>
          </w:p>
          <w:p w:rsidR="00AB7F09" w:rsidRPr="00C15495" w:rsidRDefault="00AB7F09" w:rsidP="00AB7F09">
            <w:pPr>
              <w:keepNext/>
              <w:keepLines/>
              <w:tabs>
                <w:tab w:val="left" w:pos="-1440"/>
                <w:tab w:val="left" w:pos="-720"/>
              </w:tabs>
              <w:rPr>
                <w:sz w:val="20"/>
                <w:szCs w:val="20"/>
                <w:lang w:val="en-US"/>
              </w:rPr>
            </w:pPr>
            <w:r w:rsidRPr="00C15495">
              <w:rPr>
                <w:sz w:val="20"/>
                <w:szCs w:val="20"/>
                <w:lang w:val="en-US"/>
              </w:rPr>
              <w:tab/>
              <w:t>Raymond Doray, Ad. E.</w:t>
            </w:r>
          </w:p>
          <w:p w:rsidR="00AB7F09" w:rsidRPr="009B53D0" w:rsidRDefault="00AB7F09" w:rsidP="00AB7F09">
            <w:pPr>
              <w:keepNext/>
              <w:keepLines/>
              <w:tabs>
                <w:tab w:val="left" w:pos="-1440"/>
                <w:tab w:val="left" w:pos="-720"/>
              </w:tabs>
              <w:rPr>
                <w:sz w:val="20"/>
                <w:szCs w:val="20"/>
                <w:lang w:val="fr-CA"/>
              </w:rPr>
            </w:pPr>
            <w:r w:rsidRPr="00C15495">
              <w:rPr>
                <w:sz w:val="20"/>
                <w:szCs w:val="20"/>
                <w:lang w:val="en-US"/>
              </w:rPr>
              <w:tab/>
            </w:r>
            <w:r>
              <w:rPr>
                <w:sz w:val="20"/>
                <w:szCs w:val="20"/>
                <w:lang w:val="fr-CA"/>
              </w:rPr>
              <w:t>Lave</w:t>
            </w:r>
            <w:r w:rsidR="00D14794">
              <w:rPr>
                <w:sz w:val="20"/>
                <w:szCs w:val="20"/>
                <w:lang w:val="fr-CA"/>
              </w:rPr>
              <w:t>r</w:t>
            </w:r>
            <w:r>
              <w:rPr>
                <w:sz w:val="20"/>
                <w:szCs w:val="20"/>
                <w:lang w:val="fr-CA"/>
              </w:rPr>
              <w:t>y, de Billy</w:t>
            </w:r>
          </w:p>
          <w:p w:rsidR="00AB7F09" w:rsidRPr="009B53D0" w:rsidRDefault="00AB7F09" w:rsidP="00AB7F09">
            <w:pPr>
              <w:keepNext/>
              <w:keepLines/>
              <w:tabs>
                <w:tab w:val="left" w:pos="-1440"/>
                <w:tab w:val="left" w:pos="-720"/>
              </w:tabs>
              <w:rPr>
                <w:sz w:val="20"/>
                <w:szCs w:val="20"/>
                <w:lang w:val="fr-CA"/>
              </w:rPr>
            </w:pPr>
          </w:p>
          <w:p w:rsidR="00AB7F09" w:rsidRPr="00C92A23" w:rsidRDefault="00AB7F09" w:rsidP="00AB7F09">
            <w:pPr>
              <w:keepNext/>
              <w:keepLines/>
              <w:tabs>
                <w:tab w:val="left" w:pos="-1440"/>
                <w:tab w:val="left" w:pos="-720"/>
              </w:tabs>
              <w:rPr>
                <w:sz w:val="20"/>
                <w:szCs w:val="20"/>
                <w:lang w:val="fr-CA"/>
              </w:rPr>
            </w:pPr>
            <w:r w:rsidRPr="009B53D0">
              <w:rPr>
                <w:sz w:val="20"/>
                <w:szCs w:val="20"/>
                <w:lang w:val="fr-CA"/>
              </w:rPr>
              <w:tab/>
            </w:r>
            <w:r>
              <w:rPr>
                <w:sz w:val="20"/>
                <w:szCs w:val="20"/>
                <w:lang w:val="fr-CA"/>
              </w:rPr>
              <w:t>c. (38082</w:t>
            </w:r>
            <w:r w:rsidRPr="00C92A23">
              <w:rPr>
                <w:sz w:val="20"/>
                <w:szCs w:val="20"/>
                <w:lang w:val="fr-CA"/>
              </w:rPr>
              <w:t>)</w:t>
            </w:r>
          </w:p>
          <w:p w:rsidR="00AB7F09" w:rsidRPr="00C92A23" w:rsidRDefault="00AB7F09" w:rsidP="00AB7F09">
            <w:pPr>
              <w:keepNext/>
              <w:keepLines/>
              <w:tabs>
                <w:tab w:val="left" w:pos="-1440"/>
                <w:tab w:val="left" w:pos="-720"/>
              </w:tabs>
              <w:rPr>
                <w:sz w:val="20"/>
                <w:szCs w:val="20"/>
                <w:lang w:val="fr-CA"/>
              </w:rPr>
            </w:pPr>
          </w:p>
          <w:p w:rsidR="00AB7F09" w:rsidRPr="00C92A23" w:rsidRDefault="00AB7F09" w:rsidP="00AB7F09">
            <w:pPr>
              <w:keepNext/>
              <w:keepLines/>
              <w:tabs>
                <w:tab w:val="left" w:pos="-1440"/>
                <w:tab w:val="left" w:pos="-720"/>
              </w:tabs>
              <w:rPr>
                <w:b/>
                <w:sz w:val="20"/>
                <w:szCs w:val="20"/>
                <w:lang w:val="fr-CA"/>
              </w:rPr>
            </w:pPr>
            <w:r>
              <w:rPr>
                <w:b/>
                <w:sz w:val="20"/>
                <w:szCs w:val="20"/>
                <w:lang w:val="fr-CA"/>
              </w:rPr>
              <w:t xml:space="preserve">Conseil de la magistrature du Québec et autres </w:t>
            </w:r>
            <w:r w:rsidRPr="00C92A23">
              <w:rPr>
                <w:b/>
                <w:sz w:val="20"/>
                <w:szCs w:val="20"/>
                <w:lang w:val="fr-CA"/>
              </w:rPr>
              <w:t>(Qc)</w:t>
            </w:r>
          </w:p>
          <w:p w:rsidR="00AB7F09" w:rsidRPr="00C92A23" w:rsidRDefault="00AB7F09" w:rsidP="00AB7F09">
            <w:pPr>
              <w:keepNext/>
              <w:keepLines/>
              <w:tabs>
                <w:tab w:val="left" w:pos="-1440"/>
                <w:tab w:val="left" w:pos="-720"/>
              </w:tabs>
              <w:rPr>
                <w:sz w:val="20"/>
                <w:szCs w:val="20"/>
                <w:lang w:val="fr-CA"/>
              </w:rPr>
            </w:pPr>
            <w:r w:rsidRPr="00C92A23">
              <w:rPr>
                <w:sz w:val="20"/>
                <w:szCs w:val="20"/>
                <w:lang w:val="fr-CA"/>
              </w:rPr>
              <w:tab/>
            </w:r>
            <w:r>
              <w:rPr>
                <w:sz w:val="20"/>
                <w:szCs w:val="20"/>
                <w:lang w:val="fr-CA"/>
              </w:rPr>
              <w:t xml:space="preserve">Pierre Laurin, Ad. E. </w:t>
            </w:r>
          </w:p>
          <w:p w:rsidR="00AB7F09" w:rsidRPr="00C92A23" w:rsidRDefault="00AB7F09" w:rsidP="00AB7F09">
            <w:pPr>
              <w:keepNext/>
              <w:keepLines/>
              <w:tabs>
                <w:tab w:val="left" w:pos="-1440"/>
                <w:tab w:val="left" w:pos="-720"/>
              </w:tabs>
              <w:ind w:left="720"/>
              <w:rPr>
                <w:sz w:val="20"/>
                <w:szCs w:val="20"/>
                <w:lang w:val="fr-CA"/>
              </w:rPr>
            </w:pPr>
            <w:r>
              <w:rPr>
                <w:sz w:val="20"/>
                <w:szCs w:val="20"/>
                <w:lang w:val="fr-CA"/>
              </w:rPr>
              <w:t>Tremblay Bois Mignault Lemay</w:t>
            </w:r>
          </w:p>
          <w:p w:rsidR="00AB7F09" w:rsidRPr="00C92A23" w:rsidRDefault="00AB7F09" w:rsidP="00AB7F09">
            <w:pPr>
              <w:keepNext/>
              <w:keepLines/>
              <w:tabs>
                <w:tab w:val="left" w:pos="-1440"/>
                <w:tab w:val="left" w:pos="-720"/>
              </w:tabs>
              <w:rPr>
                <w:sz w:val="20"/>
                <w:szCs w:val="20"/>
                <w:lang w:val="fr-CA"/>
              </w:rPr>
            </w:pPr>
          </w:p>
          <w:p w:rsidR="00AB7F09" w:rsidRDefault="00AB7F09" w:rsidP="00AB7F09">
            <w:pPr>
              <w:rPr>
                <w:sz w:val="20"/>
                <w:szCs w:val="20"/>
                <w:lang w:val="fr-CA"/>
              </w:rPr>
            </w:pPr>
            <w:r w:rsidRPr="00A127CF">
              <w:rPr>
                <w:sz w:val="20"/>
                <w:szCs w:val="20"/>
                <w:lang w:val="fr-CA"/>
              </w:rPr>
              <w:t xml:space="preserve">DATE DE PRODUCTION: </w:t>
            </w:r>
            <w:r>
              <w:rPr>
                <w:sz w:val="20"/>
                <w:szCs w:val="20"/>
                <w:lang w:val="fr-CA"/>
              </w:rPr>
              <w:t>23</w:t>
            </w:r>
            <w:r w:rsidRPr="00A127CF">
              <w:rPr>
                <w:sz w:val="20"/>
                <w:szCs w:val="20"/>
                <w:lang w:val="fr-CA"/>
              </w:rPr>
              <w:t>.04.2018</w:t>
            </w:r>
            <w:r w:rsidR="00FE4582">
              <w:rPr>
                <w:sz w:val="20"/>
                <w:szCs w:val="20"/>
                <w:lang w:val="fr-CA"/>
              </w:rPr>
              <w:pict>
                <v:rect id="_x0000_i1041" style="width:108pt;height:1pt" o:hrpct="0" o:hralign="center" o:hrstd="t" o:hrnoshade="t" o:hr="t" fillcolor="black [3213]" stroked="f"/>
              </w:pict>
            </w:r>
          </w:p>
          <w:p w:rsidR="001235FC" w:rsidRPr="00AB7F09" w:rsidRDefault="001235FC" w:rsidP="00995328">
            <w:pPr>
              <w:keepNext/>
              <w:keepLines/>
              <w:tabs>
                <w:tab w:val="left" w:pos="-1440"/>
                <w:tab w:val="left" w:pos="-720"/>
              </w:tabs>
              <w:rPr>
                <w:b/>
                <w:sz w:val="20"/>
                <w:szCs w:val="20"/>
                <w:lang w:val="fr-CA"/>
              </w:rPr>
            </w:pPr>
          </w:p>
        </w:tc>
      </w:tr>
      <w:tr w:rsidR="001B27F4" w:rsidRPr="00A77088" w:rsidTr="00C92A23">
        <w:trPr>
          <w:trHeight w:val="2880"/>
        </w:trPr>
        <w:tc>
          <w:tcPr>
            <w:tcW w:w="4320" w:type="dxa"/>
            <w:shd w:val="clear" w:color="auto" w:fill="auto"/>
          </w:tcPr>
          <w:p w:rsidR="001B27F4" w:rsidRPr="00C15495" w:rsidRDefault="001B27F4" w:rsidP="001B27F4">
            <w:pPr>
              <w:keepNext/>
              <w:keepLines/>
              <w:tabs>
                <w:tab w:val="left" w:pos="-1440"/>
                <w:tab w:val="left" w:pos="-720"/>
              </w:tabs>
              <w:rPr>
                <w:b/>
                <w:sz w:val="20"/>
                <w:szCs w:val="20"/>
                <w:lang w:val="en-US"/>
              </w:rPr>
            </w:pPr>
            <w:r w:rsidRPr="00C15495">
              <w:rPr>
                <w:b/>
                <w:sz w:val="20"/>
                <w:szCs w:val="20"/>
                <w:lang w:val="en-US"/>
              </w:rPr>
              <w:t>Saskenergy Incorporated</w:t>
            </w:r>
          </w:p>
          <w:p w:rsidR="001B27F4" w:rsidRPr="00C15495" w:rsidRDefault="001B27F4" w:rsidP="001B27F4">
            <w:pPr>
              <w:keepNext/>
              <w:keepLines/>
              <w:tabs>
                <w:tab w:val="left" w:pos="-1440"/>
                <w:tab w:val="left" w:pos="-720"/>
              </w:tabs>
              <w:rPr>
                <w:sz w:val="20"/>
                <w:szCs w:val="20"/>
                <w:lang w:val="en-US"/>
              </w:rPr>
            </w:pPr>
            <w:r w:rsidRPr="00C15495">
              <w:rPr>
                <w:sz w:val="20"/>
                <w:szCs w:val="20"/>
                <w:lang w:val="en-US"/>
              </w:rPr>
              <w:tab/>
              <w:t>Shaunt Parthev, Q.C.</w:t>
            </w:r>
          </w:p>
          <w:p w:rsidR="001B27F4" w:rsidRPr="00C15495" w:rsidRDefault="001B27F4" w:rsidP="001B27F4">
            <w:pPr>
              <w:keepNext/>
              <w:keepLines/>
              <w:tabs>
                <w:tab w:val="left" w:pos="-1440"/>
                <w:tab w:val="left" w:pos="-720"/>
              </w:tabs>
              <w:rPr>
                <w:sz w:val="20"/>
                <w:szCs w:val="20"/>
                <w:lang w:val="en-US"/>
              </w:rPr>
            </w:pPr>
            <w:r w:rsidRPr="00C15495">
              <w:rPr>
                <w:sz w:val="20"/>
                <w:szCs w:val="20"/>
                <w:lang w:val="en-US"/>
              </w:rPr>
              <w:tab/>
              <w:t>MLT Aikins LLP</w:t>
            </w:r>
          </w:p>
          <w:p w:rsidR="001B27F4" w:rsidRPr="00C15495" w:rsidRDefault="001B27F4" w:rsidP="001B27F4">
            <w:pPr>
              <w:keepNext/>
              <w:keepLines/>
              <w:tabs>
                <w:tab w:val="left" w:pos="-1440"/>
                <w:tab w:val="left" w:pos="-720"/>
              </w:tabs>
              <w:rPr>
                <w:sz w:val="20"/>
                <w:szCs w:val="20"/>
                <w:lang w:val="en-US"/>
              </w:rPr>
            </w:pPr>
          </w:p>
          <w:p w:rsidR="001B27F4" w:rsidRPr="00C15495" w:rsidRDefault="001B27F4" w:rsidP="001B27F4">
            <w:pPr>
              <w:keepNext/>
              <w:keepLines/>
              <w:tabs>
                <w:tab w:val="left" w:pos="-1440"/>
                <w:tab w:val="left" w:pos="-720"/>
              </w:tabs>
              <w:rPr>
                <w:sz w:val="20"/>
                <w:szCs w:val="20"/>
                <w:lang w:val="en-US"/>
              </w:rPr>
            </w:pPr>
            <w:r w:rsidRPr="00C15495">
              <w:rPr>
                <w:sz w:val="20"/>
                <w:szCs w:val="20"/>
                <w:lang w:val="en-US"/>
              </w:rPr>
              <w:tab/>
              <w:t>v. (38079)</w:t>
            </w:r>
          </w:p>
          <w:p w:rsidR="001B27F4" w:rsidRPr="00C15495" w:rsidRDefault="001B27F4" w:rsidP="001B27F4">
            <w:pPr>
              <w:keepNext/>
              <w:keepLines/>
              <w:tabs>
                <w:tab w:val="left" w:pos="-1440"/>
                <w:tab w:val="left" w:pos="-720"/>
              </w:tabs>
              <w:rPr>
                <w:sz w:val="20"/>
                <w:szCs w:val="20"/>
                <w:lang w:val="en-US"/>
              </w:rPr>
            </w:pPr>
          </w:p>
          <w:p w:rsidR="001B27F4" w:rsidRPr="00C15495" w:rsidRDefault="001B27F4" w:rsidP="001B27F4">
            <w:pPr>
              <w:keepNext/>
              <w:keepLines/>
              <w:tabs>
                <w:tab w:val="left" w:pos="-1440"/>
                <w:tab w:val="left" w:pos="-720"/>
              </w:tabs>
              <w:rPr>
                <w:b/>
                <w:sz w:val="20"/>
                <w:szCs w:val="20"/>
                <w:lang w:val="en-US"/>
              </w:rPr>
            </w:pPr>
            <w:r w:rsidRPr="00C15495">
              <w:rPr>
                <w:b/>
                <w:sz w:val="20"/>
                <w:szCs w:val="20"/>
                <w:lang w:val="en-US"/>
              </w:rPr>
              <w:t>Adag Corporation Canada Ltd. et al. (Sask.)</w:t>
            </w:r>
          </w:p>
          <w:p w:rsidR="001B27F4" w:rsidRPr="00A77088" w:rsidRDefault="001B27F4" w:rsidP="001B27F4">
            <w:pPr>
              <w:keepNext/>
              <w:keepLines/>
              <w:tabs>
                <w:tab w:val="left" w:pos="-1440"/>
                <w:tab w:val="left" w:pos="-720"/>
              </w:tabs>
              <w:rPr>
                <w:sz w:val="20"/>
                <w:szCs w:val="20"/>
                <w:lang w:val="en-US"/>
              </w:rPr>
            </w:pPr>
            <w:r w:rsidRPr="00C15495">
              <w:rPr>
                <w:sz w:val="20"/>
                <w:szCs w:val="20"/>
                <w:lang w:val="en-US"/>
              </w:rPr>
              <w:tab/>
            </w:r>
            <w:r w:rsidRPr="00A77088">
              <w:rPr>
                <w:sz w:val="20"/>
                <w:szCs w:val="20"/>
                <w:lang w:val="en-US"/>
              </w:rPr>
              <w:t>Bradley E. Berg</w:t>
            </w:r>
          </w:p>
          <w:p w:rsidR="001B27F4" w:rsidRPr="00A77088" w:rsidRDefault="001B27F4" w:rsidP="001B27F4">
            <w:pPr>
              <w:keepNext/>
              <w:keepLines/>
              <w:tabs>
                <w:tab w:val="left" w:pos="-1440"/>
                <w:tab w:val="left" w:pos="-720"/>
              </w:tabs>
              <w:ind w:left="720"/>
              <w:rPr>
                <w:sz w:val="20"/>
                <w:szCs w:val="20"/>
                <w:lang w:val="en-US"/>
              </w:rPr>
            </w:pPr>
            <w:r w:rsidRPr="00A77088">
              <w:rPr>
                <w:sz w:val="20"/>
                <w:szCs w:val="20"/>
                <w:lang w:val="en-US"/>
              </w:rPr>
              <w:t>Blake, Cassels &amp; Graydon LLP</w:t>
            </w:r>
          </w:p>
          <w:p w:rsidR="001B27F4" w:rsidRPr="00A77088" w:rsidRDefault="001B27F4" w:rsidP="001B27F4">
            <w:pPr>
              <w:keepNext/>
              <w:keepLines/>
              <w:tabs>
                <w:tab w:val="left" w:pos="-1440"/>
                <w:tab w:val="left" w:pos="-720"/>
              </w:tabs>
              <w:rPr>
                <w:sz w:val="20"/>
                <w:szCs w:val="20"/>
                <w:lang w:val="en-US"/>
              </w:rPr>
            </w:pPr>
          </w:p>
          <w:p w:rsidR="001B27F4" w:rsidRPr="00A77088" w:rsidRDefault="001B27F4" w:rsidP="001B27F4">
            <w:pPr>
              <w:rPr>
                <w:sz w:val="20"/>
                <w:szCs w:val="20"/>
                <w:lang w:val="en-US"/>
              </w:rPr>
            </w:pPr>
            <w:r w:rsidRPr="00A77088">
              <w:rPr>
                <w:sz w:val="20"/>
                <w:szCs w:val="20"/>
                <w:lang w:val="en-US"/>
              </w:rPr>
              <w:t>FILING DATE: 24.04.2018</w:t>
            </w:r>
            <w:r w:rsidR="00FE4582">
              <w:rPr>
                <w:sz w:val="20"/>
                <w:szCs w:val="20"/>
                <w:lang w:val="fr-CA"/>
              </w:rPr>
              <w:pict>
                <v:rect id="_x0000_i1042" style="width:108pt;height:1pt" o:hrpct="0" o:hralign="center" o:hrstd="t" o:hrnoshade="t" o:hr="t" fillcolor="black [3213]" stroked="f"/>
              </w:pict>
            </w:r>
          </w:p>
          <w:p w:rsidR="001B27F4" w:rsidRPr="00A77088" w:rsidRDefault="001B27F4" w:rsidP="001235FC">
            <w:pPr>
              <w:keepNext/>
              <w:keepLines/>
              <w:tabs>
                <w:tab w:val="left" w:pos="-1440"/>
                <w:tab w:val="left" w:pos="-720"/>
              </w:tabs>
              <w:rPr>
                <w:sz w:val="20"/>
                <w:szCs w:val="20"/>
                <w:lang w:val="en-US"/>
              </w:rPr>
            </w:pPr>
          </w:p>
        </w:tc>
        <w:tc>
          <w:tcPr>
            <w:tcW w:w="1181" w:type="dxa"/>
            <w:shd w:val="clear" w:color="auto" w:fill="auto"/>
          </w:tcPr>
          <w:p w:rsidR="001B27F4" w:rsidRPr="00A77088" w:rsidRDefault="001B27F4" w:rsidP="00242AEE">
            <w:pPr>
              <w:jc w:val="center"/>
              <w:rPr>
                <w:sz w:val="20"/>
                <w:szCs w:val="20"/>
                <w:lang w:val="en-US"/>
              </w:rPr>
            </w:pPr>
          </w:p>
        </w:tc>
        <w:tc>
          <w:tcPr>
            <w:tcW w:w="4320" w:type="dxa"/>
            <w:shd w:val="clear" w:color="auto" w:fill="auto"/>
          </w:tcPr>
          <w:p w:rsidR="00A77088" w:rsidRPr="00A77088" w:rsidRDefault="00A77088" w:rsidP="00A77088">
            <w:pPr>
              <w:keepNext/>
              <w:keepLines/>
              <w:tabs>
                <w:tab w:val="left" w:pos="-1440"/>
                <w:tab w:val="left" w:pos="-720"/>
              </w:tabs>
              <w:rPr>
                <w:b/>
                <w:sz w:val="20"/>
                <w:szCs w:val="20"/>
                <w:lang w:val="en-US"/>
              </w:rPr>
            </w:pPr>
            <w:r>
              <w:rPr>
                <w:b/>
                <w:sz w:val="20"/>
                <w:szCs w:val="20"/>
                <w:lang w:val="en-US"/>
              </w:rPr>
              <w:t>Her Majesty the Queen in Right of Canada</w:t>
            </w:r>
          </w:p>
          <w:p w:rsidR="00A77088" w:rsidRPr="00A77088" w:rsidRDefault="00A77088" w:rsidP="00A77088">
            <w:pPr>
              <w:keepNext/>
              <w:keepLines/>
              <w:tabs>
                <w:tab w:val="left" w:pos="-1440"/>
                <w:tab w:val="left" w:pos="-720"/>
              </w:tabs>
              <w:rPr>
                <w:sz w:val="20"/>
                <w:szCs w:val="20"/>
                <w:lang w:val="en-US"/>
              </w:rPr>
            </w:pPr>
            <w:r w:rsidRPr="00A77088">
              <w:rPr>
                <w:sz w:val="20"/>
                <w:szCs w:val="20"/>
                <w:lang w:val="en-US"/>
              </w:rPr>
              <w:tab/>
            </w:r>
            <w:r>
              <w:rPr>
                <w:sz w:val="20"/>
                <w:szCs w:val="20"/>
                <w:lang w:val="en-US"/>
              </w:rPr>
              <w:t>John N. Walker</w:t>
            </w:r>
          </w:p>
          <w:p w:rsidR="00A77088" w:rsidRPr="00A77088" w:rsidRDefault="00A77088" w:rsidP="00A77088">
            <w:pPr>
              <w:keepNext/>
              <w:keepLines/>
              <w:tabs>
                <w:tab w:val="left" w:pos="-1440"/>
                <w:tab w:val="left" w:pos="-720"/>
              </w:tabs>
              <w:rPr>
                <w:sz w:val="20"/>
                <w:szCs w:val="20"/>
                <w:lang w:val="en-US"/>
              </w:rPr>
            </w:pPr>
            <w:r w:rsidRPr="00A77088">
              <w:rPr>
                <w:sz w:val="20"/>
                <w:szCs w:val="20"/>
                <w:lang w:val="en-US"/>
              </w:rPr>
              <w:tab/>
            </w:r>
            <w:r>
              <w:rPr>
                <w:sz w:val="20"/>
                <w:szCs w:val="20"/>
                <w:lang w:val="en-US"/>
              </w:rPr>
              <w:t>Director of Public Prosecutions of Canada</w:t>
            </w:r>
          </w:p>
          <w:p w:rsidR="00A77088" w:rsidRPr="00A77088" w:rsidRDefault="00A77088" w:rsidP="00A77088">
            <w:pPr>
              <w:keepNext/>
              <w:keepLines/>
              <w:tabs>
                <w:tab w:val="left" w:pos="-1440"/>
                <w:tab w:val="left" w:pos="-720"/>
              </w:tabs>
              <w:rPr>
                <w:sz w:val="20"/>
                <w:szCs w:val="20"/>
                <w:lang w:val="en-US"/>
              </w:rPr>
            </w:pPr>
          </w:p>
          <w:p w:rsidR="00A77088" w:rsidRPr="00A77088" w:rsidRDefault="00A77088" w:rsidP="00A77088">
            <w:pPr>
              <w:keepNext/>
              <w:keepLines/>
              <w:tabs>
                <w:tab w:val="left" w:pos="-1440"/>
                <w:tab w:val="left" w:pos="-720"/>
              </w:tabs>
              <w:rPr>
                <w:sz w:val="20"/>
                <w:szCs w:val="20"/>
                <w:lang w:val="en-US"/>
              </w:rPr>
            </w:pPr>
            <w:r w:rsidRPr="00A77088">
              <w:rPr>
                <w:sz w:val="20"/>
                <w:szCs w:val="20"/>
                <w:lang w:val="en-US"/>
              </w:rPr>
              <w:tab/>
              <w:t>v. (</w:t>
            </w:r>
            <w:r>
              <w:rPr>
                <w:sz w:val="20"/>
                <w:szCs w:val="20"/>
                <w:lang w:val="en-US"/>
              </w:rPr>
              <w:t>38083</w:t>
            </w:r>
            <w:r w:rsidRPr="00A77088">
              <w:rPr>
                <w:sz w:val="20"/>
                <w:szCs w:val="20"/>
                <w:lang w:val="en-US"/>
              </w:rPr>
              <w:t>)</w:t>
            </w:r>
          </w:p>
          <w:p w:rsidR="00A77088" w:rsidRPr="00A77088" w:rsidRDefault="00A77088" w:rsidP="00A77088">
            <w:pPr>
              <w:keepNext/>
              <w:keepLines/>
              <w:tabs>
                <w:tab w:val="left" w:pos="-1440"/>
                <w:tab w:val="left" w:pos="-720"/>
              </w:tabs>
              <w:rPr>
                <w:sz w:val="20"/>
                <w:szCs w:val="20"/>
                <w:lang w:val="en-US"/>
              </w:rPr>
            </w:pPr>
          </w:p>
          <w:p w:rsidR="00A77088" w:rsidRPr="00A77088" w:rsidRDefault="00A77088" w:rsidP="00A77088">
            <w:pPr>
              <w:keepNext/>
              <w:keepLines/>
              <w:tabs>
                <w:tab w:val="left" w:pos="-1440"/>
                <w:tab w:val="left" w:pos="-720"/>
              </w:tabs>
              <w:rPr>
                <w:b/>
                <w:sz w:val="20"/>
                <w:szCs w:val="20"/>
                <w:lang w:val="en-US"/>
              </w:rPr>
            </w:pPr>
            <w:r>
              <w:rPr>
                <w:b/>
                <w:sz w:val="20"/>
                <w:szCs w:val="20"/>
                <w:lang w:val="en-US"/>
              </w:rPr>
              <w:t xml:space="preserve">Alassia Newships Management Inc. </w:t>
            </w:r>
            <w:r w:rsidRPr="00A77088">
              <w:rPr>
                <w:b/>
                <w:sz w:val="20"/>
                <w:szCs w:val="20"/>
                <w:lang w:val="en-US"/>
              </w:rPr>
              <w:t>(</w:t>
            </w:r>
            <w:r>
              <w:rPr>
                <w:b/>
                <w:sz w:val="20"/>
                <w:szCs w:val="20"/>
                <w:lang w:val="en-US"/>
              </w:rPr>
              <w:t>B.C</w:t>
            </w:r>
            <w:r w:rsidRPr="00A77088">
              <w:rPr>
                <w:b/>
                <w:sz w:val="20"/>
                <w:szCs w:val="20"/>
                <w:lang w:val="en-US"/>
              </w:rPr>
              <w:t>.)</w:t>
            </w:r>
          </w:p>
          <w:p w:rsidR="00A77088" w:rsidRPr="00A77088" w:rsidRDefault="00A77088" w:rsidP="00A77088">
            <w:pPr>
              <w:keepNext/>
              <w:keepLines/>
              <w:tabs>
                <w:tab w:val="left" w:pos="-1440"/>
                <w:tab w:val="left" w:pos="-720"/>
              </w:tabs>
              <w:rPr>
                <w:sz w:val="20"/>
                <w:szCs w:val="20"/>
                <w:lang w:val="en-US"/>
              </w:rPr>
            </w:pPr>
            <w:r w:rsidRPr="00A77088">
              <w:rPr>
                <w:sz w:val="20"/>
                <w:szCs w:val="20"/>
                <w:lang w:val="en-US"/>
              </w:rPr>
              <w:tab/>
            </w:r>
            <w:r>
              <w:rPr>
                <w:sz w:val="20"/>
                <w:szCs w:val="20"/>
                <w:lang w:val="en-US"/>
              </w:rPr>
              <w:t>H. Peter Swanson</w:t>
            </w:r>
          </w:p>
          <w:p w:rsidR="00A77088" w:rsidRPr="00A77088" w:rsidRDefault="00A77088" w:rsidP="00A77088">
            <w:pPr>
              <w:keepNext/>
              <w:keepLines/>
              <w:tabs>
                <w:tab w:val="left" w:pos="-1440"/>
                <w:tab w:val="left" w:pos="-720"/>
              </w:tabs>
              <w:ind w:left="720"/>
              <w:rPr>
                <w:sz w:val="20"/>
                <w:szCs w:val="20"/>
                <w:lang w:val="en-US"/>
              </w:rPr>
            </w:pPr>
            <w:r>
              <w:rPr>
                <w:sz w:val="20"/>
                <w:szCs w:val="20"/>
                <w:lang w:val="en-US"/>
              </w:rPr>
              <w:t>Bernard LL</w:t>
            </w:r>
            <w:r w:rsidRPr="00A77088">
              <w:rPr>
                <w:sz w:val="20"/>
                <w:szCs w:val="20"/>
                <w:lang w:val="en-US"/>
              </w:rPr>
              <w:t>P</w:t>
            </w:r>
          </w:p>
          <w:p w:rsidR="00A77088" w:rsidRPr="00A77088" w:rsidRDefault="00A77088" w:rsidP="00A77088">
            <w:pPr>
              <w:keepNext/>
              <w:keepLines/>
              <w:tabs>
                <w:tab w:val="left" w:pos="-1440"/>
                <w:tab w:val="left" w:pos="-720"/>
              </w:tabs>
              <w:rPr>
                <w:sz w:val="20"/>
                <w:szCs w:val="20"/>
                <w:lang w:val="en-US"/>
              </w:rPr>
            </w:pPr>
          </w:p>
          <w:p w:rsidR="00A77088" w:rsidRPr="00A77088" w:rsidRDefault="00A77088" w:rsidP="00A77088">
            <w:pPr>
              <w:rPr>
                <w:sz w:val="20"/>
                <w:szCs w:val="20"/>
                <w:lang w:val="en-US"/>
              </w:rPr>
            </w:pPr>
            <w:r w:rsidRPr="00A77088">
              <w:rPr>
                <w:sz w:val="20"/>
                <w:szCs w:val="20"/>
                <w:lang w:val="en-US"/>
              </w:rPr>
              <w:t>FILING DATE</w:t>
            </w:r>
            <w:r w:rsidR="00D14794">
              <w:rPr>
                <w:sz w:val="20"/>
                <w:szCs w:val="20"/>
                <w:lang w:val="en-US"/>
              </w:rPr>
              <w:t>: 26</w:t>
            </w:r>
            <w:r w:rsidRPr="00A77088">
              <w:rPr>
                <w:sz w:val="20"/>
                <w:szCs w:val="20"/>
                <w:lang w:val="en-US"/>
              </w:rPr>
              <w:t>.04.2018</w:t>
            </w:r>
            <w:r w:rsidR="00FE4582">
              <w:rPr>
                <w:sz w:val="20"/>
                <w:szCs w:val="20"/>
                <w:lang w:val="fr-CA"/>
              </w:rPr>
              <w:pict>
                <v:rect id="_x0000_i1043" style="width:108pt;height:1pt" o:hrpct="0" o:hralign="center" o:hrstd="t" o:hrnoshade="t" o:hr="t" fillcolor="black [3213]" stroked="f"/>
              </w:pict>
            </w:r>
          </w:p>
          <w:p w:rsidR="001B27F4" w:rsidRPr="00A77088" w:rsidRDefault="001B27F4" w:rsidP="00AB7F09">
            <w:pPr>
              <w:keepNext/>
              <w:keepLines/>
              <w:tabs>
                <w:tab w:val="left" w:pos="-1440"/>
                <w:tab w:val="left" w:pos="-720"/>
              </w:tabs>
              <w:rPr>
                <w:b/>
                <w:sz w:val="20"/>
                <w:szCs w:val="20"/>
                <w:lang w:val="en-US"/>
              </w:rPr>
            </w:pPr>
          </w:p>
        </w:tc>
      </w:tr>
      <w:tr w:rsidR="00CE07DA" w:rsidRPr="00797FDA" w:rsidTr="00C92A23">
        <w:trPr>
          <w:trHeight w:val="2880"/>
        </w:trPr>
        <w:tc>
          <w:tcPr>
            <w:tcW w:w="4320" w:type="dxa"/>
            <w:shd w:val="clear" w:color="auto" w:fill="auto"/>
          </w:tcPr>
          <w:p w:rsidR="00CE07DA" w:rsidRPr="00CE07DA" w:rsidRDefault="00CE07DA" w:rsidP="00CE07DA">
            <w:pPr>
              <w:keepNext/>
              <w:keepLines/>
              <w:tabs>
                <w:tab w:val="left" w:pos="-1440"/>
                <w:tab w:val="left" w:pos="-720"/>
              </w:tabs>
              <w:rPr>
                <w:b/>
                <w:sz w:val="20"/>
                <w:szCs w:val="20"/>
                <w:lang w:val="en-US"/>
              </w:rPr>
            </w:pPr>
            <w:r>
              <w:rPr>
                <w:b/>
                <w:sz w:val="20"/>
                <w:szCs w:val="20"/>
                <w:lang w:val="en-US"/>
              </w:rPr>
              <w:t>Terry Tremble</w:t>
            </w:r>
          </w:p>
          <w:p w:rsidR="00CE07DA" w:rsidRPr="00CE07DA" w:rsidRDefault="00CE07DA" w:rsidP="00CE07DA">
            <w:pPr>
              <w:keepNext/>
              <w:keepLines/>
              <w:tabs>
                <w:tab w:val="left" w:pos="-1440"/>
                <w:tab w:val="left" w:pos="-720"/>
              </w:tabs>
              <w:rPr>
                <w:sz w:val="20"/>
                <w:szCs w:val="20"/>
                <w:lang w:val="en-US"/>
              </w:rPr>
            </w:pPr>
            <w:r w:rsidRPr="00CE07DA">
              <w:rPr>
                <w:sz w:val="20"/>
                <w:szCs w:val="20"/>
                <w:lang w:val="en-US"/>
              </w:rPr>
              <w:tab/>
            </w:r>
            <w:r>
              <w:rPr>
                <w:sz w:val="20"/>
                <w:szCs w:val="20"/>
                <w:lang w:val="en-US"/>
              </w:rPr>
              <w:t>James Lockyer</w:t>
            </w:r>
          </w:p>
          <w:p w:rsidR="00CE07DA" w:rsidRPr="00CE07DA" w:rsidRDefault="00CE07DA" w:rsidP="00CE07DA">
            <w:pPr>
              <w:keepNext/>
              <w:keepLines/>
              <w:tabs>
                <w:tab w:val="left" w:pos="-1440"/>
                <w:tab w:val="left" w:pos="-720"/>
              </w:tabs>
              <w:rPr>
                <w:sz w:val="20"/>
                <w:szCs w:val="20"/>
                <w:lang w:val="en-US"/>
              </w:rPr>
            </w:pPr>
            <w:r w:rsidRPr="00CE07DA">
              <w:rPr>
                <w:sz w:val="20"/>
                <w:szCs w:val="20"/>
                <w:lang w:val="en-US"/>
              </w:rPr>
              <w:tab/>
            </w:r>
            <w:r>
              <w:rPr>
                <w:sz w:val="20"/>
                <w:szCs w:val="20"/>
                <w:lang w:val="en-US"/>
              </w:rPr>
              <w:t>Lockyer Campbell Posner</w:t>
            </w:r>
          </w:p>
          <w:p w:rsidR="00CE07DA" w:rsidRPr="00CE07DA" w:rsidRDefault="00CE07DA" w:rsidP="00CE07DA">
            <w:pPr>
              <w:keepNext/>
              <w:keepLines/>
              <w:tabs>
                <w:tab w:val="left" w:pos="-1440"/>
                <w:tab w:val="left" w:pos="-720"/>
              </w:tabs>
              <w:rPr>
                <w:sz w:val="20"/>
                <w:szCs w:val="20"/>
                <w:lang w:val="en-US"/>
              </w:rPr>
            </w:pPr>
          </w:p>
          <w:p w:rsidR="00CE07DA" w:rsidRPr="00CE07DA" w:rsidRDefault="00CE07DA" w:rsidP="00CE07DA">
            <w:pPr>
              <w:keepNext/>
              <w:keepLines/>
              <w:tabs>
                <w:tab w:val="left" w:pos="-1440"/>
                <w:tab w:val="left" w:pos="-720"/>
              </w:tabs>
              <w:rPr>
                <w:sz w:val="20"/>
                <w:szCs w:val="20"/>
                <w:lang w:val="en-US"/>
              </w:rPr>
            </w:pPr>
            <w:r w:rsidRPr="00CE07DA">
              <w:rPr>
                <w:sz w:val="20"/>
                <w:szCs w:val="20"/>
                <w:lang w:val="en-US"/>
              </w:rPr>
              <w:tab/>
              <w:t>v. (</w:t>
            </w:r>
            <w:r>
              <w:rPr>
                <w:sz w:val="20"/>
                <w:szCs w:val="20"/>
                <w:lang w:val="en-US"/>
              </w:rPr>
              <w:t>38037</w:t>
            </w:r>
            <w:r w:rsidRPr="00CE07DA">
              <w:rPr>
                <w:sz w:val="20"/>
                <w:szCs w:val="20"/>
                <w:lang w:val="en-US"/>
              </w:rPr>
              <w:t>)</w:t>
            </w:r>
          </w:p>
          <w:p w:rsidR="00CE07DA" w:rsidRPr="00CE07DA" w:rsidRDefault="00CE07DA" w:rsidP="00CE07DA">
            <w:pPr>
              <w:keepNext/>
              <w:keepLines/>
              <w:tabs>
                <w:tab w:val="left" w:pos="-1440"/>
                <w:tab w:val="left" w:pos="-720"/>
              </w:tabs>
              <w:rPr>
                <w:sz w:val="20"/>
                <w:szCs w:val="20"/>
                <w:lang w:val="en-US"/>
              </w:rPr>
            </w:pPr>
          </w:p>
          <w:p w:rsidR="00CE07DA" w:rsidRPr="00CE07DA" w:rsidRDefault="00CE07DA" w:rsidP="00CE07DA">
            <w:pPr>
              <w:keepNext/>
              <w:keepLines/>
              <w:tabs>
                <w:tab w:val="left" w:pos="-1440"/>
                <w:tab w:val="left" w:pos="-720"/>
              </w:tabs>
              <w:rPr>
                <w:b/>
                <w:sz w:val="20"/>
                <w:szCs w:val="20"/>
                <w:lang w:val="en-US"/>
              </w:rPr>
            </w:pPr>
            <w:r>
              <w:rPr>
                <w:b/>
                <w:sz w:val="20"/>
                <w:szCs w:val="20"/>
                <w:lang w:val="en-US"/>
              </w:rPr>
              <w:t>Her Majesty the Queen</w:t>
            </w:r>
            <w:r w:rsidRPr="00CE07DA">
              <w:rPr>
                <w:b/>
                <w:sz w:val="20"/>
                <w:szCs w:val="20"/>
                <w:lang w:val="en-US"/>
              </w:rPr>
              <w:t xml:space="preserve"> (</w:t>
            </w:r>
            <w:r>
              <w:rPr>
                <w:b/>
                <w:sz w:val="20"/>
                <w:szCs w:val="20"/>
                <w:lang w:val="en-US"/>
              </w:rPr>
              <w:t>Ont</w:t>
            </w:r>
            <w:r w:rsidRPr="00CE07DA">
              <w:rPr>
                <w:b/>
                <w:sz w:val="20"/>
                <w:szCs w:val="20"/>
                <w:lang w:val="en-US"/>
              </w:rPr>
              <w:t>.)</w:t>
            </w:r>
          </w:p>
          <w:p w:rsidR="00CE07DA" w:rsidRPr="00A77088" w:rsidRDefault="00CE07DA" w:rsidP="00CE07DA">
            <w:pPr>
              <w:keepNext/>
              <w:keepLines/>
              <w:tabs>
                <w:tab w:val="left" w:pos="-1440"/>
                <w:tab w:val="left" w:pos="-720"/>
              </w:tabs>
              <w:rPr>
                <w:sz w:val="20"/>
                <w:szCs w:val="20"/>
                <w:lang w:val="en-US"/>
              </w:rPr>
            </w:pPr>
            <w:r w:rsidRPr="00CE07DA">
              <w:rPr>
                <w:sz w:val="20"/>
                <w:szCs w:val="20"/>
                <w:lang w:val="en-US"/>
              </w:rPr>
              <w:tab/>
            </w:r>
            <w:r>
              <w:rPr>
                <w:sz w:val="20"/>
                <w:szCs w:val="20"/>
                <w:lang w:val="en-US"/>
              </w:rPr>
              <w:t>Milan Rupic</w:t>
            </w:r>
          </w:p>
          <w:p w:rsidR="00CE07DA" w:rsidRPr="00A77088" w:rsidRDefault="00CE07DA" w:rsidP="00CE07DA">
            <w:pPr>
              <w:keepNext/>
              <w:keepLines/>
              <w:tabs>
                <w:tab w:val="left" w:pos="-1440"/>
                <w:tab w:val="left" w:pos="-720"/>
              </w:tabs>
              <w:ind w:left="720"/>
              <w:rPr>
                <w:sz w:val="20"/>
                <w:szCs w:val="20"/>
                <w:lang w:val="en-US"/>
              </w:rPr>
            </w:pPr>
            <w:r>
              <w:rPr>
                <w:sz w:val="20"/>
                <w:szCs w:val="20"/>
                <w:lang w:val="en-US"/>
              </w:rPr>
              <w:t>A.G. of Ontario</w:t>
            </w:r>
          </w:p>
          <w:p w:rsidR="00CE07DA" w:rsidRPr="00A77088" w:rsidRDefault="00CE07DA" w:rsidP="00CE07DA">
            <w:pPr>
              <w:keepNext/>
              <w:keepLines/>
              <w:tabs>
                <w:tab w:val="left" w:pos="-1440"/>
                <w:tab w:val="left" w:pos="-720"/>
              </w:tabs>
              <w:rPr>
                <w:sz w:val="20"/>
                <w:szCs w:val="20"/>
                <w:lang w:val="en-US"/>
              </w:rPr>
            </w:pPr>
          </w:p>
          <w:p w:rsidR="00CE07DA" w:rsidRPr="00A77088" w:rsidRDefault="00CE07DA" w:rsidP="00CE07DA">
            <w:pPr>
              <w:rPr>
                <w:sz w:val="20"/>
                <w:szCs w:val="20"/>
                <w:lang w:val="en-US"/>
              </w:rPr>
            </w:pPr>
            <w:r w:rsidRPr="00A77088">
              <w:rPr>
                <w:sz w:val="20"/>
                <w:szCs w:val="20"/>
                <w:lang w:val="en-US"/>
              </w:rPr>
              <w:t xml:space="preserve">FILING DATE: </w:t>
            </w:r>
            <w:r>
              <w:rPr>
                <w:sz w:val="20"/>
                <w:szCs w:val="20"/>
                <w:lang w:val="en-US"/>
              </w:rPr>
              <w:t>21</w:t>
            </w:r>
            <w:r w:rsidRPr="00A77088">
              <w:rPr>
                <w:sz w:val="20"/>
                <w:szCs w:val="20"/>
                <w:lang w:val="en-US"/>
              </w:rPr>
              <w:t>.0</w:t>
            </w:r>
            <w:r>
              <w:rPr>
                <w:sz w:val="20"/>
                <w:szCs w:val="20"/>
                <w:lang w:val="en-US"/>
              </w:rPr>
              <w:t>3</w:t>
            </w:r>
            <w:r w:rsidRPr="00A77088">
              <w:rPr>
                <w:sz w:val="20"/>
                <w:szCs w:val="20"/>
                <w:lang w:val="en-US"/>
              </w:rPr>
              <w:t>.2018</w:t>
            </w:r>
            <w:r w:rsidR="00FE4582">
              <w:rPr>
                <w:sz w:val="20"/>
                <w:szCs w:val="20"/>
                <w:lang w:val="fr-CA"/>
              </w:rPr>
              <w:pict>
                <v:rect id="_x0000_i1044" style="width:108pt;height:1pt" o:hrpct="0" o:hralign="center" o:hrstd="t" o:hrnoshade="t" o:hr="t" fillcolor="black [3213]" stroked="f"/>
              </w:pict>
            </w:r>
          </w:p>
          <w:p w:rsidR="00CE07DA" w:rsidRPr="00CE07DA" w:rsidRDefault="00CE07DA" w:rsidP="001B27F4">
            <w:pPr>
              <w:keepNext/>
              <w:keepLines/>
              <w:tabs>
                <w:tab w:val="left" w:pos="-1440"/>
                <w:tab w:val="left" w:pos="-720"/>
              </w:tabs>
              <w:rPr>
                <w:b/>
                <w:sz w:val="20"/>
                <w:szCs w:val="20"/>
                <w:lang w:val="en-US"/>
              </w:rPr>
            </w:pPr>
          </w:p>
        </w:tc>
        <w:tc>
          <w:tcPr>
            <w:tcW w:w="1181" w:type="dxa"/>
            <w:shd w:val="clear" w:color="auto" w:fill="auto"/>
          </w:tcPr>
          <w:p w:rsidR="00CE07DA" w:rsidRPr="00A77088" w:rsidRDefault="00CE07DA" w:rsidP="00242AEE">
            <w:pPr>
              <w:jc w:val="center"/>
              <w:rPr>
                <w:sz w:val="20"/>
                <w:szCs w:val="20"/>
                <w:lang w:val="en-US"/>
              </w:rPr>
            </w:pPr>
          </w:p>
        </w:tc>
        <w:tc>
          <w:tcPr>
            <w:tcW w:w="4320" w:type="dxa"/>
            <w:shd w:val="clear" w:color="auto" w:fill="auto"/>
          </w:tcPr>
          <w:p w:rsidR="00D14794" w:rsidRPr="006D3E27" w:rsidRDefault="00D14794" w:rsidP="00D14794">
            <w:pPr>
              <w:keepNext/>
              <w:keepLines/>
              <w:tabs>
                <w:tab w:val="left" w:pos="-1440"/>
                <w:tab w:val="left" w:pos="-720"/>
              </w:tabs>
              <w:rPr>
                <w:b/>
                <w:sz w:val="20"/>
                <w:szCs w:val="20"/>
                <w:lang w:val="en-US"/>
              </w:rPr>
            </w:pPr>
            <w:r>
              <w:rPr>
                <w:b/>
                <w:sz w:val="20"/>
                <w:szCs w:val="20"/>
                <w:lang w:val="en-US"/>
              </w:rPr>
              <w:t>Simone Foster</w:t>
            </w:r>
          </w:p>
          <w:p w:rsidR="00D14794" w:rsidRPr="006D3E27" w:rsidRDefault="00D14794" w:rsidP="00D14794">
            <w:pPr>
              <w:keepNext/>
              <w:keepLines/>
              <w:tabs>
                <w:tab w:val="left" w:pos="-1440"/>
                <w:tab w:val="left" w:pos="-720"/>
              </w:tabs>
              <w:rPr>
                <w:sz w:val="20"/>
                <w:szCs w:val="20"/>
                <w:lang w:val="en-US"/>
              </w:rPr>
            </w:pPr>
            <w:r w:rsidRPr="006D3E27">
              <w:rPr>
                <w:sz w:val="20"/>
                <w:szCs w:val="20"/>
                <w:lang w:val="en-US"/>
              </w:rPr>
              <w:tab/>
            </w:r>
            <w:r>
              <w:rPr>
                <w:sz w:val="20"/>
                <w:szCs w:val="20"/>
                <w:lang w:val="en-US"/>
              </w:rPr>
              <w:t>Cate Martell</w:t>
            </w:r>
          </w:p>
          <w:p w:rsidR="00D14794" w:rsidRPr="006D3E27" w:rsidRDefault="00D14794" w:rsidP="00D14794">
            <w:pPr>
              <w:keepNext/>
              <w:keepLines/>
              <w:tabs>
                <w:tab w:val="left" w:pos="-1440"/>
                <w:tab w:val="left" w:pos="-720"/>
              </w:tabs>
              <w:rPr>
                <w:sz w:val="20"/>
                <w:szCs w:val="20"/>
                <w:lang w:val="en-US"/>
              </w:rPr>
            </w:pPr>
          </w:p>
          <w:p w:rsidR="00D14794" w:rsidRPr="006D3E27" w:rsidRDefault="00D14794" w:rsidP="00D14794">
            <w:pPr>
              <w:keepNext/>
              <w:keepLines/>
              <w:tabs>
                <w:tab w:val="left" w:pos="-1440"/>
                <w:tab w:val="left" w:pos="-720"/>
              </w:tabs>
              <w:rPr>
                <w:sz w:val="20"/>
                <w:szCs w:val="20"/>
                <w:lang w:val="en-US"/>
              </w:rPr>
            </w:pPr>
            <w:r w:rsidRPr="006D3E27">
              <w:rPr>
                <w:sz w:val="20"/>
                <w:szCs w:val="20"/>
                <w:lang w:val="en-US"/>
              </w:rPr>
              <w:tab/>
              <w:t>v. (</w:t>
            </w:r>
            <w:r>
              <w:rPr>
                <w:sz w:val="20"/>
                <w:szCs w:val="20"/>
                <w:lang w:val="en-US"/>
              </w:rPr>
              <w:t>38085</w:t>
            </w:r>
            <w:r w:rsidRPr="006D3E27">
              <w:rPr>
                <w:sz w:val="20"/>
                <w:szCs w:val="20"/>
                <w:lang w:val="en-US"/>
              </w:rPr>
              <w:t>)</w:t>
            </w:r>
          </w:p>
          <w:p w:rsidR="00D14794" w:rsidRPr="006D3E27" w:rsidRDefault="00D14794" w:rsidP="00D14794">
            <w:pPr>
              <w:keepNext/>
              <w:keepLines/>
              <w:tabs>
                <w:tab w:val="left" w:pos="-1440"/>
                <w:tab w:val="left" w:pos="-720"/>
              </w:tabs>
              <w:rPr>
                <w:sz w:val="20"/>
                <w:szCs w:val="20"/>
                <w:lang w:val="en-US"/>
              </w:rPr>
            </w:pPr>
          </w:p>
          <w:p w:rsidR="00D14794" w:rsidRPr="006D3E27" w:rsidRDefault="00D14794" w:rsidP="00D14794">
            <w:pPr>
              <w:keepNext/>
              <w:keepLines/>
              <w:tabs>
                <w:tab w:val="left" w:pos="-1440"/>
                <w:tab w:val="left" w:pos="-720"/>
              </w:tabs>
              <w:rPr>
                <w:b/>
                <w:sz w:val="20"/>
                <w:szCs w:val="20"/>
                <w:lang w:val="en-US"/>
              </w:rPr>
            </w:pPr>
            <w:r>
              <w:rPr>
                <w:b/>
                <w:sz w:val="20"/>
                <w:szCs w:val="20"/>
                <w:lang w:val="en-US"/>
              </w:rPr>
              <w:t>Her Majesty the Queen</w:t>
            </w:r>
            <w:r w:rsidRPr="006D3E27">
              <w:rPr>
                <w:b/>
                <w:sz w:val="20"/>
                <w:szCs w:val="20"/>
                <w:lang w:val="en-US"/>
              </w:rPr>
              <w:t xml:space="preserve"> (</w:t>
            </w:r>
            <w:r w:rsidR="000838C6">
              <w:rPr>
                <w:b/>
                <w:sz w:val="20"/>
                <w:szCs w:val="20"/>
                <w:lang w:val="en-US"/>
              </w:rPr>
              <w:t>Ont</w:t>
            </w:r>
            <w:r w:rsidRPr="006D3E27">
              <w:rPr>
                <w:b/>
                <w:sz w:val="20"/>
                <w:szCs w:val="20"/>
                <w:lang w:val="en-US"/>
              </w:rPr>
              <w:t>.)</w:t>
            </w:r>
          </w:p>
          <w:p w:rsidR="00D14794" w:rsidRPr="00A77088" w:rsidRDefault="00D14794" w:rsidP="00D14794">
            <w:pPr>
              <w:keepNext/>
              <w:keepLines/>
              <w:tabs>
                <w:tab w:val="left" w:pos="-1440"/>
                <w:tab w:val="left" w:pos="-720"/>
              </w:tabs>
              <w:rPr>
                <w:sz w:val="20"/>
                <w:szCs w:val="20"/>
                <w:lang w:val="en-US"/>
              </w:rPr>
            </w:pPr>
            <w:r w:rsidRPr="006D3E27">
              <w:rPr>
                <w:sz w:val="20"/>
                <w:szCs w:val="20"/>
                <w:lang w:val="en-US"/>
              </w:rPr>
              <w:tab/>
            </w:r>
            <w:r>
              <w:rPr>
                <w:sz w:val="20"/>
                <w:szCs w:val="20"/>
                <w:lang w:val="en-US"/>
              </w:rPr>
              <w:t>Xenia Proestos</w:t>
            </w:r>
          </w:p>
          <w:p w:rsidR="00D14794" w:rsidRPr="00A77088" w:rsidRDefault="00D14794" w:rsidP="00D14794">
            <w:pPr>
              <w:keepNext/>
              <w:keepLines/>
              <w:tabs>
                <w:tab w:val="left" w:pos="-1440"/>
                <w:tab w:val="left" w:pos="-720"/>
              </w:tabs>
              <w:ind w:left="720"/>
              <w:rPr>
                <w:sz w:val="20"/>
                <w:szCs w:val="20"/>
                <w:lang w:val="en-US"/>
              </w:rPr>
            </w:pPr>
            <w:r>
              <w:rPr>
                <w:sz w:val="20"/>
                <w:szCs w:val="20"/>
                <w:lang w:val="en-US"/>
              </w:rPr>
              <w:t>Public Prosecution Service of Canada</w:t>
            </w:r>
          </w:p>
          <w:p w:rsidR="00D14794" w:rsidRPr="00A77088" w:rsidRDefault="00D14794" w:rsidP="00D14794">
            <w:pPr>
              <w:keepNext/>
              <w:keepLines/>
              <w:tabs>
                <w:tab w:val="left" w:pos="-1440"/>
                <w:tab w:val="left" w:pos="-720"/>
              </w:tabs>
              <w:rPr>
                <w:sz w:val="20"/>
                <w:szCs w:val="20"/>
                <w:lang w:val="en-US"/>
              </w:rPr>
            </w:pPr>
          </w:p>
          <w:p w:rsidR="00D14794" w:rsidRPr="00A77088" w:rsidRDefault="00D14794" w:rsidP="00D14794">
            <w:pPr>
              <w:rPr>
                <w:sz w:val="20"/>
                <w:szCs w:val="20"/>
                <w:lang w:val="en-US"/>
              </w:rPr>
            </w:pPr>
            <w:r w:rsidRPr="00A77088">
              <w:rPr>
                <w:sz w:val="20"/>
                <w:szCs w:val="20"/>
                <w:lang w:val="en-US"/>
              </w:rPr>
              <w:t>FILING DATE: 2</w:t>
            </w:r>
            <w:r>
              <w:rPr>
                <w:sz w:val="20"/>
                <w:szCs w:val="20"/>
                <w:lang w:val="en-US"/>
              </w:rPr>
              <w:t>3</w:t>
            </w:r>
            <w:r w:rsidRPr="00A77088">
              <w:rPr>
                <w:sz w:val="20"/>
                <w:szCs w:val="20"/>
                <w:lang w:val="en-US"/>
              </w:rPr>
              <w:t>.04.2018</w:t>
            </w:r>
            <w:r w:rsidR="00FE4582">
              <w:rPr>
                <w:sz w:val="20"/>
                <w:szCs w:val="20"/>
                <w:lang w:val="fr-CA"/>
              </w:rPr>
              <w:pict>
                <v:rect id="_x0000_i1045" style="width:108pt;height:1pt" o:hrpct="0" o:hralign="center" o:hrstd="t" o:hrnoshade="t" o:hr="t" fillcolor="black [3213]" stroked="f"/>
              </w:pict>
            </w:r>
          </w:p>
          <w:p w:rsidR="00CE07DA" w:rsidRPr="00797FDA" w:rsidRDefault="00CE07DA" w:rsidP="00D14794">
            <w:pPr>
              <w:rPr>
                <w:b/>
                <w:sz w:val="20"/>
                <w:szCs w:val="20"/>
                <w:lang w:val="en-US"/>
              </w:rPr>
            </w:pPr>
          </w:p>
        </w:tc>
      </w:tr>
      <w:tr w:rsidR="00797FDA" w:rsidRPr="00797FDA" w:rsidTr="00C92A23">
        <w:trPr>
          <w:trHeight w:val="2880"/>
        </w:trPr>
        <w:tc>
          <w:tcPr>
            <w:tcW w:w="4320" w:type="dxa"/>
            <w:shd w:val="clear" w:color="auto" w:fill="auto"/>
          </w:tcPr>
          <w:p w:rsidR="00723A22" w:rsidRPr="00723A22" w:rsidRDefault="00723A22" w:rsidP="00723A22">
            <w:pPr>
              <w:keepNext/>
              <w:keepLines/>
              <w:tabs>
                <w:tab w:val="left" w:pos="-1440"/>
                <w:tab w:val="left" w:pos="-720"/>
              </w:tabs>
              <w:rPr>
                <w:b/>
                <w:sz w:val="20"/>
                <w:szCs w:val="20"/>
                <w:lang w:val="en-US"/>
              </w:rPr>
            </w:pPr>
            <w:r>
              <w:rPr>
                <w:b/>
                <w:sz w:val="20"/>
                <w:szCs w:val="20"/>
                <w:lang w:val="en-US"/>
              </w:rPr>
              <w:lastRenderedPageBreak/>
              <w:t>Lawyers’ Professional Indemnity Company</w:t>
            </w:r>
          </w:p>
          <w:p w:rsidR="00723A22" w:rsidRPr="00723A22" w:rsidRDefault="00723A22" w:rsidP="00723A22">
            <w:pPr>
              <w:keepNext/>
              <w:keepLines/>
              <w:tabs>
                <w:tab w:val="left" w:pos="-1440"/>
                <w:tab w:val="left" w:pos="-720"/>
              </w:tabs>
              <w:rPr>
                <w:sz w:val="20"/>
                <w:szCs w:val="20"/>
                <w:lang w:val="en-US"/>
              </w:rPr>
            </w:pPr>
            <w:r w:rsidRPr="00723A22">
              <w:rPr>
                <w:sz w:val="20"/>
                <w:szCs w:val="20"/>
                <w:lang w:val="en-US"/>
              </w:rPr>
              <w:tab/>
            </w:r>
            <w:r>
              <w:rPr>
                <w:sz w:val="20"/>
                <w:szCs w:val="20"/>
                <w:lang w:val="en-US"/>
              </w:rPr>
              <w:t>Kim G. Ferreira</w:t>
            </w:r>
          </w:p>
          <w:p w:rsidR="00723A22" w:rsidRPr="00723A22" w:rsidRDefault="00723A22" w:rsidP="00723A22">
            <w:pPr>
              <w:keepNext/>
              <w:keepLines/>
              <w:tabs>
                <w:tab w:val="left" w:pos="-1440"/>
                <w:tab w:val="left" w:pos="-720"/>
              </w:tabs>
              <w:rPr>
                <w:sz w:val="20"/>
                <w:szCs w:val="20"/>
                <w:lang w:val="fr-CA"/>
              </w:rPr>
            </w:pPr>
            <w:r w:rsidRPr="00723A22">
              <w:rPr>
                <w:sz w:val="20"/>
                <w:szCs w:val="20"/>
                <w:lang w:val="en-US"/>
              </w:rPr>
              <w:tab/>
            </w:r>
            <w:r w:rsidRPr="00723A22">
              <w:rPr>
                <w:sz w:val="20"/>
                <w:szCs w:val="20"/>
                <w:lang w:val="fr-CA"/>
              </w:rPr>
              <w:t>Speigel Nichols Fox LLP</w:t>
            </w:r>
          </w:p>
          <w:p w:rsidR="00723A22" w:rsidRPr="00723A22" w:rsidRDefault="00723A22" w:rsidP="00723A22">
            <w:pPr>
              <w:keepNext/>
              <w:keepLines/>
              <w:tabs>
                <w:tab w:val="left" w:pos="-1440"/>
                <w:tab w:val="left" w:pos="-720"/>
              </w:tabs>
              <w:rPr>
                <w:sz w:val="20"/>
                <w:szCs w:val="20"/>
                <w:lang w:val="fr-CA"/>
              </w:rPr>
            </w:pPr>
          </w:p>
          <w:p w:rsidR="00723A22" w:rsidRPr="00723A22" w:rsidRDefault="00723A22" w:rsidP="00723A22">
            <w:pPr>
              <w:keepNext/>
              <w:keepLines/>
              <w:tabs>
                <w:tab w:val="left" w:pos="-1440"/>
                <w:tab w:val="left" w:pos="-720"/>
              </w:tabs>
              <w:rPr>
                <w:sz w:val="20"/>
                <w:szCs w:val="20"/>
                <w:lang w:val="fr-CA"/>
              </w:rPr>
            </w:pPr>
            <w:r w:rsidRPr="00723A22">
              <w:rPr>
                <w:sz w:val="20"/>
                <w:szCs w:val="20"/>
                <w:lang w:val="fr-CA"/>
              </w:rPr>
              <w:tab/>
              <w:t>v. (38076)</w:t>
            </w:r>
          </w:p>
          <w:p w:rsidR="00723A22" w:rsidRPr="00723A22" w:rsidRDefault="00723A22" w:rsidP="00723A22">
            <w:pPr>
              <w:keepNext/>
              <w:keepLines/>
              <w:tabs>
                <w:tab w:val="left" w:pos="-1440"/>
                <w:tab w:val="left" w:pos="-720"/>
              </w:tabs>
              <w:rPr>
                <w:sz w:val="20"/>
                <w:szCs w:val="20"/>
                <w:lang w:val="fr-CA"/>
              </w:rPr>
            </w:pPr>
          </w:p>
          <w:p w:rsidR="00723A22" w:rsidRPr="00723A22" w:rsidRDefault="00723A22" w:rsidP="00723A22">
            <w:pPr>
              <w:keepNext/>
              <w:keepLines/>
              <w:tabs>
                <w:tab w:val="left" w:pos="-1440"/>
                <w:tab w:val="left" w:pos="-720"/>
              </w:tabs>
              <w:rPr>
                <w:b/>
                <w:sz w:val="20"/>
                <w:szCs w:val="20"/>
                <w:lang w:val="en-US"/>
              </w:rPr>
            </w:pPr>
            <w:r>
              <w:rPr>
                <w:b/>
                <w:sz w:val="20"/>
                <w:szCs w:val="20"/>
                <w:lang w:val="en-US"/>
              </w:rPr>
              <w:t>Mauricio Rodriguez</w:t>
            </w:r>
            <w:r w:rsidRPr="00723A22">
              <w:rPr>
                <w:b/>
                <w:sz w:val="20"/>
                <w:szCs w:val="20"/>
                <w:lang w:val="en-US"/>
              </w:rPr>
              <w:t xml:space="preserve"> (</w:t>
            </w:r>
            <w:r>
              <w:rPr>
                <w:b/>
                <w:sz w:val="20"/>
                <w:szCs w:val="20"/>
                <w:lang w:val="en-US"/>
              </w:rPr>
              <w:t>Ont</w:t>
            </w:r>
            <w:r w:rsidRPr="00723A22">
              <w:rPr>
                <w:b/>
                <w:sz w:val="20"/>
                <w:szCs w:val="20"/>
                <w:lang w:val="en-US"/>
              </w:rPr>
              <w:t>.)</w:t>
            </w:r>
          </w:p>
          <w:p w:rsidR="00723A22" w:rsidRPr="00A77088" w:rsidRDefault="00723A22" w:rsidP="00723A22">
            <w:pPr>
              <w:keepNext/>
              <w:keepLines/>
              <w:tabs>
                <w:tab w:val="left" w:pos="-1440"/>
                <w:tab w:val="left" w:pos="-720"/>
              </w:tabs>
              <w:rPr>
                <w:sz w:val="20"/>
                <w:szCs w:val="20"/>
                <w:lang w:val="en-US"/>
              </w:rPr>
            </w:pPr>
            <w:r w:rsidRPr="00723A22">
              <w:rPr>
                <w:sz w:val="20"/>
                <w:szCs w:val="20"/>
                <w:lang w:val="en-US"/>
              </w:rPr>
              <w:tab/>
            </w:r>
            <w:r>
              <w:rPr>
                <w:sz w:val="20"/>
                <w:szCs w:val="20"/>
                <w:lang w:val="en-US"/>
              </w:rPr>
              <w:t>Ronald Allan</w:t>
            </w:r>
          </w:p>
          <w:p w:rsidR="00723A22" w:rsidRPr="00A77088" w:rsidRDefault="00723A22" w:rsidP="00723A22">
            <w:pPr>
              <w:keepNext/>
              <w:keepLines/>
              <w:tabs>
                <w:tab w:val="left" w:pos="-1440"/>
                <w:tab w:val="left" w:pos="-720"/>
              </w:tabs>
              <w:ind w:left="720"/>
              <w:rPr>
                <w:sz w:val="20"/>
                <w:szCs w:val="20"/>
                <w:lang w:val="en-US"/>
              </w:rPr>
            </w:pPr>
            <w:r>
              <w:rPr>
                <w:sz w:val="20"/>
                <w:szCs w:val="20"/>
                <w:lang w:val="en-US"/>
              </w:rPr>
              <w:t>Vitulli law Group</w:t>
            </w:r>
          </w:p>
          <w:p w:rsidR="00723A22" w:rsidRPr="00A77088" w:rsidRDefault="00723A22" w:rsidP="00723A22">
            <w:pPr>
              <w:keepNext/>
              <w:keepLines/>
              <w:tabs>
                <w:tab w:val="left" w:pos="-1440"/>
                <w:tab w:val="left" w:pos="-720"/>
              </w:tabs>
              <w:rPr>
                <w:sz w:val="20"/>
                <w:szCs w:val="20"/>
                <w:lang w:val="en-US"/>
              </w:rPr>
            </w:pPr>
          </w:p>
          <w:p w:rsidR="00723A22" w:rsidRPr="00A77088" w:rsidRDefault="00723A22" w:rsidP="00723A22">
            <w:pPr>
              <w:rPr>
                <w:sz w:val="20"/>
                <w:szCs w:val="20"/>
                <w:lang w:val="en-US"/>
              </w:rPr>
            </w:pPr>
            <w:r w:rsidRPr="00A77088">
              <w:rPr>
                <w:sz w:val="20"/>
                <w:szCs w:val="20"/>
                <w:lang w:val="en-US"/>
              </w:rPr>
              <w:t xml:space="preserve">FILING DATE: </w:t>
            </w:r>
            <w:r>
              <w:rPr>
                <w:sz w:val="20"/>
                <w:szCs w:val="20"/>
                <w:lang w:val="en-US"/>
              </w:rPr>
              <w:t>23</w:t>
            </w:r>
            <w:r w:rsidRPr="00A77088">
              <w:rPr>
                <w:sz w:val="20"/>
                <w:szCs w:val="20"/>
                <w:lang w:val="en-US"/>
              </w:rPr>
              <w:t>.04.2018</w:t>
            </w:r>
            <w:r w:rsidR="00FE4582">
              <w:rPr>
                <w:sz w:val="20"/>
                <w:szCs w:val="20"/>
                <w:lang w:val="fr-CA"/>
              </w:rPr>
              <w:pict>
                <v:rect id="_x0000_i1046" style="width:108pt;height:1pt" o:hrpct="0" o:hralign="center" o:hrstd="t" o:hrnoshade="t" o:hr="t" fillcolor="black [3213]" stroked="f"/>
              </w:pict>
            </w:r>
          </w:p>
          <w:p w:rsidR="00797FDA" w:rsidRDefault="00797FDA" w:rsidP="00CE07DA">
            <w:pPr>
              <w:keepNext/>
              <w:keepLines/>
              <w:tabs>
                <w:tab w:val="left" w:pos="-1440"/>
                <w:tab w:val="left" w:pos="-720"/>
              </w:tabs>
              <w:rPr>
                <w:b/>
                <w:sz w:val="20"/>
                <w:szCs w:val="20"/>
                <w:lang w:val="en-US"/>
              </w:rPr>
            </w:pPr>
          </w:p>
        </w:tc>
        <w:tc>
          <w:tcPr>
            <w:tcW w:w="1181" w:type="dxa"/>
            <w:shd w:val="clear" w:color="auto" w:fill="auto"/>
          </w:tcPr>
          <w:p w:rsidR="00797FDA" w:rsidRPr="00A77088" w:rsidRDefault="00797FDA" w:rsidP="00242AEE">
            <w:pPr>
              <w:jc w:val="center"/>
              <w:rPr>
                <w:sz w:val="20"/>
                <w:szCs w:val="20"/>
                <w:lang w:val="en-US"/>
              </w:rPr>
            </w:pPr>
          </w:p>
        </w:tc>
        <w:tc>
          <w:tcPr>
            <w:tcW w:w="4320" w:type="dxa"/>
            <w:shd w:val="clear" w:color="auto" w:fill="auto"/>
          </w:tcPr>
          <w:p w:rsidR="001F7B71" w:rsidRPr="001F7B71" w:rsidRDefault="001F7B71" w:rsidP="001F7B71">
            <w:pPr>
              <w:keepNext/>
              <w:keepLines/>
              <w:tabs>
                <w:tab w:val="left" w:pos="-1440"/>
                <w:tab w:val="left" w:pos="-720"/>
              </w:tabs>
              <w:rPr>
                <w:b/>
                <w:sz w:val="20"/>
                <w:szCs w:val="20"/>
                <w:lang w:val="en-US"/>
              </w:rPr>
            </w:pPr>
            <w:r>
              <w:rPr>
                <w:b/>
                <w:sz w:val="20"/>
                <w:szCs w:val="20"/>
                <w:lang w:val="en-US"/>
              </w:rPr>
              <w:t>Ashley Cardinal</w:t>
            </w:r>
          </w:p>
          <w:p w:rsidR="001F7B71" w:rsidRPr="001F7B71" w:rsidRDefault="001F7B71" w:rsidP="001F7B71">
            <w:pPr>
              <w:keepNext/>
              <w:keepLines/>
              <w:tabs>
                <w:tab w:val="left" w:pos="-1440"/>
                <w:tab w:val="left" w:pos="-720"/>
              </w:tabs>
              <w:rPr>
                <w:sz w:val="20"/>
                <w:szCs w:val="20"/>
                <w:lang w:val="en-US"/>
              </w:rPr>
            </w:pPr>
            <w:r w:rsidRPr="001F7B71">
              <w:rPr>
                <w:sz w:val="20"/>
                <w:szCs w:val="20"/>
                <w:lang w:val="en-US"/>
              </w:rPr>
              <w:tab/>
            </w:r>
            <w:r>
              <w:rPr>
                <w:sz w:val="20"/>
                <w:szCs w:val="20"/>
                <w:lang w:val="en-US"/>
              </w:rPr>
              <w:t>Senia Tarrabain</w:t>
            </w:r>
          </w:p>
          <w:p w:rsidR="001F7B71" w:rsidRPr="001F7B71" w:rsidRDefault="001F7B71" w:rsidP="001F7B71">
            <w:pPr>
              <w:keepNext/>
              <w:keepLines/>
              <w:tabs>
                <w:tab w:val="left" w:pos="-1440"/>
                <w:tab w:val="left" w:pos="-720"/>
              </w:tabs>
              <w:rPr>
                <w:sz w:val="20"/>
                <w:szCs w:val="20"/>
                <w:lang w:val="en-US"/>
              </w:rPr>
            </w:pPr>
            <w:r w:rsidRPr="001F7B71">
              <w:rPr>
                <w:sz w:val="20"/>
                <w:szCs w:val="20"/>
                <w:lang w:val="en-US"/>
              </w:rPr>
              <w:tab/>
            </w:r>
            <w:r>
              <w:rPr>
                <w:sz w:val="20"/>
                <w:szCs w:val="20"/>
                <w:lang w:val="en-US"/>
              </w:rPr>
              <w:t>Tarrabain Law</w:t>
            </w:r>
          </w:p>
          <w:p w:rsidR="001F7B71" w:rsidRPr="001F7B71" w:rsidRDefault="001F7B71" w:rsidP="001F7B71">
            <w:pPr>
              <w:keepNext/>
              <w:keepLines/>
              <w:tabs>
                <w:tab w:val="left" w:pos="-1440"/>
                <w:tab w:val="left" w:pos="-720"/>
              </w:tabs>
              <w:rPr>
                <w:sz w:val="20"/>
                <w:szCs w:val="20"/>
                <w:lang w:val="en-US"/>
              </w:rPr>
            </w:pPr>
          </w:p>
          <w:p w:rsidR="001F7B71" w:rsidRPr="001F7B71" w:rsidRDefault="001F7B71" w:rsidP="001F7B71">
            <w:pPr>
              <w:keepNext/>
              <w:keepLines/>
              <w:tabs>
                <w:tab w:val="left" w:pos="-1440"/>
                <w:tab w:val="left" w:pos="-720"/>
              </w:tabs>
              <w:rPr>
                <w:sz w:val="20"/>
                <w:szCs w:val="20"/>
                <w:lang w:val="en-US"/>
              </w:rPr>
            </w:pPr>
            <w:r w:rsidRPr="001F7B71">
              <w:rPr>
                <w:sz w:val="20"/>
                <w:szCs w:val="20"/>
                <w:lang w:val="en-US"/>
              </w:rPr>
              <w:tab/>
              <w:t>v. (</w:t>
            </w:r>
            <w:r>
              <w:rPr>
                <w:sz w:val="20"/>
                <w:szCs w:val="20"/>
                <w:lang w:val="en-US"/>
              </w:rPr>
              <w:t>38069</w:t>
            </w:r>
            <w:r w:rsidRPr="001F7B71">
              <w:rPr>
                <w:sz w:val="20"/>
                <w:szCs w:val="20"/>
                <w:lang w:val="en-US"/>
              </w:rPr>
              <w:t>)</w:t>
            </w:r>
          </w:p>
          <w:p w:rsidR="001F7B71" w:rsidRPr="001F7B71" w:rsidRDefault="001F7B71" w:rsidP="001F7B71">
            <w:pPr>
              <w:keepNext/>
              <w:keepLines/>
              <w:tabs>
                <w:tab w:val="left" w:pos="-1440"/>
                <w:tab w:val="left" w:pos="-720"/>
              </w:tabs>
              <w:rPr>
                <w:sz w:val="20"/>
                <w:szCs w:val="20"/>
                <w:lang w:val="en-US"/>
              </w:rPr>
            </w:pPr>
          </w:p>
          <w:p w:rsidR="001F7B71" w:rsidRPr="001F7B71" w:rsidRDefault="001F7B71" w:rsidP="001F7B71">
            <w:pPr>
              <w:keepNext/>
              <w:keepLines/>
              <w:tabs>
                <w:tab w:val="left" w:pos="-1440"/>
                <w:tab w:val="left" w:pos="-720"/>
              </w:tabs>
              <w:rPr>
                <w:b/>
                <w:sz w:val="20"/>
                <w:szCs w:val="20"/>
                <w:lang w:val="en-US"/>
              </w:rPr>
            </w:pPr>
            <w:r>
              <w:rPr>
                <w:b/>
                <w:sz w:val="20"/>
                <w:szCs w:val="20"/>
                <w:lang w:val="en-US"/>
              </w:rPr>
              <w:t>Alberta Moto</w:t>
            </w:r>
            <w:r w:rsidR="000838C6">
              <w:rPr>
                <w:b/>
                <w:sz w:val="20"/>
                <w:szCs w:val="20"/>
                <w:lang w:val="en-US"/>
              </w:rPr>
              <w:t>r</w:t>
            </w:r>
            <w:r>
              <w:rPr>
                <w:b/>
                <w:sz w:val="20"/>
                <w:szCs w:val="20"/>
                <w:lang w:val="en-US"/>
              </w:rPr>
              <w:t xml:space="preserve"> Association Insurance Company </w:t>
            </w:r>
            <w:r w:rsidRPr="001F7B71">
              <w:rPr>
                <w:b/>
                <w:sz w:val="20"/>
                <w:szCs w:val="20"/>
                <w:lang w:val="en-US"/>
              </w:rPr>
              <w:t>(</w:t>
            </w:r>
            <w:r>
              <w:rPr>
                <w:b/>
                <w:sz w:val="20"/>
                <w:szCs w:val="20"/>
                <w:lang w:val="en-US"/>
              </w:rPr>
              <w:t>Alta</w:t>
            </w:r>
            <w:r w:rsidRPr="001F7B71">
              <w:rPr>
                <w:b/>
                <w:sz w:val="20"/>
                <w:szCs w:val="20"/>
                <w:lang w:val="en-US"/>
              </w:rPr>
              <w:t>.)</w:t>
            </w:r>
          </w:p>
          <w:p w:rsidR="001F7B71" w:rsidRPr="00A77088" w:rsidRDefault="001F7B71" w:rsidP="001F7B71">
            <w:pPr>
              <w:keepNext/>
              <w:keepLines/>
              <w:tabs>
                <w:tab w:val="left" w:pos="-1440"/>
                <w:tab w:val="left" w:pos="-720"/>
              </w:tabs>
              <w:rPr>
                <w:sz w:val="20"/>
                <w:szCs w:val="20"/>
                <w:lang w:val="en-US"/>
              </w:rPr>
            </w:pPr>
            <w:r w:rsidRPr="001F7B71">
              <w:rPr>
                <w:sz w:val="20"/>
                <w:szCs w:val="20"/>
                <w:lang w:val="en-US"/>
              </w:rPr>
              <w:tab/>
            </w:r>
            <w:r>
              <w:rPr>
                <w:sz w:val="20"/>
                <w:szCs w:val="20"/>
                <w:lang w:val="en-US"/>
              </w:rPr>
              <w:t>Michelle E. Grose</w:t>
            </w:r>
          </w:p>
          <w:p w:rsidR="001F7B71" w:rsidRPr="00A77088" w:rsidRDefault="001F7B71" w:rsidP="001F7B71">
            <w:pPr>
              <w:keepNext/>
              <w:keepLines/>
              <w:tabs>
                <w:tab w:val="left" w:pos="-1440"/>
                <w:tab w:val="left" w:pos="-720"/>
              </w:tabs>
              <w:ind w:left="720"/>
              <w:rPr>
                <w:sz w:val="20"/>
                <w:szCs w:val="20"/>
                <w:lang w:val="en-US"/>
              </w:rPr>
            </w:pPr>
            <w:r>
              <w:rPr>
                <w:sz w:val="20"/>
                <w:szCs w:val="20"/>
                <w:lang w:val="en-US"/>
              </w:rPr>
              <w:t>Dean Ducke</w:t>
            </w:r>
            <w:r w:rsidR="000838C6">
              <w:rPr>
                <w:sz w:val="20"/>
                <w:szCs w:val="20"/>
                <w:lang w:val="en-US"/>
              </w:rPr>
              <w:t>tt</w:t>
            </w:r>
            <w:r>
              <w:rPr>
                <w:sz w:val="20"/>
                <w:szCs w:val="20"/>
                <w:lang w:val="en-US"/>
              </w:rPr>
              <w:t xml:space="preserve"> Carlson LLP</w:t>
            </w:r>
          </w:p>
          <w:p w:rsidR="001F7B71" w:rsidRPr="00A77088" w:rsidRDefault="001F7B71" w:rsidP="001F7B71">
            <w:pPr>
              <w:keepNext/>
              <w:keepLines/>
              <w:tabs>
                <w:tab w:val="left" w:pos="-1440"/>
                <w:tab w:val="left" w:pos="-720"/>
              </w:tabs>
              <w:rPr>
                <w:sz w:val="20"/>
                <w:szCs w:val="20"/>
                <w:lang w:val="en-US"/>
              </w:rPr>
            </w:pPr>
          </w:p>
          <w:p w:rsidR="001F7B71" w:rsidRPr="00A77088" w:rsidRDefault="001F7B71" w:rsidP="001F7B71">
            <w:pPr>
              <w:rPr>
                <w:sz w:val="20"/>
                <w:szCs w:val="20"/>
                <w:lang w:val="en-US"/>
              </w:rPr>
            </w:pPr>
            <w:r w:rsidRPr="00A77088">
              <w:rPr>
                <w:sz w:val="20"/>
                <w:szCs w:val="20"/>
                <w:lang w:val="en-US"/>
              </w:rPr>
              <w:t xml:space="preserve">FILING DATE: </w:t>
            </w:r>
            <w:r>
              <w:rPr>
                <w:sz w:val="20"/>
                <w:szCs w:val="20"/>
                <w:lang w:val="en-US"/>
              </w:rPr>
              <w:t>18</w:t>
            </w:r>
            <w:r w:rsidRPr="00A77088">
              <w:rPr>
                <w:sz w:val="20"/>
                <w:szCs w:val="20"/>
                <w:lang w:val="en-US"/>
              </w:rPr>
              <w:t>.04.2018</w:t>
            </w:r>
            <w:r w:rsidR="00FE4582">
              <w:rPr>
                <w:sz w:val="20"/>
                <w:szCs w:val="20"/>
                <w:lang w:val="fr-CA"/>
              </w:rPr>
              <w:pict>
                <v:rect id="_x0000_i1047" style="width:108pt;height:1pt" o:hrpct="0" o:hralign="center" o:hrstd="t" o:hrnoshade="t" o:hr="t" fillcolor="black [3213]" stroked="f"/>
              </w:pict>
            </w:r>
          </w:p>
          <w:p w:rsidR="00797FDA" w:rsidRDefault="00797FDA" w:rsidP="00797FDA">
            <w:pPr>
              <w:keepNext/>
              <w:keepLines/>
              <w:tabs>
                <w:tab w:val="left" w:pos="-1440"/>
                <w:tab w:val="left" w:pos="-720"/>
              </w:tabs>
              <w:rPr>
                <w:b/>
                <w:sz w:val="20"/>
                <w:szCs w:val="20"/>
                <w:lang w:val="en-US"/>
              </w:rPr>
            </w:pPr>
          </w:p>
        </w:tc>
      </w:tr>
      <w:tr w:rsidR="00D32CFC" w:rsidRPr="00797FDA" w:rsidTr="00C92A23">
        <w:trPr>
          <w:trHeight w:val="2880"/>
        </w:trPr>
        <w:tc>
          <w:tcPr>
            <w:tcW w:w="4320" w:type="dxa"/>
            <w:shd w:val="clear" w:color="auto" w:fill="auto"/>
          </w:tcPr>
          <w:p w:rsidR="00D32CFC" w:rsidRPr="00D32CFC" w:rsidRDefault="00D32CFC" w:rsidP="00D32CFC">
            <w:pPr>
              <w:keepNext/>
              <w:keepLines/>
              <w:tabs>
                <w:tab w:val="left" w:pos="-1440"/>
                <w:tab w:val="left" w:pos="-720"/>
              </w:tabs>
              <w:rPr>
                <w:b/>
                <w:sz w:val="20"/>
                <w:szCs w:val="20"/>
                <w:lang w:val="en-US"/>
              </w:rPr>
            </w:pPr>
            <w:r>
              <w:rPr>
                <w:b/>
                <w:sz w:val="20"/>
                <w:szCs w:val="20"/>
                <w:lang w:val="en-US"/>
              </w:rPr>
              <w:t>Saul Robinowitz et al.</w:t>
            </w:r>
          </w:p>
          <w:p w:rsidR="00D32CFC" w:rsidRPr="00D32CFC" w:rsidRDefault="00D32CFC" w:rsidP="00D32CFC">
            <w:pPr>
              <w:keepNext/>
              <w:keepLines/>
              <w:tabs>
                <w:tab w:val="left" w:pos="-1440"/>
                <w:tab w:val="left" w:pos="-720"/>
              </w:tabs>
              <w:rPr>
                <w:sz w:val="20"/>
                <w:szCs w:val="20"/>
                <w:lang w:val="en-US"/>
              </w:rPr>
            </w:pPr>
            <w:r w:rsidRPr="00D32CFC">
              <w:rPr>
                <w:sz w:val="20"/>
                <w:szCs w:val="20"/>
                <w:lang w:val="en-US"/>
              </w:rPr>
              <w:tab/>
            </w:r>
            <w:r>
              <w:rPr>
                <w:sz w:val="20"/>
                <w:szCs w:val="20"/>
                <w:lang w:val="en-US"/>
              </w:rPr>
              <w:t>John Adair</w:t>
            </w:r>
          </w:p>
          <w:p w:rsidR="00D32CFC" w:rsidRPr="00D32CFC" w:rsidRDefault="00D32CFC" w:rsidP="00D32CFC">
            <w:pPr>
              <w:keepNext/>
              <w:keepLines/>
              <w:tabs>
                <w:tab w:val="left" w:pos="-1440"/>
                <w:tab w:val="left" w:pos="-720"/>
              </w:tabs>
              <w:rPr>
                <w:sz w:val="20"/>
                <w:szCs w:val="20"/>
                <w:lang w:val="en-US"/>
              </w:rPr>
            </w:pPr>
            <w:r w:rsidRPr="00D32CFC">
              <w:rPr>
                <w:sz w:val="20"/>
                <w:szCs w:val="20"/>
                <w:lang w:val="en-US"/>
              </w:rPr>
              <w:tab/>
            </w:r>
            <w:r>
              <w:rPr>
                <w:sz w:val="20"/>
                <w:szCs w:val="20"/>
                <w:lang w:val="en-US"/>
              </w:rPr>
              <w:t>Adair Goldblatt Bieber LLP</w:t>
            </w:r>
          </w:p>
          <w:p w:rsidR="00D32CFC" w:rsidRPr="00D32CFC" w:rsidRDefault="00D32CFC" w:rsidP="00D32CFC">
            <w:pPr>
              <w:keepNext/>
              <w:keepLines/>
              <w:tabs>
                <w:tab w:val="left" w:pos="-1440"/>
                <w:tab w:val="left" w:pos="-720"/>
              </w:tabs>
              <w:rPr>
                <w:sz w:val="20"/>
                <w:szCs w:val="20"/>
                <w:lang w:val="en-US"/>
              </w:rPr>
            </w:pPr>
          </w:p>
          <w:p w:rsidR="00D32CFC" w:rsidRPr="00D32CFC" w:rsidRDefault="00D32CFC" w:rsidP="00D32CFC">
            <w:pPr>
              <w:keepNext/>
              <w:keepLines/>
              <w:tabs>
                <w:tab w:val="left" w:pos="-1440"/>
                <w:tab w:val="left" w:pos="-720"/>
              </w:tabs>
              <w:rPr>
                <w:sz w:val="20"/>
                <w:szCs w:val="20"/>
                <w:lang w:val="en-US"/>
              </w:rPr>
            </w:pPr>
            <w:r w:rsidRPr="00D32CFC">
              <w:rPr>
                <w:sz w:val="20"/>
                <w:szCs w:val="20"/>
                <w:lang w:val="en-US"/>
              </w:rPr>
              <w:tab/>
              <w:t>v. (</w:t>
            </w:r>
            <w:r>
              <w:rPr>
                <w:sz w:val="20"/>
                <w:szCs w:val="20"/>
                <w:lang w:val="en-US"/>
              </w:rPr>
              <w:t>38048</w:t>
            </w:r>
            <w:r w:rsidRPr="00D32CFC">
              <w:rPr>
                <w:sz w:val="20"/>
                <w:szCs w:val="20"/>
                <w:lang w:val="en-US"/>
              </w:rPr>
              <w:t>)</w:t>
            </w:r>
          </w:p>
          <w:p w:rsidR="00D32CFC" w:rsidRPr="00D32CFC" w:rsidRDefault="00D32CFC" w:rsidP="00D32CFC">
            <w:pPr>
              <w:keepNext/>
              <w:keepLines/>
              <w:tabs>
                <w:tab w:val="left" w:pos="-1440"/>
                <w:tab w:val="left" w:pos="-720"/>
              </w:tabs>
              <w:rPr>
                <w:sz w:val="20"/>
                <w:szCs w:val="20"/>
                <w:lang w:val="en-US"/>
              </w:rPr>
            </w:pPr>
          </w:p>
          <w:p w:rsidR="00D32CFC" w:rsidRPr="00D32CFC" w:rsidRDefault="00D32CFC" w:rsidP="00D32CFC">
            <w:pPr>
              <w:keepNext/>
              <w:keepLines/>
              <w:tabs>
                <w:tab w:val="left" w:pos="-1440"/>
                <w:tab w:val="left" w:pos="-720"/>
              </w:tabs>
              <w:rPr>
                <w:b/>
                <w:sz w:val="20"/>
                <w:szCs w:val="20"/>
                <w:lang w:val="en-US"/>
              </w:rPr>
            </w:pPr>
            <w:r>
              <w:rPr>
                <w:b/>
                <w:sz w:val="20"/>
                <w:szCs w:val="20"/>
                <w:lang w:val="en-US"/>
              </w:rPr>
              <w:t>Ronald Rutman (Ont</w:t>
            </w:r>
            <w:r w:rsidRPr="00D32CFC">
              <w:rPr>
                <w:b/>
                <w:sz w:val="20"/>
                <w:szCs w:val="20"/>
                <w:lang w:val="en-US"/>
              </w:rPr>
              <w:t>.)</w:t>
            </w:r>
          </w:p>
          <w:p w:rsidR="00D32CFC" w:rsidRPr="00A77088" w:rsidRDefault="00D32CFC" w:rsidP="00D32CFC">
            <w:pPr>
              <w:keepNext/>
              <w:keepLines/>
              <w:tabs>
                <w:tab w:val="left" w:pos="-1440"/>
                <w:tab w:val="left" w:pos="-720"/>
              </w:tabs>
              <w:rPr>
                <w:sz w:val="20"/>
                <w:szCs w:val="20"/>
                <w:lang w:val="en-US"/>
              </w:rPr>
            </w:pPr>
            <w:r w:rsidRPr="00D32CFC">
              <w:rPr>
                <w:sz w:val="20"/>
                <w:szCs w:val="20"/>
                <w:lang w:val="en-US"/>
              </w:rPr>
              <w:tab/>
            </w:r>
            <w:r>
              <w:rPr>
                <w:sz w:val="20"/>
                <w:szCs w:val="20"/>
                <w:lang w:val="en-US"/>
              </w:rPr>
              <w:t>Matthew P. Sammon</w:t>
            </w:r>
          </w:p>
          <w:p w:rsidR="00D32CFC" w:rsidRPr="00A77088" w:rsidRDefault="00D32CFC" w:rsidP="00D32CFC">
            <w:pPr>
              <w:keepNext/>
              <w:keepLines/>
              <w:tabs>
                <w:tab w:val="left" w:pos="-1440"/>
                <w:tab w:val="left" w:pos="-720"/>
              </w:tabs>
              <w:ind w:left="720"/>
              <w:rPr>
                <w:sz w:val="20"/>
                <w:szCs w:val="20"/>
                <w:lang w:val="en-US"/>
              </w:rPr>
            </w:pPr>
            <w:r>
              <w:rPr>
                <w:sz w:val="20"/>
                <w:szCs w:val="20"/>
                <w:lang w:val="en-US"/>
              </w:rPr>
              <w:t>Lenczner Slaght Royce Smith Griffin LLP</w:t>
            </w:r>
          </w:p>
          <w:p w:rsidR="00D32CFC" w:rsidRPr="00A77088" w:rsidRDefault="00D32CFC" w:rsidP="00D32CFC">
            <w:pPr>
              <w:keepNext/>
              <w:keepLines/>
              <w:tabs>
                <w:tab w:val="left" w:pos="-1440"/>
                <w:tab w:val="left" w:pos="-720"/>
              </w:tabs>
              <w:rPr>
                <w:sz w:val="20"/>
                <w:szCs w:val="20"/>
                <w:lang w:val="en-US"/>
              </w:rPr>
            </w:pPr>
          </w:p>
          <w:p w:rsidR="00D32CFC" w:rsidRPr="00A77088" w:rsidRDefault="00D32CFC" w:rsidP="00D32CFC">
            <w:pPr>
              <w:rPr>
                <w:sz w:val="20"/>
                <w:szCs w:val="20"/>
                <w:lang w:val="en-US"/>
              </w:rPr>
            </w:pPr>
            <w:r w:rsidRPr="00A77088">
              <w:rPr>
                <w:sz w:val="20"/>
                <w:szCs w:val="20"/>
                <w:lang w:val="en-US"/>
              </w:rPr>
              <w:t xml:space="preserve">FILING DATE: </w:t>
            </w:r>
            <w:r>
              <w:rPr>
                <w:sz w:val="20"/>
                <w:szCs w:val="20"/>
                <w:lang w:val="en-US"/>
              </w:rPr>
              <w:t>03</w:t>
            </w:r>
            <w:r w:rsidRPr="00A77088">
              <w:rPr>
                <w:sz w:val="20"/>
                <w:szCs w:val="20"/>
                <w:lang w:val="en-US"/>
              </w:rPr>
              <w:t>.04.2018</w:t>
            </w:r>
            <w:r w:rsidR="00FE4582">
              <w:rPr>
                <w:sz w:val="20"/>
                <w:szCs w:val="20"/>
                <w:lang w:val="fr-CA"/>
              </w:rPr>
              <w:pict>
                <v:rect id="_x0000_i1048" style="width:108pt;height:1pt" o:hrpct="0" o:hralign="center" o:hrstd="t" o:hrnoshade="t" o:hr="t" fillcolor="black [3213]" stroked="f"/>
              </w:pict>
            </w:r>
          </w:p>
          <w:p w:rsidR="00D32CFC" w:rsidRDefault="00D32CFC" w:rsidP="00723A22">
            <w:pPr>
              <w:keepNext/>
              <w:keepLines/>
              <w:tabs>
                <w:tab w:val="left" w:pos="-1440"/>
                <w:tab w:val="left" w:pos="-720"/>
              </w:tabs>
              <w:rPr>
                <w:b/>
                <w:sz w:val="20"/>
                <w:szCs w:val="20"/>
                <w:lang w:val="en-US"/>
              </w:rPr>
            </w:pPr>
          </w:p>
        </w:tc>
        <w:tc>
          <w:tcPr>
            <w:tcW w:w="1181" w:type="dxa"/>
            <w:shd w:val="clear" w:color="auto" w:fill="auto"/>
          </w:tcPr>
          <w:p w:rsidR="00D32CFC" w:rsidRPr="00A77088" w:rsidRDefault="00D32CFC" w:rsidP="00242AEE">
            <w:pPr>
              <w:jc w:val="center"/>
              <w:rPr>
                <w:sz w:val="20"/>
                <w:szCs w:val="20"/>
                <w:lang w:val="en-US"/>
              </w:rPr>
            </w:pPr>
          </w:p>
        </w:tc>
        <w:tc>
          <w:tcPr>
            <w:tcW w:w="4320" w:type="dxa"/>
            <w:shd w:val="clear" w:color="auto" w:fill="auto"/>
          </w:tcPr>
          <w:p w:rsidR="00831FBC" w:rsidRPr="00831FBC" w:rsidRDefault="00831FBC" w:rsidP="00831FBC">
            <w:pPr>
              <w:keepNext/>
              <w:keepLines/>
              <w:tabs>
                <w:tab w:val="left" w:pos="-1440"/>
                <w:tab w:val="left" w:pos="-720"/>
              </w:tabs>
              <w:rPr>
                <w:b/>
                <w:sz w:val="20"/>
                <w:szCs w:val="20"/>
                <w:lang w:val="en-US"/>
              </w:rPr>
            </w:pPr>
            <w:r>
              <w:rPr>
                <w:b/>
                <w:sz w:val="20"/>
                <w:szCs w:val="20"/>
                <w:lang w:val="en-US"/>
              </w:rPr>
              <w:t>Chase Spencer Galbraith</w:t>
            </w:r>
          </w:p>
          <w:p w:rsidR="00831FBC" w:rsidRPr="00831FBC" w:rsidRDefault="00831FBC" w:rsidP="00831FBC">
            <w:pPr>
              <w:keepNext/>
              <w:keepLines/>
              <w:tabs>
                <w:tab w:val="left" w:pos="-1440"/>
                <w:tab w:val="left" w:pos="-720"/>
              </w:tabs>
              <w:rPr>
                <w:sz w:val="20"/>
                <w:szCs w:val="20"/>
                <w:lang w:val="en-US"/>
              </w:rPr>
            </w:pPr>
            <w:r w:rsidRPr="00831FBC">
              <w:rPr>
                <w:sz w:val="20"/>
                <w:szCs w:val="20"/>
                <w:lang w:val="en-US"/>
              </w:rPr>
              <w:tab/>
            </w:r>
            <w:r>
              <w:rPr>
                <w:sz w:val="20"/>
                <w:szCs w:val="20"/>
                <w:lang w:val="en-US"/>
              </w:rPr>
              <w:t>Steve Smith</w:t>
            </w:r>
          </w:p>
          <w:p w:rsidR="00831FBC" w:rsidRPr="00831FBC" w:rsidRDefault="00831FBC" w:rsidP="00831FBC">
            <w:pPr>
              <w:keepNext/>
              <w:keepLines/>
              <w:tabs>
                <w:tab w:val="left" w:pos="-1440"/>
                <w:tab w:val="left" w:pos="-720"/>
              </w:tabs>
              <w:rPr>
                <w:sz w:val="20"/>
                <w:szCs w:val="20"/>
                <w:lang w:val="en-US"/>
              </w:rPr>
            </w:pPr>
            <w:r w:rsidRPr="00831FBC">
              <w:rPr>
                <w:sz w:val="20"/>
                <w:szCs w:val="20"/>
                <w:lang w:val="en-US"/>
              </w:rPr>
              <w:tab/>
            </w:r>
            <w:r>
              <w:rPr>
                <w:sz w:val="20"/>
                <w:szCs w:val="20"/>
                <w:lang w:val="en-US"/>
              </w:rPr>
              <w:t>Gunn Law Group</w:t>
            </w:r>
          </w:p>
          <w:p w:rsidR="00831FBC" w:rsidRPr="00831FBC" w:rsidRDefault="00831FBC" w:rsidP="00831FBC">
            <w:pPr>
              <w:keepNext/>
              <w:keepLines/>
              <w:tabs>
                <w:tab w:val="left" w:pos="-1440"/>
                <w:tab w:val="left" w:pos="-720"/>
              </w:tabs>
              <w:rPr>
                <w:sz w:val="20"/>
                <w:szCs w:val="20"/>
                <w:lang w:val="en-US"/>
              </w:rPr>
            </w:pPr>
          </w:p>
          <w:p w:rsidR="00831FBC" w:rsidRPr="00831FBC" w:rsidRDefault="00831FBC" w:rsidP="00831FBC">
            <w:pPr>
              <w:keepNext/>
              <w:keepLines/>
              <w:tabs>
                <w:tab w:val="left" w:pos="-1440"/>
                <w:tab w:val="left" w:pos="-720"/>
              </w:tabs>
              <w:rPr>
                <w:sz w:val="20"/>
                <w:szCs w:val="20"/>
                <w:lang w:val="en-US"/>
              </w:rPr>
            </w:pPr>
            <w:r w:rsidRPr="00831FBC">
              <w:rPr>
                <w:sz w:val="20"/>
                <w:szCs w:val="20"/>
                <w:lang w:val="en-US"/>
              </w:rPr>
              <w:tab/>
              <w:t>v. (</w:t>
            </w:r>
            <w:r>
              <w:rPr>
                <w:sz w:val="20"/>
                <w:szCs w:val="20"/>
                <w:lang w:val="en-US"/>
              </w:rPr>
              <w:t>38056</w:t>
            </w:r>
            <w:r w:rsidRPr="00831FBC">
              <w:rPr>
                <w:sz w:val="20"/>
                <w:szCs w:val="20"/>
                <w:lang w:val="en-US"/>
              </w:rPr>
              <w:t>)</w:t>
            </w:r>
          </w:p>
          <w:p w:rsidR="00831FBC" w:rsidRPr="00831FBC" w:rsidRDefault="00831FBC" w:rsidP="00831FBC">
            <w:pPr>
              <w:keepNext/>
              <w:keepLines/>
              <w:tabs>
                <w:tab w:val="left" w:pos="-1440"/>
                <w:tab w:val="left" w:pos="-720"/>
              </w:tabs>
              <w:rPr>
                <w:sz w:val="20"/>
                <w:szCs w:val="20"/>
                <w:lang w:val="en-US"/>
              </w:rPr>
            </w:pPr>
          </w:p>
          <w:p w:rsidR="00831FBC" w:rsidRPr="00831FBC" w:rsidRDefault="00831FBC" w:rsidP="00831FBC">
            <w:pPr>
              <w:keepNext/>
              <w:keepLines/>
              <w:tabs>
                <w:tab w:val="left" w:pos="-1440"/>
                <w:tab w:val="left" w:pos="-720"/>
              </w:tabs>
              <w:rPr>
                <w:b/>
                <w:sz w:val="20"/>
                <w:szCs w:val="20"/>
                <w:lang w:val="en-US"/>
              </w:rPr>
            </w:pPr>
            <w:r>
              <w:rPr>
                <w:b/>
                <w:sz w:val="20"/>
                <w:szCs w:val="20"/>
                <w:lang w:val="en-US"/>
              </w:rPr>
              <w:t>Her Majesty the Queen</w:t>
            </w:r>
            <w:r w:rsidRPr="00831FBC">
              <w:rPr>
                <w:b/>
                <w:sz w:val="20"/>
                <w:szCs w:val="20"/>
                <w:lang w:val="en-US"/>
              </w:rPr>
              <w:t xml:space="preserve"> (</w:t>
            </w:r>
            <w:r>
              <w:rPr>
                <w:b/>
                <w:sz w:val="20"/>
                <w:szCs w:val="20"/>
                <w:lang w:val="en-US"/>
              </w:rPr>
              <w:t>Alta</w:t>
            </w:r>
            <w:r w:rsidRPr="00831FBC">
              <w:rPr>
                <w:b/>
                <w:sz w:val="20"/>
                <w:szCs w:val="20"/>
                <w:lang w:val="en-US"/>
              </w:rPr>
              <w:t>.)</w:t>
            </w:r>
          </w:p>
          <w:p w:rsidR="00831FBC" w:rsidRPr="00A77088" w:rsidRDefault="00831FBC" w:rsidP="00831FBC">
            <w:pPr>
              <w:keepNext/>
              <w:keepLines/>
              <w:tabs>
                <w:tab w:val="left" w:pos="-1440"/>
                <w:tab w:val="left" w:pos="-720"/>
              </w:tabs>
              <w:rPr>
                <w:sz w:val="20"/>
                <w:szCs w:val="20"/>
                <w:lang w:val="en-US"/>
              </w:rPr>
            </w:pPr>
            <w:r w:rsidRPr="00831FBC">
              <w:rPr>
                <w:sz w:val="20"/>
                <w:szCs w:val="20"/>
                <w:lang w:val="en-US"/>
              </w:rPr>
              <w:tab/>
            </w:r>
            <w:r>
              <w:rPr>
                <w:sz w:val="20"/>
                <w:szCs w:val="20"/>
                <w:lang w:val="en-US"/>
              </w:rPr>
              <w:t>Melanie Hayes-Richard</w:t>
            </w:r>
          </w:p>
          <w:p w:rsidR="00831FBC" w:rsidRPr="00A77088" w:rsidRDefault="00831FBC" w:rsidP="00831FBC">
            <w:pPr>
              <w:keepNext/>
              <w:keepLines/>
              <w:tabs>
                <w:tab w:val="left" w:pos="-1440"/>
                <w:tab w:val="left" w:pos="-720"/>
              </w:tabs>
              <w:ind w:left="720"/>
              <w:rPr>
                <w:sz w:val="20"/>
                <w:szCs w:val="20"/>
                <w:lang w:val="en-US"/>
              </w:rPr>
            </w:pPr>
            <w:r>
              <w:rPr>
                <w:sz w:val="20"/>
                <w:szCs w:val="20"/>
                <w:lang w:val="en-US"/>
              </w:rPr>
              <w:t>Alberta Department of Justice</w:t>
            </w:r>
          </w:p>
          <w:p w:rsidR="00831FBC" w:rsidRPr="00A77088" w:rsidRDefault="00831FBC" w:rsidP="00831FBC">
            <w:pPr>
              <w:keepNext/>
              <w:keepLines/>
              <w:tabs>
                <w:tab w:val="left" w:pos="-1440"/>
                <w:tab w:val="left" w:pos="-720"/>
              </w:tabs>
              <w:rPr>
                <w:sz w:val="20"/>
                <w:szCs w:val="20"/>
                <w:lang w:val="en-US"/>
              </w:rPr>
            </w:pPr>
          </w:p>
          <w:p w:rsidR="00831FBC" w:rsidRPr="00A77088" w:rsidRDefault="00831FBC" w:rsidP="00831FBC">
            <w:pPr>
              <w:rPr>
                <w:sz w:val="20"/>
                <w:szCs w:val="20"/>
                <w:lang w:val="en-US"/>
              </w:rPr>
            </w:pPr>
            <w:r w:rsidRPr="00A77088">
              <w:rPr>
                <w:sz w:val="20"/>
                <w:szCs w:val="20"/>
                <w:lang w:val="en-US"/>
              </w:rPr>
              <w:t xml:space="preserve">FILING DATE: </w:t>
            </w:r>
            <w:r>
              <w:rPr>
                <w:sz w:val="20"/>
                <w:szCs w:val="20"/>
                <w:lang w:val="en-US"/>
              </w:rPr>
              <w:t>10</w:t>
            </w:r>
            <w:r w:rsidRPr="00A77088">
              <w:rPr>
                <w:sz w:val="20"/>
                <w:szCs w:val="20"/>
                <w:lang w:val="en-US"/>
              </w:rPr>
              <w:t>.04.2018</w:t>
            </w:r>
            <w:r w:rsidR="00FE4582">
              <w:rPr>
                <w:sz w:val="20"/>
                <w:szCs w:val="20"/>
                <w:lang w:val="fr-CA"/>
              </w:rPr>
              <w:pict>
                <v:rect id="_x0000_i1049" style="width:108pt;height:1pt" o:hrpct="0" o:hralign="center" o:hrstd="t" o:hrnoshade="t" o:hr="t" fillcolor="black [3213]" stroked="f"/>
              </w:pict>
            </w:r>
          </w:p>
          <w:p w:rsidR="00D32CFC" w:rsidRDefault="00D32CFC" w:rsidP="00831FBC">
            <w:pPr>
              <w:keepNext/>
              <w:keepLines/>
              <w:tabs>
                <w:tab w:val="left" w:pos="-1440"/>
                <w:tab w:val="left" w:pos="-720"/>
              </w:tabs>
              <w:ind w:firstLine="720"/>
              <w:rPr>
                <w:b/>
                <w:sz w:val="20"/>
                <w:szCs w:val="20"/>
                <w:lang w:val="en-US"/>
              </w:rPr>
            </w:pPr>
          </w:p>
        </w:tc>
      </w:tr>
      <w:tr w:rsidR="00F548EE" w:rsidRPr="00AD7215" w:rsidTr="00C92A23">
        <w:trPr>
          <w:trHeight w:val="2880"/>
        </w:trPr>
        <w:tc>
          <w:tcPr>
            <w:tcW w:w="4320" w:type="dxa"/>
            <w:shd w:val="clear" w:color="auto" w:fill="auto"/>
          </w:tcPr>
          <w:p w:rsidR="00F548EE" w:rsidRPr="00C15495" w:rsidRDefault="00F548EE" w:rsidP="00F548EE">
            <w:pPr>
              <w:keepNext/>
              <w:keepLines/>
              <w:tabs>
                <w:tab w:val="left" w:pos="-1440"/>
                <w:tab w:val="left" w:pos="-720"/>
              </w:tabs>
              <w:rPr>
                <w:b/>
                <w:sz w:val="20"/>
                <w:szCs w:val="20"/>
                <w:lang w:val="fr-CA"/>
              </w:rPr>
            </w:pPr>
            <w:r w:rsidRPr="00C15495">
              <w:rPr>
                <w:b/>
                <w:sz w:val="20"/>
                <w:szCs w:val="20"/>
                <w:lang w:val="fr-CA"/>
              </w:rPr>
              <w:t>Isaël Blais</w:t>
            </w:r>
          </w:p>
          <w:p w:rsidR="00F548EE" w:rsidRPr="00C15495" w:rsidRDefault="00F548EE" w:rsidP="00F548EE">
            <w:pPr>
              <w:keepNext/>
              <w:keepLines/>
              <w:tabs>
                <w:tab w:val="left" w:pos="-1440"/>
                <w:tab w:val="left" w:pos="-720"/>
              </w:tabs>
              <w:rPr>
                <w:sz w:val="20"/>
                <w:szCs w:val="20"/>
                <w:lang w:val="fr-CA"/>
              </w:rPr>
            </w:pPr>
            <w:r w:rsidRPr="00C15495">
              <w:rPr>
                <w:sz w:val="20"/>
                <w:szCs w:val="20"/>
                <w:lang w:val="fr-CA"/>
              </w:rPr>
              <w:tab/>
              <w:t>Nicola Salomone</w:t>
            </w:r>
          </w:p>
          <w:p w:rsidR="00F548EE" w:rsidRPr="00C15495" w:rsidRDefault="00F548EE" w:rsidP="00F548EE">
            <w:pPr>
              <w:keepNext/>
              <w:keepLines/>
              <w:tabs>
                <w:tab w:val="left" w:pos="-1440"/>
                <w:tab w:val="left" w:pos="-720"/>
              </w:tabs>
              <w:rPr>
                <w:sz w:val="20"/>
                <w:szCs w:val="20"/>
                <w:lang w:val="fr-CA"/>
              </w:rPr>
            </w:pPr>
            <w:r w:rsidRPr="00C15495">
              <w:rPr>
                <w:sz w:val="20"/>
                <w:szCs w:val="20"/>
                <w:lang w:val="fr-CA"/>
              </w:rPr>
              <w:tab/>
              <w:t>Dumas Gagné Théberge</w:t>
            </w:r>
          </w:p>
          <w:p w:rsidR="00F548EE" w:rsidRPr="00C15495" w:rsidRDefault="00F548EE" w:rsidP="00F548EE">
            <w:pPr>
              <w:keepNext/>
              <w:keepLines/>
              <w:tabs>
                <w:tab w:val="left" w:pos="-1440"/>
                <w:tab w:val="left" w:pos="-720"/>
              </w:tabs>
              <w:rPr>
                <w:sz w:val="20"/>
                <w:szCs w:val="20"/>
                <w:lang w:val="fr-CA"/>
              </w:rPr>
            </w:pPr>
          </w:p>
          <w:p w:rsidR="00F548EE" w:rsidRPr="00F548EE" w:rsidRDefault="00F548EE" w:rsidP="00F548EE">
            <w:pPr>
              <w:keepNext/>
              <w:keepLines/>
              <w:tabs>
                <w:tab w:val="left" w:pos="-1440"/>
                <w:tab w:val="left" w:pos="-720"/>
              </w:tabs>
              <w:rPr>
                <w:sz w:val="20"/>
                <w:szCs w:val="20"/>
                <w:lang w:val="fr-CA"/>
              </w:rPr>
            </w:pPr>
            <w:r w:rsidRPr="00C15495">
              <w:rPr>
                <w:sz w:val="20"/>
                <w:szCs w:val="20"/>
                <w:lang w:val="fr-CA"/>
              </w:rPr>
              <w:tab/>
            </w:r>
            <w:r w:rsidRPr="00F548EE">
              <w:rPr>
                <w:sz w:val="20"/>
                <w:szCs w:val="20"/>
                <w:lang w:val="fr-CA"/>
              </w:rPr>
              <w:t>c. (38053)</w:t>
            </w:r>
          </w:p>
          <w:p w:rsidR="00F548EE" w:rsidRPr="00F548EE" w:rsidRDefault="00F548EE" w:rsidP="00F548EE">
            <w:pPr>
              <w:keepNext/>
              <w:keepLines/>
              <w:tabs>
                <w:tab w:val="left" w:pos="-1440"/>
                <w:tab w:val="left" w:pos="-720"/>
              </w:tabs>
              <w:rPr>
                <w:sz w:val="20"/>
                <w:szCs w:val="20"/>
                <w:lang w:val="fr-CA"/>
              </w:rPr>
            </w:pPr>
          </w:p>
          <w:p w:rsidR="00F548EE" w:rsidRPr="00F548EE" w:rsidRDefault="00F548EE" w:rsidP="00F548EE">
            <w:pPr>
              <w:keepNext/>
              <w:keepLines/>
              <w:tabs>
                <w:tab w:val="left" w:pos="-1440"/>
                <w:tab w:val="left" w:pos="-720"/>
              </w:tabs>
              <w:rPr>
                <w:b/>
                <w:sz w:val="20"/>
                <w:szCs w:val="20"/>
                <w:lang w:val="fr-CA"/>
              </w:rPr>
            </w:pPr>
            <w:r w:rsidRPr="00F548EE">
              <w:rPr>
                <w:b/>
                <w:sz w:val="20"/>
                <w:szCs w:val="20"/>
                <w:lang w:val="fr-CA"/>
              </w:rPr>
              <w:t>Sa Majesté la Reine (Qc)</w:t>
            </w:r>
          </w:p>
          <w:p w:rsidR="00F548EE" w:rsidRPr="00F548EE" w:rsidRDefault="00F548EE" w:rsidP="00F548EE">
            <w:pPr>
              <w:keepNext/>
              <w:keepLines/>
              <w:tabs>
                <w:tab w:val="left" w:pos="-1440"/>
                <w:tab w:val="left" w:pos="-720"/>
              </w:tabs>
              <w:rPr>
                <w:sz w:val="20"/>
                <w:szCs w:val="20"/>
                <w:lang w:val="fr-CA"/>
              </w:rPr>
            </w:pPr>
            <w:r w:rsidRPr="00F548EE">
              <w:rPr>
                <w:sz w:val="20"/>
                <w:szCs w:val="20"/>
                <w:lang w:val="fr-CA"/>
              </w:rPr>
              <w:tab/>
              <w:t>Nicolas Abran</w:t>
            </w:r>
          </w:p>
          <w:p w:rsidR="00F548EE" w:rsidRPr="00F548EE" w:rsidRDefault="00F548EE" w:rsidP="00F548EE">
            <w:pPr>
              <w:keepNext/>
              <w:keepLines/>
              <w:tabs>
                <w:tab w:val="left" w:pos="-1440"/>
                <w:tab w:val="left" w:pos="-720"/>
              </w:tabs>
              <w:ind w:left="720"/>
              <w:rPr>
                <w:sz w:val="20"/>
                <w:szCs w:val="20"/>
                <w:lang w:val="fr-CA"/>
              </w:rPr>
            </w:pPr>
            <w:r w:rsidRPr="00F548EE">
              <w:rPr>
                <w:sz w:val="20"/>
                <w:szCs w:val="20"/>
                <w:lang w:val="fr-CA"/>
              </w:rPr>
              <w:t>Directeur des poursuites cr</w:t>
            </w:r>
            <w:r>
              <w:rPr>
                <w:sz w:val="20"/>
                <w:szCs w:val="20"/>
                <w:lang w:val="fr-CA"/>
              </w:rPr>
              <w:t>iminelles et pénales du Québec</w:t>
            </w:r>
          </w:p>
          <w:p w:rsidR="00F548EE" w:rsidRPr="00F548EE" w:rsidRDefault="00F548EE" w:rsidP="00F548EE">
            <w:pPr>
              <w:keepNext/>
              <w:keepLines/>
              <w:tabs>
                <w:tab w:val="left" w:pos="-1440"/>
                <w:tab w:val="left" w:pos="-720"/>
              </w:tabs>
              <w:rPr>
                <w:sz w:val="20"/>
                <w:szCs w:val="20"/>
                <w:lang w:val="fr-CA"/>
              </w:rPr>
            </w:pPr>
          </w:p>
          <w:p w:rsidR="00F548EE" w:rsidRPr="00F548EE" w:rsidRDefault="00F548EE" w:rsidP="00F548EE">
            <w:pPr>
              <w:rPr>
                <w:sz w:val="20"/>
                <w:szCs w:val="20"/>
                <w:lang w:val="fr-CA"/>
              </w:rPr>
            </w:pPr>
            <w:r>
              <w:rPr>
                <w:sz w:val="20"/>
                <w:szCs w:val="20"/>
                <w:lang w:val="fr-CA"/>
              </w:rPr>
              <w:t>DATE DE PRODUCTION</w:t>
            </w:r>
            <w:r w:rsidRPr="00F548EE">
              <w:rPr>
                <w:sz w:val="20"/>
                <w:szCs w:val="20"/>
                <w:lang w:val="fr-CA"/>
              </w:rPr>
              <w:t>: 2</w:t>
            </w:r>
            <w:r>
              <w:rPr>
                <w:sz w:val="20"/>
                <w:szCs w:val="20"/>
                <w:lang w:val="fr-CA"/>
              </w:rPr>
              <w:t>7</w:t>
            </w:r>
            <w:r w:rsidRPr="00F548EE">
              <w:rPr>
                <w:sz w:val="20"/>
                <w:szCs w:val="20"/>
                <w:lang w:val="fr-CA"/>
              </w:rPr>
              <w:t>.0</w:t>
            </w:r>
            <w:r>
              <w:rPr>
                <w:sz w:val="20"/>
                <w:szCs w:val="20"/>
                <w:lang w:val="fr-CA"/>
              </w:rPr>
              <w:t>3</w:t>
            </w:r>
            <w:r w:rsidRPr="00F548EE">
              <w:rPr>
                <w:sz w:val="20"/>
                <w:szCs w:val="20"/>
                <w:lang w:val="fr-CA"/>
              </w:rPr>
              <w:t>.2018</w:t>
            </w:r>
            <w:r w:rsidR="00FE4582">
              <w:rPr>
                <w:sz w:val="20"/>
                <w:szCs w:val="20"/>
                <w:lang w:val="fr-CA"/>
              </w:rPr>
              <w:pict>
                <v:rect id="_x0000_i1050" style="width:108pt;height:1pt" o:hrpct="0" o:hralign="center" o:hrstd="t" o:hrnoshade="t" o:hr="t" fillcolor="black [3213]" stroked="f"/>
              </w:pict>
            </w:r>
          </w:p>
          <w:p w:rsidR="00F548EE" w:rsidRPr="00F548EE" w:rsidRDefault="00F548EE" w:rsidP="00D32CFC">
            <w:pPr>
              <w:keepNext/>
              <w:keepLines/>
              <w:tabs>
                <w:tab w:val="left" w:pos="-1440"/>
                <w:tab w:val="left" w:pos="-720"/>
              </w:tabs>
              <w:rPr>
                <w:b/>
                <w:sz w:val="20"/>
                <w:szCs w:val="20"/>
                <w:lang w:val="fr-CA"/>
              </w:rPr>
            </w:pPr>
          </w:p>
        </w:tc>
        <w:tc>
          <w:tcPr>
            <w:tcW w:w="1181" w:type="dxa"/>
            <w:shd w:val="clear" w:color="auto" w:fill="auto"/>
          </w:tcPr>
          <w:p w:rsidR="00F548EE" w:rsidRPr="00F548EE" w:rsidRDefault="00F548EE" w:rsidP="00242AEE">
            <w:pPr>
              <w:jc w:val="center"/>
              <w:rPr>
                <w:sz w:val="20"/>
                <w:szCs w:val="20"/>
                <w:lang w:val="fr-CA"/>
              </w:rPr>
            </w:pPr>
          </w:p>
        </w:tc>
        <w:tc>
          <w:tcPr>
            <w:tcW w:w="4320" w:type="dxa"/>
            <w:shd w:val="clear" w:color="auto" w:fill="auto"/>
          </w:tcPr>
          <w:p w:rsidR="00AD7215" w:rsidRPr="00C15495" w:rsidRDefault="00AD7215" w:rsidP="00AD7215">
            <w:pPr>
              <w:keepNext/>
              <w:keepLines/>
              <w:tabs>
                <w:tab w:val="left" w:pos="-1440"/>
                <w:tab w:val="left" w:pos="-720"/>
              </w:tabs>
              <w:rPr>
                <w:b/>
                <w:sz w:val="20"/>
                <w:szCs w:val="20"/>
                <w:lang w:val="fr-CA"/>
              </w:rPr>
            </w:pPr>
            <w:r w:rsidRPr="00C15495">
              <w:rPr>
                <w:b/>
                <w:sz w:val="20"/>
                <w:szCs w:val="20"/>
                <w:lang w:val="fr-CA"/>
              </w:rPr>
              <w:t>Yuk Yee Pun</w:t>
            </w:r>
          </w:p>
          <w:p w:rsidR="00AD7215" w:rsidRPr="00C15495" w:rsidRDefault="00AD7215" w:rsidP="00AD7215">
            <w:pPr>
              <w:keepNext/>
              <w:keepLines/>
              <w:tabs>
                <w:tab w:val="left" w:pos="-1440"/>
                <w:tab w:val="left" w:pos="-720"/>
              </w:tabs>
              <w:rPr>
                <w:sz w:val="20"/>
                <w:szCs w:val="20"/>
                <w:lang w:val="fr-CA"/>
              </w:rPr>
            </w:pPr>
            <w:r w:rsidRPr="00C15495">
              <w:rPr>
                <w:sz w:val="20"/>
                <w:szCs w:val="20"/>
                <w:lang w:val="fr-CA"/>
              </w:rPr>
              <w:tab/>
              <w:t>Marie Henein</w:t>
            </w:r>
          </w:p>
          <w:p w:rsidR="00AD7215" w:rsidRPr="00C15495" w:rsidRDefault="00AD7215" w:rsidP="00AD7215">
            <w:pPr>
              <w:keepNext/>
              <w:keepLines/>
              <w:tabs>
                <w:tab w:val="left" w:pos="-1440"/>
                <w:tab w:val="left" w:pos="-720"/>
              </w:tabs>
              <w:rPr>
                <w:sz w:val="20"/>
                <w:szCs w:val="20"/>
                <w:lang w:val="fr-CA"/>
              </w:rPr>
            </w:pPr>
            <w:r w:rsidRPr="00C15495">
              <w:rPr>
                <w:sz w:val="20"/>
                <w:szCs w:val="20"/>
                <w:lang w:val="fr-CA"/>
              </w:rPr>
              <w:tab/>
            </w:r>
            <w:r w:rsidR="000838C6">
              <w:rPr>
                <w:sz w:val="20"/>
                <w:szCs w:val="20"/>
                <w:lang w:val="fr-CA"/>
              </w:rPr>
              <w:t>Henein Hutchi</w:t>
            </w:r>
            <w:r w:rsidRPr="00C15495">
              <w:rPr>
                <w:sz w:val="20"/>
                <w:szCs w:val="20"/>
                <w:lang w:val="fr-CA"/>
              </w:rPr>
              <w:t>son LLP</w:t>
            </w:r>
          </w:p>
          <w:p w:rsidR="00AD7215" w:rsidRPr="00C15495" w:rsidRDefault="00AD7215" w:rsidP="00AD7215">
            <w:pPr>
              <w:keepNext/>
              <w:keepLines/>
              <w:tabs>
                <w:tab w:val="left" w:pos="-1440"/>
                <w:tab w:val="left" w:pos="-720"/>
              </w:tabs>
              <w:rPr>
                <w:sz w:val="20"/>
                <w:szCs w:val="20"/>
                <w:lang w:val="fr-CA"/>
              </w:rPr>
            </w:pPr>
          </w:p>
          <w:p w:rsidR="00AD7215" w:rsidRPr="00AD7215" w:rsidRDefault="00AD7215" w:rsidP="00AD7215">
            <w:pPr>
              <w:keepNext/>
              <w:keepLines/>
              <w:tabs>
                <w:tab w:val="left" w:pos="-1440"/>
                <w:tab w:val="left" w:pos="-720"/>
              </w:tabs>
              <w:rPr>
                <w:sz w:val="20"/>
                <w:szCs w:val="20"/>
                <w:lang w:val="en-US"/>
              </w:rPr>
            </w:pPr>
            <w:r w:rsidRPr="00C15495">
              <w:rPr>
                <w:sz w:val="20"/>
                <w:szCs w:val="20"/>
                <w:lang w:val="fr-CA"/>
              </w:rPr>
              <w:tab/>
            </w:r>
            <w:r w:rsidRPr="00AD7215">
              <w:rPr>
                <w:sz w:val="20"/>
                <w:szCs w:val="20"/>
                <w:lang w:val="en-US"/>
              </w:rPr>
              <w:t>v. (</w:t>
            </w:r>
            <w:r>
              <w:rPr>
                <w:sz w:val="20"/>
                <w:szCs w:val="20"/>
                <w:lang w:val="en-US"/>
              </w:rPr>
              <w:t>38063</w:t>
            </w:r>
            <w:r w:rsidRPr="00AD7215">
              <w:rPr>
                <w:sz w:val="20"/>
                <w:szCs w:val="20"/>
                <w:lang w:val="en-US"/>
              </w:rPr>
              <w:t>)</w:t>
            </w:r>
          </w:p>
          <w:p w:rsidR="00AD7215" w:rsidRPr="00AD7215" w:rsidRDefault="00AD7215" w:rsidP="00AD7215">
            <w:pPr>
              <w:keepNext/>
              <w:keepLines/>
              <w:tabs>
                <w:tab w:val="left" w:pos="-1440"/>
                <w:tab w:val="left" w:pos="-720"/>
              </w:tabs>
              <w:rPr>
                <w:sz w:val="20"/>
                <w:szCs w:val="20"/>
                <w:lang w:val="en-US"/>
              </w:rPr>
            </w:pPr>
          </w:p>
          <w:p w:rsidR="00AD7215" w:rsidRPr="00AD7215" w:rsidRDefault="00AD7215" w:rsidP="00AD7215">
            <w:pPr>
              <w:keepNext/>
              <w:keepLines/>
              <w:tabs>
                <w:tab w:val="left" w:pos="-1440"/>
                <w:tab w:val="left" w:pos="-720"/>
              </w:tabs>
              <w:rPr>
                <w:b/>
                <w:sz w:val="20"/>
                <w:szCs w:val="20"/>
                <w:lang w:val="en-US"/>
              </w:rPr>
            </w:pPr>
            <w:r>
              <w:rPr>
                <w:b/>
                <w:sz w:val="20"/>
                <w:szCs w:val="20"/>
                <w:lang w:val="en-US"/>
              </w:rPr>
              <w:t>Her Majesty the Queen</w:t>
            </w:r>
            <w:r w:rsidRPr="00AD7215">
              <w:rPr>
                <w:b/>
                <w:sz w:val="20"/>
                <w:szCs w:val="20"/>
                <w:lang w:val="en-US"/>
              </w:rPr>
              <w:t xml:space="preserve"> (</w:t>
            </w:r>
            <w:r>
              <w:rPr>
                <w:b/>
                <w:sz w:val="20"/>
                <w:szCs w:val="20"/>
                <w:lang w:val="en-US"/>
              </w:rPr>
              <w:t>Ont</w:t>
            </w:r>
            <w:r w:rsidRPr="00AD7215">
              <w:rPr>
                <w:b/>
                <w:sz w:val="20"/>
                <w:szCs w:val="20"/>
                <w:lang w:val="en-US"/>
              </w:rPr>
              <w:t>.)</w:t>
            </w:r>
          </w:p>
          <w:p w:rsidR="00AD7215" w:rsidRPr="00A77088" w:rsidRDefault="00AD7215" w:rsidP="00AD7215">
            <w:pPr>
              <w:keepNext/>
              <w:keepLines/>
              <w:tabs>
                <w:tab w:val="left" w:pos="-1440"/>
                <w:tab w:val="left" w:pos="-720"/>
              </w:tabs>
              <w:rPr>
                <w:sz w:val="20"/>
                <w:szCs w:val="20"/>
                <w:lang w:val="en-US"/>
              </w:rPr>
            </w:pPr>
            <w:r w:rsidRPr="00AD7215">
              <w:rPr>
                <w:sz w:val="20"/>
                <w:szCs w:val="20"/>
                <w:lang w:val="en-US"/>
              </w:rPr>
              <w:tab/>
            </w:r>
            <w:r>
              <w:rPr>
                <w:sz w:val="20"/>
                <w:szCs w:val="20"/>
                <w:lang w:val="en-US"/>
              </w:rPr>
              <w:t>Rachel Young</w:t>
            </w:r>
          </w:p>
          <w:p w:rsidR="00AD7215" w:rsidRPr="00A77088" w:rsidRDefault="00AD7215" w:rsidP="00AD7215">
            <w:pPr>
              <w:keepNext/>
              <w:keepLines/>
              <w:tabs>
                <w:tab w:val="left" w:pos="-1440"/>
                <w:tab w:val="left" w:pos="-720"/>
              </w:tabs>
              <w:ind w:left="720"/>
              <w:rPr>
                <w:sz w:val="20"/>
                <w:szCs w:val="20"/>
                <w:lang w:val="en-US"/>
              </w:rPr>
            </w:pPr>
            <w:r>
              <w:rPr>
                <w:sz w:val="20"/>
                <w:szCs w:val="20"/>
                <w:lang w:val="en-US"/>
              </w:rPr>
              <w:t>A.G. of Ontario</w:t>
            </w:r>
          </w:p>
          <w:p w:rsidR="00AD7215" w:rsidRPr="00A77088" w:rsidRDefault="00AD7215" w:rsidP="00AD7215">
            <w:pPr>
              <w:keepNext/>
              <w:keepLines/>
              <w:tabs>
                <w:tab w:val="left" w:pos="-1440"/>
                <w:tab w:val="left" w:pos="-720"/>
              </w:tabs>
              <w:rPr>
                <w:sz w:val="20"/>
                <w:szCs w:val="20"/>
                <w:lang w:val="en-US"/>
              </w:rPr>
            </w:pPr>
          </w:p>
          <w:p w:rsidR="00AD7215" w:rsidRPr="00A77088" w:rsidRDefault="00AD7215" w:rsidP="00AD7215">
            <w:pPr>
              <w:rPr>
                <w:sz w:val="20"/>
                <w:szCs w:val="20"/>
                <w:lang w:val="en-US"/>
              </w:rPr>
            </w:pPr>
            <w:r w:rsidRPr="00A77088">
              <w:rPr>
                <w:sz w:val="20"/>
                <w:szCs w:val="20"/>
                <w:lang w:val="en-US"/>
              </w:rPr>
              <w:t xml:space="preserve">FILING DATE: </w:t>
            </w:r>
            <w:r>
              <w:rPr>
                <w:sz w:val="20"/>
                <w:szCs w:val="20"/>
                <w:lang w:val="en-US"/>
              </w:rPr>
              <w:t>09</w:t>
            </w:r>
            <w:r w:rsidRPr="00A77088">
              <w:rPr>
                <w:sz w:val="20"/>
                <w:szCs w:val="20"/>
                <w:lang w:val="en-US"/>
              </w:rPr>
              <w:t>.04.2018</w:t>
            </w:r>
            <w:r w:rsidR="00FE4582">
              <w:rPr>
                <w:sz w:val="20"/>
                <w:szCs w:val="20"/>
                <w:lang w:val="fr-CA"/>
              </w:rPr>
              <w:pict>
                <v:rect id="_x0000_i1051" style="width:108pt;height:1pt" o:hrpct="0" o:hralign="center" o:hrstd="t" o:hrnoshade="t" o:hr="t" fillcolor="black [3213]" stroked="f"/>
              </w:pict>
            </w:r>
          </w:p>
          <w:p w:rsidR="00F548EE" w:rsidRPr="00AD7215" w:rsidRDefault="00F548EE" w:rsidP="00831FBC">
            <w:pPr>
              <w:keepNext/>
              <w:keepLines/>
              <w:tabs>
                <w:tab w:val="left" w:pos="-1440"/>
                <w:tab w:val="left" w:pos="-720"/>
              </w:tabs>
              <w:rPr>
                <w:b/>
                <w:sz w:val="20"/>
                <w:szCs w:val="20"/>
                <w:lang w:val="en-US"/>
              </w:rPr>
            </w:pPr>
          </w:p>
        </w:tc>
      </w:tr>
      <w:tr w:rsidR="006D3E27" w:rsidRPr="00AD7215" w:rsidTr="00C92A23">
        <w:trPr>
          <w:trHeight w:val="2880"/>
        </w:trPr>
        <w:tc>
          <w:tcPr>
            <w:tcW w:w="4320" w:type="dxa"/>
            <w:shd w:val="clear" w:color="auto" w:fill="auto"/>
          </w:tcPr>
          <w:p w:rsidR="006D3E27" w:rsidRDefault="006D3E27" w:rsidP="00D14794">
            <w:pPr>
              <w:rPr>
                <w:b/>
                <w:sz w:val="20"/>
                <w:szCs w:val="20"/>
                <w:lang w:val="en-US"/>
              </w:rPr>
            </w:pPr>
          </w:p>
        </w:tc>
        <w:tc>
          <w:tcPr>
            <w:tcW w:w="1181" w:type="dxa"/>
            <w:shd w:val="clear" w:color="auto" w:fill="auto"/>
          </w:tcPr>
          <w:p w:rsidR="006D3E27" w:rsidRPr="006D3E27" w:rsidRDefault="006D3E27" w:rsidP="00242AEE">
            <w:pPr>
              <w:jc w:val="center"/>
              <w:rPr>
                <w:sz w:val="20"/>
                <w:szCs w:val="20"/>
                <w:lang w:val="en-US"/>
              </w:rPr>
            </w:pPr>
          </w:p>
        </w:tc>
        <w:tc>
          <w:tcPr>
            <w:tcW w:w="4320" w:type="dxa"/>
            <w:shd w:val="clear" w:color="auto" w:fill="auto"/>
          </w:tcPr>
          <w:p w:rsidR="006D3E27" w:rsidRDefault="006D3E27" w:rsidP="00AD7215">
            <w:pPr>
              <w:keepNext/>
              <w:keepLines/>
              <w:tabs>
                <w:tab w:val="left" w:pos="-1440"/>
                <w:tab w:val="left" w:pos="-720"/>
              </w:tabs>
              <w:rPr>
                <w:b/>
                <w:sz w:val="20"/>
                <w:szCs w:val="20"/>
                <w:lang w:val="en-US"/>
              </w:rPr>
            </w:pPr>
          </w:p>
        </w:tc>
      </w:tr>
    </w:tbl>
    <w:p w:rsidR="00C01FCB" w:rsidRPr="00AD7215" w:rsidRDefault="00C01FCB" w:rsidP="0095096B">
      <w:pPr>
        <w:tabs>
          <w:tab w:val="right" w:pos="9360"/>
        </w:tabs>
        <w:rPr>
          <w:sz w:val="20"/>
          <w:szCs w:val="20"/>
          <w:lang w:val="en-US"/>
        </w:rPr>
      </w:pPr>
    </w:p>
    <w:p w:rsidR="00242AEE" w:rsidRPr="00AD7215" w:rsidRDefault="00242AEE" w:rsidP="0095096B">
      <w:pPr>
        <w:tabs>
          <w:tab w:val="right" w:pos="9360"/>
        </w:tabs>
        <w:rPr>
          <w:sz w:val="20"/>
          <w:szCs w:val="20"/>
          <w:lang w:val="en-US"/>
        </w:rPr>
        <w:sectPr w:rsidR="00242AEE" w:rsidRPr="00AD7215" w:rsidSect="00C040D9">
          <w:headerReference w:type="default" r:id="rId11"/>
          <w:footerReference w:type="default" r:id="rId12"/>
          <w:headerReference w:type="first" r:id="rId13"/>
          <w:footerReference w:type="first" r:id="rId14"/>
          <w:pgSz w:w="12240" w:h="15840"/>
          <w:pgMar w:top="720" w:right="965" w:bottom="1080" w:left="1656" w:header="706" w:footer="706" w:gutter="0"/>
          <w:pgNumType w:start="599"/>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FE4582" w:rsidTr="00BA6468">
        <w:trPr>
          <w:trHeight w:val="900"/>
        </w:trPr>
        <w:tc>
          <w:tcPr>
            <w:tcW w:w="4200" w:type="dxa"/>
            <w:tcMar>
              <w:left w:w="0" w:type="dxa"/>
              <w:right w:w="0" w:type="dxa"/>
            </w:tcMar>
          </w:tcPr>
          <w:p w:rsidR="002E2327" w:rsidRPr="00C15495" w:rsidRDefault="002E2327" w:rsidP="002E2327">
            <w:pPr>
              <w:keepNext/>
              <w:keepLines/>
              <w:widowControl w:val="0"/>
              <w:rPr>
                <w:b/>
                <w:szCs w:val="24"/>
                <w:lang w:val="en-US"/>
              </w:rPr>
            </w:pPr>
            <w:r w:rsidRPr="00C15495">
              <w:rPr>
                <w:b/>
                <w:szCs w:val="24"/>
                <w:lang w:val="en-US"/>
              </w:rPr>
              <w:lastRenderedPageBreak/>
              <w:t>APPLICATIONS FOR LEAVE SUBMITTED TO COURT</w:t>
            </w:r>
            <w:r w:rsidR="003E5F3E" w:rsidRPr="00C15495">
              <w:rPr>
                <w:b/>
                <w:szCs w:val="24"/>
                <w:lang w:val="en-US"/>
              </w:rPr>
              <w:t xml:space="preserve"> THE</w:t>
            </w:r>
            <w:r w:rsidRPr="00C15495">
              <w:rPr>
                <w:b/>
                <w:szCs w:val="24"/>
                <w:lang w:val="en-US"/>
              </w:rPr>
              <w:t xml:space="preserve"> SINCE LAST ISSUE</w:t>
            </w:r>
          </w:p>
        </w:tc>
        <w:tc>
          <w:tcPr>
            <w:tcW w:w="1200" w:type="dxa"/>
            <w:tcMar>
              <w:left w:w="0" w:type="dxa"/>
              <w:right w:w="0" w:type="dxa"/>
            </w:tcMar>
          </w:tcPr>
          <w:p w:rsidR="002E2327" w:rsidRPr="00C15495" w:rsidRDefault="002E2327" w:rsidP="002E2327">
            <w:pPr>
              <w:keepNext/>
              <w:keepLines/>
              <w:widowControl w:val="0"/>
              <w:jc w:val="center"/>
              <w:rPr>
                <w:b/>
                <w:szCs w:val="24"/>
                <w:lang w:val="en-US"/>
              </w:rPr>
            </w:pPr>
          </w:p>
          <w:p w:rsidR="001D0D5F" w:rsidRPr="00C15495" w:rsidRDefault="001D0D5F" w:rsidP="002E2327">
            <w:pPr>
              <w:keepNext/>
              <w:keepLines/>
              <w:widowControl w:val="0"/>
              <w:jc w:val="center"/>
              <w:rPr>
                <w:b/>
                <w:szCs w:val="24"/>
                <w:lang w:val="en-US"/>
              </w:rPr>
            </w:pPr>
          </w:p>
          <w:p w:rsidR="001D0D5F" w:rsidRPr="00C15495" w:rsidRDefault="001D0D5F" w:rsidP="002E2327">
            <w:pPr>
              <w:keepNext/>
              <w:keepLines/>
              <w:widowControl w:val="0"/>
              <w:jc w:val="center"/>
              <w:rPr>
                <w:b/>
                <w:szCs w:val="24"/>
                <w:lang w:val="en-US"/>
              </w:rPr>
            </w:pPr>
          </w:p>
          <w:p w:rsidR="001D0D5F" w:rsidRPr="00C15495"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797FDA">
              <w:rPr>
                <w:b/>
                <w:szCs w:val="24"/>
                <w:lang w:val="fr-CA"/>
              </w:rPr>
              <w:t>DEMANDES SOUMISES À LA CO</w:t>
            </w:r>
            <w:r w:rsidRPr="001B27F4">
              <w:rPr>
                <w:b/>
                <w:szCs w:val="24"/>
                <w:lang w:val="fr-CA"/>
              </w:rPr>
              <w:t>UR DEPUIS LA DERNIÈRE PA</w:t>
            </w:r>
            <w:r w:rsidRPr="00797FDA">
              <w:rPr>
                <w:b/>
                <w:szCs w:val="24"/>
                <w:lang w:val="fr-CA"/>
              </w:rPr>
              <w:t>RUTI</w:t>
            </w:r>
            <w:r w:rsidRPr="001D0D5F">
              <w:rPr>
                <w:b/>
                <w:szCs w:val="24"/>
                <w:lang w:val="fr-CA"/>
              </w:rPr>
              <w:t>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B855B0" w:rsidP="00CB3520">
      <w:pPr>
        <w:widowControl w:val="0"/>
        <w:rPr>
          <w:b/>
          <w:sz w:val="20"/>
          <w:szCs w:val="20"/>
        </w:rPr>
      </w:pPr>
      <w:r>
        <w:rPr>
          <w:b/>
          <w:sz w:val="20"/>
          <w:szCs w:val="20"/>
        </w:rPr>
        <w:t>MAY 14</w:t>
      </w:r>
      <w:r w:rsidR="00CB3520" w:rsidRPr="00C50A5C">
        <w:rPr>
          <w:b/>
          <w:sz w:val="20"/>
          <w:szCs w:val="20"/>
        </w:rPr>
        <w:t>, 201</w:t>
      </w:r>
      <w:r w:rsidR="00195F99">
        <w:rPr>
          <w:b/>
          <w:sz w:val="20"/>
          <w:szCs w:val="20"/>
        </w:rPr>
        <w:t>8</w:t>
      </w:r>
      <w:r w:rsidR="00CB3520" w:rsidRPr="00C50A5C">
        <w:rPr>
          <w:b/>
          <w:sz w:val="20"/>
          <w:szCs w:val="20"/>
        </w:rPr>
        <w:t xml:space="preserve"> / LE </w:t>
      </w:r>
      <w:r>
        <w:rPr>
          <w:b/>
          <w:sz w:val="20"/>
          <w:szCs w:val="20"/>
        </w:rPr>
        <w:t>14 MAI 2</w:t>
      </w:r>
      <w:r w:rsidR="00CB3520" w:rsidRPr="00C50A5C">
        <w:rPr>
          <w:b/>
          <w:sz w:val="20"/>
          <w:szCs w:val="20"/>
        </w:rPr>
        <w:t>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B855B0" w:rsidRDefault="00B855B0" w:rsidP="00B855B0">
      <w:pPr>
        <w:pStyle w:val="ListParagraph"/>
        <w:widowControl w:val="0"/>
        <w:numPr>
          <w:ilvl w:val="0"/>
          <w:numId w:val="1"/>
        </w:numPr>
        <w:ind w:hanging="720"/>
        <w:jc w:val="both"/>
        <w:rPr>
          <w:i/>
          <w:sz w:val="20"/>
          <w:szCs w:val="20"/>
        </w:rPr>
      </w:pPr>
      <w:r w:rsidRPr="00B855B0">
        <w:rPr>
          <w:i/>
          <w:sz w:val="20"/>
          <w:szCs w:val="20"/>
        </w:rPr>
        <w:t>Ciba Specialty Chemicals Water Treatments Limited</w:t>
      </w:r>
      <w:r>
        <w:rPr>
          <w:i/>
          <w:sz w:val="20"/>
          <w:szCs w:val="20"/>
        </w:rPr>
        <w:t xml:space="preserve"> v. SNF Inc.</w:t>
      </w:r>
      <w:r w:rsidR="00CB3520" w:rsidRPr="00B855B0">
        <w:rPr>
          <w:sz w:val="20"/>
          <w:szCs w:val="20"/>
        </w:rPr>
        <w:t xml:space="preserve"> (</w:t>
      </w:r>
      <w:r>
        <w:rPr>
          <w:sz w:val="20"/>
          <w:szCs w:val="20"/>
        </w:rPr>
        <w:t>F.C.) (Civil</w:t>
      </w:r>
      <w:r w:rsidR="00CB3520" w:rsidRPr="00B855B0">
        <w:rPr>
          <w:sz w:val="20"/>
          <w:szCs w:val="20"/>
        </w:rPr>
        <w:t>) (By Leave) (3</w:t>
      </w:r>
      <w:r>
        <w:rPr>
          <w:sz w:val="20"/>
          <w:szCs w:val="20"/>
        </w:rPr>
        <w:t>7915</w:t>
      </w:r>
      <w:r w:rsidR="00CB3520" w:rsidRPr="00B855B0">
        <w:rPr>
          <w:sz w:val="20"/>
          <w:szCs w:val="20"/>
        </w:rPr>
        <w:t>)</w:t>
      </w:r>
    </w:p>
    <w:p w:rsidR="00CB3520" w:rsidRPr="00C50A5C" w:rsidRDefault="00CB3520" w:rsidP="00CB3520">
      <w:pPr>
        <w:widowControl w:val="0"/>
        <w:jc w:val="both"/>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r w:rsidR="00FA3373" w:rsidRPr="00E942C2">
        <w:rPr>
          <w:b/>
          <w:sz w:val="20"/>
          <w:szCs w:val="20"/>
          <w:lang w:val="en-US"/>
        </w:rPr>
        <w:t>Abella</w:t>
      </w:r>
      <w:r w:rsidRPr="00E942C2">
        <w:rPr>
          <w:b/>
          <w:sz w:val="20"/>
          <w:szCs w:val="20"/>
          <w:lang w:val="en-US"/>
        </w:rPr>
        <w:t xml:space="preserve">, </w:t>
      </w:r>
      <w:r w:rsidR="00195F99">
        <w:rPr>
          <w:b/>
          <w:sz w:val="20"/>
          <w:szCs w:val="20"/>
          <w:lang w:val="en-US"/>
        </w:rPr>
        <w:t>Gascon</w:t>
      </w:r>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sidR="00195F99">
        <w:rPr>
          <w:b/>
          <w:sz w:val="20"/>
          <w:szCs w:val="20"/>
          <w:lang w:val="fr-CA"/>
        </w:rPr>
        <w:t>Gascon</w:t>
      </w:r>
      <w:r w:rsidRPr="00C50A5C">
        <w:rPr>
          <w:b/>
          <w:sz w:val="20"/>
          <w:szCs w:val="20"/>
          <w:lang w:val="fr-CA"/>
        </w:rPr>
        <w:t xml:space="preserve"> et </w:t>
      </w:r>
      <w:r w:rsidR="00E942C2">
        <w:rPr>
          <w:b/>
          <w:sz w:val="20"/>
          <w:szCs w:val="20"/>
          <w:lang w:val="fr-CA"/>
        </w:rPr>
        <w:t>Brown</w:t>
      </w:r>
    </w:p>
    <w:p w:rsidR="00CB3520" w:rsidRPr="00C16CB3" w:rsidRDefault="00CB3520" w:rsidP="00CB3520">
      <w:pPr>
        <w:widowControl w:val="0"/>
        <w:jc w:val="both"/>
        <w:rPr>
          <w:sz w:val="20"/>
          <w:szCs w:val="20"/>
          <w:lang w:val="fr-CA"/>
        </w:rPr>
      </w:pPr>
    </w:p>
    <w:p w:rsidR="00CB3520" w:rsidRPr="00B855B0" w:rsidRDefault="00B855B0" w:rsidP="00CB3520">
      <w:pPr>
        <w:pStyle w:val="ListParagraph"/>
        <w:widowControl w:val="0"/>
        <w:numPr>
          <w:ilvl w:val="0"/>
          <w:numId w:val="1"/>
        </w:numPr>
        <w:ind w:hanging="720"/>
        <w:jc w:val="both"/>
        <w:rPr>
          <w:sz w:val="20"/>
          <w:szCs w:val="20"/>
          <w:lang w:val="en-US"/>
        </w:rPr>
      </w:pPr>
      <w:r>
        <w:rPr>
          <w:i/>
          <w:sz w:val="20"/>
          <w:szCs w:val="20"/>
        </w:rPr>
        <w:t>Linda Dwyer v. Lloyd Bussey</w:t>
      </w:r>
      <w:r w:rsidR="00CB3520" w:rsidRPr="009C5D38">
        <w:rPr>
          <w:sz w:val="20"/>
          <w:szCs w:val="20"/>
        </w:rPr>
        <w:t xml:space="preserve"> (</w:t>
      </w:r>
      <w:r>
        <w:rPr>
          <w:sz w:val="20"/>
          <w:szCs w:val="20"/>
        </w:rPr>
        <w:t>N.L</w:t>
      </w:r>
      <w:r w:rsidR="00CB3520" w:rsidRPr="009C5D38">
        <w:rPr>
          <w:sz w:val="20"/>
          <w:szCs w:val="20"/>
        </w:rPr>
        <w:t>.) (Civil) (By Leave)</w:t>
      </w:r>
      <w:r w:rsidR="00CB3520" w:rsidRPr="00B855B0">
        <w:rPr>
          <w:sz w:val="20"/>
          <w:szCs w:val="20"/>
          <w:lang w:val="en-US"/>
        </w:rPr>
        <w:t xml:space="preserve"> </w:t>
      </w:r>
      <w:r>
        <w:rPr>
          <w:sz w:val="20"/>
          <w:szCs w:val="20"/>
          <w:lang w:val="en-US"/>
        </w:rPr>
        <w:t>(37921)</w:t>
      </w:r>
    </w:p>
    <w:p w:rsidR="00CB3520" w:rsidRPr="00B855B0" w:rsidRDefault="00CB3520" w:rsidP="00CB3520">
      <w:pPr>
        <w:widowControl w:val="0"/>
        <w:jc w:val="both"/>
        <w:rPr>
          <w:sz w:val="20"/>
          <w:szCs w:val="20"/>
          <w:lang w:val="en-US"/>
        </w:rPr>
      </w:pPr>
    </w:p>
    <w:p w:rsidR="00CB3520" w:rsidRPr="00B855B0" w:rsidRDefault="00B855B0" w:rsidP="00CB3520">
      <w:pPr>
        <w:pStyle w:val="ListParagraph"/>
        <w:widowControl w:val="0"/>
        <w:numPr>
          <w:ilvl w:val="0"/>
          <w:numId w:val="1"/>
        </w:numPr>
        <w:ind w:hanging="720"/>
        <w:jc w:val="both"/>
        <w:rPr>
          <w:sz w:val="20"/>
          <w:szCs w:val="20"/>
          <w:lang w:val="fr-CA"/>
        </w:rPr>
      </w:pPr>
      <w:r w:rsidRPr="00C15495">
        <w:rPr>
          <w:i/>
          <w:sz w:val="20"/>
          <w:szCs w:val="20"/>
          <w:lang w:val="en-US"/>
        </w:rPr>
        <w:t>Keatley Surveying Ltd. v. Teranet Inc.</w:t>
      </w:r>
      <w:r w:rsidR="00CB3520" w:rsidRPr="00C15495">
        <w:rPr>
          <w:sz w:val="20"/>
          <w:szCs w:val="20"/>
          <w:lang w:val="en-US"/>
        </w:rPr>
        <w:t xml:space="preserve"> </w:t>
      </w:r>
      <w:r w:rsidR="00CB3520" w:rsidRPr="00B855B0">
        <w:rPr>
          <w:sz w:val="20"/>
          <w:szCs w:val="20"/>
          <w:lang w:val="fr-CA"/>
        </w:rPr>
        <w:t>(Ont.) (Civil) (By Leave)</w:t>
      </w:r>
      <w:r>
        <w:rPr>
          <w:sz w:val="20"/>
          <w:szCs w:val="20"/>
          <w:lang w:val="fr-CA"/>
        </w:rPr>
        <w:t xml:space="preserve"> (37863</w:t>
      </w:r>
      <w:r w:rsidR="00CB3520" w:rsidRPr="00B855B0">
        <w:rPr>
          <w:sz w:val="20"/>
          <w:szCs w:val="20"/>
          <w:lang w:val="fr-CA"/>
        </w:rPr>
        <w:t>)</w:t>
      </w:r>
    </w:p>
    <w:p w:rsidR="00CB3520" w:rsidRPr="00B855B0" w:rsidRDefault="00CB3520" w:rsidP="00CB3520">
      <w:pPr>
        <w:widowControl w:val="0"/>
        <w:jc w:val="both"/>
        <w:rPr>
          <w:sz w:val="20"/>
          <w:szCs w:val="20"/>
          <w:lang w:val="fr-CA"/>
        </w:rPr>
      </w:pPr>
    </w:p>
    <w:p w:rsidR="00CB3520" w:rsidRPr="00DC0577" w:rsidRDefault="00CB3520" w:rsidP="00CB3520">
      <w:pPr>
        <w:widowControl w:val="0"/>
        <w:jc w:val="both"/>
        <w:rPr>
          <w:sz w:val="20"/>
          <w:szCs w:val="20"/>
          <w:lang w:val="fr-CA"/>
        </w:rPr>
      </w:pPr>
    </w:p>
    <w:p w:rsidR="00CB3520" w:rsidRPr="00C50A5C" w:rsidRDefault="00CB3520" w:rsidP="00CB3520">
      <w:pPr>
        <w:widowControl w:val="0"/>
        <w:jc w:val="center"/>
        <w:rPr>
          <w:b/>
          <w:sz w:val="20"/>
          <w:szCs w:val="20"/>
        </w:rPr>
      </w:pPr>
      <w:r w:rsidRPr="00C50A5C">
        <w:rPr>
          <w:b/>
          <w:sz w:val="20"/>
          <w:szCs w:val="20"/>
        </w:rPr>
        <w:t xml:space="preserve">CORAM: </w:t>
      </w:r>
      <w:r w:rsidR="00253236" w:rsidRPr="00253236">
        <w:rPr>
          <w:b/>
          <w:sz w:val="20"/>
          <w:szCs w:val="20"/>
        </w:rPr>
        <w:t>Moldaver</w:t>
      </w:r>
      <w:r w:rsidR="00E942C2">
        <w:rPr>
          <w:b/>
          <w:sz w:val="20"/>
          <w:szCs w:val="20"/>
        </w:rPr>
        <w:t xml:space="preserve">, </w:t>
      </w:r>
      <w:r w:rsidR="00195F99">
        <w:rPr>
          <w:b/>
          <w:sz w:val="20"/>
          <w:szCs w:val="20"/>
        </w:rPr>
        <w:t xml:space="preserve">Karakatsanis and </w:t>
      </w:r>
      <w:r w:rsidR="00253236" w:rsidRPr="00253236">
        <w:rPr>
          <w:b/>
          <w:sz w:val="20"/>
          <w:szCs w:val="20"/>
        </w:rPr>
        <w:t>Côté</w:t>
      </w:r>
      <w:r w:rsidR="00195F99">
        <w:rPr>
          <w:b/>
          <w:sz w:val="20"/>
          <w:szCs w:val="20"/>
        </w:rPr>
        <w:t xml:space="preserve"> </w:t>
      </w:r>
      <w:r w:rsidRPr="00C50A5C">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253236" w:rsidRPr="00253236">
        <w:rPr>
          <w:b/>
          <w:sz w:val="20"/>
          <w:szCs w:val="20"/>
          <w:lang w:val="fr-CA"/>
        </w:rPr>
        <w:t>Moldaver</w:t>
      </w:r>
      <w:r w:rsidR="00E942C2">
        <w:rPr>
          <w:b/>
          <w:sz w:val="20"/>
          <w:szCs w:val="20"/>
          <w:lang w:val="fr-CA"/>
        </w:rPr>
        <w:t xml:space="preserve">, </w:t>
      </w:r>
      <w:r w:rsidR="00195F99">
        <w:rPr>
          <w:b/>
          <w:sz w:val="20"/>
          <w:szCs w:val="20"/>
          <w:lang w:val="fr-CA"/>
        </w:rPr>
        <w:t xml:space="preserve">Karakatsanis et </w:t>
      </w:r>
      <w:r w:rsidR="00253236" w:rsidRPr="00253236">
        <w:rPr>
          <w:b/>
          <w:sz w:val="20"/>
          <w:szCs w:val="20"/>
          <w:lang w:val="fr-CA"/>
        </w:rPr>
        <w:t>Côté</w:t>
      </w:r>
    </w:p>
    <w:p w:rsidR="00CB3520" w:rsidRPr="00A8251C" w:rsidRDefault="00CB3520" w:rsidP="00CB3520">
      <w:pPr>
        <w:widowControl w:val="0"/>
        <w:jc w:val="both"/>
        <w:rPr>
          <w:sz w:val="20"/>
          <w:szCs w:val="20"/>
          <w:lang w:val="fr-CA"/>
        </w:rPr>
      </w:pPr>
    </w:p>
    <w:p w:rsidR="00CB3520" w:rsidRPr="00B855B0" w:rsidRDefault="00B855B0" w:rsidP="00CB3520">
      <w:pPr>
        <w:pStyle w:val="ListParagraph"/>
        <w:widowControl w:val="0"/>
        <w:numPr>
          <w:ilvl w:val="0"/>
          <w:numId w:val="1"/>
        </w:numPr>
        <w:ind w:hanging="720"/>
        <w:jc w:val="both"/>
        <w:rPr>
          <w:sz w:val="20"/>
          <w:szCs w:val="20"/>
          <w:lang w:val="en-US"/>
        </w:rPr>
      </w:pPr>
      <w:r>
        <w:rPr>
          <w:i/>
          <w:sz w:val="20"/>
          <w:szCs w:val="20"/>
        </w:rPr>
        <w:t xml:space="preserve">City of </w:t>
      </w:r>
      <w:r w:rsidR="00C43B6A">
        <w:rPr>
          <w:i/>
          <w:sz w:val="20"/>
          <w:szCs w:val="20"/>
        </w:rPr>
        <w:t>Dieppe</w:t>
      </w:r>
      <w:r>
        <w:rPr>
          <w:i/>
          <w:sz w:val="20"/>
          <w:szCs w:val="20"/>
        </w:rPr>
        <w:t xml:space="preserve"> v. Noron Inc.</w:t>
      </w:r>
      <w:r w:rsidR="00CB3520" w:rsidRPr="009C5D38">
        <w:rPr>
          <w:sz w:val="20"/>
          <w:szCs w:val="20"/>
        </w:rPr>
        <w:t xml:space="preserve"> </w:t>
      </w:r>
      <w:r w:rsidR="00CB3520" w:rsidRPr="00B855B0">
        <w:rPr>
          <w:sz w:val="20"/>
          <w:szCs w:val="20"/>
          <w:lang w:val="en-US"/>
        </w:rPr>
        <w:t>(</w:t>
      </w:r>
      <w:r w:rsidRPr="00B855B0">
        <w:rPr>
          <w:sz w:val="20"/>
          <w:szCs w:val="20"/>
          <w:lang w:val="en-US"/>
        </w:rPr>
        <w:t>N.B.)</w:t>
      </w:r>
      <w:r w:rsidR="00CB3520" w:rsidRPr="00B855B0">
        <w:rPr>
          <w:sz w:val="20"/>
          <w:szCs w:val="20"/>
          <w:lang w:val="en-US"/>
        </w:rPr>
        <w:t xml:space="preserve"> (Civil) (By Leave)</w:t>
      </w:r>
      <w:r>
        <w:rPr>
          <w:sz w:val="20"/>
          <w:szCs w:val="20"/>
          <w:lang w:val="en-US"/>
        </w:rPr>
        <w:t xml:space="preserve"> (37856</w:t>
      </w:r>
      <w:r w:rsidR="00CB3520" w:rsidRPr="00B855B0">
        <w:rPr>
          <w:sz w:val="20"/>
          <w:szCs w:val="20"/>
          <w:lang w:val="en-US"/>
        </w:rPr>
        <w:t>)</w:t>
      </w:r>
    </w:p>
    <w:p w:rsidR="00CB3520" w:rsidRPr="00B855B0" w:rsidRDefault="00CB3520" w:rsidP="00CB3520">
      <w:pPr>
        <w:widowControl w:val="0"/>
        <w:jc w:val="both"/>
        <w:rPr>
          <w:sz w:val="20"/>
          <w:szCs w:val="20"/>
          <w:lang w:val="en-US"/>
        </w:rPr>
      </w:pPr>
    </w:p>
    <w:p w:rsidR="002E2327" w:rsidRPr="00B855B0" w:rsidRDefault="002E2327" w:rsidP="002E2327">
      <w:pPr>
        <w:widowControl w:val="0"/>
        <w:rPr>
          <w:sz w:val="20"/>
          <w:szCs w:val="20"/>
          <w:lang w:val="en-US"/>
        </w:rPr>
      </w:pPr>
    </w:p>
    <w:p w:rsidR="002E2327" w:rsidRPr="00B855B0" w:rsidRDefault="00FE4582" w:rsidP="002E2327">
      <w:pPr>
        <w:widowControl w:val="0"/>
        <w:rPr>
          <w:sz w:val="20"/>
          <w:szCs w:val="20"/>
          <w:lang w:val="fr-CA"/>
        </w:rPr>
      </w:pPr>
      <w:r>
        <w:rPr>
          <w:sz w:val="20"/>
          <w:szCs w:val="20"/>
        </w:rPr>
        <w:pict>
          <v:rect id="_x0000_i1054" style="width:2in;height:1pt" o:hrpct="0" o:hralign="center" o:hrstd="t" o:hrnoshade="t" o:hr="t" fillcolor="black [3213]" stroked="f"/>
        </w:pict>
      </w:r>
    </w:p>
    <w:p w:rsidR="00D94028" w:rsidRPr="00B855B0" w:rsidRDefault="00D94028" w:rsidP="002E2327">
      <w:pPr>
        <w:widowControl w:val="0"/>
        <w:rPr>
          <w:sz w:val="20"/>
          <w:szCs w:val="20"/>
          <w:lang w:val="fr-CA"/>
        </w:rPr>
      </w:pPr>
    </w:p>
    <w:p w:rsidR="00D94028" w:rsidRPr="00B855B0" w:rsidRDefault="00D94028" w:rsidP="002E2327">
      <w:pPr>
        <w:widowControl w:val="0"/>
        <w:rPr>
          <w:sz w:val="20"/>
          <w:szCs w:val="20"/>
          <w:lang w:val="fr-CA"/>
        </w:rPr>
      </w:pPr>
    </w:p>
    <w:p w:rsidR="00D94028" w:rsidRPr="00B855B0" w:rsidRDefault="00D94028" w:rsidP="002E2327">
      <w:pPr>
        <w:widowControl w:val="0"/>
        <w:rPr>
          <w:sz w:val="20"/>
          <w:szCs w:val="20"/>
          <w:lang w:val="fr-CA"/>
        </w:rPr>
      </w:pPr>
    </w:p>
    <w:p w:rsidR="0044776A" w:rsidRPr="00B855B0" w:rsidRDefault="0044776A" w:rsidP="002E2327">
      <w:pPr>
        <w:widowControl w:val="0"/>
        <w:spacing w:line="0" w:lineRule="atLeast"/>
        <w:rPr>
          <w:sz w:val="20"/>
          <w:szCs w:val="20"/>
          <w:lang w:val="fr-CA"/>
        </w:rPr>
        <w:sectPr w:rsidR="0044776A" w:rsidRPr="00B855B0"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FE4582" w:rsidTr="00ED7E83">
        <w:tc>
          <w:tcPr>
            <w:tcW w:w="4200" w:type="dxa"/>
            <w:tcMar>
              <w:left w:w="0" w:type="dxa"/>
              <w:right w:w="0" w:type="dxa"/>
            </w:tcMar>
          </w:tcPr>
          <w:p w:rsidR="008D292F" w:rsidRPr="00C15495" w:rsidRDefault="008D292F" w:rsidP="00ED7E83">
            <w:pPr>
              <w:keepNext/>
              <w:keepLines/>
              <w:jc w:val="both"/>
              <w:rPr>
                <w:b/>
                <w:szCs w:val="24"/>
                <w:lang w:val="en-US"/>
              </w:rPr>
            </w:pPr>
            <w:bookmarkStart w:id="1" w:name="QuickMark_1"/>
            <w:bookmarkEnd w:id="1"/>
            <w:r w:rsidRPr="00C15495">
              <w:rPr>
                <w:b/>
                <w:szCs w:val="24"/>
                <w:lang w:val="en-US"/>
              </w:rPr>
              <w:lastRenderedPageBreak/>
              <w:t>JUDGMENTS ON APPLICATIONS</w:t>
            </w:r>
          </w:p>
          <w:p w:rsidR="008D292F" w:rsidRPr="00C15495" w:rsidRDefault="008D292F" w:rsidP="00ED7E83">
            <w:pPr>
              <w:keepNext/>
              <w:keepLines/>
              <w:jc w:val="both"/>
              <w:rPr>
                <w:b/>
                <w:szCs w:val="24"/>
                <w:lang w:val="en-US"/>
              </w:rPr>
            </w:pPr>
            <w:r w:rsidRPr="00C15495">
              <w:rPr>
                <w:b/>
                <w:szCs w:val="24"/>
                <w:lang w:val="en-US"/>
              </w:rPr>
              <w:t>FOR LEAVE</w:t>
            </w:r>
          </w:p>
        </w:tc>
        <w:tc>
          <w:tcPr>
            <w:tcW w:w="1200" w:type="dxa"/>
            <w:tcMar>
              <w:left w:w="0" w:type="dxa"/>
              <w:right w:w="0" w:type="dxa"/>
            </w:tcMar>
          </w:tcPr>
          <w:p w:rsidR="008D292F" w:rsidRPr="00C15495" w:rsidRDefault="008D292F" w:rsidP="008D292F">
            <w:pPr>
              <w:keepNext/>
              <w:keepLines/>
              <w:jc w:val="center"/>
              <w:rPr>
                <w:b/>
                <w:szCs w:val="24"/>
                <w:lang w:val="en-US"/>
              </w:rPr>
            </w:pPr>
          </w:p>
          <w:p w:rsidR="008D292F" w:rsidRPr="00C15495" w:rsidRDefault="008D292F" w:rsidP="008D292F">
            <w:pPr>
              <w:keepNext/>
              <w:keepLines/>
              <w:jc w:val="center"/>
              <w:rPr>
                <w:b/>
                <w:szCs w:val="24"/>
                <w:lang w:val="en-US"/>
              </w:rPr>
            </w:pPr>
          </w:p>
          <w:p w:rsidR="008D292F" w:rsidRPr="00C15495" w:rsidRDefault="008D292F" w:rsidP="008D292F">
            <w:pPr>
              <w:keepNext/>
              <w:keepLines/>
              <w:jc w:val="center"/>
              <w:rPr>
                <w:b/>
                <w:szCs w:val="24"/>
                <w:lang w:val="en-US"/>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D97F7E" w:rsidP="000E2959">
      <w:pPr>
        <w:rPr>
          <w:b/>
          <w:sz w:val="20"/>
          <w:szCs w:val="20"/>
        </w:rPr>
      </w:pPr>
      <w:r w:rsidRPr="00B855B0">
        <w:rPr>
          <w:b/>
          <w:sz w:val="20"/>
          <w:szCs w:val="20"/>
          <w:lang w:val="fr-CA"/>
        </w:rPr>
        <w:t>MAY 17</w:t>
      </w:r>
      <w:r w:rsidR="000E2959" w:rsidRPr="00B855B0">
        <w:rPr>
          <w:b/>
          <w:sz w:val="20"/>
          <w:szCs w:val="20"/>
          <w:lang w:val="fr-CA"/>
        </w:rPr>
        <w:t xml:space="preserve">, </w:t>
      </w:r>
      <w:r w:rsidR="0030050B" w:rsidRPr="00B855B0">
        <w:rPr>
          <w:b/>
          <w:sz w:val="20"/>
          <w:szCs w:val="20"/>
          <w:lang w:val="fr-CA"/>
        </w:rPr>
        <w:t>201</w:t>
      </w:r>
      <w:r w:rsidR="007B4DFF" w:rsidRPr="00B855B0">
        <w:rPr>
          <w:b/>
          <w:sz w:val="20"/>
          <w:szCs w:val="20"/>
          <w:lang w:val="fr-CA"/>
        </w:rPr>
        <w:t>8</w:t>
      </w:r>
      <w:r w:rsidR="000E2959" w:rsidRPr="00B855B0">
        <w:rPr>
          <w:b/>
          <w:sz w:val="20"/>
          <w:szCs w:val="20"/>
          <w:lang w:val="fr-CA"/>
        </w:rPr>
        <w:t xml:space="preserve"> / LE </w:t>
      </w:r>
      <w:r w:rsidRPr="00B855B0">
        <w:rPr>
          <w:b/>
          <w:sz w:val="20"/>
          <w:szCs w:val="20"/>
          <w:lang w:val="fr-CA"/>
        </w:rPr>
        <w:t xml:space="preserve">18 MAI </w:t>
      </w:r>
      <w:r w:rsidR="0030050B" w:rsidRPr="00B855B0">
        <w:rPr>
          <w:b/>
          <w:sz w:val="20"/>
          <w:szCs w:val="20"/>
          <w:lang w:val="fr-CA"/>
        </w:rPr>
        <w:t>20</w:t>
      </w:r>
      <w:r w:rsidR="0030050B">
        <w:rPr>
          <w:b/>
          <w:sz w:val="20"/>
          <w:szCs w:val="20"/>
        </w:rPr>
        <w:t>1</w:t>
      </w:r>
      <w:r w:rsidR="007B4DFF">
        <w:rPr>
          <w:b/>
          <w:sz w:val="20"/>
          <w:szCs w:val="20"/>
        </w:rPr>
        <w:t>8</w:t>
      </w:r>
    </w:p>
    <w:p w:rsidR="00E8544A" w:rsidRPr="009D287C" w:rsidRDefault="00E8544A" w:rsidP="00E8544A">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D97F7E" w:rsidRPr="0067741F" w:rsidTr="00D97F7E">
        <w:trPr>
          <w:gridAfter w:val="1"/>
          <w:wAfter w:w="48" w:type="pct"/>
        </w:trPr>
        <w:tc>
          <w:tcPr>
            <w:tcW w:w="538" w:type="pct"/>
          </w:tcPr>
          <w:p w:rsidR="00D97F7E" w:rsidRPr="0067741F" w:rsidRDefault="00D97F7E" w:rsidP="00D97F7E">
            <w:pPr>
              <w:jc w:val="both"/>
              <w:rPr>
                <w:sz w:val="20"/>
              </w:rPr>
            </w:pPr>
            <w:r w:rsidRPr="0067741F">
              <w:rPr>
                <w:rStyle w:val="SCCFileNumberChar"/>
                <w:sz w:val="20"/>
                <w:szCs w:val="20"/>
              </w:rPr>
              <w:t>37816</w:t>
            </w:r>
          </w:p>
        </w:tc>
        <w:tc>
          <w:tcPr>
            <w:tcW w:w="4414" w:type="pct"/>
            <w:gridSpan w:val="3"/>
          </w:tcPr>
          <w:p w:rsidR="00D97F7E" w:rsidRPr="0067741F" w:rsidRDefault="00D97F7E" w:rsidP="00D97F7E">
            <w:pPr>
              <w:pStyle w:val="SCCLsocParty"/>
              <w:jc w:val="both"/>
              <w:rPr>
                <w:b/>
                <w:sz w:val="20"/>
                <w:szCs w:val="20"/>
              </w:rPr>
            </w:pPr>
            <w:r w:rsidRPr="0067741F">
              <w:rPr>
                <w:b/>
                <w:sz w:val="20"/>
                <w:szCs w:val="20"/>
              </w:rPr>
              <w:t>Ian Jamieson Nieman v. Victoria Chechui</w:t>
            </w:r>
          </w:p>
          <w:p w:rsidR="00D97F7E" w:rsidRPr="0067741F" w:rsidRDefault="00D97F7E" w:rsidP="00D97F7E">
            <w:pPr>
              <w:jc w:val="both"/>
              <w:rPr>
                <w:sz w:val="20"/>
              </w:rPr>
            </w:pPr>
            <w:r w:rsidRPr="0067741F">
              <w:rPr>
                <w:sz w:val="20"/>
              </w:rPr>
              <w:t>(Ont.) (Civil) (By Leave)</w:t>
            </w:r>
          </w:p>
        </w:tc>
      </w:tr>
      <w:tr w:rsidR="00D97F7E" w:rsidRPr="0067741F" w:rsidTr="00D97F7E">
        <w:trPr>
          <w:gridAfter w:val="1"/>
          <w:wAfter w:w="48" w:type="pct"/>
        </w:trPr>
        <w:tc>
          <w:tcPr>
            <w:tcW w:w="4952" w:type="pct"/>
            <w:gridSpan w:val="4"/>
          </w:tcPr>
          <w:p w:rsidR="00D97F7E" w:rsidRPr="00117951" w:rsidRDefault="00117951" w:rsidP="00D97F7E">
            <w:pPr>
              <w:pStyle w:val="SCCLsocParty"/>
              <w:jc w:val="both"/>
              <w:rPr>
                <w:b/>
                <w:sz w:val="20"/>
                <w:szCs w:val="20"/>
                <w:lang w:val="en-US"/>
              </w:rPr>
            </w:pPr>
            <w:r w:rsidRPr="00117951">
              <w:rPr>
                <w:sz w:val="20"/>
                <w:lang w:val="en-US"/>
              </w:rPr>
              <w:t>The application for leave to appeal from the judgment of the Court of Appeal for Ontario, Number C62247, 2017 ONCA 669, dated August 28, 2017, is dismissed with costs.</w:t>
            </w:r>
          </w:p>
        </w:tc>
      </w:tr>
      <w:tr w:rsidR="00D97F7E" w:rsidRPr="0067741F" w:rsidTr="00D97F7E">
        <w:trPr>
          <w:gridAfter w:val="1"/>
          <w:wAfter w:w="48" w:type="pct"/>
        </w:trPr>
        <w:tc>
          <w:tcPr>
            <w:tcW w:w="4952" w:type="pct"/>
            <w:gridSpan w:val="4"/>
          </w:tcPr>
          <w:p w:rsidR="00D97F7E" w:rsidRPr="0067741F" w:rsidRDefault="00D97F7E" w:rsidP="00D97F7E">
            <w:pPr>
              <w:jc w:val="both"/>
              <w:rPr>
                <w:sz w:val="20"/>
              </w:rPr>
            </w:pPr>
            <w:r w:rsidRPr="0067741F">
              <w:rPr>
                <w:sz w:val="20"/>
              </w:rPr>
              <w:t>Trusts and trustees – Resulting trust – What are the elements needed to demonstrate a gratuitous transfer or gift – Are gift letters binding contracts or just one piece of evidence of intention – Are short-duration romantic common law relationships deserving of special legal treatment – Should the role of resulting trusts be expanded, and what guiding principles regarding resulting trusts should be applied with respect to transfers of interests in land.</w:t>
            </w:r>
          </w:p>
        </w:tc>
      </w:tr>
      <w:tr w:rsidR="00D97F7E" w:rsidRPr="0067741F" w:rsidTr="00D97F7E">
        <w:trPr>
          <w:gridAfter w:val="1"/>
          <w:wAfter w:w="48" w:type="pct"/>
        </w:trPr>
        <w:tc>
          <w:tcPr>
            <w:tcW w:w="4952" w:type="pct"/>
            <w:gridSpan w:val="4"/>
          </w:tcPr>
          <w:p w:rsidR="00D97F7E" w:rsidRPr="0067741F" w:rsidRDefault="00D97F7E" w:rsidP="00D97F7E">
            <w:pPr>
              <w:jc w:val="both"/>
              <w:rPr>
                <w:sz w:val="20"/>
              </w:rPr>
            </w:pPr>
          </w:p>
          <w:p w:rsidR="00D97F7E" w:rsidRPr="0067741F" w:rsidRDefault="00D97F7E" w:rsidP="00D97F7E">
            <w:pPr>
              <w:jc w:val="both"/>
              <w:rPr>
                <w:sz w:val="20"/>
              </w:rPr>
            </w:pPr>
            <w:r w:rsidRPr="0067741F">
              <w:rPr>
                <w:sz w:val="20"/>
              </w:rPr>
              <w:t>In 2013, Victoria Chechui and Ian Jamieson Nieman were living together and purchased a house in joint tenancy in Toronto for $2.6 million. To finance the purchase of the property, Victoria obtained a $1 million mortgage in the parties’ joint names from RBC Dominion Securities Inc., which was later converted to a line of credit. In addition, after obtaining independent legal advice, Ian’s mother executed a gift letter, required by RBC, gifting $1.7 million to both Ian and Victoria. Ian and Victoria also opened a sizeable joint investment account with RBC. In January 2014, Victoria and Ian separated, which precipitated a dispute regarding Victoria’s entitlement to an interest in the property and in the funds held in the RBC investment account. Victoria applied to the Superior Court of Justice for an order for partition and sale of the property, with the proceeds to be equally divided, and an order that the funds in the RBC investment account also be divided equally. Ian sought declarations that Victoria held her interests in the property and the investment account in trust for him. He also claimed damages against Victoria for breach of trust, breach of fiduciary duty, breach of contract, unjust enrichment and conversion, as well as punitive, aggravated and exemplary damages.</w:t>
            </w:r>
          </w:p>
          <w:p w:rsidR="00D97F7E" w:rsidRPr="0067741F" w:rsidRDefault="00D97F7E" w:rsidP="00D97F7E">
            <w:pPr>
              <w:jc w:val="both"/>
              <w:rPr>
                <w:sz w:val="20"/>
              </w:rPr>
            </w:pPr>
          </w:p>
          <w:p w:rsidR="00D97F7E" w:rsidRPr="0067741F" w:rsidRDefault="00D97F7E" w:rsidP="00D97F7E">
            <w:pPr>
              <w:jc w:val="both"/>
              <w:rPr>
                <w:sz w:val="20"/>
              </w:rPr>
            </w:pPr>
            <w:r w:rsidRPr="0067741F">
              <w:rPr>
                <w:sz w:val="20"/>
              </w:rPr>
              <w:t>The Ontario Superior Court of Justice ordered partition and sale of the property, with the proceeds to be equally divided, and further directed that funds held in the joint investment account were held in trust for Mr. Nieman and Ms. Chechui’s name should therefore be removed from the account. The Ontario Court of Appeal allowed Mr. Nieman’s appeal, in part, upholding the application judge’s order for equal division in the property. The court directed, however, that on division of the proceeds of sale, Mr. Nieman was entitled to a credit of $500,000, based on a resulting trust that arose from his repayment of Ms. Chechui’s share of the joint debt associated with acquiring the property.</w:t>
            </w:r>
          </w:p>
          <w:p w:rsidR="00D97F7E" w:rsidRPr="0067741F" w:rsidRDefault="00D97F7E" w:rsidP="00D97F7E">
            <w:pPr>
              <w:jc w:val="both"/>
              <w:rPr>
                <w:sz w:val="20"/>
              </w:rPr>
            </w:pPr>
          </w:p>
        </w:tc>
      </w:tr>
      <w:tr w:rsidR="00D97F7E" w:rsidRPr="0067741F" w:rsidTr="00D97F7E">
        <w:tblPrEx>
          <w:tblCellMar>
            <w:bottom w:w="0" w:type="dxa"/>
          </w:tblCellMar>
        </w:tblPrEx>
        <w:tc>
          <w:tcPr>
            <w:tcW w:w="2367" w:type="pct"/>
            <w:gridSpan w:val="2"/>
          </w:tcPr>
          <w:p w:rsidR="00D97F7E" w:rsidRPr="0067741F" w:rsidRDefault="00D97F7E" w:rsidP="00D97F7E">
            <w:pPr>
              <w:jc w:val="both"/>
              <w:rPr>
                <w:sz w:val="20"/>
              </w:rPr>
            </w:pPr>
            <w:r w:rsidRPr="0067741F">
              <w:rPr>
                <w:sz w:val="20"/>
              </w:rPr>
              <w:t>May 12, 2016</w:t>
            </w:r>
          </w:p>
          <w:p w:rsidR="00D97F7E" w:rsidRPr="0067741F" w:rsidRDefault="00D97F7E" w:rsidP="00D97F7E">
            <w:pPr>
              <w:jc w:val="both"/>
              <w:rPr>
                <w:sz w:val="20"/>
              </w:rPr>
            </w:pPr>
            <w:r w:rsidRPr="0067741F">
              <w:rPr>
                <w:sz w:val="20"/>
              </w:rPr>
              <w:t>Ontario Superior Court of Justice</w:t>
            </w:r>
          </w:p>
          <w:p w:rsidR="00D97F7E" w:rsidRPr="0067741F" w:rsidRDefault="00D97F7E" w:rsidP="00D97F7E">
            <w:pPr>
              <w:jc w:val="both"/>
              <w:rPr>
                <w:sz w:val="20"/>
              </w:rPr>
            </w:pPr>
            <w:r w:rsidRPr="0067741F">
              <w:rPr>
                <w:sz w:val="20"/>
              </w:rPr>
              <w:t>(Hood J.)</w:t>
            </w:r>
          </w:p>
          <w:p w:rsidR="00D97F7E" w:rsidRPr="0067741F" w:rsidRDefault="00FE4582" w:rsidP="00D97F7E">
            <w:pPr>
              <w:jc w:val="both"/>
              <w:rPr>
                <w:sz w:val="20"/>
              </w:rPr>
            </w:pPr>
            <w:hyperlink r:id="rId19" w:history="1">
              <w:r w:rsidR="00D97F7E" w:rsidRPr="0067741F">
                <w:rPr>
                  <w:rStyle w:val="Hyperlink"/>
                  <w:sz w:val="20"/>
                </w:rPr>
                <w:t>2016 ONSC 1905</w:t>
              </w:r>
            </w:hyperlink>
            <w:r w:rsidR="00D97F7E" w:rsidRPr="0067741F">
              <w:rPr>
                <w:sz w:val="20"/>
              </w:rPr>
              <w:t xml:space="preserve"> </w:t>
            </w:r>
          </w:p>
          <w:p w:rsidR="00D97F7E" w:rsidRPr="0067741F" w:rsidRDefault="00D97F7E" w:rsidP="00D97F7E">
            <w:pPr>
              <w:jc w:val="both"/>
              <w:rPr>
                <w:sz w:val="20"/>
              </w:rPr>
            </w:pPr>
          </w:p>
        </w:tc>
        <w:tc>
          <w:tcPr>
            <w:tcW w:w="267" w:type="pct"/>
          </w:tcPr>
          <w:p w:rsidR="00D97F7E" w:rsidRPr="0067741F" w:rsidRDefault="00D97F7E" w:rsidP="00D97F7E">
            <w:pPr>
              <w:jc w:val="both"/>
              <w:rPr>
                <w:sz w:val="20"/>
              </w:rPr>
            </w:pPr>
          </w:p>
        </w:tc>
        <w:tc>
          <w:tcPr>
            <w:tcW w:w="2366" w:type="pct"/>
            <w:gridSpan w:val="2"/>
          </w:tcPr>
          <w:p w:rsidR="00D97F7E" w:rsidRPr="0067741F" w:rsidRDefault="00D97F7E" w:rsidP="00D97F7E">
            <w:pPr>
              <w:jc w:val="both"/>
              <w:rPr>
                <w:sz w:val="20"/>
              </w:rPr>
            </w:pPr>
            <w:r w:rsidRPr="0067741F">
              <w:rPr>
                <w:sz w:val="20"/>
              </w:rPr>
              <w:t>Respondent’s application for partition and sale with proceeds to be equally divided, allowed; respondent’s application for equal division of investment account, dismissed.</w:t>
            </w:r>
          </w:p>
          <w:p w:rsidR="00D97F7E" w:rsidRPr="0067741F" w:rsidRDefault="00D97F7E" w:rsidP="00D97F7E">
            <w:pPr>
              <w:jc w:val="both"/>
              <w:rPr>
                <w:sz w:val="20"/>
              </w:rPr>
            </w:pPr>
          </w:p>
        </w:tc>
      </w:tr>
      <w:tr w:rsidR="00D97F7E" w:rsidRPr="0067741F" w:rsidTr="00D97F7E">
        <w:tblPrEx>
          <w:tblCellMar>
            <w:bottom w:w="0" w:type="dxa"/>
          </w:tblCellMar>
        </w:tblPrEx>
        <w:tc>
          <w:tcPr>
            <w:tcW w:w="2367" w:type="pct"/>
            <w:gridSpan w:val="2"/>
          </w:tcPr>
          <w:p w:rsidR="00D97F7E" w:rsidRPr="0067741F" w:rsidRDefault="00D97F7E" w:rsidP="00D97F7E">
            <w:pPr>
              <w:jc w:val="both"/>
              <w:rPr>
                <w:sz w:val="20"/>
              </w:rPr>
            </w:pPr>
            <w:r w:rsidRPr="0067741F">
              <w:rPr>
                <w:sz w:val="20"/>
              </w:rPr>
              <w:t>August 28, 2017</w:t>
            </w:r>
          </w:p>
          <w:p w:rsidR="00D97F7E" w:rsidRPr="0067741F" w:rsidRDefault="00D97F7E" w:rsidP="00D97F7E">
            <w:pPr>
              <w:jc w:val="both"/>
              <w:rPr>
                <w:sz w:val="20"/>
              </w:rPr>
            </w:pPr>
            <w:r w:rsidRPr="0067741F">
              <w:rPr>
                <w:sz w:val="20"/>
              </w:rPr>
              <w:t>Court of Appeal for Ontario</w:t>
            </w:r>
          </w:p>
          <w:p w:rsidR="00D97F7E" w:rsidRPr="0067741F" w:rsidRDefault="00D97F7E" w:rsidP="00D97F7E">
            <w:pPr>
              <w:jc w:val="both"/>
              <w:rPr>
                <w:sz w:val="20"/>
              </w:rPr>
            </w:pPr>
            <w:r w:rsidRPr="0067741F">
              <w:rPr>
                <w:sz w:val="20"/>
              </w:rPr>
              <w:t>(Strathy C.J.O., Cronk and Pepall JJ.A.)</w:t>
            </w:r>
          </w:p>
          <w:p w:rsidR="00D97F7E" w:rsidRPr="0067741F" w:rsidRDefault="00FE4582" w:rsidP="00D97F7E">
            <w:pPr>
              <w:jc w:val="both"/>
              <w:rPr>
                <w:sz w:val="20"/>
              </w:rPr>
            </w:pPr>
            <w:hyperlink r:id="rId20" w:history="1">
              <w:r w:rsidR="00D97F7E" w:rsidRPr="0067741F">
                <w:rPr>
                  <w:rStyle w:val="Hyperlink"/>
                  <w:sz w:val="20"/>
                </w:rPr>
                <w:t>2017 ONCA 669</w:t>
              </w:r>
            </w:hyperlink>
          </w:p>
          <w:p w:rsidR="00D97F7E" w:rsidRPr="0067741F" w:rsidRDefault="00D97F7E" w:rsidP="00D97F7E">
            <w:pPr>
              <w:jc w:val="both"/>
              <w:rPr>
                <w:sz w:val="20"/>
              </w:rPr>
            </w:pPr>
          </w:p>
        </w:tc>
        <w:tc>
          <w:tcPr>
            <w:tcW w:w="267" w:type="pct"/>
          </w:tcPr>
          <w:p w:rsidR="00D97F7E" w:rsidRPr="0067741F" w:rsidRDefault="00D97F7E" w:rsidP="00D97F7E">
            <w:pPr>
              <w:jc w:val="both"/>
              <w:rPr>
                <w:sz w:val="20"/>
              </w:rPr>
            </w:pPr>
          </w:p>
        </w:tc>
        <w:tc>
          <w:tcPr>
            <w:tcW w:w="2366" w:type="pct"/>
            <w:gridSpan w:val="2"/>
          </w:tcPr>
          <w:p w:rsidR="00D97F7E" w:rsidRPr="0067741F" w:rsidRDefault="00D97F7E" w:rsidP="00D97F7E">
            <w:pPr>
              <w:jc w:val="both"/>
              <w:rPr>
                <w:sz w:val="20"/>
              </w:rPr>
            </w:pPr>
            <w:r w:rsidRPr="0067741F">
              <w:rPr>
                <w:sz w:val="20"/>
              </w:rPr>
              <w:t>Applicant’s appeal, allowed in part.</w:t>
            </w:r>
          </w:p>
        </w:tc>
      </w:tr>
      <w:tr w:rsidR="00D97F7E" w:rsidRPr="0067741F" w:rsidTr="00D97F7E">
        <w:tblPrEx>
          <w:tblCellMar>
            <w:bottom w:w="0" w:type="dxa"/>
          </w:tblCellMar>
        </w:tblPrEx>
        <w:tc>
          <w:tcPr>
            <w:tcW w:w="2367" w:type="pct"/>
            <w:gridSpan w:val="2"/>
          </w:tcPr>
          <w:p w:rsidR="00D97F7E" w:rsidRPr="0067741F" w:rsidRDefault="00D97F7E" w:rsidP="00D97F7E">
            <w:pPr>
              <w:jc w:val="both"/>
              <w:rPr>
                <w:sz w:val="20"/>
              </w:rPr>
            </w:pPr>
            <w:r w:rsidRPr="0067741F">
              <w:rPr>
                <w:sz w:val="20"/>
              </w:rPr>
              <w:t>October 27, 2017</w:t>
            </w:r>
          </w:p>
          <w:p w:rsidR="00D97F7E" w:rsidRPr="0067741F" w:rsidRDefault="00D97F7E" w:rsidP="00D97F7E">
            <w:pPr>
              <w:jc w:val="both"/>
              <w:rPr>
                <w:sz w:val="20"/>
              </w:rPr>
            </w:pPr>
            <w:r w:rsidRPr="0067741F">
              <w:rPr>
                <w:sz w:val="20"/>
              </w:rPr>
              <w:t>Supreme Court of Canada</w:t>
            </w:r>
          </w:p>
        </w:tc>
        <w:tc>
          <w:tcPr>
            <w:tcW w:w="267" w:type="pct"/>
          </w:tcPr>
          <w:p w:rsidR="00D97F7E" w:rsidRPr="0067741F" w:rsidRDefault="00D97F7E" w:rsidP="00D97F7E">
            <w:pPr>
              <w:jc w:val="both"/>
              <w:rPr>
                <w:sz w:val="20"/>
              </w:rPr>
            </w:pPr>
          </w:p>
        </w:tc>
        <w:tc>
          <w:tcPr>
            <w:tcW w:w="2366" w:type="pct"/>
            <w:gridSpan w:val="2"/>
          </w:tcPr>
          <w:p w:rsidR="00D97F7E" w:rsidRPr="0067741F" w:rsidRDefault="00D97F7E" w:rsidP="00D97F7E">
            <w:pPr>
              <w:jc w:val="both"/>
              <w:rPr>
                <w:sz w:val="20"/>
              </w:rPr>
            </w:pPr>
            <w:r w:rsidRPr="0067741F">
              <w:rPr>
                <w:sz w:val="20"/>
              </w:rPr>
              <w:t>Application for leave to appeal, filed.</w:t>
            </w:r>
          </w:p>
        </w:tc>
      </w:tr>
    </w:tbl>
    <w:p w:rsidR="00D97F7E" w:rsidRPr="0067741F" w:rsidRDefault="00D97F7E" w:rsidP="00D97F7E">
      <w:pPr>
        <w:jc w:val="both"/>
        <w:rPr>
          <w:sz w:val="20"/>
        </w:rPr>
      </w:pPr>
    </w:p>
    <w:p w:rsidR="00D97F7E" w:rsidRDefault="00D97F7E">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D97F7E" w:rsidRPr="0067741F" w:rsidTr="00D97F7E">
        <w:trPr>
          <w:gridAfter w:val="1"/>
          <w:wAfter w:w="48" w:type="pct"/>
        </w:trPr>
        <w:tc>
          <w:tcPr>
            <w:tcW w:w="538" w:type="pct"/>
          </w:tcPr>
          <w:p w:rsidR="00D97F7E" w:rsidRPr="0067741F" w:rsidRDefault="00D97F7E" w:rsidP="00D97F7E">
            <w:pPr>
              <w:jc w:val="both"/>
              <w:rPr>
                <w:sz w:val="20"/>
                <w:lang w:val="fr-CA"/>
              </w:rPr>
            </w:pPr>
            <w:r w:rsidRPr="0067741F">
              <w:rPr>
                <w:rStyle w:val="SCCFileNumberChar"/>
                <w:sz w:val="20"/>
                <w:szCs w:val="20"/>
                <w:lang w:val="fr-CA"/>
              </w:rPr>
              <w:lastRenderedPageBreak/>
              <w:t>37816</w:t>
            </w:r>
          </w:p>
        </w:tc>
        <w:tc>
          <w:tcPr>
            <w:tcW w:w="4414" w:type="pct"/>
            <w:gridSpan w:val="3"/>
          </w:tcPr>
          <w:p w:rsidR="00D97F7E" w:rsidRPr="0067741F" w:rsidRDefault="00D97F7E" w:rsidP="00D97F7E">
            <w:pPr>
              <w:pStyle w:val="SCCLsocParty"/>
              <w:jc w:val="both"/>
              <w:rPr>
                <w:b/>
                <w:sz w:val="20"/>
                <w:szCs w:val="20"/>
              </w:rPr>
            </w:pPr>
            <w:r w:rsidRPr="0067741F">
              <w:rPr>
                <w:b/>
                <w:sz w:val="20"/>
                <w:szCs w:val="20"/>
              </w:rPr>
              <w:t>Ian Jamieson Nieman c. Victoria Chechui</w:t>
            </w:r>
          </w:p>
          <w:p w:rsidR="00D97F7E" w:rsidRPr="0067741F" w:rsidRDefault="00D97F7E" w:rsidP="00D97F7E">
            <w:pPr>
              <w:jc w:val="both"/>
              <w:rPr>
                <w:sz w:val="20"/>
                <w:lang w:val="fr-CA"/>
              </w:rPr>
            </w:pPr>
            <w:r w:rsidRPr="0067741F">
              <w:rPr>
                <w:sz w:val="20"/>
                <w:lang w:val="fr-CA"/>
              </w:rPr>
              <w:t>(Ont.) (Civile) (Autorisation)</w:t>
            </w:r>
          </w:p>
        </w:tc>
      </w:tr>
      <w:tr w:rsidR="00D97F7E" w:rsidRPr="00FE4582" w:rsidTr="00D97F7E">
        <w:trPr>
          <w:gridAfter w:val="1"/>
          <w:wAfter w:w="48" w:type="pct"/>
        </w:trPr>
        <w:tc>
          <w:tcPr>
            <w:tcW w:w="4952" w:type="pct"/>
            <w:gridSpan w:val="4"/>
          </w:tcPr>
          <w:p w:rsidR="00D97F7E" w:rsidRPr="00222C2A" w:rsidRDefault="00222C2A" w:rsidP="00D97F7E">
            <w:pPr>
              <w:pStyle w:val="SCCLsocParty"/>
              <w:jc w:val="both"/>
              <w:rPr>
                <w:b/>
                <w:sz w:val="20"/>
                <w:szCs w:val="20"/>
              </w:rPr>
            </w:pPr>
            <w:r w:rsidRPr="00222C2A">
              <w:rPr>
                <w:sz w:val="20"/>
              </w:rPr>
              <w:t>La demande d’autorisation d’appel de l’arrêt de la Cour d’appel de l’Ontario, numéro C62247, 2017 ONCA 669, daté du 28 août 2017, est rejetée avec dépens.</w:t>
            </w:r>
          </w:p>
        </w:tc>
      </w:tr>
      <w:tr w:rsidR="00D97F7E" w:rsidRPr="00FE4582" w:rsidTr="00D97F7E">
        <w:trPr>
          <w:gridAfter w:val="1"/>
          <w:wAfter w:w="48" w:type="pct"/>
        </w:trPr>
        <w:tc>
          <w:tcPr>
            <w:tcW w:w="4952" w:type="pct"/>
            <w:gridSpan w:val="4"/>
          </w:tcPr>
          <w:p w:rsidR="00D97F7E" w:rsidRPr="0067741F" w:rsidRDefault="00D97F7E" w:rsidP="00D97F7E">
            <w:pPr>
              <w:jc w:val="both"/>
              <w:rPr>
                <w:sz w:val="20"/>
                <w:lang w:val="fr-CA"/>
              </w:rPr>
            </w:pPr>
            <w:r w:rsidRPr="0067741F">
              <w:rPr>
                <w:sz w:val="20"/>
                <w:lang w:val="fr-CA"/>
              </w:rPr>
              <w:t>Fiducies et fiduciaires – Fiducie résultoire – Quels sont les éléments nécessaires pour démontrer un transfert à titre gratuit ou une donation? – Les lettres de donation sont-elles des contrats exécutoires ou simplement un élément de preuve d’intention? – Les unions de fait de courte durée méritent-elles un traitement juridique particulier? – Y a-t-il lieu d’élargir le rôle des fiducies résultoires et quels principes directeurs relatifs aux fiducies résultoires convient-il d’appliquer à l’égard des transferts d’intérêts fonciers?</w:t>
            </w:r>
          </w:p>
        </w:tc>
      </w:tr>
      <w:tr w:rsidR="00D97F7E" w:rsidRPr="00FE4582" w:rsidTr="00D97F7E">
        <w:trPr>
          <w:gridAfter w:val="1"/>
          <w:wAfter w:w="48" w:type="pct"/>
        </w:trPr>
        <w:tc>
          <w:tcPr>
            <w:tcW w:w="4952" w:type="pct"/>
            <w:gridSpan w:val="4"/>
          </w:tcPr>
          <w:p w:rsidR="00D97F7E" w:rsidRPr="0067741F" w:rsidRDefault="00D97F7E" w:rsidP="00D97F7E">
            <w:pPr>
              <w:jc w:val="both"/>
              <w:rPr>
                <w:sz w:val="20"/>
                <w:lang w:val="fr-CA"/>
              </w:rPr>
            </w:pPr>
          </w:p>
          <w:p w:rsidR="00D97F7E" w:rsidRPr="0067741F" w:rsidRDefault="00D97F7E" w:rsidP="00D97F7E">
            <w:pPr>
              <w:jc w:val="both"/>
              <w:rPr>
                <w:sz w:val="20"/>
                <w:lang w:val="fr-CA"/>
              </w:rPr>
            </w:pPr>
            <w:r w:rsidRPr="0067741F">
              <w:rPr>
                <w:sz w:val="20"/>
                <w:lang w:val="fr-CA"/>
              </w:rPr>
              <w:t>En 2013, Victoria Chechui et Ian Jamieson Nieman vivaient ensemble et ont acheté une maison en copropriété à Toronto pour la somme de 2,6 millions de dollars. Pour financer l’achat du bien, Victoria a obtenu de RBC Dominion Securities Inc. un prêt hypothécaire d’un million de dollars contracté au nom des deux parties, lequel a été converti par la suite en ligne de crédit. En outre, après avoir obtenu un avis juridique indépendant, la mère d’Ian a signé une lettre de donation, exigée par RBC, donnant 1,7 million de dollars à Ian et à Victoria. Ian et Victoria ont également ouvert un compte de placement conjoint d’une valeur substantielle chez RBC. En janvier 2014, Victoria et Ian se sont séparés, ce qui a donné naissance à un différend portant sur le droit de Victoria à l’égard d’un intérêt dans le bien et à l’égard des fonds détenus dans le compte de placement chez RBC. Victoria a présenté une demande à la Cour supérieure de justice pour obtenir une ordonnance de partage et de vente du bien, avec partage du produit à parts égales, et une ordonnance de partage à parts égales du compte de placement chez RBC. Ian a sollicité des jugements déclarant que Victoria détenait ses intérêts dans le bien et dans le compte de placement en fiducie pour lui. Il a également poursuivi Victoria en dommages-intérêts pour violation de fiducie, violation de l’obligation fiduciaire, violation de contrat, enrichissement injustifié et détournement, ainsi qu’en dommages-intérêts punitifs, majorés et exemplaires.</w:t>
            </w:r>
          </w:p>
          <w:p w:rsidR="00D97F7E" w:rsidRPr="0067741F" w:rsidRDefault="00D97F7E" w:rsidP="00D97F7E">
            <w:pPr>
              <w:jc w:val="both"/>
              <w:rPr>
                <w:sz w:val="20"/>
                <w:lang w:val="fr-CA"/>
              </w:rPr>
            </w:pPr>
          </w:p>
          <w:p w:rsidR="00D97F7E" w:rsidRPr="0067741F" w:rsidRDefault="00D97F7E" w:rsidP="00D97F7E">
            <w:pPr>
              <w:jc w:val="both"/>
              <w:rPr>
                <w:sz w:val="20"/>
                <w:lang w:val="fr-CA"/>
              </w:rPr>
            </w:pPr>
            <w:r w:rsidRPr="0067741F">
              <w:rPr>
                <w:sz w:val="20"/>
                <w:lang w:val="fr-CA"/>
              </w:rPr>
              <w:t>La Cour supérieure de justice de l’Ontario a ordonné le partage et la vente du bien, avec partage du produit à parts égales, et a statué en outre que les fonds détenus dans le compte de placement conjoint étaient détenus en fiducie pour M. Nieman et que le nom de Mme Chechui devait donc être supprimé du compte. La Cour d’appel de l’Ontario a accueilli en partie l’appel de M. Nieman, confirmant l’ordonnance de partage du bien à parts égales prononcée par le juge de première instance. Toutefois, la Cour d’appel a statué que dans le cadre du partage du produit de la vente, M. Nieman avait droit à un crédit de 500 000 $, établi en fonction d’une fiducie résultoire qui a découlé de son remboursement de la part de Mme Chechui dans la dette conjointe liée à l’acquisition du bien.</w:t>
            </w:r>
          </w:p>
          <w:p w:rsidR="00D97F7E" w:rsidRPr="0067741F" w:rsidRDefault="00D97F7E" w:rsidP="00D97F7E">
            <w:pPr>
              <w:jc w:val="both"/>
              <w:rPr>
                <w:sz w:val="20"/>
                <w:lang w:val="fr-CA"/>
              </w:rPr>
            </w:pPr>
          </w:p>
        </w:tc>
      </w:tr>
      <w:tr w:rsidR="00D97F7E" w:rsidRPr="00FE4582" w:rsidTr="00D97F7E">
        <w:tblPrEx>
          <w:tblCellMar>
            <w:bottom w:w="0" w:type="dxa"/>
          </w:tblCellMar>
        </w:tblPrEx>
        <w:tc>
          <w:tcPr>
            <w:tcW w:w="2367" w:type="pct"/>
            <w:gridSpan w:val="2"/>
          </w:tcPr>
          <w:p w:rsidR="00D97F7E" w:rsidRPr="0067741F" w:rsidRDefault="00D97F7E" w:rsidP="00D97F7E">
            <w:pPr>
              <w:jc w:val="both"/>
              <w:rPr>
                <w:sz w:val="20"/>
                <w:lang w:val="fr-CA"/>
              </w:rPr>
            </w:pPr>
            <w:r w:rsidRPr="0067741F">
              <w:rPr>
                <w:sz w:val="20"/>
                <w:lang w:val="fr-CA"/>
              </w:rPr>
              <w:t>12 mai 2016</w:t>
            </w:r>
          </w:p>
          <w:p w:rsidR="00D97F7E" w:rsidRPr="0067741F" w:rsidRDefault="00D97F7E" w:rsidP="00D97F7E">
            <w:pPr>
              <w:jc w:val="both"/>
              <w:rPr>
                <w:sz w:val="20"/>
                <w:lang w:val="fr-CA"/>
              </w:rPr>
            </w:pPr>
            <w:r w:rsidRPr="0067741F">
              <w:rPr>
                <w:sz w:val="20"/>
                <w:lang w:val="fr-CA"/>
              </w:rPr>
              <w:t>Cour supérieure de justice de l’Ontario</w:t>
            </w:r>
          </w:p>
          <w:p w:rsidR="00D97F7E" w:rsidRPr="0067741F" w:rsidRDefault="00D97F7E" w:rsidP="00D97F7E">
            <w:pPr>
              <w:jc w:val="both"/>
              <w:rPr>
                <w:sz w:val="20"/>
                <w:lang w:val="fr-CA"/>
              </w:rPr>
            </w:pPr>
            <w:r w:rsidRPr="0067741F">
              <w:rPr>
                <w:sz w:val="20"/>
                <w:lang w:val="fr-CA"/>
              </w:rPr>
              <w:t>(Juge Hood)</w:t>
            </w:r>
          </w:p>
          <w:p w:rsidR="00D97F7E" w:rsidRPr="0067741F" w:rsidRDefault="00FE4582" w:rsidP="00D97F7E">
            <w:pPr>
              <w:jc w:val="both"/>
              <w:rPr>
                <w:sz w:val="20"/>
                <w:lang w:val="fr-CA"/>
              </w:rPr>
            </w:pPr>
            <w:hyperlink r:id="rId21" w:history="1">
              <w:r w:rsidR="00D97F7E" w:rsidRPr="0067741F">
                <w:rPr>
                  <w:rStyle w:val="Hyperlink"/>
                  <w:sz w:val="20"/>
                  <w:lang w:val="fr-CA"/>
                </w:rPr>
                <w:t>2016 ONSC 1905</w:t>
              </w:r>
            </w:hyperlink>
            <w:r w:rsidR="00D97F7E" w:rsidRPr="0067741F">
              <w:rPr>
                <w:sz w:val="20"/>
                <w:lang w:val="fr-CA"/>
              </w:rPr>
              <w:t xml:space="preserve"> </w:t>
            </w:r>
          </w:p>
          <w:p w:rsidR="00D97F7E" w:rsidRPr="0067741F" w:rsidRDefault="00D97F7E" w:rsidP="00D97F7E">
            <w:pPr>
              <w:jc w:val="both"/>
              <w:rPr>
                <w:sz w:val="20"/>
                <w:lang w:val="fr-CA"/>
              </w:rPr>
            </w:pPr>
          </w:p>
        </w:tc>
        <w:tc>
          <w:tcPr>
            <w:tcW w:w="267" w:type="pct"/>
          </w:tcPr>
          <w:p w:rsidR="00D97F7E" w:rsidRPr="0067741F" w:rsidRDefault="00D97F7E" w:rsidP="00D97F7E">
            <w:pPr>
              <w:jc w:val="both"/>
              <w:rPr>
                <w:sz w:val="20"/>
                <w:lang w:val="fr-CA"/>
              </w:rPr>
            </w:pPr>
          </w:p>
        </w:tc>
        <w:tc>
          <w:tcPr>
            <w:tcW w:w="2366" w:type="pct"/>
            <w:gridSpan w:val="2"/>
          </w:tcPr>
          <w:p w:rsidR="00D97F7E" w:rsidRPr="0067741F" w:rsidRDefault="00D97F7E" w:rsidP="00D97F7E">
            <w:pPr>
              <w:jc w:val="both"/>
              <w:rPr>
                <w:sz w:val="20"/>
                <w:lang w:val="fr-CA"/>
              </w:rPr>
            </w:pPr>
            <w:r w:rsidRPr="0067741F">
              <w:rPr>
                <w:sz w:val="20"/>
                <w:lang w:val="fr-CA"/>
              </w:rPr>
              <w:t>Jugement accueillant la demande de l’intimée en partage et vente avec partage du produit à parts égales et rejetant la demande de l’intimée en partage du compte de placement à parts égales.</w:t>
            </w:r>
          </w:p>
          <w:p w:rsidR="00D97F7E" w:rsidRPr="0067741F" w:rsidRDefault="00D97F7E" w:rsidP="00D97F7E">
            <w:pPr>
              <w:jc w:val="both"/>
              <w:rPr>
                <w:sz w:val="20"/>
                <w:lang w:val="fr-CA"/>
              </w:rPr>
            </w:pPr>
          </w:p>
        </w:tc>
      </w:tr>
      <w:tr w:rsidR="00D97F7E" w:rsidRPr="00FE4582" w:rsidTr="00D97F7E">
        <w:tblPrEx>
          <w:tblCellMar>
            <w:bottom w:w="0" w:type="dxa"/>
          </w:tblCellMar>
        </w:tblPrEx>
        <w:tc>
          <w:tcPr>
            <w:tcW w:w="2367" w:type="pct"/>
            <w:gridSpan w:val="2"/>
          </w:tcPr>
          <w:p w:rsidR="00D97F7E" w:rsidRPr="0067741F" w:rsidRDefault="00D97F7E" w:rsidP="00D97F7E">
            <w:pPr>
              <w:jc w:val="both"/>
              <w:rPr>
                <w:sz w:val="20"/>
                <w:lang w:val="fr-CA"/>
              </w:rPr>
            </w:pPr>
            <w:r w:rsidRPr="0067741F">
              <w:rPr>
                <w:sz w:val="20"/>
                <w:lang w:val="fr-CA"/>
              </w:rPr>
              <w:t>28 août 2017</w:t>
            </w:r>
          </w:p>
          <w:p w:rsidR="00D97F7E" w:rsidRPr="0067741F" w:rsidRDefault="00D97F7E" w:rsidP="00D97F7E">
            <w:pPr>
              <w:jc w:val="both"/>
              <w:rPr>
                <w:sz w:val="20"/>
                <w:lang w:val="fr-CA"/>
              </w:rPr>
            </w:pPr>
            <w:r w:rsidRPr="0067741F">
              <w:rPr>
                <w:sz w:val="20"/>
                <w:lang w:val="fr-CA"/>
              </w:rPr>
              <w:t>Cour d’appel de l’Ontario</w:t>
            </w:r>
          </w:p>
          <w:p w:rsidR="00D97F7E" w:rsidRPr="0067741F" w:rsidRDefault="00D97F7E" w:rsidP="00D97F7E">
            <w:pPr>
              <w:jc w:val="both"/>
              <w:rPr>
                <w:sz w:val="20"/>
                <w:lang w:val="fr-CA"/>
              </w:rPr>
            </w:pPr>
            <w:r w:rsidRPr="0067741F">
              <w:rPr>
                <w:sz w:val="20"/>
                <w:lang w:val="fr-CA"/>
              </w:rPr>
              <w:t>(Juge en chef Strathy, juges Cronk et Pepall)</w:t>
            </w:r>
          </w:p>
          <w:p w:rsidR="00D97F7E" w:rsidRPr="0067741F" w:rsidRDefault="00FE4582" w:rsidP="00D97F7E">
            <w:pPr>
              <w:jc w:val="both"/>
              <w:rPr>
                <w:sz w:val="20"/>
                <w:lang w:val="fr-CA"/>
              </w:rPr>
            </w:pPr>
            <w:hyperlink r:id="rId22" w:history="1">
              <w:r w:rsidR="00D97F7E" w:rsidRPr="0067741F">
                <w:rPr>
                  <w:rStyle w:val="Hyperlink"/>
                  <w:sz w:val="20"/>
                  <w:lang w:val="fr-CA"/>
                </w:rPr>
                <w:t>2017 ONCA 669</w:t>
              </w:r>
            </w:hyperlink>
          </w:p>
          <w:p w:rsidR="00D97F7E" w:rsidRPr="0067741F" w:rsidRDefault="00D97F7E" w:rsidP="00D97F7E">
            <w:pPr>
              <w:jc w:val="both"/>
              <w:rPr>
                <w:sz w:val="20"/>
                <w:lang w:val="fr-CA"/>
              </w:rPr>
            </w:pPr>
          </w:p>
        </w:tc>
        <w:tc>
          <w:tcPr>
            <w:tcW w:w="267" w:type="pct"/>
          </w:tcPr>
          <w:p w:rsidR="00D97F7E" w:rsidRPr="0067741F" w:rsidRDefault="00D97F7E" w:rsidP="00D97F7E">
            <w:pPr>
              <w:jc w:val="both"/>
              <w:rPr>
                <w:sz w:val="20"/>
                <w:lang w:val="fr-CA"/>
              </w:rPr>
            </w:pPr>
          </w:p>
        </w:tc>
        <w:tc>
          <w:tcPr>
            <w:tcW w:w="2366" w:type="pct"/>
            <w:gridSpan w:val="2"/>
          </w:tcPr>
          <w:p w:rsidR="00D97F7E" w:rsidRPr="0067741F" w:rsidRDefault="00D97F7E" w:rsidP="00D97F7E">
            <w:pPr>
              <w:jc w:val="both"/>
              <w:rPr>
                <w:sz w:val="20"/>
                <w:lang w:val="fr-CA"/>
              </w:rPr>
            </w:pPr>
            <w:r w:rsidRPr="0067741F">
              <w:rPr>
                <w:sz w:val="20"/>
                <w:lang w:val="fr-CA"/>
              </w:rPr>
              <w:t>Arrêt accueillant en partie l’appel du demandeur.</w:t>
            </w:r>
          </w:p>
        </w:tc>
      </w:tr>
      <w:tr w:rsidR="00D97F7E" w:rsidRPr="00FE4582" w:rsidTr="00D97F7E">
        <w:tblPrEx>
          <w:tblCellMar>
            <w:bottom w:w="0" w:type="dxa"/>
          </w:tblCellMar>
        </w:tblPrEx>
        <w:tc>
          <w:tcPr>
            <w:tcW w:w="2367" w:type="pct"/>
            <w:gridSpan w:val="2"/>
          </w:tcPr>
          <w:p w:rsidR="00D97F7E" w:rsidRPr="0067741F" w:rsidRDefault="00D97F7E" w:rsidP="00D97F7E">
            <w:pPr>
              <w:jc w:val="both"/>
              <w:rPr>
                <w:sz w:val="20"/>
                <w:lang w:val="fr-CA"/>
              </w:rPr>
            </w:pPr>
            <w:r w:rsidRPr="0067741F">
              <w:rPr>
                <w:sz w:val="20"/>
                <w:lang w:val="fr-CA"/>
              </w:rPr>
              <w:t>27 octobre 2017</w:t>
            </w:r>
          </w:p>
          <w:p w:rsidR="00D97F7E" w:rsidRPr="0067741F" w:rsidRDefault="00D97F7E" w:rsidP="00D97F7E">
            <w:pPr>
              <w:jc w:val="both"/>
              <w:rPr>
                <w:sz w:val="20"/>
                <w:lang w:val="fr-CA"/>
              </w:rPr>
            </w:pPr>
            <w:r w:rsidRPr="0067741F">
              <w:rPr>
                <w:sz w:val="20"/>
                <w:lang w:val="fr-CA"/>
              </w:rPr>
              <w:t>Cour suprême du Canada</w:t>
            </w:r>
          </w:p>
        </w:tc>
        <w:tc>
          <w:tcPr>
            <w:tcW w:w="267" w:type="pct"/>
          </w:tcPr>
          <w:p w:rsidR="00D97F7E" w:rsidRPr="0067741F" w:rsidRDefault="00D97F7E" w:rsidP="00D97F7E">
            <w:pPr>
              <w:jc w:val="both"/>
              <w:rPr>
                <w:sz w:val="20"/>
                <w:lang w:val="fr-CA"/>
              </w:rPr>
            </w:pPr>
          </w:p>
        </w:tc>
        <w:tc>
          <w:tcPr>
            <w:tcW w:w="2366" w:type="pct"/>
            <w:gridSpan w:val="2"/>
          </w:tcPr>
          <w:p w:rsidR="00D97F7E" w:rsidRPr="0067741F" w:rsidRDefault="00D97F7E" w:rsidP="00D97F7E">
            <w:pPr>
              <w:jc w:val="both"/>
              <w:rPr>
                <w:sz w:val="20"/>
                <w:lang w:val="fr-CA"/>
              </w:rPr>
            </w:pPr>
            <w:r w:rsidRPr="0067741F">
              <w:rPr>
                <w:sz w:val="20"/>
                <w:lang w:val="fr-CA"/>
              </w:rPr>
              <w:t>Dépôt de la demande d’autorisation d’appel.</w:t>
            </w:r>
          </w:p>
        </w:tc>
      </w:tr>
    </w:tbl>
    <w:p w:rsidR="00D97F7E" w:rsidRPr="0067741F" w:rsidRDefault="00D97F7E" w:rsidP="00D97F7E">
      <w:pPr>
        <w:jc w:val="both"/>
        <w:rPr>
          <w:sz w:val="20"/>
          <w:lang w:val="fr-CA"/>
        </w:rPr>
      </w:pPr>
    </w:p>
    <w:p w:rsidR="00D97F7E" w:rsidRPr="0067741F" w:rsidRDefault="00D97F7E" w:rsidP="00D97F7E">
      <w:pPr>
        <w:jc w:val="both"/>
        <w:rPr>
          <w:sz w:val="20"/>
          <w:lang w:val="fr-CA"/>
        </w:rPr>
      </w:pPr>
    </w:p>
    <w:p w:rsidR="00D97F7E" w:rsidRPr="00C040D9" w:rsidRDefault="00D97F7E">
      <w:pPr>
        <w:rPr>
          <w:lang w:val="fr-CA"/>
        </w:rPr>
      </w:pPr>
      <w:r w:rsidRPr="00C040D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D97F7E" w:rsidRPr="0067741F" w:rsidTr="00D97F7E">
        <w:tc>
          <w:tcPr>
            <w:tcW w:w="542" w:type="pct"/>
          </w:tcPr>
          <w:p w:rsidR="00D97F7E" w:rsidRPr="0067741F" w:rsidRDefault="00D97F7E" w:rsidP="00D97F7E">
            <w:pPr>
              <w:jc w:val="both"/>
              <w:rPr>
                <w:sz w:val="20"/>
              </w:rPr>
            </w:pPr>
            <w:r w:rsidRPr="0067741F">
              <w:rPr>
                <w:rStyle w:val="SCCFileNumberChar"/>
                <w:sz w:val="20"/>
                <w:szCs w:val="20"/>
              </w:rPr>
              <w:lastRenderedPageBreak/>
              <w:t>37790</w:t>
            </w:r>
          </w:p>
        </w:tc>
        <w:tc>
          <w:tcPr>
            <w:tcW w:w="4458" w:type="pct"/>
            <w:gridSpan w:val="3"/>
          </w:tcPr>
          <w:p w:rsidR="00D97F7E" w:rsidRPr="0067741F" w:rsidRDefault="00D97F7E" w:rsidP="00D97F7E">
            <w:pPr>
              <w:pStyle w:val="SCCLsocParty"/>
              <w:jc w:val="both"/>
              <w:rPr>
                <w:b/>
                <w:sz w:val="20"/>
                <w:szCs w:val="20"/>
                <w:lang w:val="en-CA"/>
              </w:rPr>
            </w:pPr>
            <w:r w:rsidRPr="0067741F">
              <w:rPr>
                <w:b/>
                <w:sz w:val="20"/>
                <w:szCs w:val="20"/>
                <w:lang w:val="en-CA"/>
              </w:rPr>
              <w:t>Joseph Roy Éric Bessette v. Attorney General of British Columbia</w:t>
            </w:r>
          </w:p>
          <w:p w:rsidR="00D97F7E" w:rsidRPr="0067741F" w:rsidRDefault="00D97F7E" w:rsidP="00D97F7E">
            <w:pPr>
              <w:jc w:val="both"/>
              <w:rPr>
                <w:sz w:val="20"/>
              </w:rPr>
            </w:pPr>
            <w:r w:rsidRPr="0067741F">
              <w:rPr>
                <w:sz w:val="20"/>
              </w:rPr>
              <w:t>(B.C.) (Civil) (By Leave)</w:t>
            </w:r>
          </w:p>
        </w:tc>
      </w:tr>
      <w:tr w:rsidR="00D97F7E" w:rsidRPr="0067741F" w:rsidTr="00D97F7E">
        <w:tc>
          <w:tcPr>
            <w:tcW w:w="5000" w:type="pct"/>
            <w:gridSpan w:val="4"/>
          </w:tcPr>
          <w:p w:rsidR="00157B13" w:rsidRPr="00157B13" w:rsidRDefault="00157B13" w:rsidP="00157B13">
            <w:pPr>
              <w:jc w:val="both"/>
              <w:rPr>
                <w:sz w:val="20"/>
              </w:rPr>
            </w:pPr>
            <w:r w:rsidRPr="00157B13">
              <w:rPr>
                <w:sz w:val="20"/>
              </w:rPr>
              <w:t>The application for leave to appeal from the judgment of the</w:t>
            </w:r>
            <w:bookmarkStart w:id="2" w:name="BM_1_"/>
            <w:bookmarkEnd w:id="2"/>
            <w:r w:rsidRPr="00157B13">
              <w:rPr>
                <w:sz w:val="20"/>
              </w:rPr>
              <w:t xml:space="preserve"> </w:t>
            </w:r>
            <w:r w:rsidRPr="00157B13">
              <w:rPr>
                <w:sz w:val="20"/>
                <w:lang w:val="en-US"/>
              </w:rPr>
              <w:t>Court of Appeal for British Columbia (Vancouver)</w:t>
            </w:r>
            <w:r w:rsidRPr="00157B13">
              <w:rPr>
                <w:sz w:val="20"/>
              </w:rPr>
              <w:t xml:space="preserve">, Number </w:t>
            </w:r>
            <w:r w:rsidRPr="00157B13">
              <w:rPr>
                <w:sz w:val="20"/>
                <w:lang w:val="en-US"/>
              </w:rPr>
              <w:t>CA44200, 2017 BCCA 264</w:t>
            </w:r>
            <w:r w:rsidRPr="00157B13">
              <w:rPr>
                <w:sz w:val="20"/>
              </w:rPr>
              <w:t xml:space="preserve">, dated </w:t>
            </w:r>
            <w:r w:rsidRPr="00157B13">
              <w:rPr>
                <w:sz w:val="20"/>
                <w:lang w:val="en-US"/>
              </w:rPr>
              <w:t>July 13, 2017,</w:t>
            </w:r>
            <w:r w:rsidRPr="00157B13">
              <w:rPr>
                <w:sz w:val="20"/>
              </w:rPr>
              <w:t xml:space="preserve"> is granted with costs in the cause. </w:t>
            </w:r>
          </w:p>
          <w:p w:rsidR="00D97F7E" w:rsidRPr="0067741F" w:rsidRDefault="00D97F7E" w:rsidP="00D97F7E">
            <w:pPr>
              <w:pStyle w:val="SCCLsocParty"/>
              <w:jc w:val="both"/>
              <w:rPr>
                <w:b/>
                <w:sz w:val="20"/>
                <w:szCs w:val="20"/>
                <w:lang w:val="en-CA"/>
              </w:rPr>
            </w:pPr>
          </w:p>
        </w:tc>
      </w:tr>
      <w:tr w:rsidR="00D97F7E" w:rsidRPr="0067741F" w:rsidTr="00D97F7E">
        <w:tc>
          <w:tcPr>
            <w:tcW w:w="5000" w:type="pct"/>
            <w:gridSpan w:val="4"/>
          </w:tcPr>
          <w:p w:rsidR="00D97F7E" w:rsidRPr="0067741F" w:rsidRDefault="00D97F7E" w:rsidP="00D97F7E">
            <w:pPr>
              <w:jc w:val="both"/>
              <w:rPr>
                <w:sz w:val="20"/>
              </w:rPr>
            </w:pPr>
            <w:r w:rsidRPr="0067741F">
              <w:rPr>
                <w:sz w:val="20"/>
              </w:rPr>
              <w:t xml:space="preserve">Official languages – Provincial offences – Trial – Language of accused – Judicial review – Prerogative writs – Whether s. 133 of British Columbia </w:t>
            </w:r>
            <w:r w:rsidRPr="0067741F">
              <w:rPr>
                <w:i/>
                <w:sz w:val="20"/>
              </w:rPr>
              <w:t>Offence Act</w:t>
            </w:r>
            <w:r w:rsidRPr="0067741F">
              <w:rPr>
                <w:sz w:val="20"/>
              </w:rPr>
              <w:t xml:space="preserve"> incorporates s. 530 of </w:t>
            </w:r>
            <w:r w:rsidRPr="0067741F">
              <w:rPr>
                <w:i/>
                <w:sz w:val="20"/>
              </w:rPr>
              <w:t>Criminal Code</w:t>
            </w:r>
            <w:r w:rsidRPr="0067741F">
              <w:rPr>
                <w:sz w:val="20"/>
              </w:rPr>
              <w:t xml:space="preserve"> with result that accused has right to be tried for provincial offence in official language of his or her choice – Whether denial of accused’s alleged language rights during trial warrants immediate intervention by court with supervisory jurisdiction on motion for prerogative writ – </w:t>
            </w:r>
            <w:r w:rsidRPr="0067741F">
              <w:rPr>
                <w:i/>
                <w:sz w:val="20"/>
              </w:rPr>
              <w:t>Criminal Code</w:t>
            </w:r>
            <w:r w:rsidRPr="0067741F">
              <w:rPr>
                <w:sz w:val="20"/>
              </w:rPr>
              <w:t xml:space="preserve">, R.S.C. 1985, c. C-46, s. 530 – </w:t>
            </w:r>
            <w:r w:rsidRPr="0067741F">
              <w:rPr>
                <w:i/>
                <w:sz w:val="20"/>
              </w:rPr>
              <w:t>Offence Act</w:t>
            </w:r>
            <w:r w:rsidRPr="0067741F">
              <w:rPr>
                <w:sz w:val="20"/>
              </w:rPr>
              <w:t>, RSBC 1996, c. 338, s. 133.</w:t>
            </w:r>
          </w:p>
        </w:tc>
      </w:tr>
      <w:tr w:rsidR="00D97F7E" w:rsidRPr="0067741F" w:rsidTr="00D97F7E">
        <w:tc>
          <w:tcPr>
            <w:tcW w:w="5000" w:type="pct"/>
            <w:gridSpan w:val="4"/>
          </w:tcPr>
          <w:p w:rsidR="00D97F7E" w:rsidRPr="0067741F" w:rsidRDefault="00D97F7E" w:rsidP="00D97F7E">
            <w:pPr>
              <w:jc w:val="both"/>
              <w:rPr>
                <w:sz w:val="20"/>
              </w:rPr>
            </w:pPr>
          </w:p>
        </w:tc>
      </w:tr>
      <w:tr w:rsidR="00D97F7E" w:rsidRPr="0067741F" w:rsidTr="00D97F7E">
        <w:tc>
          <w:tcPr>
            <w:tcW w:w="5000" w:type="pct"/>
            <w:gridSpan w:val="4"/>
          </w:tcPr>
          <w:p w:rsidR="00D97F7E" w:rsidRPr="0067741F" w:rsidRDefault="00D97F7E" w:rsidP="00D97F7E">
            <w:pPr>
              <w:jc w:val="both"/>
              <w:rPr>
                <w:sz w:val="20"/>
              </w:rPr>
            </w:pPr>
            <w:r w:rsidRPr="0067741F">
              <w:rPr>
                <w:sz w:val="20"/>
              </w:rPr>
              <w:t xml:space="preserve">The applicant was charged with a provincial offence under the </w:t>
            </w:r>
            <w:r w:rsidRPr="0067741F">
              <w:rPr>
                <w:i/>
                <w:sz w:val="20"/>
              </w:rPr>
              <w:t>Motor Vehicle Act</w:t>
            </w:r>
            <w:r w:rsidRPr="0067741F">
              <w:rPr>
                <w:sz w:val="20"/>
              </w:rPr>
              <w:t xml:space="preserve">, RSBC 1996, c. 318. Relying on the right of an accused to be tried in the official language of his or her choice, as provided for in s. 530 of the </w:t>
            </w:r>
            <w:r w:rsidRPr="0067741F">
              <w:rPr>
                <w:i/>
                <w:sz w:val="20"/>
              </w:rPr>
              <w:t>Criminal Code</w:t>
            </w:r>
            <w:r w:rsidRPr="0067741F">
              <w:rPr>
                <w:sz w:val="20"/>
              </w:rPr>
              <w:t xml:space="preserve">, R.S.C. 1985, c. C-46, he sought an order from the British Columbia Provincial Court that his trial be conducted in French. He argued that s. 133 of the </w:t>
            </w:r>
            <w:r w:rsidRPr="0067741F">
              <w:rPr>
                <w:i/>
                <w:sz w:val="20"/>
              </w:rPr>
              <w:t>Offence Act</w:t>
            </w:r>
            <w:r w:rsidRPr="0067741F">
              <w:rPr>
                <w:sz w:val="20"/>
              </w:rPr>
              <w:t xml:space="preserve">, RSBC 1996, c. 338, which incorporates </w:t>
            </w:r>
            <w:r w:rsidRPr="0067741F">
              <w:rPr>
                <w:sz w:val="20"/>
                <w:lang w:val="en"/>
              </w:rPr>
              <w:t xml:space="preserve">the provisions of the </w:t>
            </w:r>
            <w:r w:rsidRPr="0067741F">
              <w:rPr>
                <w:i/>
                <w:iCs/>
                <w:sz w:val="20"/>
                <w:lang w:val="en"/>
              </w:rPr>
              <w:t>Criminal Code</w:t>
            </w:r>
            <w:r w:rsidRPr="0067741F">
              <w:rPr>
                <w:sz w:val="20"/>
                <w:lang w:val="en"/>
              </w:rPr>
              <w:t xml:space="preserve"> relating to offences punishable on summary conviction</w:t>
            </w:r>
            <w:r w:rsidRPr="0067741F">
              <w:rPr>
                <w:sz w:val="20"/>
              </w:rPr>
              <w:t xml:space="preserve">, makes ss. 530 to 533 of the </w:t>
            </w:r>
            <w:r w:rsidRPr="0067741F">
              <w:rPr>
                <w:i/>
                <w:sz w:val="20"/>
              </w:rPr>
              <w:t xml:space="preserve">Criminal Code </w:t>
            </w:r>
            <w:r w:rsidRPr="0067741F">
              <w:rPr>
                <w:sz w:val="20"/>
              </w:rPr>
              <w:t xml:space="preserve">applicable to the prosecution of provincial offences. </w:t>
            </w:r>
          </w:p>
          <w:p w:rsidR="00D97F7E" w:rsidRPr="0067741F" w:rsidRDefault="00D97F7E" w:rsidP="00D97F7E">
            <w:pPr>
              <w:jc w:val="both"/>
              <w:rPr>
                <w:sz w:val="20"/>
              </w:rPr>
            </w:pPr>
          </w:p>
        </w:tc>
      </w:tr>
      <w:tr w:rsidR="00D97F7E" w:rsidRPr="0067741F" w:rsidTr="00D97F7E">
        <w:tblPrEx>
          <w:tblCellMar>
            <w:bottom w:w="0" w:type="dxa"/>
          </w:tblCellMar>
        </w:tblPrEx>
        <w:tc>
          <w:tcPr>
            <w:tcW w:w="2390" w:type="pct"/>
            <w:gridSpan w:val="2"/>
          </w:tcPr>
          <w:p w:rsidR="00D97F7E" w:rsidRPr="0067741F" w:rsidRDefault="00D97F7E" w:rsidP="00D97F7E">
            <w:pPr>
              <w:jc w:val="both"/>
              <w:rPr>
                <w:sz w:val="20"/>
              </w:rPr>
            </w:pPr>
            <w:r w:rsidRPr="0067741F">
              <w:rPr>
                <w:sz w:val="20"/>
              </w:rPr>
              <w:t>July 13, 2015</w:t>
            </w:r>
          </w:p>
          <w:p w:rsidR="00D97F7E" w:rsidRPr="0067741F" w:rsidRDefault="00D97F7E" w:rsidP="00D97F7E">
            <w:pPr>
              <w:jc w:val="both"/>
              <w:rPr>
                <w:sz w:val="20"/>
              </w:rPr>
            </w:pPr>
            <w:r w:rsidRPr="0067741F">
              <w:rPr>
                <w:sz w:val="20"/>
              </w:rPr>
              <w:t>British Columbia Provincial Court</w:t>
            </w:r>
          </w:p>
          <w:p w:rsidR="00D97F7E" w:rsidRPr="0067741F" w:rsidRDefault="00D97F7E" w:rsidP="00D97F7E">
            <w:pPr>
              <w:jc w:val="both"/>
              <w:rPr>
                <w:sz w:val="20"/>
              </w:rPr>
            </w:pPr>
            <w:r w:rsidRPr="0067741F">
              <w:rPr>
                <w:sz w:val="20"/>
              </w:rPr>
              <w:t>(Judge Gulbransen)</w:t>
            </w:r>
          </w:p>
          <w:p w:rsidR="00D97F7E" w:rsidRPr="0067741F" w:rsidRDefault="00FE4582" w:rsidP="00D97F7E">
            <w:pPr>
              <w:jc w:val="both"/>
              <w:rPr>
                <w:rStyle w:val="Hyperlink"/>
                <w:sz w:val="20"/>
              </w:rPr>
            </w:pPr>
            <w:hyperlink r:id="rId23" w:history="1">
              <w:r w:rsidR="00D97F7E" w:rsidRPr="0067741F">
                <w:rPr>
                  <w:rStyle w:val="Hyperlink"/>
                  <w:sz w:val="20"/>
                </w:rPr>
                <w:t>2015 BCPC 0230</w:t>
              </w:r>
            </w:hyperlink>
          </w:p>
          <w:p w:rsidR="00D97F7E" w:rsidRPr="0067741F" w:rsidRDefault="00D97F7E" w:rsidP="00D97F7E">
            <w:pPr>
              <w:jc w:val="both"/>
              <w:rPr>
                <w:sz w:val="20"/>
              </w:rPr>
            </w:pPr>
          </w:p>
        </w:tc>
        <w:tc>
          <w:tcPr>
            <w:tcW w:w="270" w:type="pct"/>
          </w:tcPr>
          <w:p w:rsidR="00D97F7E" w:rsidRPr="0067741F" w:rsidRDefault="00D97F7E" w:rsidP="00D97F7E">
            <w:pPr>
              <w:jc w:val="both"/>
              <w:rPr>
                <w:sz w:val="20"/>
              </w:rPr>
            </w:pPr>
          </w:p>
        </w:tc>
        <w:tc>
          <w:tcPr>
            <w:tcW w:w="2340" w:type="pct"/>
          </w:tcPr>
          <w:p w:rsidR="00D97F7E" w:rsidRPr="0067741F" w:rsidRDefault="00D97F7E" w:rsidP="00D97F7E">
            <w:pPr>
              <w:jc w:val="both"/>
              <w:rPr>
                <w:sz w:val="20"/>
              </w:rPr>
            </w:pPr>
            <w:r w:rsidRPr="0067741F">
              <w:rPr>
                <w:sz w:val="20"/>
              </w:rPr>
              <w:t>Application for order that trial be conducted in French dismissed</w:t>
            </w:r>
          </w:p>
          <w:p w:rsidR="00D97F7E" w:rsidRPr="0067741F" w:rsidRDefault="00D97F7E" w:rsidP="00D97F7E">
            <w:pPr>
              <w:jc w:val="both"/>
              <w:rPr>
                <w:sz w:val="20"/>
              </w:rPr>
            </w:pPr>
          </w:p>
        </w:tc>
      </w:tr>
      <w:tr w:rsidR="00D97F7E" w:rsidRPr="0067741F" w:rsidTr="00D97F7E">
        <w:tblPrEx>
          <w:tblCellMar>
            <w:bottom w:w="0" w:type="dxa"/>
          </w:tblCellMar>
        </w:tblPrEx>
        <w:tc>
          <w:tcPr>
            <w:tcW w:w="2390" w:type="pct"/>
            <w:gridSpan w:val="2"/>
          </w:tcPr>
          <w:p w:rsidR="00D97F7E" w:rsidRPr="0067741F" w:rsidRDefault="00D97F7E" w:rsidP="00D97F7E">
            <w:pPr>
              <w:jc w:val="both"/>
              <w:rPr>
                <w:sz w:val="20"/>
              </w:rPr>
            </w:pPr>
            <w:r w:rsidRPr="0067741F">
              <w:rPr>
                <w:sz w:val="20"/>
              </w:rPr>
              <w:t>December 23, 2016</w:t>
            </w:r>
          </w:p>
          <w:p w:rsidR="00D97F7E" w:rsidRPr="0067741F" w:rsidRDefault="00D97F7E" w:rsidP="00D97F7E">
            <w:pPr>
              <w:jc w:val="both"/>
              <w:rPr>
                <w:sz w:val="20"/>
              </w:rPr>
            </w:pPr>
            <w:r w:rsidRPr="0067741F">
              <w:rPr>
                <w:sz w:val="20"/>
              </w:rPr>
              <w:t>British Columbia Supreme Court</w:t>
            </w:r>
          </w:p>
          <w:p w:rsidR="00D97F7E" w:rsidRPr="0067741F" w:rsidRDefault="00D97F7E" w:rsidP="00D97F7E">
            <w:pPr>
              <w:jc w:val="both"/>
              <w:rPr>
                <w:sz w:val="20"/>
              </w:rPr>
            </w:pPr>
            <w:r w:rsidRPr="0067741F">
              <w:rPr>
                <w:sz w:val="20"/>
              </w:rPr>
              <w:t>(Blok J.)</w:t>
            </w:r>
          </w:p>
          <w:p w:rsidR="00D97F7E" w:rsidRPr="0067741F" w:rsidRDefault="00FE4582" w:rsidP="00D97F7E">
            <w:pPr>
              <w:jc w:val="both"/>
              <w:rPr>
                <w:rStyle w:val="Hyperlink"/>
                <w:sz w:val="20"/>
              </w:rPr>
            </w:pPr>
            <w:hyperlink r:id="rId24" w:history="1">
              <w:r w:rsidR="00D97F7E" w:rsidRPr="0067741F">
                <w:rPr>
                  <w:rStyle w:val="Hyperlink"/>
                  <w:sz w:val="20"/>
                </w:rPr>
                <w:t>2016 BCSC 2416</w:t>
              </w:r>
            </w:hyperlink>
          </w:p>
          <w:p w:rsidR="00D97F7E" w:rsidRPr="0067741F" w:rsidRDefault="00D97F7E" w:rsidP="00D97F7E">
            <w:pPr>
              <w:jc w:val="both"/>
              <w:rPr>
                <w:sz w:val="20"/>
              </w:rPr>
            </w:pPr>
          </w:p>
        </w:tc>
        <w:tc>
          <w:tcPr>
            <w:tcW w:w="270" w:type="pct"/>
          </w:tcPr>
          <w:p w:rsidR="00D97F7E" w:rsidRPr="0067741F" w:rsidRDefault="00D97F7E" w:rsidP="00D97F7E">
            <w:pPr>
              <w:jc w:val="both"/>
              <w:rPr>
                <w:sz w:val="20"/>
              </w:rPr>
            </w:pPr>
          </w:p>
        </w:tc>
        <w:tc>
          <w:tcPr>
            <w:tcW w:w="2340" w:type="pct"/>
          </w:tcPr>
          <w:p w:rsidR="00D97F7E" w:rsidRPr="0067741F" w:rsidRDefault="00D97F7E" w:rsidP="00D97F7E">
            <w:pPr>
              <w:jc w:val="both"/>
              <w:rPr>
                <w:sz w:val="20"/>
              </w:rPr>
            </w:pPr>
            <w:r w:rsidRPr="0067741F">
              <w:rPr>
                <w:sz w:val="20"/>
              </w:rPr>
              <w:t xml:space="preserve">Petition for judicial review seeking prerogative writ of </w:t>
            </w:r>
            <w:r w:rsidRPr="0067741F">
              <w:rPr>
                <w:i/>
                <w:sz w:val="20"/>
              </w:rPr>
              <w:t>certiorari</w:t>
            </w:r>
            <w:r w:rsidRPr="0067741F">
              <w:rPr>
                <w:sz w:val="20"/>
              </w:rPr>
              <w:t xml:space="preserve"> to set aside Provincial Court’s decision and of </w:t>
            </w:r>
            <w:r w:rsidRPr="0067741F">
              <w:rPr>
                <w:i/>
                <w:sz w:val="20"/>
              </w:rPr>
              <w:t>mandamus</w:t>
            </w:r>
            <w:r w:rsidRPr="0067741F">
              <w:rPr>
                <w:sz w:val="20"/>
              </w:rPr>
              <w:t xml:space="preserve"> to require trial to be conducted in French dismissed</w:t>
            </w:r>
          </w:p>
          <w:p w:rsidR="00D97F7E" w:rsidRPr="0067741F" w:rsidRDefault="00D97F7E" w:rsidP="00D97F7E">
            <w:pPr>
              <w:jc w:val="both"/>
              <w:rPr>
                <w:sz w:val="20"/>
              </w:rPr>
            </w:pPr>
          </w:p>
        </w:tc>
      </w:tr>
      <w:tr w:rsidR="00D97F7E" w:rsidRPr="0067741F" w:rsidTr="00D97F7E">
        <w:tblPrEx>
          <w:tblCellMar>
            <w:bottom w:w="0" w:type="dxa"/>
          </w:tblCellMar>
        </w:tblPrEx>
        <w:tc>
          <w:tcPr>
            <w:tcW w:w="2390" w:type="pct"/>
            <w:gridSpan w:val="2"/>
          </w:tcPr>
          <w:p w:rsidR="00D97F7E" w:rsidRPr="0067741F" w:rsidRDefault="00D97F7E" w:rsidP="00D97F7E">
            <w:pPr>
              <w:jc w:val="both"/>
              <w:rPr>
                <w:sz w:val="20"/>
              </w:rPr>
            </w:pPr>
            <w:r w:rsidRPr="0067741F">
              <w:rPr>
                <w:sz w:val="20"/>
              </w:rPr>
              <w:t>July 13, 2017</w:t>
            </w:r>
          </w:p>
          <w:p w:rsidR="00D97F7E" w:rsidRPr="0067741F" w:rsidRDefault="00D97F7E" w:rsidP="00D97F7E">
            <w:pPr>
              <w:jc w:val="both"/>
              <w:rPr>
                <w:sz w:val="20"/>
              </w:rPr>
            </w:pPr>
            <w:r w:rsidRPr="0067741F">
              <w:rPr>
                <w:sz w:val="20"/>
              </w:rPr>
              <w:t xml:space="preserve">British Columbia Court of Appeal </w:t>
            </w:r>
          </w:p>
          <w:p w:rsidR="00D97F7E" w:rsidRPr="0067741F" w:rsidRDefault="00D97F7E" w:rsidP="00D97F7E">
            <w:pPr>
              <w:jc w:val="both"/>
              <w:rPr>
                <w:sz w:val="20"/>
              </w:rPr>
            </w:pPr>
            <w:r w:rsidRPr="0067741F">
              <w:rPr>
                <w:sz w:val="20"/>
              </w:rPr>
              <w:t>(Vancouver)</w:t>
            </w:r>
          </w:p>
          <w:p w:rsidR="00D97F7E" w:rsidRPr="0067741F" w:rsidRDefault="00D97F7E" w:rsidP="00D97F7E">
            <w:pPr>
              <w:jc w:val="both"/>
              <w:rPr>
                <w:sz w:val="20"/>
              </w:rPr>
            </w:pPr>
            <w:r w:rsidRPr="0067741F">
              <w:rPr>
                <w:sz w:val="20"/>
              </w:rPr>
              <w:t>(Saunders, Goepel and Fenlon JJ.A.)</w:t>
            </w:r>
          </w:p>
          <w:p w:rsidR="00D97F7E" w:rsidRPr="0067741F" w:rsidRDefault="00FE4582" w:rsidP="00D97F7E">
            <w:pPr>
              <w:jc w:val="both"/>
              <w:rPr>
                <w:rStyle w:val="Hyperlink"/>
                <w:sz w:val="20"/>
              </w:rPr>
            </w:pPr>
            <w:hyperlink r:id="rId25" w:history="1">
              <w:r w:rsidR="00D97F7E" w:rsidRPr="0067741F">
                <w:rPr>
                  <w:rStyle w:val="Hyperlink"/>
                  <w:sz w:val="20"/>
                </w:rPr>
                <w:t>2017 BCCA 264</w:t>
              </w:r>
            </w:hyperlink>
          </w:p>
          <w:p w:rsidR="00D97F7E" w:rsidRPr="0067741F" w:rsidRDefault="00D97F7E" w:rsidP="00D97F7E">
            <w:pPr>
              <w:jc w:val="both"/>
              <w:rPr>
                <w:sz w:val="20"/>
              </w:rPr>
            </w:pPr>
          </w:p>
        </w:tc>
        <w:tc>
          <w:tcPr>
            <w:tcW w:w="270" w:type="pct"/>
          </w:tcPr>
          <w:p w:rsidR="00D97F7E" w:rsidRPr="0067741F" w:rsidRDefault="00D97F7E" w:rsidP="00D97F7E">
            <w:pPr>
              <w:jc w:val="both"/>
              <w:rPr>
                <w:sz w:val="20"/>
              </w:rPr>
            </w:pPr>
          </w:p>
        </w:tc>
        <w:tc>
          <w:tcPr>
            <w:tcW w:w="2340" w:type="pct"/>
          </w:tcPr>
          <w:p w:rsidR="00D97F7E" w:rsidRPr="0067741F" w:rsidRDefault="00D97F7E" w:rsidP="00D97F7E">
            <w:pPr>
              <w:jc w:val="both"/>
              <w:rPr>
                <w:sz w:val="20"/>
              </w:rPr>
            </w:pPr>
            <w:r w:rsidRPr="0067741F">
              <w:rPr>
                <w:sz w:val="20"/>
              </w:rPr>
              <w:t>Appeal dismissed</w:t>
            </w:r>
          </w:p>
          <w:p w:rsidR="00D97F7E" w:rsidRPr="0067741F" w:rsidRDefault="00D97F7E" w:rsidP="00D97F7E">
            <w:pPr>
              <w:jc w:val="both"/>
              <w:rPr>
                <w:sz w:val="20"/>
              </w:rPr>
            </w:pPr>
          </w:p>
        </w:tc>
      </w:tr>
      <w:tr w:rsidR="00D97F7E" w:rsidRPr="0067741F" w:rsidTr="00D97F7E">
        <w:tblPrEx>
          <w:tblCellMar>
            <w:bottom w:w="0" w:type="dxa"/>
          </w:tblCellMar>
        </w:tblPrEx>
        <w:tc>
          <w:tcPr>
            <w:tcW w:w="2390" w:type="pct"/>
            <w:gridSpan w:val="2"/>
          </w:tcPr>
          <w:p w:rsidR="00D97F7E" w:rsidRPr="0067741F" w:rsidRDefault="00D97F7E" w:rsidP="00D97F7E">
            <w:pPr>
              <w:jc w:val="both"/>
              <w:rPr>
                <w:sz w:val="20"/>
              </w:rPr>
            </w:pPr>
            <w:r w:rsidRPr="0067741F">
              <w:rPr>
                <w:sz w:val="20"/>
              </w:rPr>
              <w:t>September 29, 2017</w:t>
            </w:r>
          </w:p>
          <w:p w:rsidR="00D97F7E" w:rsidRPr="0067741F" w:rsidRDefault="00D97F7E" w:rsidP="00D97F7E">
            <w:pPr>
              <w:jc w:val="both"/>
              <w:rPr>
                <w:sz w:val="20"/>
              </w:rPr>
            </w:pPr>
            <w:r w:rsidRPr="0067741F">
              <w:rPr>
                <w:sz w:val="20"/>
              </w:rPr>
              <w:t>Supreme Court of Canada</w:t>
            </w:r>
          </w:p>
        </w:tc>
        <w:tc>
          <w:tcPr>
            <w:tcW w:w="270" w:type="pct"/>
          </w:tcPr>
          <w:p w:rsidR="00D97F7E" w:rsidRPr="0067741F" w:rsidRDefault="00D97F7E" w:rsidP="00D97F7E">
            <w:pPr>
              <w:jc w:val="both"/>
              <w:rPr>
                <w:sz w:val="20"/>
              </w:rPr>
            </w:pPr>
          </w:p>
        </w:tc>
        <w:tc>
          <w:tcPr>
            <w:tcW w:w="2340" w:type="pct"/>
          </w:tcPr>
          <w:p w:rsidR="00D97F7E" w:rsidRPr="0067741F" w:rsidRDefault="00D97F7E" w:rsidP="00D97F7E">
            <w:pPr>
              <w:jc w:val="both"/>
              <w:rPr>
                <w:sz w:val="20"/>
              </w:rPr>
            </w:pPr>
            <w:r w:rsidRPr="0067741F">
              <w:rPr>
                <w:sz w:val="20"/>
              </w:rPr>
              <w:t>Application for leave to appeal filed</w:t>
            </w:r>
          </w:p>
          <w:p w:rsidR="00D97F7E" w:rsidRPr="0067741F" w:rsidRDefault="00D97F7E" w:rsidP="00D97F7E">
            <w:pPr>
              <w:jc w:val="both"/>
              <w:rPr>
                <w:sz w:val="20"/>
              </w:rPr>
            </w:pPr>
          </w:p>
        </w:tc>
      </w:tr>
    </w:tbl>
    <w:p w:rsidR="00D97F7E" w:rsidRPr="0067741F" w:rsidRDefault="00D97F7E" w:rsidP="00D97F7E">
      <w:pPr>
        <w:jc w:val="both"/>
        <w:rPr>
          <w:sz w:val="20"/>
        </w:rPr>
      </w:pPr>
    </w:p>
    <w:p w:rsidR="00D97F7E" w:rsidRPr="0067741F" w:rsidRDefault="00D97F7E" w:rsidP="00D97F7E">
      <w:pPr>
        <w:jc w:val="both"/>
        <w:rPr>
          <w:sz w:val="20"/>
        </w:rPr>
      </w:pPr>
    </w:p>
    <w:p w:rsidR="00D97F7E" w:rsidRDefault="00D97F7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tblGrid>
      <w:tr w:rsidR="00D97F7E" w:rsidRPr="0067741F" w:rsidTr="00D97F7E">
        <w:tc>
          <w:tcPr>
            <w:tcW w:w="542" w:type="pct"/>
          </w:tcPr>
          <w:p w:rsidR="00D97F7E" w:rsidRPr="0067741F" w:rsidRDefault="00D97F7E" w:rsidP="00D97F7E">
            <w:pPr>
              <w:jc w:val="both"/>
              <w:rPr>
                <w:sz w:val="20"/>
              </w:rPr>
            </w:pPr>
            <w:r w:rsidRPr="0067741F">
              <w:rPr>
                <w:rStyle w:val="SCCFileNumberChar"/>
                <w:sz w:val="20"/>
                <w:szCs w:val="20"/>
              </w:rPr>
              <w:lastRenderedPageBreak/>
              <w:t>37790</w:t>
            </w:r>
          </w:p>
        </w:tc>
        <w:tc>
          <w:tcPr>
            <w:tcW w:w="4458" w:type="pct"/>
            <w:gridSpan w:val="3"/>
          </w:tcPr>
          <w:p w:rsidR="00D97F7E" w:rsidRPr="0067741F" w:rsidRDefault="00D97F7E" w:rsidP="00D97F7E">
            <w:pPr>
              <w:pStyle w:val="SCCLsocParty"/>
              <w:jc w:val="both"/>
              <w:rPr>
                <w:b/>
                <w:sz w:val="20"/>
                <w:szCs w:val="20"/>
              </w:rPr>
            </w:pPr>
            <w:r w:rsidRPr="0067741F">
              <w:rPr>
                <w:b/>
                <w:sz w:val="20"/>
                <w:szCs w:val="20"/>
              </w:rPr>
              <w:t>Joseph Roy Éric Bessette c. Procureur général de la Colombie-Britannique</w:t>
            </w:r>
          </w:p>
          <w:p w:rsidR="00D97F7E" w:rsidRPr="0067741F" w:rsidRDefault="00D97F7E" w:rsidP="00D97F7E">
            <w:pPr>
              <w:jc w:val="both"/>
              <w:rPr>
                <w:sz w:val="20"/>
              </w:rPr>
            </w:pPr>
            <w:r w:rsidRPr="0067741F">
              <w:rPr>
                <w:sz w:val="20"/>
              </w:rPr>
              <w:t>(C.-B.) (Civile) (Autorisation)</w:t>
            </w:r>
          </w:p>
        </w:tc>
      </w:tr>
      <w:tr w:rsidR="00D97F7E" w:rsidRPr="00FE4582" w:rsidTr="00D97F7E">
        <w:tc>
          <w:tcPr>
            <w:tcW w:w="5000" w:type="pct"/>
            <w:gridSpan w:val="4"/>
          </w:tcPr>
          <w:p w:rsidR="00157B13" w:rsidRPr="00157B13" w:rsidRDefault="00157B13" w:rsidP="00157B13">
            <w:pPr>
              <w:jc w:val="both"/>
              <w:rPr>
                <w:sz w:val="20"/>
                <w:lang w:val="fr-CA"/>
              </w:rPr>
            </w:pPr>
            <w:r w:rsidRPr="00157B13">
              <w:rPr>
                <w:sz w:val="20"/>
                <w:lang w:val="fr-CA"/>
              </w:rPr>
              <w:t>La demande d’autorisation d’appel de l’arrêt de la Cour d’appel de la Colombie-Britannique (Vancouver), numéro CA44200, 2017 BCCA 264, daté du 13 juillet 2017, est accueillie avec d</w:t>
            </w:r>
            <w:r w:rsidRPr="00157B13">
              <w:rPr>
                <w:rFonts w:cs="Times New Roman"/>
                <w:sz w:val="20"/>
                <w:lang w:val="fr-CA"/>
              </w:rPr>
              <w:t>é</w:t>
            </w:r>
            <w:r w:rsidRPr="00157B13">
              <w:rPr>
                <w:sz w:val="20"/>
                <w:lang w:val="fr-CA"/>
              </w:rPr>
              <w:t xml:space="preserve">pens suivant l’issue de la cause. </w:t>
            </w:r>
          </w:p>
          <w:p w:rsidR="00D97F7E" w:rsidRPr="0067741F" w:rsidRDefault="00D97F7E" w:rsidP="00D97F7E">
            <w:pPr>
              <w:pStyle w:val="SCCLsocParty"/>
              <w:jc w:val="both"/>
              <w:rPr>
                <w:b/>
                <w:sz w:val="20"/>
                <w:szCs w:val="20"/>
              </w:rPr>
            </w:pPr>
          </w:p>
        </w:tc>
      </w:tr>
      <w:tr w:rsidR="00D97F7E" w:rsidRPr="00D97F7E" w:rsidTr="00D97F7E">
        <w:tc>
          <w:tcPr>
            <w:tcW w:w="5000" w:type="pct"/>
            <w:gridSpan w:val="4"/>
          </w:tcPr>
          <w:p w:rsidR="00D97F7E" w:rsidRPr="0067741F" w:rsidRDefault="00D97F7E" w:rsidP="00D97F7E">
            <w:pPr>
              <w:jc w:val="both"/>
              <w:rPr>
                <w:sz w:val="20"/>
                <w:lang w:val="fr-CA"/>
              </w:rPr>
            </w:pPr>
            <w:r w:rsidRPr="0067741F">
              <w:rPr>
                <w:sz w:val="20"/>
                <w:lang w:val="fr-CA"/>
              </w:rPr>
              <w:t xml:space="preserve">Langues officielles – Infractions provinciales – Procès – Langue de l’accusé – Contrôle judiciaire – Brefs de prérogative – L’article 133 de la </w:t>
            </w:r>
            <w:r w:rsidRPr="0067741F">
              <w:rPr>
                <w:i/>
                <w:sz w:val="20"/>
                <w:lang w:val="fr-CA"/>
              </w:rPr>
              <w:t>Offence Act</w:t>
            </w:r>
            <w:r w:rsidRPr="0067741F">
              <w:rPr>
                <w:sz w:val="20"/>
                <w:lang w:val="fr-CA"/>
              </w:rPr>
              <w:t xml:space="preserve"> de la Colombie-Britannique incorpore-t-il l’article 530 du </w:t>
            </w:r>
            <w:r w:rsidRPr="0067741F">
              <w:rPr>
                <w:i/>
                <w:sz w:val="20"/>
                <w:lang w:val="fr-CA"/>
              </w:rPr>
              <w:t>Code criminel</w:t>
            </w:r>
            <w:r w:rsidRPr="0067741F">
              <w:rPr>
                <w:sz w:val="20"/>
                <w:lang w:val="fr-CA"/>
              </w:rPr>
              <w:t xml:space="preserve"> de sorte qu’un accusé ait le droit de subir un procès pour une infraction provinciale dans la langue officielle de son choix? – Le déni des droits linguistiques allégués d’un accusé lors de son procès justifie-t-il une intervention immédiate d’un tribunal ayant les pouvoirs de surveillance lors d’une requête pour un bref de prérogative? – </w:t>
            </w:r>
            <w:r w:rsidRPr="0067741F">
              <w:rPr>
                <w:i/>
                <w:sz w:val="20"/>
                <w:lang w:val="fr-CA"/>
              </w:rPr>
              <w:t>Code criminel</w:t>
            </w:r>
            <w:r w:rsidRPr="0067741F">
              <w:rPr>
                <w:sz w:val="20"/>
                <w:lang w:val="fr-CA"/>
              </w:rPr>
              <w:t xml:space="preserve">, L.R.C. (1985), ch. C-46, art. 530 – </w:t>
            </w:r>
            <w:r w:rsidRPr="0067741F">
              <w:rPr>
                <w:i/>
                <w:sz w:val="20"/>
                <w:lang w:val="fr-CA"/>
              </w:rPr>
              <w:t>Offence Act</w:t>
            </w:r>
            <w:r w:rsidRPr="0067741F">
              <w:rPr>
                <w:sz w:val="20"/>
                <w:lang w:val="fr-CA"/>
              </w:rPr>
              <w:t>, RSBC 1996, ch. 338, art. 133.</w:t>
            </w:r>
          </w:p>
        </w:tc>
      </w:tr>
      <w:tr w:rsidR="00D97F7E" w:rsidRPr="00D97F7E" w:rsidTr="00D97F7E">
        <w:tc>
          <w:tcPr>
            <w:tcW w:w="5000" w:type="pct"/>
            <w:gridSpan w:val="4"/>
          </w:tcPr>
          <w:p w:rsidR="00D97F7E" w:rsidRPr="0067741F" w:rsidRDefault="00D97F7E" w:rsidP="00D97F7E">
            <w:pPr>
              <w:jc w:val="both"/>
              <w:rPr>
                <w:sz w:val="20"/>
                <w:lang w:val="fr-CA"/>
              </w:rPr>
            </w:pPr>
          </w:p>
        </w:tc>
      </w:tr>
      <w:tr w:rsidR="00D97F7E" w:rsidRPr="00FE4582" w:rsidTr="00D97F7E">
        <w:tc>
          <w:tcPr>
            <w:tcW w:w="5000" w:type="pct"/>
            <w:gridSpan w:val="4"/>
          </w:tcPr>
          <w:p w:rsidR="00D97F7E" w:rsidRPr="0067741F" w:rsidRDefault="00D97F7E" w:rsidP="00D97F7E">
            <w:pPr>
              <w:jc w:val="both"/>
              <w:rPr>
                <w:sz w:val="20"/>
                <w:lang w:val="fr-CA"/>
              </w:rPr>
            </w:pPr>
            <w:r w:rsidRPr="0067741F">
              <w:rPr>
                <w:sz w:val="20"/>
                <w:lang w:val="fr-CA"/>
              </w:rPr>
              <w:t xml:space="preserve">Le demandeur est inculpé d’une infraction provinciale en vertu de la </w:t>
            </w:r>
            <w:r w:rsidRPr="0067741F">
              <w:rPr>
                <w:i/>
                <w:sz w:val="20"/>
                <w:lang w:val="fr-CA"/>
              </w:rPr>
              <w:t>Motor Vehicle Act</w:t>
            </w:r>
            <w:r w:rsidRPr="0067741F">
              <w:rPr>
                <w:sz w:val="20"/>
                <w:lang w:val="fr-CA"/>
              </w:rPr>
              <w:t xml:space="preserve">, RSBC 1996, c. 318. Invoquant le droit d’un accusé de subir un procès dans la langue officielle de son choix, tel que prévu par l’article 530 du </w:t>
            </w:r>
            <w:r w:rsidRPr="0067741F">
              <w:rPr>
                <w:i/>
                <w:sz w:val="20"/>
                <w:lang w:val="fr-CA"/>
              </w:rPr>
              <w:t>Code criminel</w:t>
            </w:r>
            <w:r w:rsidRPr="0067741F">
              <w:rPr>
                <w:sz w:val="20"/>
                <w:lang w:val="fr-CA"/>
              </w:rPr>
              <w:t xml:space="preserve">, LRC 1985, c. C-46, il a demandé une ordonnance de la Cour provinciale de la Colombie-Britannique pour que son procès se déroule en français. Ce faisant, le demandeur a fait valoir que l’article 133 de la </w:t>
            </w:r>
            <w:r w:rsidRPr="0067741F">
              <w:rPr>
                <w:i/>
                <w:sz w:val="20"/>
                <w:lang w:val="fr-CA"/>
              </w:rPr>
              <w:t>Offence Act</w:t>
            </w:r>
            <w:r w:rsidRPr="0067741F">
              <w:rPr>
                <w:sz w:val="20"/>
                <w:lang w:val="fr-CA"/>
              </w:rPr>
              <w:t xml:space="preserve">, RSBC 1996, c. 338, qui incorpore les dispositions du </w:t>
            </w:r>
            <w:r w:rsidRPr="0067741F">
              <w:rPr>
                <w:i/>
                <w:sz w:val="20"/>
                <w:lang w:val="fr-CA"/>
              </w:rPr>
              <w:t>Code criminel</w:t>
            </w:r>
            <w:r w:rsidRPr="0067741F">
              <w:rPr>
                <w:sz w:val="20"/>
                <w:lang w:val="fr-CA"/>
              </w:rPr>
              <w:t xml:space="preserve"> applicables aux infractions punissables sur déclaration de culpabilité par procédure sommaire, rend applicable à la poursuite d’infractions provinciales les articles 530 à 533 du </w:t>
            </w:r>
            <w:r w:rsidRPr="0067741F">
              <w:rPr>
                <w:i/>
                <w:sz w:val="20"/>
                <w:lang w:val="fr-CA"/>
              </w:rPr>
              <w:t>Code criminel</w:t>
            </w:r>
            <w:r w:rsidRPr="0067741F">
              <w:rPr>
                <w:sz w:val="20"/>
                <w:lang w:val="fr-CA"/>
              </w:rPr>
              <w:t xml:space="preserve">. </w:t>
            </w:r>
          </w:p>
          <w:p w:rsidR="00D97F7E" w:rsidRPr="0067741F" w:rsidRDefault="00D97F7E" w:rsidP="00D97F7E">
            <w:pPr>
              <w:jc w:val="both"/>
              <w:rPr>
                <w:sz w:val="20"/>
                <w:lang w:val="fr-CA"/>
              </w:rPr>
            </w:pPr>
          </w:p>
        </w:tc>
      </w:tr>
      <w:tr w:rsidR="00D97F7E" w:rsidRPr="00FE4582" w:rsidTr="00D97F7E">
        <w:tblPrEx>
          <w:tblCellMar>
            <w:bottom w:w="0" w:type="dxa"/>
          </w:tblCellMar>
        </w:tblPrEx>
        <w:tc>
          <w:tcPr>
            <w:tcW w:w="2390" w:type="pct"/>
            <w:gridSpan w:val="2"/>
          </w:tcPr>
          <w:p w:rsidR="00D97F7E" w:rsidRPr="0067741F" w:rsidRDefault="00D97F7E" w:rsidP="00D97F7E">
            <w:pPr>
              <w:jc w:val="both"/>
              <w:rPr>
                <w:sz w:val="20"/>
                <w:lang w:val="fr-CA"/>
              </w:rPr>
            </w:pPr>
            <w:r w:rsidRPr="0067741F">
              <w:rPr>
                <w:sz w:val="20"/>
                <w:lang w:val="fr-CA"/>
              </w:rPr>
              <w:t>Le 13 juillet 2015</w:t>
            </w:r>
          </w:p>
          <w:p w:rsidR="00D97F7E" w:rsidRPr="0067741F" w:rsidRDefault="00D97F7E" w:rsidP="00D97F7E">
            <w:pPr>
              <w:jc w:val="both"/>
              <w:rPr>
                <w:sz w:val="20"/>
                <w:lang w:val="fr-CA"/>
              </w:rPr>
            </w:pPr>
            <w:r w:rsidRPr="0067741F">
              <w:rPr>
                <w:sz w:val="20"/>
                <w:lang w:val="fr-CA"/>
              </w:rPr>
              <w:t>Cour provinciale de la Colombie-Britannique</w:t>
            </w:r>
          </w:p>
          <w:p w:rsidR="00D97F7E" w:rsidRPr="0067741F" w:rsidRDefault="00D97F7E" w:rsidP="00D97F7E">
            <w:pPr>
              <w:jc w:val="both"/>
              <w:rPr>
                <w:sz w:val="20"/>
              </w:rPr>
            </w:pPr>
            <w:r w:rsidRPr="0067741F">
              <w:rPr>
                <w:sz w:val="20"/>
              </w:rPr>
              <w:t>(Le juge Gulbransen)</w:t>
            </w:r>
          </w:p>
          <w:p w:rsidR="00D97F7E" w:rsidRPr="0067741F" w:rsidRDefault="00FE4582" w:rsidP="00D97F7E">
            <w:pPr>
              <w:jc w:val="both"/>
              <w:rPr>
                <w:rStyle w:val="Hyperlink"/>
                <w:sz w:val="20"/>
              </w:rPr>
            </w:pPr>
            <w:hyperlink r:id="rId26" w:history="1">
              <w:r w:rsidR="00D97F7E" w:rsidRPr="0067741F">
                <w:rPr>
                  <w:rStyle w:val="Hyperlink"/>
                  <w:sz w:val="20"/>
                </w:rPr>
                <w:t>2015 BCPC 0230</w:t>
              </w:r>
            </w:hyperlink>
          </w:p>
          <w:p w:rsidR="00D97F7E" w:rsidRPr="0067741F" w:rsidRDefault="00D97F7E" w:rsidP="00D97F7E">
            <w:pPr>
              <w:jc w:val="both"/>
              <w:rPr>
                <w:sz w:val="20"/>
              </w:rPr>
            </w:pPr>
          </w:p>
        </w:tc>
        <w:tc>
          <w:tcPr>
            <w:tcW w:w="270" w:type="pct"/>
          </w:tcPr>
          <w:p w:rsidR="00D97F7E" w:rsidRPr="0067741F" w:rsidRDefault="00D97F7E" w:rsidP="00D97F7E">
            <w:pPr>
              <w:jc w:val="both"/>
              <w:rPr>
                <w:sz w:val="20"/>
              </w:rPr>
            </w:pPr>
          </w:p>
        </w:tc>
        <w:tc>
          <w:tcPr>
            <w:tcW w:w="2340" w:type="pct"/>
          </w:tcPr>
          <w:p w:rsidR="00D97F7E" w:rsidRPr="0067741F" w:rsidRDefault="00D97F7E" w:rsidP="00D97F7E">
            <w:pPr>
              <w:jc w:val="both"/>
              <w:rPr>
                <w:sz w:val="20"/>
                <w:lang w:val="fr-CA"/>
              </w:rPr>
            </w:pPr>
            <w:r w:rsidRPr="0067741F">
              <w:rPr>
                <w:sz w:val="20"/>
                <w:lang w:val="fr-CA"/>
              </w:rPr>
              <w:t>Requête sollicitant une ordonnance imposant la tenue d’un</w:t>
            </w:r>
            <w:r w:rsidRPr="0067741F">
              <w:rPr>
                <w:sz w:val="20"/>
                <w:lang w:val="fr-FR" w:eastAsia="fr-CA"/>
              </w:rPr>
              <w:t xml:space="preserve"> procès en français rejetée.</w:t>
            </w:r>
          </w:p>
          <w:p w:rsidR="00D97F7E" w:rsidRPr="0067741F" w:rsidRDefault="00D97F7E" w:rsidP="00D97F7E">
            <w:pPr>
              <w:jc w:val="both"/>
              <w:rPr>
                <w:sz w:val="20"/>
                <w:lang w:val="fr-CA"/>
              </w:rPr>
            </w:pPr>
          </w:p>
        </w:tc>
      </w:tr>
      <w:tr w:rsidR="00D97F7E" w:rsidRPr="00FE4582" w:rsidTr="00D97F7E">
        <w:tblPrEx>
          <w:tblCellMar>
            <w:bottom w:w="0" w:type="dxa"/>
          </w:tblCellMar>
        </w:tblPrEx>
        <w:tc>
          <w:tcPr>
            <w:tcW w:w="2390" w:type="pct"/>
            <w:gridSpan w:val="2"/>
          </w:tcPr>
          <w:p w:rsidR="00D97F7E" w:rsidRPr="0067741F" w:rsidRDefault="00D97F7E" w:rsidP="00D97F7E">
            <w:pPr>
              <w:jc w:val="both"/>
              <w:rPr>
                <w:sz w:val="20"/>
                <w:lang w:val="fr-CA"/>
              </w:rPr>
            </w:pPr>
            <w:r w:rsidRPr="0067741F">
              <w:rPr>
                <w:sz w:val="20"/>
                <w:lang w:val="fr-CA"/>
              </w:rPr>
              <w:t>Le 23 décembre 2016</w:t>
            </w:r>
          </w:p>
          <w:p w:rsidR="00D97F7E" w:rsidRPr="0067741F" w:rsidRDefault="00D97F7E" w:rsidP="00D97F7E">
            <w:pPr>
              <w:jc w:val="both"/>
              <w:rPr>
                <w:sz w:val="20"/>
                <w:lang w:val="fr-CA"/>
              </w:rPr>
            </w:pPr>
            <w:r w:rsidRPr="0067741F">
              <w:rPr>
                <w:sz w:val="20"/>
                <w:lang w:val="fr-CA"/>
              </w:rPr>
              <w:t>Cour suprême de la Colombie-Britannique</w:t>
            </w:r>
          </w:p>
          <w:p w:rsidR="00D97F7E" w:rsidRPr="0067741F" w:rsidRDefault="00D97F7E" w:rsidP="00D97F7E">
            <w:pPr>
              <w:jc w:val="both"/>
              <w:rPr>
                <w:sz w:val="20"/>
              </w:rPr>
            </w:pPr>
            <w:r w:rsidRPr="0067741F">
              <w:rPr>
                <w:sz w:val="20"/>
              </w:rPr>
              <w:t>(Le juge Blok)</w:t>
            </w:r>
          </w:p>
          <w:p w:rsidR="00D97F7E" w:rsidRPr="0067741F" w:rsidRDefault="00FE4582" w:rsidP="00D97F7E">
            <w:pPr>
              <w:jc w:val="both"/>
              <w:rPr>
                <w:rStyle w:val="Hyperlink"/>
                <w:sz w:val="20"/>
              </w:rPr>
            </w:pPr>
            <w:hyperlink r:id="rId27" w:history="1">
              <w:r w:rsidR="00D97F7E" w:rsidRPr="0067741F">
                <w:rPr>
                  <w:rStyle w:val="Hyperlink"/>
                  <w:sz w:val="20"/>
                </w:rPr>
                <w:t>2016 BCSC 2416</w:t>
              </w:r>
            </w:hyperlink>
          </w:p>
          <w:p w:rsidR="00D97F7E" w:rsidRPr="0067741F" w:rsidRDefault="00D97F7E" w:rsidP="00D97F7E">
            <w:pPr>
              <w:jc w:val="both"/>
              <w:rPr>
                <w:sz w:val="20"/>
              </w:rPr>
            </w:pPr>
          </w:p>
        </w:tc>
        <w:tc>
          <w:tcPr>
            <w:tcW w:w="270" w:type="pct"/>
          </w:tcPr>
          <w:p w:rsidR="00D97F7E" w:rsidRPr="0067741F" w:rsidRDefault="00D97F7E" w:rsidP="00D97F7E">
            <w:pPr>
              <w:jc w:val="both"/>
              <w:rPr>
                <w:sz w:val="20"/>
              </w:rPr>
            </w:pPr>
          </w:p>
        </w:tc>
        <w:tc>
          <w:tcPr>
            <w:tcW w:w="2340" w:type="pct"/>
          </w:tcPr>
          <w:p w:rsidR="00D97F7E" w:rsidRPr="0067741F" w:rsidRDefault="00D97F7E" w:rsidP="00D97F7E">
            <w:pPr>
              <w:jc w:val="both"/>
              <w:rPr>
                <w:sz w:val="20"/>
                <w:lang w:val="fr-CA"/>
              </w:rPr>
            </w:pPr>
            <w:r w:rsidRPr="0067741F">
              <w:rPr>
                <w:sz w:val="20"/>
                <w:lang w:val="fr-CA"/>
              </w:rPr>
              <w:t xml:space="preserve">Requête en contrôle judiciaire sollicitant un bref de prérogative en </w:t>
            </w:r>
            <w:r w:rsidRPr="0067741F">
              <w:rPr>
                <w:i/>
                <w:sz w:val="20"/>
                <w:lang w:val="fr-CA"/>
              </w:rPr>
              <w:t>certiorari</w:t>
            </w:r>
            <w:r w:rsidRPr="0067741F">
              <w:rPr>
                <w:sz w:val="20"/>
                <w:lang w:val="fr-CA"/>
              </w:rPr>
              <w:t xml:space="preserve"> pour l’annulation de la décision de la Cour provinciale et en </w:t>
            </w:r>
            <w:r w:rsidRPr="0067741F">
              <w:rPr>
                <w:i/>
                <w:sz w:val="20"/>
                <w:lang w:val="fr-CA"/>
              </w:rPr>
              <w:t>mandamus</w:t>
            </w:r>
            <w:r w:rsidRPr="0067741F">
              <w:rPr>
                <w:sz w:val="20"/>
                <w:lang w:val="fr-CA"/>
              </w:rPr>
              <w:t xml:space="preserve"> quant à la tenue d’un procès en français rejetée.</w:t>
            </w:r>
          </w:p>
          <w:p w:rsidR="00D97F7E" w:rsidRPr="0067741F" w:rsidRDefault="00D97F7E" w:rsidP="00D97F7E">
            <w:pPr>
              <w:jc w:val="both"/>
              <w:rPr>
                <w:sz w:val="20"/>
                <w:lang w:val="fr-CA"/>
              </w:rPr>
            </w:pPr>
          </w:p>
        </w:tc>
      </w:tr>
      <w:tr w:rsidR="00D97F7E" w:rsidRPr="0067741F" w:rsidTr="00D97F7E">
        <w:tblPrEx>
          <w:tblCellMar>
            <w:bottom w:w="0" w:type="dxa"/>
          </w:tblCellMar>
        </w:tblPrEx>
        <w:tc>
          <w:tcPr>
            <w:tcW w:w="2390" w:type="pct"/>
            <w:gridSpan w:val="2"/>
          </w:tcPr>
          <w:p w:rsidR="00D97F7E" w:rsidRPr="0067741F" w:rsidRDefault="00D97F7E" w:rsidP="00D97F7E">
            <w:pPr>
              <w:jc w:val="both"/>
              <w:rPr>
                <w:sz w:val="20"/>
                <w:lang w:val="fr-CA"/>
              </w:rPr>
            </w:pPr>
            <w:r w:rsidRPr="0067741F">
              <w:rPr>
                <w:sz w:val="20"/>
                <w:lang w:val="fr-CA"/>
              </w:rPr>
              <w:t>Le 13 juillet 2017</w:t>
            </w:r>
          </w:p>
          <w:p w:rsidR="00D97F7E" w:rsidRPr="0067741F" w:rsidRDefault="00D97F7E" w:rsidP="00D97F7E">
            <w:pPr>
              <w:jc w:val="both"/>
              <w:rPr>
                <w:sz w:val="20"/>
                <w:lang w:val="fr-CA"/>
              </w:rPr>
            </w:pPr>
            <w:r w:rsidRPr="0067741F">
              <w:rPr>
                <w:sz w:val="20"/>
                <w:lang w:val="fr-CA"/>
              </w:rPr>
              <w:t xml:space="preserve">Cour d’appel de la Colombie-Britannique </w:t>
            </w:r>
          </w:p>
          <w:p w:rsidR="00D97F7E" w:rsidRPr="0067741F" w:rsidRDefault="00D97F7E" w:rsidP="00D97F7E">
            <w:pPr>
              <w:jc w:val="both"/>
              <w:rPr>
                <w:sz w:val="20"/>
                <w:lang w:val="fr-CA"/>
              </w:rPr>
            </w:pPr>
            <w:r w:rsidRPr="0067741F">
              <w:rPr>
                <w:sz w:val="20"/>
                <w:lang w:val="fr-CA"/>
              </w:rPr>
              <w:t>(Vancouver)</w:t>
            </w:r>
          </w:p>
          <w:p w:rsidR="00D97F7E" w:rsidRPr="0067741F" w:rsidRDefault="00D97F7E" w:rsidP="00D97F7E">
            <w:pPr>
              <w:jc w:val="both"/>
              <w:rPr>
                <w:sz w:val="20"/>
                <w:lang w:val="fr-CA"/>
              </w:rPr>
            </w:pPr>
            <w:r w:rsidRPr="0067741F">
              <w:rPr>
                <w:sz w:val="20"/>
                <w:lang w:val="fr-CA"/>
              </w:rPr>
              <w:t>(Les juges Saunders, Goepel et Fenlon)</w:t>
            </w:r>
          </w:p>
          <w:p w:rsidR="00D97F7E" w:rsidRPr="0067741F" w:rsidRDefault="00FE4582" w:rsidP="00D97F7E">
            <w:pPr>
              <w:jc w:val="both"/>
              <w:rPr>
                <w:rStyle w:val="Hyperlink"/>
                <w:sz w:val="20"/>
              </w:rPr>
            </w:pPr>
            <w:hyperlink r:id="rId28" w:history="1">
              <w:r w:rsidR="00D97F7E" w:rsidRPr="0067741F">
                <w:rPr>
                  <w:rStyle w:val="Hyperlink"/>
                  <w:sz w:val="20"/>
                </w:rPr>
                <w:t>2017 BCCA 264</w:t>
              </w:r>
            </w:hyperlink>
          </w:p>
          <w:p w:rsidR="00D97F7E" w:rsidRPr="0067741F" w:rsidRDefault="00D97F7E" w:rsidP="00D97F7E">
            <w:pPr>
              <w:jc w:val="both"/>
              <w:rPr>
                <w:sz w:val="20"/>
              </w:rPr>
            </w:pPr>
          </w:p>
        </w:tc>
        <w:tc>
          <w:tcPr>
            <w:tcW w:w="270" w:type="pct"/>
          </w:tcPr>
          <w:p w:rsidR="00D97F7E" w:rsidRPr="0067741F" w:rsidRDefault="00D97F7E" w:rsidP="00D97F7E">
            <w:pPr>
              <w:jc w:val="both"/>
              <w:rPr>
                <w:sz w:val="20"/>
              </w:rPr>
            </w:pPr>
          </w:p>
        </w:tc>
        <w:tc>
          <w:tcPr>
            <w:tcW w:w="2340" w:type="pct"/>
          </w:tcPr>
          <w:p w:rsidR="00D97F7E" w:rsidRPr="0067741F" w:rsidRDefault="00D97F7E" w:rsidP="00D97F7E">
            <w:pPr>
              <w:jc w:val="both"/>
              <w:rPr>
                <w:sz w:val="20"/>
              </w:rPr>
            </w:pPr>
            <w:r w:rsidRPr="0067741F">
              <w:rPr>
                <w:sz w:val="20"/>
              </w:rPr>
              <w:t>Appel rejeté.</w:t>
            </w:r>
          </w:p>
          <w:p w:rsidR="00D97F7E" w:rsidRPr="0067741F" w:rsidRDefault="00D97F7E" w:rsidP="00D97F7E">
            <w:pPr>
              <w:jc w:val="both"/>
              <w:rPr>
                <w:sz w:val="20"/>
              </w:rPr>
            </w:pPr>
          </w:p>
        </w:tc>
      </w:tr>
      <w:tr w:rsidR="00D97F7E" w:rsidRPr="0067741F" w:rsidTr="00D97F7E">
        <w:tblPrEx>
          <w:tblCellMar>
            <w:bottom w:w="0" w:type="dxa"/>
          </w:tblCellMar>
        </w:tblPrEx>
        <w:tc>
          <w:tcPr>
            <w:tcW w:w="2390" w:type="pct"/>
            <w:gridSpan w:val="2"/>
          </w:tcPr>
          <w:p w:rsidR="00D97F7E" w:rsidRPr="0067741F" w:rsidRDefault="00D97F7E" w:rsidP="00D97F7E">
            <w:pPr>
              <w:jc w:val="both"/>
              <w:rPr>
                <w:sz w:val="20"/>
                <w:lang w:val="fr-CA"/>
              </w:rPr>
            </w:pPr>
            <w:r w:rsidRPr="0067741F">
              <w:rPr>
                <w:sz w:val="20"/>
                <w:lang w:val="fr-CA"/>
              </w:rPr>
              <w:t>Le 29 septembre 2017</w:t>
            </w:r>
          </w:p>
          <w:p w:rsidR="00D97F7E" w:rsidRPr="0067741F" w:rsidRDefault="00D97F7E" w:rsidP="00D97F7E">
            <w:pPr>
              <w:jc w:val="both"/>
              <w:rPr>
                <w:sz w:val="20"/>
                <w:lang w:val="fr-CA"/>
              </w:rPr>
            </w:pPr>
            <w:r w:rsidRPr="0067741F">
              <w:rPr>
                <w:sz w:val="20"/>
                <w:lang w:val="fr-CA"/>
              </w:rPr>
              <w:t>Cour suprême du Canada</w:t>
            </w:r>
          </w:p>
        </w:tc>
        <w:tc>
          <w:tcPr>
            <w:tcW w:w="270" w:type="pct"/>
          </w:tcPr>
          <w:p w:rsidR="00D97F7E" w:rsidRPr="0067741F" w:rsidRDefault="00D97F7E" w:rsidP="00D97F7E">
            <w:pPr>
              <w:jc w:val="both"/>
              <w:rPr>
                <w:sz w:val="20"/>
                <w:lang w:val="fr-CA"/>
              </w:rPr>
            </w:pPr>
          </w:p>
        </w:tc>
        <w:tc>
          <w:tcPr>
            <w:tcW w:w="2340" w:type="pct"/>
          </w:tcPr>
          <w:p w:rsidR="00D97F7E" w:rsidRPr="0067741F" w:rsidRDefault="00D97F7E" w:rsidP="00D97F7E">
            <w:pPr>
              <w:jc w:val="both"/>
              <w:rPr>
                <w:sz w:val="20"/>
              </w:rPr>
            </w:pPr>
            <w:r w:rsidRPr="0067741F">
              <w:rPr>
                <w:sz w:val="20"/>
              </w:rPr>
              <w:t>Demande d’autorisation d’appel déposée.</w:t>
            </w:r>
          </w:p>
          <w:p w:rsidR="00D97F7E" w:rsidRPr="0067741F" w:rsidRDefault="00D97F7E" w:rsidP="00D97F7E">
            <w:pPr>
              <w:jc w:val="both"/>
              <w:rPr>
                <w:sz w:val="20"/>
              </w:rPr>
            </w:pPr>
          </w:p>
        </w:tc>
      </w:tr>
    </w:tbl>
    <w:p w:rsidR="00D97F7E" w:rsidRPr="0067741F" w:rsidRDefault="00D97F7E" w:rsidP="00D97F7E">
      <w:pPr>
        <w:jc w:val="both"/>
        <w:rPr>
          <w:sz w:val="20"/>
        </w:rPr>
      </w:pPr>
    </w:p>
    <w:p w:rsidR="00D97F7E" w:rsidRPr="0067741F" w:rsidRDefault="00D97F7E" w:rsidP="00D97F7E">
      <w:pPr>
        <w:jc w:val="both"/>
        <w:rPr>
          <w:sz w:val="20"/>
          <w:lang w:val="fr-CA"/>
        </w:rPr>
      </w:pPr>
    </w:p>
    <w:p w:rsidR="00D97F7E" w:rsidRDefault="00D97F7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F7E" w:rsidRPr="0067741F" w:rsidTr="00D97F7E">
        <w:tc>
          <w:tcPr>
            <w:tcW w:w="543" w:type="pct"/>
          </w:tcPr>
          <w:p w:rsidR="00D97F7E" w:rsidRPr="0067741F" w:rsidRDefault="00D97F7E" w:rsidP="00D97F7E">
            <w:pPr>
              <w:jc w:val="both"/>
              <w:rPr>
                <w:sz w:val="20"/>
              </w:rPr>
            </w:pPr>
            <w:r w:rsidRPr="0067741F">
              <w:rPr>
                <w:rStyle w:val="SCCFileNumberChar"/>
                <w:sz w:val="20"/>
                <w:szCs w:val="20"/>
              </w:rPr>
              <w:lastRenderedPageBreak/>
              <w:t>37868</w:t>
            </w:r>
          </w:p>
        </w:tc>
        <w:tc>
          <w:tcPr>
            <w:tcW w:w="4457" w:type="pct"/>
            <w:gridSpan w:val="3"/>
          </w:tcPr>
          <w:p w:rsidR="00D97F7E" w:rsidRPr="0067741F" w:rsidRDefault="00D97F7E" w:rsidP="00D97F7E">
            <w:pPr>
              <w:pStyle w:val="SCCLsocParty"/>
              <w:jc w:val="both"/>
              <w:rPr>
                <w:b/>
                <w:sz w:val="20"/>
                <w:szCs w:val="20"/>
                <w:lang w:val="en-US"/>
              </w:rPr>
            </w:pPr>
            <w:r w:rsidRPr="0067741F">
              <w:rPr>
                <w:b/>
                <w:sz w:val="20"/>
                <w:szCs w:val="20"/>
                <w:lang w:val="en-US"/>
              </w:rPr>
              <w:t>Victor Nnabuogor v. Her Majesty the Queen</w:t>
            </w:r>
          </w:p>
          <w:p w:rsidR="00D97F7E" w:rsidRPr="0067741F" w:rsidRDefault="00D97F7E" w:rsidP="00D97F7E">
            <w:pPr>
              <w:jc w:val="both"/>
              <w:rPr>
                <w:sz w:val="20"/>
              </w:rPr>
            </w:pPr>
            <w:r w:rsidRPr="0067741F">
              <w:rPr>
                <w:sz w:val="20"/>
              </w:rPr>
              <w:t>(Ont.) (Criminal) (By Leave)</w:t>
            </w:r>
          </w:p>
        </w:tc>
      </w:tr>
      <w:tr w:rsidR="00D97F7E" w:rsidRPr="0067741F" w:rsidTr="00D97F7E">
        <w:tc>
          <w:tcPr>
            <w:tcW w:w="5000" w:type="pct"/>
            <w:gridSpan w:val="4"/>
          </w:tcPr>
          <w:p w:rsidR="00157B13" w:rsidRPr="00157B13" w:rsidRDefault="00157B13" w:rsidP="00157B13">
            <w:pPr>
              <w:jc w:val="both"/>
              <w:rPr>
                <w:sz w:val="20"/>
              </w:rPr>
            </w:pPr>
            <w:r w:rsidRPr="00157B13">
              <w:rPr>
                <w:sz w:val="20"/>
              </w:rPr>
              <w:t>The motion for an extension of time to serve and file the application for leave to appeal is granted.  The application for leave to appeal from the judgment of the Court of Appeal for Ontario, Number C62803, 2017 ONCA 762, dated September 28, 2017, is dismissed.</w:t>
            </w:r>
          </w:p>
          <w:p w:rsidR="00D97F7E" w:rsidRPr="00157B13" w:rsidRDefault="00D97F7E" w:rsidP="00D97F7E">
            <w:pPr>
              <w:pStyle w:val="SCCLsocParty"/>
              <w:jc w:val="both"/>
              <w:rPr>
                <w:b/>
                <w:sz w:val="20"/>
                <w:szCs w:val="20"/>
                <w:lang w:val="en-CA"/>
              </w:rPr>
            </w:pPr>
          </w:p>
        </w:tc>
      </w:tr>
      <w:tr w:rsidR="00D97F7E" w:rsidRPr="0067741F" w:rsidTr="00D97F7E">
        <w:tc>
          <w:tcPr>
            <w:tcW w:w="5000" w:type="pct"/>
            <w:gridSpan w:val="4"/>
          </w:tcPr>
          <w:p w:rsidR="00D97F7E" w:rsidRPr="0067741F" w:rsidRDefault="00D97F7E" w:rsidP="00D97F7E">
            <w:pPr>
              <w:pStyle w:val="SCCBanSummary"/>
              <w:rPr>
                <w:sz w:val="20"/>
                <w:szCs w:val="20"/>
              </w:rPr>
            </w:pPr>
            <w:r w:rsidRPr="0067741F">
              <w:rPr>
                <w:sz w:val="20"/>
                <w:szCs w:val="20"/>
              </w:rPr>
              <w:t>(Publication ban in case)</w:t>
            </w:r>
          </w:p>
          <w:p w:rsidR="00D97F7E" w:rsidRPr="0067741F" w:rsidRDefault="00D97F7E" w:rsidP="00D97F7E">
            <w:pPr>
              <w:jc w:val="both"/>
              <w:rPr>
                <w:sz w:val="20"/>
              </w:rPr>
            </w:pPr>
          </w:p>
          <w:p w:rsidR="00D97F7E" w:rsidRPr="0067741F" w:rsidRDefault="00D97F7E" w:rsidP="00D97F7E">
            <w:pPr>
              <w:jc w:val="both"/>
              <w:rPr>
                <w:sz w:val="20"/>
              </w:rPr>
            </w:pPr>
            <w:r w:rsidRPr="0067741F">
              <w:rPr>
                <w:sz w:val="20"/>
              </w:rPr>
              <w:t>Criminal law – Appeals – Whether Court of Appeal erred in failing to grant leave to appeal?</w:t>
            </w:r>
          </w:p>
        </w:tc>
      </w:tr>
      <w:tr w:rsidR="00D97F7E" w:rsidRPr="0067741F" w:rsidTr="00D97F7E">
        <w:tc>
          <w:tcPr>
            <w:tcW w:w="5000" w:type="pct"/>
            <w:gridSpan w:val="4"/>
          </w:tcPr>
          <w:p w:rsidR="00D97F7E" w:rsidRPr="0067741F" w:rsidRDefault="00D97F7E" w:rsidP="00D97F7E">
            <w:pPr>
              <w:jc w:val="both"/>
              <w:rPr>
                <w:sz w:val="20"/>
              </w:rPr>
            </w:pPr>
          </w:p>
        </w:tc>
      </w:tr>
      <w:tr w:rsidR="00D97F7E" w:rsidRPr="0067741F" w:rsidTr="00D97F7E">
        <w:tc>
          <w:tcPr>
            <w:tcW w:w="5000" w:type="pct"/>
            <w:gridSpan w:val="4"/>
          </w:tcPr>
          <w:p w:rsidR="00D97F7E" w:rsidRPr="0067741F" w:rsidRDefault="00D97F7E" w:rsidP="00D97F7E">
            <w:pPr>
              <w:jc w:val="both"/>
              <w:rPr>
                <w:sz w:val="20"/>
              </w:rPr>
            </w:pPr>
            <w:r w:rsidRPr="0067741F">
              <w:rPr>
                <w:sz w:val="20"/>
              </w:rPr>
              <w:t>Mr. Nnabuogor was convicted of assault and sexual assault. His summary conviction appeal was dismissed. The Court of Appeal dismissed an application for leave to appeal.</w:t>
            </w:r>
          </w:p>
          <w:p w:rsidR="00D97F7E" w:rsidRPr="0067741F" w:rsidRDefault="00D97F7E" w:rsidP="00D97F7E">
            <w:pPr>
              <w:jc w:val="both"/>
              <w:rPr>
                <w:sz w:val="20"/>
              </w:rPr>
            </w:pPr>
          </w:p>
        </w:tc>
      </w:tr>
      <w:tr w:rsidR="00D97F7E" w:rsidRPr="0067741F" w:rsidTr="00D97F7E">
        <w:tc>
          <w:tcPr>
            <w:tcW w:w="2427" w:type="pct"/>
            <w:gridSpan w:val="2"/>
          </w:tcPr>
          <w:p w:rsidR="00D97F7E" w:rsidRPr="0067741F" w:rsidRDefault="00D97F7E" w:rsidP="00D97F7E">
            <w:pPr>
              <w:jc w:val="both"/>
              <w:rPr>
                <w:sz w:val="20"/>
              </w:rPr>
            </w:pPr>
            <w:r w:rsidRPr="0067741F">
              <w:rPr>
                <w:sz w:val="20"/>
              </w:rPr>
              <w:t>September 14, 2015</w:t>
            </w:r>
          </w:p>
          <w:p w:rsidR="00D97F7E" w:rsidRPr="0067741F" w:rsidRDefault="00D97F7E" w:rsidP="00D97F7E">
            <w:pPr>
              <w:jc w:val="both"/>
              <w:rPr>
                <w:rFonts w:ascii="Arial" w:hAnsi="Arial" w:cs="Arial"/>
                <w:sz w:val="20"/>
              </w:rPr>
            </w:pPr>
            <w:r w:rsidRPr="0067741F">
              <w:rPr>
                <w:sz w:val="20"/>
              </w:rPr>
              <w:t>Ontario Court of Justice</w:t>
            </w:r>
          </w:p>
          <w:p w:rsidR="00D97F7E" w:rsidRPr="0067741F" w:rsidRDefault="00D97F7E" w:rsidP="00D97F7E">
            <w:pPr>
              <w:jc w:val="both"/>
              <w:rPr>
                <w:sz w:val="20"/>
                <w:lang w:val="en"/>
              </w:rPr>
            </w:pPr>
            <w:r w:rsidRPr="0067741F">
              <w:rPr>
                <w:rFonts w:ascii="Arial" w:hAnsi="Arial" w:cs="Arial"/>
                <w:sz w:val="20"/>
              </w:rPr>
              <w:t>(</w:t>
            </w:r>
            <w:r w:rsidRPr="0067741F">
              <w:rPr>
                <w:sz w:val="20"/>
                <w:lang w:val="en"/>
              </w:rPr>
              <w:t>Rutherford J.)</w:t>
            </w:r>
          </w:p>
          <w:p w:rsidR="00D97F7E" w:rsidRPr="0067741F" w:rsidRDefault="00D97F7E" w:rsidP="00D97F7E">
            <w:pPr>
              <w:jc w:val="both"/>
              <w:rPr>
                <w:sz w:val="20"/>
              </w:rPr>
            </w:pPr>
          </w:p>
        </w:tc>
        <w:tc>
          <w:tcPr>
            <w:tcW w:w="243" w:type="pct"/>
          </w:tcPr>
          <w:p w:rsidR="00D97F7E" w:rsidRPr="0067741F" w:rsidRDefault="00D97F7E" w:rsidP="00D97F7E">
            <w:pPr>
              <w:jc w:val="both"/>
              <w:rPr>
                <w:sz w:val="20"/>
              </w:rPr>
            </w:pPr>
          </w:p>
        </w:tc>
        <w:tc>
          <w:tcPr>
            <w:tcW w:w="2330" w:type="pct"/>
          </w:tcPr>
          <w:p w:rsidR="00D97F7E" w:rsidRPr="0067741F" w:rsidRDefault="00D97F7E" w:rsidP="00D97F7E">
            <w:pPr>
              <w:jc w:val="both"/>
              <w:rPr>
                <w:sz w:val="20"/>
              </w:rPr>
            </w:pPr>
            <w:r w:rsidRPr="0067741F">
              <w:rPr>
                <w:sz w:val="20"/>
              </w:rPr>
              <w:t xml:space="preserve">Summary convictions for assault and sexual assault </w:t>
            </w:r>
          </w:p>
        </w:tc>
      </w:tr>
      <w:tr w:rsidR="00D97F7E" w:rsidRPr="0067741F" w:rsidTr="00D97F7E">
        <w:tc>
          <w:tcPr>
            <w:tcW w:w="2427" w:type="pct"/>
            <w:gridSpan w:val="2"/>
          </w:tcPr>
          <w:p w:rsidR="00D97F7E" w:rsidRPr="0067741F" w:rsidRDefault="00D97F7E" w:rsidP="00D97F7E">
            <w:pPr>
              <w:jc w:val="both"/>
              <w:rPr>
                <w:sz w:val="20"/>
              </w:rPr>
            </w:pPr>
            <w:r w:rsidRPr="0067741F">
              <w:rPr>
                <w:sz w:val="20"/>
              </w:rPr>
              <w:t>September 22, 2016</w:t>
            </w:r>
          </w:p>
          <w:p w:rsidR="00D97F7E" w:rsidRPr="0067741F" w:rsidRDefault="00D97F7E" w:rsidP="00D97F7E">
            <w:pPr>
              <w:jc w:val="both"/>
              <w:rPr>
                <w:sz w:val="20"/>
              </w:rPr>
            </w:pPr>
            <w:r w:rsidRPr="0067741F">
              <w:rPr>
                <w:sz w:val="20"/>
              </w:rPr>
              <w:t>Ontario Superior Court of Justice</w:t>
            </w:r>
          </w:p>
          <w:p w:rsidR="00D97F7E" w:rsidRPr="0067741F" w:rsidRDefault="00D97F7E" w:rsidP="00D97F7E">
            <w:pPr>
              <w:jc w:val="both"/>
              <w:rPr>
                <w:sz w:val="20"/>
              </w:rPr>
            </w:pPr>
            <w:r w:rsidRPr="0067741F">
              <w:rPr>
                <w:sz w:val="20"/>
              </w:rPr>
              <w:t>(Dunnet J.)</w:t>
            </w:r>
          </w:p>
          <w:p w:rsidR="00D97F7E" w:rsidRPr="0067741F" w:rsidRDefault="00D97F7E" w:rsidP="00D97F7E">
            <w:pPr>
              <w:jc w:val="both"/>
              <w:rPr>
                <w:sz w:val="20"/>
              </w:rPr>
            </w:pPr>
            <w:r w:rsidRPr="0067741F">
              <w:rPr>
                <w:sz w:val="20"/>
              </w:rPr>
              <w:t xml:space="preserve"> </w:t>
            </w:r>
          </w:p>
        </w:tc>
        <w:tc>
          <w:tcPr>
            <w:tcW w:w="243" w:type="pct"/>
          </w:tcPr>
          <w:p w:rsidR="00D97F7E" w:rsidRPr="0067741F" w:rsidRDefault="00D97F7E" w:rsidP="00D97F7E">
            <w:pPr>
              <w:jc w:val="both"/>
              <w:rPr>
                <w:sz w:val="20"/>
              </w:rPr>
            </w:pPr>
          </w:p>
        </w:tc>
        <w:tc>
          <w:tcPr>
            <w:tcW w:w="2330" w:type="pct"/>
          </w:tcPr>
          <w:p w:rsidR="00D97F7E" w:rsidRPr="0067741F" w:rsidRDefault="00D97F7E" w:rsidP="00D97F7E">
            <w:pPr>
              <w:jc w:val="both"/>
              <w:rPr>
                <w:sz w:val="20"/>
              </w:rPr>
            </w:pPr>
            <w:r w:rsidRPr="0067741F">
              <w:rPr>
                <w:sz w:val="20"/>
              </w:rPr>
              <w:t>Summary conviction appeal dismissed</w:t>
            </w:r>
          </w:p>
          <w:p w:rsidR="00D97F7E" w:rsidRPr="0067741F" w:rsidRDefault="00D97F7E" w:rsidP="00D97F7E">
            <w:pPr>
              <w:jc w:val="both"/>
              <w:rPr>
                <w:sz w:val="20"/>
              </w:rPr>
            </w:pPr>
          </w:p>
        </w:tc>
      </w:tr>
      <w:tr w:rsidR="00D97F7E" w:rsidRPr="0067741F" w:rsidTr="00D97F7E">
        <w:tc>
          <w:tcPr>
            <w:tcW w:w="2427" w:type="pct"/>
            <w:gridSpan w:val="2"/>
          </w:tcPr>
          <w:p w:rsidR="00D97F7E" w:rsidRPr="0067741F" w:rsidRDefault="00D97F7E" w:rsidP="00D97F7E">
            <w:pPr>
              <w:jc w:val="both"/>
              <w:rPr>
                <w:sz w:val="20"/>
              </w:rPr>
            </w:pPr>
            <w:r w:rsidRPr="0067741F">
              <w:rPr>
                <w:sz w:val="20"/>
              </w:rPr>
              <w:t>September 28, 2017</w:t>
            </w:r>
          </w:p>
          <w:p w:rsidR="00D97F7E" w:rsidRPr="0067741F" w:rsidRDefault="00D97F7E" w:rsidP="00D97F7E">
            <w:pPr>
              <w:jc w:val="both"/>
              <w:rPr>
                <w:sz w:val="20"/>
              </w:rPr>
            </w:pPr>
            <w:r w:rsidRPr="0067741F">
              <w:rPr>
                <w:sz w:val="20"/>
              </w:rPr>
              <w:t>Court of Appeal for Ontario</w:t>
            </w:r>
          </w:p>
          <w:p w:rsidR="00D97F7E" w:rsidRPr="0067741F" w:rsidRDefault="00D97F7E" w:rsidP="00D97F7E">
            <w:pPr>
              <w:jc w:val="both"/>
              <w:rPr>
                <w:sz w:val="20"/>
              </w:rPr>
            </w:pPr>
            <w:r w:rsidRPr="0067741F">
              <w:rPr>
                <w:sz w:val="20"/>
              </w:rPr>
              <w:t>(Cronk, Juriansz, Paciocco JJ.A.)</w:t>
            </w:r>
          </w:p>
          <w:p w:rsidR="00D97F7E" w:rsidRPr="0067741F" w:rsidRDefault="00FE4582" w:rsidP="00D97F7E">
            <w:pPr>
              <w:jc w:val="both"/>
              <w:rPr>
                <w:sz w:val="20"/>
              </w:rPr>
            </w:pPr>
            <w:hyperlink r:id="rId29" w:history="1">
              <w:r w:rsidR="00D97F7E" w:rsidRPr="0067741F">
                <w:rPr>
                  <w:rStyle w:val="Hyperlink"/>
                  <w:sz w:val="20"/>
                </w:rPr>
                <w:t>2017 ONCA 762</w:t>
              </w:r>
            </w:hyperlink>
          </w:p>
          <w:p w:rsidR="00D97F7E" w:rsidRPr="0067741F" w:rsidRDefault="00D97F7E" w:rsidP="00D97F7E">
            <w:pPr>
              <w:jc w:val="both"/>
              <w:rPr>
                <w:sz w:val="20"/>
              </w:rPr>
            </w:pPr>
          </w:p>
        </w:tc>
        <w:tc>
          <w:tcPr>
            <w:tcW w:w="243" w:type="pct"/>
          </w:tcPr>
          <w:p w:rsidR="00D97F7E" w:rsidRPr="0067741F" w:rsidRDefault="00D97F7E" w:rsidP="00D97F7E">
            <w:pPr>
              <w:jc w:val="both"/>
              <w:rPr>
                <w:sz w:val="20"/>
              </w:rPr>
            </w:pPr>
          </w:p>
        </w:tc>
        <w:tc>
          <w:tcPr>
            <w:tcW w:w="2330" w:type="pct"/>
          </w:tcPr>
          <w:p w:rsidR="00D97F7E" w:rsidRPr="0067741F" w:rsidRDefault="00D97F7E" w:rsidP="00D97F7E">
            <w:pPr>
              <w:jc w:val="both"/>
              <w:rPr>
                <w:sz w:val="20"/>
              </w:rPr>
            </w:pPr>
            <w:r w:rsidRPr="0067741F">
              <w:rPr>
                <w:sz w:val="20"/>
              </w:rPr>
              <w:t xml:space="preserve">Application for leave to appeal dismissed </w:t>
            </w:r>
          </w:p>
        </w:tc>
      </w:tr>
      <w:tr w:rsidR="00D97F7E" w:rsidRPr="0067741F" w:rsidTr="00D97F7E">
        <w:tc>
          <w:tcPr>
            <w:tcW w:w="2427" w:type="pct"/>
            <w:gridSpan w:val="2"/>
          </w:tcPr>
          <w:p w:rsidR="00D97F7E" w:rsidRPr="0067741F" w:rsidRDefault="00D97F7E" w:rsidP="00D97F7E">
            <w:pPr>
              <w:jc w:val="both"/>
              <w:rPr>
                <w:sz w:val="20"/>
              </w:rPr>
            </w:pPr>
            <w:r w:rsidRPr="0067741F">
              <w:rPr>
                <w:sz w:val="20"/>
              </w:rPr>
              <w:t>December 1, 2017</w:t>
            </w:r>
          </w:p>
          <w:p w:rsidR="00D97F7E" w:rsidRPr="0067741F" w:rsidRDefault="00D97F7E" w:rsidP="00D97F7E">
            <w:pPr>
              <w:jc w:val="both"/>
              <w:rPr>
                <w:sz w:val="20"/>
              </w:rPr>
            </w:pPr>
            <w:r w:rsidRPr="0067741F">
              <w:rPr>
                <w:sz w:val="20"/>
              </w:rPr>
              <w:t>Supreme Court of Canada</w:t>
            </w:r>
          </w:p>
        </w:tc>
        <w:tc>
          <w:tcPr>
            <w:tcW w:w="243" w:type="pct"/>
          </w:tcPr>
          <w:p w:rsidR="00D97F7E" w:rsidRPr="0067741F" w:rsidRDefault="00D97F7E" w:rsidP="00D97F7E">
            <w:pPr>
              <w:jc w:val="both"/>
              <w:rPr>
                <w:sz w:val="20"/>
              </w:rPr>
            </w:pPr>
          </w:p>
        </w:tc>
        <w:tc>
          <w:tcPr>
            <w:tcW w:w="2330" w:type="pct"/>
          </w:tcPr>
          <w:p w:rsidR="00D97F7E" w:rsidRPr="0067741F" w:rsidRDefault="00D97F7E" w:rsidP="00D97F7E">
            <w:pPr>
              <w:jc w:val="both"/>
              <w:rPr>
                <w:sz w:val="20"/>
              </w:rPr>
            </w:pPr>
            <w:r w:rsidRPr="0067741F">
              <w:rPr>
                <w:sz w:val="20"/>
              </w:rPr>
              <w:t>Motion for extension of time to serve and file application for leave to appeal and Application for leave to appeal filed</w:t>
            </w:r>
          </w:p>
        </w:tc>
      </w:tr>
    </w:tbl>
    <w:p w:rsidR="00D97F7E" w:rsidRPr="0067741F" w:rsidRDefault="00D97F7E" w:rsidP="00D97F7E">
      <w:pPr>
        <w:jc w:val="both"/>
        <w:rPr>
          <w:sz w:val="20"/>
        </w:rPr>
      </w:pPr>
    </w:p>
    <w:p w:rsidR="00D97F7E" w:rsidRPr="0067741F" w:rsidRDefault="00D97F7E" w:rsidP="00D97F7E">
      <w:pPr>
        <w:jc w:val="both"/>
        <w:rPr>
          <w:sz w:val="20"/>
        </w:rPr>
      </w:pPr>
    </w:p>
    <w:p w:rsidR="00D97F7E" w:rsidRDefault="00D97F7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F7E" w:rsidRPr="0067741F" w:rsidTr="00D97F7E">
        <w:tc>
          <w:tcPr>
            <w:tcW w:w="543" w:type="pct"/>
          </w:tcPr>
          <w:p w:rsidR="00D97F7E" w:rsidRPr="0067741F" w:rsidRDefault="00D97F7E" w:rsidP="00D97F7E">
            <w:pPr>
              <w:jc w:val="both"/>
              <w:rPr>
                <w:sz w:val="20"/>
                <w:lang w:val="fr-CA"/>
              </w:rPr>
            </w:pPr>
            <w:r w:rsidRPr="0067741F">
              <w:rPr>
                <w:rStyle w:val="SCCFileNumberChar"/>
                <w:sz w:val="20"/>
                <w:szCs w:val="20"/>
                <w:lang w:val="fr-CA"/>
              </w:rPr>
              <w:lastRenderedPageBreak/>
              <w:t>37868</w:t>
            </w:r>
          </w:p>
        </w:tc>
        <w:tc>
          <w:tcPr>
            <w:tcW w:w="4457" w:type="pct"/>
            <w:gridSpan w:val="3"/>
          </w:tcPr>
          <w:p w:rsidR="00D97F7E" w:rsidRPr="0067741F" w:rsidRDefault="00D97F7E" w:rsidP="00D97F7E">
            <w:pPr>
              <w:pStyle w:val="SCCLsocParty"/>
              <w:jc w:val="both"/>
              <w:rPr>
                <w:b/>
                <w:sz w:val="20"/>
                <w:szCs w:val="20"/>
              </w:rPr>
            </w:pPr>
            <w:r w:rsidRPr="0067741F">
              <w:rPr>
                <w:b/>
                <w:sz w:val="20"/>
                <w:szCs w:val="20"/>
              </w:rPr>
              <w:t>Victor Nnabuogor c. Sa Majesté la Reine</w:t>
            </w:r>
          </w:p>
          <w:p w:rsidR="00D97F7E" w:rsidRPr="0067741F" w:rsidRDefault="00D97F7E" w:rsidP="00D97F7E">
            <w:pPr>
              <w:jc w:val="both"/>
              <w:rPr>
                <w:sz w:val="20"/>
                <w:lang w:val="fr-CA"/>
              </w:rPr>
            </w:pPr>
            <w:r w:rsidRPr="0067741F">
              <w:rPr>
                <w:sz w:val="20"/>
                <w:lang w:val="fr-CA"/>
              </w:rPr>
              <w:t>(Ont.) (Criminelle) (Autorisation)</w:t>
            </w:r>
          </w:p>
        </w:tc>
      </w:tr>
      <w:tr w:rsidR="00D97F7E" w:rsidRPr="00FE4582" w:rsidTr="00D97F7E">
        <w:tc>
          <w:tcPr>
            <w:tcW w:w="5000" w:type="pct"/>
            <w:gridSpan w:val="4"/>
          </w:tcPr>
          <w:p w:rsidR="00D97F7E" w:rsidRPr="00EF0BC3" w:rsidRDefault="00EF0BC3" w:rsidP="00D97F7E">
            <w:pPr>
              <w:pStyle w:val="SCCLsocParty"/>
              <w:jc w:val="both"/>
              <w:rPr>
                <w:b/>
                <w:sz w:val="20"/>
                <w:szCs w:val="20"/>
              </w:rPr>
            </w:pPr>
            <w:r w:rsidRPr="00EF0BC3">
              <w:rPr>
                <w:sz w:val="20"/>
              </w:rPr>
              <w:t>La requête en prorogation du délai de signification et de dépôt de la demande d’autorisation d’appel est accueillie. La demande d’autorisation d’appel de l’arrêt de la Cour d’appel de l’Ontario, numéro C62803, 2017 ONCA 762, daté du 28 septembre 2017, est rejetée.</w:t>
            </w:r>
          </w:p>
        </w:tc>
      </w:tr>
      <w:tr w:rsidR="00D97F7E" w:rsidRPr="00FE4582" w:rsidTr="00D97F7E">
        <w:tc>
          <w:tcPr>
            <w:tcW w:w="5000" w:type="pct"/>
            <w:gridSpan w:val="4"/>
          </w:tcPr>
          <w:p w:rsidR="00D97F7E" w:rsidRPr="0067741F" w:rsidRDefault="00D97F7E" w:rsidP="00D97F7E">
            <w:pPr>
              <w:pStyle w:val="SCCBanSummary"/>
              <w:rPr>
                <w:sz w:val="20"/>
                <w:szCs w:val="20"/>
                <w:lang w:val="fr-CA"/>
              </w:rPr>
            </w:pPr>
            <w:r w:rsidRPr="0067741F">
              <w:rPr>
                <w:sz w:val="20"/>
                <w:szCs w:val="20"/>
                <w:lang w:val="fr-CA"/>
              </w:rPr>
              <w:t>(Ordonnance de non-publication dans le dossier)</w:t>
            </w:r>
          </w:p>
          <w:p w:rsidR="00D97F7E" w:rsidRPr="0067741F" w:rsidRDefault="00D97F7E" w:rsidP="00D97F7E">
            <w:pPr>
              <w:jc w:val="both"/>
              <w:rPr>
                <w:sz w:val="20"/>
                <w:lang w:val="fr-CA"/>
              </w:rPr>
            </w:pPr>
          </w:p>
          <w:p w:rsidR="00D97F7E" w:rsidRPr="0067741F" w:rsidRDefault="00D97F7E" w:rsidP="00D97F7E">
            <w:pPr>
              <w:jc w:val="both"/>
              <w:rPr>
                <w:sz w:val="20"/>
                <w:lang w:val="fr-CA"/>
              </w:rPr>
            </w:pPr>
            <w:r w:rsidRPr="0067741F">
              <w:rPr>
                <w:sz w:val="20"/>
                <w:lang w:val="fr-CA"/>
              </w:rPr>
              <w:t>Droit criminel – Appels – La Cour d’appel a-t-elle eu tort de ne pas accorder l’autorisation d’interjeter appel?</w:t>
            </w:r>
          </w:p>
        </w:tc>
      </w:tr>
      <w:tr w:rsidR="00D97F7E" w:rsidRPr="00FE4582" w:rsidTr="00D97F7E">
        <w:tc>
          <w:tcPr>
            <w:tcW w:w="5000" w:type="pct"/>
            <w:gridSpan w:val="4"/>
          </w:tcPr>
          <w:p w:rsidR="00D97F7E" w:rsidRPr="0067741F" w:rsidRDefault="00D97F7E" w:rsidP="00D97F7E">
            <w:pPr>
              <w:jc w:val="both"/>
              <w:rPr>
                <w:sz w:val="20"/>
                <w:lang w:val="fr-CA"/>
              </w:rPr>
            </w:pPr>
          </w:p>
        </w:tc>
      </w:tr>
      <w:tr w:rsidR="00D97F7E" w:rsidRPr="00FE4582" w:rsidTr="00D97F7E">
        <w:tc>
          <w:tcPr>
            <w:tcW w:w="5000" w:type="pct"/>
            <w:gridSpan w:val="4"/>
          </w:tcPr>
          <w:p w:rsidR="00D97F7E" w:rsidRPr="0067741F" w:rsidRDefault="00D97F7E" w:rsidP="00D97F7E">
            <w:pPr>
              <w:jc w:val="both"/>
              <w:rPr>
                <w:sz w:val="20"/>
                <w:lang w:val="fr-CA"/>
              </w:rPr>
            </w:pPr>
            <w:r w:rsidRPr="0067741F">
              <w:rPr>
                <w:sz w:val="20"/>
                <w:lang w:val="fr-CA"/>
              </w:rPr>
              <w:t>Monsieur Nnabuogor a été déclaré coupable de voies de fait et d’agression sexuelle. Son appel en matière de poursuite sommaire a été rejeté. La Cour d’appel a rejeté une demande d’autorisation d’interjeter appel.</w:t>
            </w:r>
          </w:p>
          <w:p w:rsidR="00D97F7E" w:rsidRPr="0067741F" w:rsidRDefault="00D97F7E" w:rsidP="00D97F7E">
            <w:pPr>
              <w:jc w:val="both"/>
              <w:rPr>
                <w:sz w:val="20"/>
                <w:lang w:val="fr-CA"/>
              </w:rPr>
            </w:pPr>
          </w:p>
        </w:tc>
      </w:tr>
      <w:tr w:rsidR="00D97F7E" w:rsidRPr="00C15495" w:rsidTr="00D97F7E">
        <w:tc>
          <w:tcPr>
            <w:tcW w:w="2427" w:type="pct"/>
            <w:gridSpan w:val="2"/>
          </w:tcPr>
          <w:p w:rsidR="00D97F7E" w:rsidRPr="0067741F" w:rsidRDefault="00D97F7E" w:rsidP="00D97F7E">
            <w:pPr>
              <w:jc w:val="both"/>
              <w:rPr>
                <w:sz w:val="20"/>
                <w:lang w:val="fr-CA"/>
              </w:rPr>
            </w:pPr>
            <w:r w:rsidRPr="0067741F">
              <w:rPr>
                <w:sz w:val="20"/>
                <w:lang w:val="fr-CA"/>
              </w:rPr>
              <w:t>14 septembre 2015</w:t>
            </w:r>
          </w:p>
          <w:p w:rsidR="00D97F7E" w:rsidRPr="0067741F" w:rsidRDefault="00D97F7E" w:rsidP="00D97F7E">
            <w:pPr>
              <w:jc w:val="both"/>
              <w:rPr>
                <w:rFonts w:ascii="Arial" w:hAnsi="Arial" w:cs="Arial"/>
                <w:sz w:val="20"/>
                <w:lang w:val="fr-CA"/>
              </w:rPr>
            </w:pPr>
            <w:r w:rsidRPr="0067741F">
              <w:rPr>
                <w:sz w:val="20"/>
                <w:lang w:val="fr-CA"/>
              </w:rPr>
              <w:t>Cour de justice de l’Ontario</w:t>
            </w:r>
          </w:p>
          <w:p w:rsidR="00D97F7E" w:rsidRPr="0067741F" w:rsidRDefault="00D97F7E" w:rsidP="00D97F7E">
            <w:pPr>
              <w:jc w:val="both"/>
              <w:rPr>
                <w:sz w:val="20"/>
                <w:lang w:val="fr-CA"/>
              </w:rPr>
            </w:pPr>
            <w:r w:rsidRPr="0067741F">
              <w:rPr>
                <w:rFonts w:ascii="Arial" w:hAnsi="Arial" w:cs="Arial"/>
                <w:sz w:val="20"/>
                <w:lang w:val="fr-CA"/>
              </w:rPr>
              <w:t>(</w:t>
            </w:r>
            <w:r w:rsidRPr="0067741F">
              <w:rPr>
                <w:sz w:val="20"/>
                <w:lang w:val="fr-CA"/>
              </w:rPr>
              <w:t>Juge Rutherford)</w:t>
            </w:r>
          </w:p>
          <w:p w:rsidR="00D97F7E" w:rsidRPr="0067741F" w:rsidRDefault="00D97F7E" w:rsidP="00D97F7E">
            <w:pPr>
              <w:jc w:val="both"/>
              <w:rPr>
                <w:sz w:val="20"/>
                <w:lang w:val="fr-CA"/>
              </w:rPr>
            </w:pPr>
          </w:p>
        </w:tc>
        <w:tc>
          <w:tcPr>
            <w:tcW w:w="243" w:type="pct"/>
          </w:tcPr>
          <w:p w:rsidR="00D97F7E" w:rsidRPr="0067741F" w:rsidRDefault="00D97F7E" w:rsidP="00D97F7E">
            <w:pPr>
              <w:jc w:val="both"/>
              <w:rPr>
                <w:sz w:val="20"/>
                <w:lang w:val="fr-CA"/>
              </w:rPr>
            </w:pPr>
          </w:p>
        </w:tc>
        <w:tc>
          <w:tcPr>
            <w:tcW w:w="2330" w:type="pct"/>
          </w:tcPr>
          <w:p w:rsidR="00D97F7E" w:rsidRPr="0067741F" w:rsidRDefault="00D97F7E" w:rsidP="00D97F7E">
            <w:pPr>
              <w:jc w:val="both"/>
              <w:rPr>
                <w:sz w:val="20"/>
                <w:lang w:val="fr-CA"/>
              </w:rPr>
            </w:pPr>
            <w:r w:rsidRPr="0067741F">
              <w:rPr>
                <w:sz w:val="20"/>
                <w:lang w:val="fr-CA"/>
              </w:rPr>
              <w:t xml:space="preserve">Déclarations de culpabilité par procédure sommaire de voies de fait et d’agression sexuelle </w:t>
            </w:r>
          </w:p>
        </w:tc>
      </w:tr>
      <w:tr w:rsidR="00D97F7E" w:rsidRPr="00C15495" w:rsidTr="00D97F7E">
        <w:tc>
          <w:tcPr>
            <w:tcW w:w="2427" w:type="pct"/>
            <w:gridSpan w:val="2"/>
          </w:tcPr>
          <w:p w:rsidR="00D97F7E" w:rsidRPr="0067741F" w:rsidRDefault="00D97F7E" w:rsidP="00D97F7E">
            <w:pPr>
              <w:jc w:val="both"/>
              <w:rPr>
                <w:sz w:val="20"/>
                <w:lang w:val="fr-CA"/>
              </w:rPr>
            </w:pPr>
            <w:r w:rsidRPr="0067741F">
              <w:rPr>
                <w:sz w:val="20"/>
                <w:lang w:val="fr-CA"/>
              </w:rPr>
              <w:t>22 septembre 2016</w:t>
            </w:r>
          </w:p>
          <w:p w:rsidR="00D97F7E" w:rsidRPr="0067741F" w:rsidRDefault="00D97F7E" w:rsidP="00D97F7E">
            <w:pPr>
              <w:jc w:val="both"/>
              <w:rPr>
                <w:sz w:val="20"/>
                <w:lang w:val="fr-CA"/>
              </w:rPr>
            </w:pPr>
            <w:r w:rsidRPr="0067741F">
              <w:rPr>
                <w:sz w:val="20"/>
                <w:lang w:val="fr-CA"/>
              </w:rPr>
              <w:t>Cour supérieure de justice de l’Ontario</w:t>
            </w:r>
          </w:p>
          <w:p w:rsidR="00D97F7E" w:rsidRPr="0067741F" w:rsidRDefault="00D97F7E" w:rsidP="00D97F7E">
            <w:pPr>
              <w:jc w:val="both"/>
              <w:rPr>
                <w:sz w:val="20"/>
                <w:lang w:val="fr-CA"/>
              </w:rPr>
            </w:pPr>
            <w:r w:rsidRPr="0067741F">
              <w:rPr>
                <w:sz w:val="20"/>
                <w:lang w:val="fr-CA"/>
              </w:rPr>
              <w:t>(Juge Dunnet)</w:t>
            </w:r>
          </w:p>
          <w:p w:rsidR="00D97F7E" w:rsidRPr="0067741F" w:rsidRDefault="00D97F7E" w:rsidP="00D97F7E">
            <w:pPr>
              <w:jc w:val="both"/>
              <w:rPr>
                <w:sz w:val="20"/>
                <w:lang w:val="fr-CA"/>
              </w:rPr>
            </w:pPr>
            <w:r w:rsidRPr="0067741F">
              <w:rPr>
                <w:sz w:val="20"/>
                <w:lang w:val="fr-CA"/>
              </w:rPr>
              <w:t xml:space="preserve"> </w:t>
            </w:r>
          </w:p>
        </w:tc>
        <w:tc>
          <w:tcPr>
            <w:tcW w:w="243" w:type="pct"/>
          </w:tcPr>
          <w:p w:rsidR="00D97F7E" w:rsidRPr="0067741F" w:rsidRDefault="00D97F7E" w:rsidP="00D97F7E">
            <w:pPr>
              <w:jc w:val="both"/>
              <w:rPr>
                <w:sz w:val="20"/>
                <w:lang w:val="fr-CA"/>
              </w:rPr>
            </w:pPr>
          </w:p>
        </w:tc>
        <w:tc>
          <w:tcPr>
            <w:tcW w:w="2330" w:type="pct"/>
          </w:tcPr>
          <w:p w:rsidR="00D97F7E" w:rsidRPr="0067741F" w:rsidRDefault="00D97F7E" w:rsidP="00D97F7E">
            <w:pPr>
              <w:jc w:val="both"/>
              <w:rPr>
                <w:sz w:val="20"/>
                <w:lang w:val="fr-CA"/>
              </w:rPr>
            </w:pPr>
            <w:r w:rsidRPr="0067741F">
              <w:rPr>
                <w:sz w:val="20"/>
                <w:lang w:val="fr-CA"/>
              </w:rPr>
              <w:t>Rejet de l’appel en matière de poursuite sommaire</w:t>
            </w:r>
          </w:p>
          <w:p w:rsidR="00D97F7E" w:rsidRPr="0067741F" w:rsidRDefault="00D97F7E" w:rsidP="00D97F7E">
            <w:pPr>
              <w:jc w:val="both"/>
              <w:rPr>
                <w:sz w:val="20"/>
                <w:lang w:val="fr-CA"/>
              </w:rPr>
            </w:pPr>
          </w:p>
        </w:tc>
      </w:tr>
      <w:tr w:rsidR="00D97F7E" w:rsidRPr="00C15495" w:rsidTr="00D97F7E">
        <w:tc>
          <w:tcPr>
            <w:tcW w:w="2427" w:type="pct"/>
            <w:gridSpan w:val="2"/>
          </w:tcPr>
          <w:p w:rsidR="00D97F7E" w:rsidRPr="0067741F" w:rsidRDefault="00D97F7E" w:rsidP="00D97F7E">
            <w:pPr>
              <w:jc w:val="both"/>
              <w:rPr>
                <w:sz w:val="20"/>
                <w:lang w:val="fr-CA"/>
              </w:rPr>
            </w:pPr>
            <w:r w:rsidRPr="0067741F">
              <w:rPr>
                <w:sz w:val="20"/>
                <w:lang w:val="fr-CA"/>
              </w:rPr>
              <w:t>28 septembre 2017</w:t>
            </w:r>
          </w:p>
          <w:p w:rsidR="00D97F7E" w:rsidRPr="0067741F" w:rsidRDefault="00D97F7E" w:rsidP="00D97F7E">
            <w:pPr>
              <w:jc w:val="both"/>
              <w:rPr>
                <w:sz w:val="20"/>
                <w:lang w:val="fr-CA"/>
              </w:rPr>
            </w:pPr>
            <w:r w:rsidRPr="0067741F">
              <w:rPr>
                <w:sz w:val="20"/>
                <w:lang w:val="fr-CA"/>
              </w:rPr>
              <w:t>Cour d’appel de l’Ontario</w:t>
            </w:r>
          </w:p>
          <w:p w:rsidR="00D97F7E" w:rsidRPr="0067741F" w:rsidRDefault="00D97F7E" w:rsidP="00D97F7E">
            <w:pPr>
              <w:jc w:val="both"/>
              <w:rPr>
                <w:sz w:val="20"/>
                <w:lang w:val="fr-CA"/>
              </w:rPr>
            </w:pPr>
            <w:r w:rsidRPr="0067741F">
              <w:rPr>
                <w:sz w:val="20"/>
                <w:lang w:val="fr-CA"/>
              </w:rPr>
              <w:t>(Juges Cronk, Juriansz et Paciocco)</w:t>
            </w:r>
          </w:p>
          <w:p w:rsidR="00D97F7E" w:rsidRPr="0067741F" w:rsidRDefault="00FE4582" w:rsidP="00D97F7E">
            <w:pPr>
              <w:jc w:val="both"/>
              <w:rPr>
                <w:sz w:val="20"/>
                <w:lang w:val="fr-CA"/>
              </w:rPr>
            </w:pPr>
            <w:hyperlink r:id="rId30" w:history="1">
              <w:r w:rsidR="00D97F7E" w:rsidRPr="0067741F">
                <w:rPr>
                  <w:rStyle w:val="Hyperlink"/>
                  <w:sz w:val="20"/>
                  <w:lang w:val="fr-CA"/>
                </w:rPr>
                <w:t>2017 ONCA 762</w:t>
              </w:r>
            </w:hyperlink>
          </w:p>
          <w:p w:rsidR="00D97F7E" w:rsidRPr="0067741F" w:rsidRDefault="00D97F7E" w:rsidP="00D97F7E">
            <w:pPr>
              <w:jc w:val="both"/>
              <w:rPr>
                <w:sz w:val="20"/>
                <w:lang w:val="fr-CA"/>
              </w:rPr>
            </w:pPr>
          </w:p>
        </w:tc>
        <w:tc>
          <w:tcPr>
            <w:tcW w:w="243" w:type="pct"/>
          </w:tcPr>
          <w:p w:rsidR="00D97F7E" w:rsidRPr="0067741F" w:rsidRDefault="00D97F7E" w:rsidP="00D97F7E">
            <w:pPr>
              <w:jc w:val="both"/>
              <w:rPr>
                <w:sz w:val="20"/>
                <w:lang w:val="fr-CA"/>
              </w:rPr>
            </w:pPr>
          </w:p>
        </w:tc>
        <w:tc>
          <w:tcPr>
            <w:tcW w:w="2330" w:type="pct"/>
          </w:tcPr>
          <w:p w:rsidR="00D97F7E" w:rsidRPr="0067741F" w:rsidRDefault="00D97F7E" w:rsidP="00D97F7E">
            <w:pPr>
              <w:jc w:val="both"/>
              <w:rPr>
                <w:sz w:val="20"/>
                <w:lang w:val="fr-CA"/>
              </w:rPr>
            </w:pPr>
            <w:r w:rsidRPr="0067741F">
              <w:rPr>
                <w:sz w:val="20"/>
                <w:lang w:val="fr-CA"/>
              </w:rPr>
              <w:t xml:space="preserve">Rejet de la demande d’autorisation d’interjeter appel </w:t>
            </w:r>
          </w:p>
        </w:tc>
      </w:tr>
      <w:tr w:rsidR="00D97F7E" w:rsidRPr="00C15495" w:rsidTr="00D97F7E">
        <w:tc>
          <w:tcPr>
            <w:tcW w:w="2427" w:type="pct"/>
            <w:gridSpan w:val="2"/>
          </w:tcPr>
          <w:p w:rsidR="00D97F7E" w:rsidRPr="0067741F" w:rsidRDefault="00D97F7E" w:rsidP="00D97F7E">
            <w:pPr>
              <w:jc w:val="both"/>
              <w:rPr>
                <w:sz w:val="20"/>
                <w:lang w:val="fr-CA"/>
              </w:rPr>
            </w:pPr>
            <w:r w:rsidRPr="0067741F">
              <w:rPr>
                <w:sz w:val="20"/>
                <w:lang w:val="fr-CA"/>
              </w:rPr>
              <w:t>1</w:t>
            </w:r>
            <w:r w:rsidRPr="0067741F">
              <w:rPr>
                <w:sz w:val="20"/>
                <w:vertAlign w:val="superscript"/>
                <w:lang w:val="fr-CA"/>
              </w:rPr>
              <w:t>er</w:t>
            </w:r>
            <w:r w:rsidRPr="0067741F">
              <w:rPr>
                <w:sz w:val="20"/>
                <w:lang w:val="fr-CA"/>
              </w:rPr>
              <w:t xml:space="preserve"> décembre 2017</w:t>
            </w:r>
          </w:p>
          <w:p w:rsidR="00D97F7E" w:rsidRPr="0067741F" w:rsidRDefault="00D97F7E" w:rsidP="00D97F7E">
            <w:pPr>
              <w:jc w:val="both"/>
              <w:rPr>
                <w:sz w:val="20"/>
                <w:lang w:val="fr-CA"/>
              </w:rPr>
            </w:pPr>
            <w:r w:rsidRPr="0067741F">
              <w:rPr>
                <w:sz w:val="20"/>
                <w:lang w:val="fr-CA"/>
              </w:rPr>
              <w:t>Cour suprême du Canada</w:t>
            </w:r>
          </w:p>
        </w:tc>
        <w:tc>
          <w:tcPr>
            <w:tcW w:w="243" w:type="pct"/>
          </w:tcPr>
          <w:p w:rsidR="00D97F7E" w:rsidRPr="0067741F" w:rsidRDefault="00D97F7E" w:rsidP="00D97F7E">
            <w:pPr>
              <w:jc w:val="both"/>
              <w:rPr>
                <w:sz w:val="20"/>
                <w:lang w:val="fr-CA"/>
              </w:rPr>
            </w:pPr>
          </w:p>
        </w:tc>
        <w:tc>
          <w:tcPr>
            <w:tcW w:w="2330" w:type="pct"/>
          </w:tcPr>
          <w:p w:rsidR="00D97F7E" w:rsidRPr="0067741F" w:rsidRDefault="00D97F7E" w:rsidP="00D97F7E">
            <w:pPr>
              <w:jc w:val="both"/>
              <w:rPr>
                <w:sz w:val="20"/>
                <w:lang w:val="fr-CA"/>
              </w:rPr>
            </w:pPr>
            <w:r w:rsidRPr="0067741F">
              <w:rPr>
                <w:sz w:val="20"/>
                <w:lang w:val="fr-CA"/>
              </w:rPr>
              <w:t>Dépôt de la requête en prorogation du délai de signification et de dépôt de la demande d’autorisation d’appel et de la demande d’autorisation d’appel</w:t>
            </w:r>
          </w:p>
        </w:tc>
      </w:tr>
    </w:tbl>
    <w:p w:rsidR="00D97F7E" w:rsidRPr="0067741F" w:rsidRDefault="00D97F7E" w:rsidP="00D97F7E">
      <w:pPr>
        <w:jc w:val="both"/>
        <w:rPr>
          <w:sz w:val="20"/>
          <w:lang w:val="fr-CA"/>
        </w:rPr>
      </w:pPr>
    </w:p>
    <w:p w:rsidR="00D97F7E" w:rsidRPr="0067741F" w:rsidRDefault="00D97F7E" w:rsidP="00D97F7E">
      <w:pPr>
        <w:jc w:val="both"/>
        <w:rPr>
          <w:sz w:val="20"/>
          <w:lang w:val="fr-CA"/>
        </w:rPr>
      </w:pPr>
    </w:p>
    <w:p w:rsidR="00D97F7E" w:rsidRPr="00C040D9" w:rsidRDefault="00D97F7E">
      <w:pPr>
        <w:rPr>
          <w:lang w:val="fr-CA"/>
        </w:rPr>
      </w:pPr>
      <w:r w:rsidRPr="00C040D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D97F7E" w:rsidRPr="0067741F" w:rsidTr="00D97F7E">
        <w:tc>
          <w:tcPr>
            <w:tcW w:w="543" w:type="pct"/>
          </w:tcPr>
          <w:p w:rsidR="00D97F7E" w:rsidRPr="0067741F" w:rsidRDefault="00D97F7E" w:rsidP="00D97F7E">
            <w:pPr>
              <w:jc w:val="both"/>
              <w:rPr>
                <w:sz w:val="20"/>
              </w:rPr>
            </w:pPr>
            <w:r w:rsidRPr="0067741F">
              <w:rPr>
                <w:rStyle w:val="SCCFileNumberChar"/>
                <w:sz w:val="20"/>
                <w:szCs w:val="20"/>
              </w:rPr>
              <w:lastRenderedPageBreak/>
              <w:t>37910</w:t>
            </w:r>
          </w:p>
        </w:tc>
        <w:tc>
          <w:tcPr>
            <w:tcW w:w="4457" w:type="pct"/>
            <w:gridSpan w:val="3"/>
          </w:tcPr>
          <w:p w:rsidR="00D97F7E" w:rsidRPr="0067741F" w:rsidRDefault="00D97F7E" w:rsidP="00D97F7E">
            <w:pPr>
              <w:pStyle w:val="SCCLsocParty"/>
              <w:jc w:val="both"/>
              <w:rPr>
                <w:b/>
                <w:sz w:val="20"/>
                <w:szCs w:val="20"/>
                <w:lang w:val="en-US"/>
              </w:rPr>
            </w:pPr>
            <w:r w:rsidRPr="0067741F">
              <w:rPr>
                <w:b/>
                <w:sz w:val="20"/>
                <w:szCs w:val="20"/>
                <w:lang w:val="en-US"/>
              </w:rPr>
              <w:t>Katherine Lin v. Toronto Police Services Board, Information and Privacy Commissioner Ontario, City of Toronto, Sophia Arvanitis Equity &amp; Human Rights City of Toronto, Uzma Shakir Dawinne Nichol, Victim Service Toronto, Bobbie McMurrich, Employment Centre and Social Services of Toronto, OIPRD Office of Independent Police Review Director, Minister Public Safety and Correction Service Ontario, Ennia Luccon, Royal College of Dental Surgeons of Ontario, Robert Bruce Lampard, Toronto Western Hospital, College Physicians and Surgeons of Ontario, On Care Pharmacy, Xiao Yan Xiao</w:t>
            </w:r>
          </w:p>
          <w:p w:rsidR="00D97F7E" w:rsidRPr="0067741F" w:rsidRDefault="00D97F7E" w:rsidP="00D97F7E">
            <w:pPr>
              <w:jc w:val="both"/>
              <w:rPr>
                <w:sz w:val="20"/>
              </w:rPr>
            </w:pPr>
            <w:r w:rsidRPr="0067741F">
              <w:rPr>
                <w:sz w:val="20"/>
              </w:rPr>
              <w:t>(Ont.) (Civil) (By Leave)</w:t>
            </w:r>
          </w:p>
        </w:tc>
      </w:tr>
      <w:tr w:rsidR="00D97F7E" w:rsidRPr="0067741F" w:rsidTr="00D97F7E">
        <w:tc>
          <w:tcPr>
            <w:tcW w:w="5000" w:type="pct"/>
            <w:gridSpan w:val="4"/>
          </w:tcPr>
          <w:p w:rsidR="00D97F7E" w:rsidRPr="003E364B" w:rsidRDefault="00B97BC8" w:rsidP="003E364B">
            <w:pPr>
              <w:jc w:val="both"/>
              <w:rPr>
                <w:sz w:val="20"/>
                <w:lang w:val="en-US"/>
              </w:rPr>
            </w:pPr>
            <w:r w:rsidRPr="00B97BC8">
              <w:rPr>
                <w:sz w:val="20"/>
              </w:rPr>
              <w:t xml:space="preserve">The application for leave to appeal from the  order of the Court of Appeal for Ontario, Number C64294, dated November 16, 2017, is dismissed for want of jurisdiction, with costs to </w:t>
            </w:r>
            <w:r w:rsidRPr="00B97BC8">
              <w:rPr>
                <w:sz w:val="20"/>
                <w:lang w:val="en-US"/>
              </w:rPr>
              <w:t>the Toronto Police Services Board</w:t>
            </w:r>
            <w:r w:rsidRPr="00B97BC8">
              <w:rPr>
                <w:sz w:val="20"/>
              </w:rPr>
              <w:t xml:space="preserve">, the </w:t>
            </w:r>
            <w:r w:rsidRPr="00B97BC8">
              <w:rPr>
                <w:sz w:val="20"/>
                <w:lang w:val="en-US"/>
              </w:rPr>
              <w:t>City of Toronto</w:t>
            </w:r>
            <w:r w:rsidRPr="00B97BC8">
              <w:rPr>
                <w:sz w:val="20"/>
              </w:rPr>
              <w:t xml:space="preserve">, </w:t>
            </w:r>
            <w:r w:rsidRPr="00B97BC8">
              <w:rPr>
                <w:rFonts w:eastAsiaTheme="minorEastAsia" w:cs="Times New Roman"/>
                <w:sz w:val="20"/>
                <w:szCs w:val="24"/>
                <w:lang w:val="en-US" w:eastAsia="en-CA"/>
              </w:rPr>
              <w:t>Sophia Arvanitis Equity &amp; Human Rights City of Toronto, Uzma Shakir Dawinne Nichol</w:t>
            </w:r>
            <w:r w:rsidRPr="00B97BC8">
              <w:rPr>
                <w:sz w:val="20"/>
              </w:rPr>
              <w:t xml:space="preserve">, </w:t>
            </w:r>
            <w:r w:rsidRPr="00B97BC8">
              <w:rPr>
                <w:sz w:val="20"/>
                <w:lang w:val="en-US"/>
              </w:rPr>
              <w:t xml:space="preserve">Victim Services Toronto, </w:t>
            </w:r>
            <w:r w:rsidRPr="00B97BC8">
              <w:rPr>
                <w:sz w:val="20"/>
              </w:rPr>
              <w:t xml:space="preserve">Bobbie McMurrich, the </w:t>
            </w:r>
            <w:r w:rsidRPr="00B97BC8">
              <w:rPr>
                <w:rFonts w:eastAsiaTheme="minorEastAsia" w:cs="Times New Roman"/>
                <w:sz w:val="20"/>
                <w:szCs w:val="24"/>
                <w:lang w:val="en-US" w:eastAsia="en-CA"/>
              </w:rPr>
              <w:t>Employment Centre and Social Services of Toronto,</w:t>
            </w:r>
            <w:r w:rsidRPr="00B97BC8">
              <w:rPr>
                <w:sz w:val="20"/>
                <w:lang w:val="en-US"/>
              </w:rPr>
              <w:t xml:space="preserve"> </w:t>
            </w:r>
            <w:r w:rsidRPr="00B97BC8">
              <w:rPr>
                <w:sz w:val="20"/>
              </w:rPr>
              <w:t xml:space="preserve">the </w:t>
            </w:r>
            <w:r w:rsidRPr="00B97BC8">
              <w:rPr>
                <w:sz w:val="20"/>
                <w:lang w:val="en-US"/>
              </w:rPr>
              <w:t xml:space="preserve">Royal College of Dental Surgeons of Ontario, Robert Bruce Lampard, Ennia Luccon, the Toronto Western Hospital, the College of Physicians and Surgeons of Ontario, </w:t>
            </w:r>
            <w:r w:rsidRPr="00B97BC8">
              <w:rPr>
                <w:rFonts w:eastAsiaTheme="minorEastAsia" w:cs="Times New Roman"/>
                <w:sz w:val="20"/>
                <w:szCs w:val="24"/>
                <w:lang w:val="en-US" w:eastAsia="en-CA"/>
              </w:rPr>
              <w:t>On Care Pharmacy and</w:t>
            </w:r>
            <w:r w:rsidRPr="00B97BC8">
              <w:rPr>
                <w:sz w:val="20"/>
                <w:lang w:val="en-US"/>
              </w:rPr>
              <w:t xml:space="preserve"> Xiao Yan Xiao. </w:t>
            </w:r>
          </w:p>
        </w:tc>
      </w:tr>
      <w:tr w:rsidR="00D97F7E" w:rsidRPr="0067741F" w:rsidTr="00D97F7E">
        <w:tc>
          <w:tcPr>
            <w:tcW w:w="5000" w:type="pct"/>
            <w:gridSpan w:val="4"/>
          </w:tcPr>
          <w:p w:rsidR="00D97F7E" w:rsidRPr="0067741F" w:rsidRDefault="00D97F7E" w:rsidP="00D97F7E">
            <w:pPr>
              <w:jc w:val="both"/>
              <w:rPr>
                <w:sz w:val="20"/>
              </w:rPr>
            </w:pPr>
            <w:r w:rsidRPr="0067741F">
              <w:rPr>
                <w:sz w:val="20"/>
              </w:rPr>
              <w:t xml:space="preserve">Civil procedure – Whether the applicant has been harassed – Whether the respondents have failed defenses – Whether the case raised questions of human rights and </w:t>
            </w:r>
            <w:r w:rsidRPr="0067741F">
              <w:rPr>
                <w:i/>
                <w:sz w:val="20"/>
              </w:rPr>
              <w:t>Canadian Charter of Rights and Freedoms</w:t>
            </w:r>
            <w:r w:rsidRPr="0067741F">
              <w:rPr>
                <w:sz w:val="20"/>
              </w:rPr>
              <w:t xml:space="preserve"> – Whether the case raises issues of public importance.  </w:t>
            </w:r>
          </w:p>
        </w:tc>
      </w:tr>
      <w:tr w:rsidR="00D97F7E" w:rsidRPr="0067741F" w:rsidTr="00D97F7E">
        <w:tc>
          <w:tcPr>
            <w:tcW w:w="5000" w:type="pct"/>
            <w:gridSpan w:val="4"/>
          </w:tcPr>
          <w:p w:rsidR="00D97F7E" w:rsidRPr="0067741F" w:rsidRDefault="00D97F7E" w:rsidP="00D97F7E">
            <w:pPr>
              <w:jc w:val="both"/>
              <w:rPr>
                <w:sz w:val="20"/>
              </w:rPr>
            </w:pPr>
          </w:p>
        </w:tc>
      </w:tr>
      <w:tr w:rsidR="00D97F7E" w:rsidRPr="0067741F" w:rsidTr="00D97F7E">
        <w:tc>
          <w:tcPr>
            <w:tcW w:w="5000" w:type="pct"/>
            <w:gridSpan w:val="4"/>
          </w:tcPr>
          <w:p w:rsidR="00D97F7E" w:rsidRPr="0067741F" w:rsidRDefault="00D97F7E" w:rsidP="00D97F7E">
            <w:pPr>
              <w:jc w:val="both"/>
              <w:rPr>
                <w:sz w:val="20"/>
                <w:lang w:val="en"/>
              </w:rPr>
            </w:pPr>
            <w:r w:rsidRPr="0067741F">
              <w:rPr>
                <w:sz w:val="20"/>
              </w:rPr>
              <w:t xml:space="preserve">Ms. Lin commenced an action in the Ontario Superior Court of Justice against the various named defendants. Most defendants jointly requested a dismissal of the action as frivolous and vexatious pursuant to rule 2.1.01 of the </w:t>
            </w:r>
            <w:r w:rsidRPr="0067741F">
              <w:rPr>
                <w:i/>
                <w:sz w:val="20"/>
              </w:rPr>
              <w:t>Ontario Rules of Civil Procedure</w:t>
            </w:r>
            <w:r w:rsidRPr="0067741F">
              <w:rPr>
                <w:sz w:val="20"/>
              </w:rPr>
              <w:t xml:space="preserve">, </w:t>
            </w:r>
            <w:r w:rsidRPr="0067741F">
              <w:rPr>
                <w:sz w:val="20"/>
                <w:lang w:val="en"/>
              </w:rPr>
              <w:t>R.R.O. 1990, Reg. 194.</w:t>
            </w:r>
          </w:p>
        </w:tc>
      </w:tr>
      <w:tr w:rsidR="00D97F7E" w:rsidRPr="0067741F" w:rsidTr="00D97F7E">
        <w:tc>
          <w:tcPr>
            <w:tcW w:w="5000" w:type="pct"/>
            <w:gridSpan w:val="4"/>
          </w:tcPr>
          <w:p w:rsidR="00D97F7E" w:rsidRPr="0067741F" w:rsidRDefault="00D97F7E" w:rsidP="00D97F7E">
            <w:pPr>
              <w:jc w:val="both"/>
              <w:rPr>
                <w:sz w:val="20"/>
              </w:rPr>
            </w:pPr>
          </w:p>
        </w:tc>
      </w:tr>
      <w:tr w:rsidR="00D97F7E" w:rsidRPr="0067741F" w:rsidTr="00D97F7E">
        <w:tblPrEx>
          <w:tblCellMar>
            <w:bottom w:w="0" w:type="dxa"/>
          </w:tblCellMar>
        </w:tblPrEx>
        <w:tc>
          <w:tcPr>
            <w:tcW w:w="2390" w:type="pct"/>
            <w:gridSpan w:val="2"/>
          </w:tcPr>
          <w:p w:rsidR="00D97F7E" w:rsidRPr="0067741F" w:rsidRDefault="00D97F7E" w:rsidP="00D97F7E">
            <w:pPr>
              <w:jc w:val="both"/>
              <w:rPr>
                <w:sz w:val="20"/>
              </w:rPr>
            </w:pPr>
            <w:r w:rsidRPr="0067741F">
              <w:rPr>
                <w:sz w:val="20"/>
              </w:rPr>
              <w:t>August 15, 2017</w:t>
            </w:r>
          </w:p>
          <w:p w:rsidR="00D97F7E" w:rsidRPr="0067741F" w:rsidRDefault="00D97F7E" w:rsidP="00D97F7E">
            <w:pPr>
              <w:jc w:val="both"/>
              <w:rPr>
                <w:sz w:val="20"/>
              </w:rPr>
            </w:pPr>
            <w:r w:rsidRPr="0067741F">
              <w:rPr>
                <w:sz w:val="20"/>
              </w:rPr>
              <w:t>Ontario Superior Court of Justice</w:t>
            </w:r>
          </w:p>
          <w:p w:rsidR="00D97F7E" w:rsidRPr="0067741F" w:rsidRDefault="00D97F7E" w:rsidP="00D97F7E">
            <w:pPr>
              <w:jc w:val="both"/>
              <w:rPr>
                <w:sz w:val="20"/>
              </w:rPr>
            </w:pPr>
            <w:r w:rsidRPr="0067741F">
              <w:rPr>
                <w:sz w:val="20"/>
              </w:rPr>
              <w:t>(Chiapetta J.)</w:t>
            </w:r>
          </w:p>
          <w:p w:rsidR="00D97F7E" w:rsidRPr="0067741F" w:rsidRDefault="00D97F7E" w:rsidP="00D97F7E">
            <w:pPr>
              <w:jc w:val="both"/>
              <w:rPr>
                <w:sz w:val="20"/>
              </w:rPr>
            </w:pPr>
            <w:r w:rsidRPr="0067741F">
              <w:rPr>
                <w:sz w:val="20"/>
              </w:rPr>
              <w:t>2017 ONSC 4895 (unreported)</w:t>
            </w:r>
          </w:p>
          <w:p w:rsidR="00D97F7E" w:rsidRPr="0067741F" w:rsidRDefault="00D97F7E" w:rsidP="00D97F7E">
            <w:pPr>
              <w:jc w:val="both"/>
              <w:rPr>
                <w:sz w:val="20"/>
              </w:rPr>
            </w:pPr>
          </w:p>
        </w:tc>
        <w:tc>
          <w:tcPr>
            <w:tcW w:w="270" w:type="pct"/>
          </w:tcPr>
          <w:p w:rsidR="00D97F7E" w:rsidRPr="0067741F" w:rsidRDefault="00D97F7E" w:rsidP="00D97F7E">
            <w:pPr>
              <w:jc w:val="both"/>
              <w:rPr>
                <w:sz w:val="20"/>
              </w:rPr>
            </w:pPr>
          </w:p>
        </w:tc>
        <w:tc>
          <w:tcPr>
            <w:tcW w:w="2340" w:type="pct"/>
          </w:tcPr>
          <w:p w:rsidR="00D97F7E" w:rsidRPr="0067741F" w:rsidRDefault="00D97F7E" w:rsidP="00D97F7E">
            <w:pPr>
              <w:jc w:val="both"/>
              <w:rPr>
                <w:sz w:val="20"/>
              </w:rPr>
            </w:pPr>
            <w:r w:rsidRPr="0067741F">
              <w:rPr>
                <w:sz w:val="20"/>
              </w:rPr>
              <w:t xml:space="preserve">Order staying action and directing registrar to give notice to applicant that court is considering order dismissing action as frivolous, vexatious and abuse of process </w:t>
            </w:r>
          </w:p>
        </w:tc>
      </w:tr>
      <w:tr w:rsidR="00D97F7E" w:rsidRPr="0067741F" w:rsidTr="00D97F7E">
        <w:tblPrEx>
          <w:tblCellMar>
            <w:bottom w:w="0" w:type="dxa"/>
          </w:tblCellMar>
        </w:tblPrEx>
        <w:tc>
          <w:tcPr>
            <w:tcW w:w="2390" w:type="pct"/>
            <w:gridSpan w:val="2"/>
          </w:tcPr>
          <w:p w:rsidR="00D97F7E" w:rsidRPr="0067741F" w:rsidRDefault="00D97F7E" w:rsidP="00D97F7E">
            <w:pPr>
              <w:jc w:val="both"/>
              <w:rPr>
                <w:sz w:val="20"/>
              </w:rPr>
            </w:pPr>
            <w:r w:rsidRPr="0067741F">
              <w:rPr>
                <w:sz w:val="20"/>
              </w:rPr>
              <w:t>August 25, 2017</w:t>
            </w:r>
          </w:p>
          <w:p w:rsidR="00D97F7E" w:rsidRPr="0067741F" w:rsidRDefault="00D97F7E" w:rsidP="00D97F7E">
            <w:pPr>
              <w:jc w:val="both"/>
              <w:rPr>
                <w:sz w:val="20"/>
              </w:rPr>
            </w:pPr>
            <w:r w:rsidRPr="0067741F">
              <w:rPr>
                <w:sz w:val="20"/>
              </w:rPr>
              <w:t>Ontario Superior Court of Justice</w:t>
            </w:r>
          </w:p>
          <w:p w:rsidR="00D97F7E" w:rsidRPr="0067741F" w:rsidRDefault="00D97F7E" w:rsidP="00D97F7E">
            <w:pPr>
              <w:jc w:val="both"/>
              <w:rPr>
                <w:sz w:val="20"/>
              </w:rPr>
            </w:pPr>
            <w:r w:rsidRPr="0067741F">
              <w:rPr>
                <w:sz w:val="20"/>
              </w:rPr>
              <w:t>(Chiapetta J.)</w:t>
            </w:r>
          </w:p>
          <w:p w:rsidR="00D97F7E" w:rsidRPr="0067741F" w:rsidRDefault="00D97F7E" w:rsidP="00D97F7E">
            <w:pPr>
              <w:jc w:val="both"/>
              <w:rPr>
                <w:sz w:val="20"/>
              </w:rPr>
            </w:pPr>
            <w:r w:rsidRPr="0067741F">
              <w:rPr>
                <w:sz w:val="20"/>
              </w:rPr>
              <w:t>2017 ONSC 4895 (unreported)</w:t>
            </w:r>
          </w:p>
          <w:p w:rsidR="00D97F7E" w:rsidRPr="0067741F" w:rsidRDefault="00D97F7E" w:rsidP="00D97F7E">
            <w:pPr>
              <w:jc w:val="both"/>
              <w:rPr>
                <w:sz w:val="20"/>
              </w:rPr>
            </w:pPr>
          </w:p>
        </w:tc>
        <w:tc>
          <w:tcPr>
            <w:tcW w:w="270" w:type="pct"/>
          </w:tcPr>
          <w:p w:rsidR="00D97F7E" w:rsidRPr="0067741F" w:rsidRDefault="00D97F7E" w:rsidP="00D97F7E">
            <w:pPr>
              <w:jc w:val="both"/>
              <w:rPr>
                <w:sz w:val="20"/>
              </w:rPr>
            </w:pPr>
          </w:p>
        </w:tc>
        <w:tc>
          <w:tcPr>
            <w:tcW w:w="2340" w:type="pct"/>
          </w:tcPr>
          <w:p w:rsidR="00D97F7E" w:rsidRPr="0067741F" w:rsidRDefault="00D97F7E" w:rsidP="00D97F7E">
            <w:pPr>
              <w:jc w:val="both"/>
              <w:rPr>
                <w:sz w:val="20"/>
              </w:rPr>
            </w:pPr>
            <w:r w:rsidRPr="0067741F">
              <w:rPr>
                <w:sz w:val="20"/>
              </w:rPr>
              <w:t xml:space="preserve">Action dismissed as frivolous, vexatious and abuse of process </w:t>
            </w:r>
          </w:p>
          <w:p w:rsidR="00D97F7E" w:rsidRPr="0067741F" w:rsidRDefault="00D97F7E" w:rsidP="00D97F7E">
            <w:pPr>
              <w:jc w:val="both"/>
              <w:rPr>
                <w:sz w:val="20"/>
              </w:rPr>
            </w:pPr>
          </w:p>
        </w:tc>
      </w:tr>
      <w:tr w:rsidR="00D97F7E" w:rsidRPr="0067741F" w:rsidTr="00D97F7E">
        <w:tblPrEx>
          <w:tblCellMar>
            <w:bottom w:w="0" w:type="dxa"/>
          </w:tblCellMar>
        </w:tblPrEx>
        <w:tc>
          <w:tcPr>
            <w:tcW w:w="2390" w:type="pct"/>
            <w:gridSpan w:val="2"/>
          </w:tcPr>
          <w:p w:rsidR="00D97F7E" w:rsidRPr="0067741F" w:rsidRDefault="00D97F7E" w:rsidP="00D97F7E">
            <w:pPr>
              <w:jc w:val="both"/>
              <w:rPr>
                <w:sz w:val="20"/>
              </w:rPr>
            </w:pPr>
            <w:r w:rsidRPr="0067741F">
              <w:rPr>
                <w:sz w:val="20"/>
              </w:rPr>
              <w:t>November 16, 2017</w:t>
            </w:r>
          </w:p>
          <w:p w:rsidR="00D97F7E" w:rsidRPr="0067741F" w:rsidRDefault="00D97F7E" w:rsidP="00D97F7E">
            <w:pPr>
              <w:jc w:val="both"/>
              <w:rPr>
                <w:sz w:val="20"/>
              </w:rPr>
            </w:pPr>
            <w:r w:rsidRPr="0067741F">
              <w:rPr>
                <w:sz w:val="20"/>
              </w:rPr>
              <w:t>Court of Appeal for Ontario</w:t>
            </w:r>
          </w:p>
          <w:p w:rsidR="00D97F7E" w:rsidRPr="0067741F" w:rsidRDefault="00D97F7E" w:rsidP="00D97F7E">
            <w:pPr>
              <w:jc w:val="both"/>
              <w:rPr>
                <w:sz w:val="20"/>
              </w:rPr>
            </w:pPr>
            <w:r w:rsidRPr="0067741F">
              <w:rPr>
                <w:sz w:val="20"/>
              </w:rPr>
              <w:t>(S. Theroulde, Deputy Registrar)</w:t>
            </w:r>
          </w:p>
          <w:p w:rsidR="00D97F7E" w:rsidRPr="0067741F" w:rsidRDefault="00D97F7E" w:rsidP="00D97F7E">
            <w:pPr>
              <w:jc w:val="both"/>
              <w:rPr>
                <w:sz w:val="20"/>
              </w:rPr>
            </w:pPr>
          </w:p>
        </w:tc>
        <w:tc>
          <w:tcPr>
            <w:tcW w:w="270" w:type="pct"/>
          </w:tcPr>
          <w:p w:rsidR="00D97F7E" w:rsidRPr="0067741F" w:rsidRDefault="00D97F7E" w:rsidP="00D97F7E">
            <w:pPr>
              <w:jc w:val="both"/>
              <w:rPr>
                <w:sz w:val="20"/>
              </w:rPr>
            </w:pPr>
          </w:p>
        </w:tc>
        <w:tc>
          <w:tcPr>
            <w:tcW w:w="2340" w:type="pct"/>
          </w:tcPr>
          <w:p w:rsidR="00D97F7E" w:rsidRPr="0067741F" w:rsidRDefault="00D97F7E" w:rsidP="00D97F7E">
            <w:pPr>
              <w:jc w:val="both"/>
              <w:rPr>
                <w:sz w:val="20"/>
              </w:rPr>
            </w:pPr>
            <w:r w:rsidRPr="0067741F">
              <w:rPr>
                <w:sz w:val="20"/>
              </w:rPr>
              <w:t>Appeal dismissed for delay</w:t>
            </w:r>
          </w:p>
          <w:p w:rsidR="00D97F7E" w:rsidRPr="0067741F" w:rsidRDefault="00D97F7E" w:rsidP="00D97F7E">
            <w:pPr>
              <w:jc w:val="both"/>
              <w:rPr>
                <w:sz w:val="20"/>
              </w:rPr>
            </w:pPr>
          </w:p>
        </w:tc>
      </w:tr>
      <w:tr w:rsidR="00D97F7E" w:rsidRPr="0067741F" w:rsidTr="00D97F7E">
        <w:tblPrEx>
          <w:tblCellMar>
            <w:bottom w:w="0" w:type="dxa"/>
          </w:tblCellMar>
        </w:tblPrEx>
        <w:tc>
          <w:tcPr>
            <w:tcW w:w="2390" w:type="pct"/>
            <w:gridSpan w:val="2"/>
          </w:tcPr>
          <w:p w:rsidR="00D97F7E" w:rsidRPr="0067741F" w:rsidRDefault="00D97F7E" w:rsidP="00D97F7E">
            <w:pPr>
              <w:jc w:val="both"/>
              <w:rPr>
                <w:sz w:val="20"/>
              </w:rPr>
            </w:pPr>
            <w:r w:rsidRPr="0067741F">
              <w:rPr>
                <w:sz w:val="20"/>
              </w:rPr>
              <w:t>November 23, 2017</w:t>
            </w:r>
          </w:p>
          <w:p w:rsidR="00D97F7E" w:rsidRPr="0067741F" w:rsidRDefault="00D97F7E" w:rsidP="00D97F7E">
            <w:pPr>
              <w:jc w:val="both"/>
              <w:rPr>
                <w:sz w:val="20"/>
              </w:rPr>
            </w:pPr>
            <w:r w:rsidRPr="0067741F">
              <w:rPr>
                <w:sz w:val="20"/>
              </w:rPr>
              <w:t>Supreme Court of Canada</w:t>
            </w:r>
          </w:p>
        </w:tc>
        <w:tc>
          <w:tcPr>
            <w:tcW w:w="270" w:type="pct"/>
          </w:tcPr>
          <w:p w:rsidR="00D97F7E" w:rsidRPr="0067741F" w:rsidRDefault="00D97F7E" w:rsidP="00D97F7E">
            <w:pPr>
              <w:jc w:val="both"/>
              <w:rPr>
                <w:sz w:val="20"/>
              </w:rPr>
            </w:pPr>
          </w:p>
        </w:tc>
        <w:tc>
          <w:tcPr>
            <w:tcW w:w="2340" w:type="pct"/>
          </w:tcPr>
          <w:p w:rsidR="00D97F7E" w:rsidRPr="0067741F" w:rsidRDefault="00D97F7E" w:rsidP="00D97F7E">
            <w:pPr>
              <w:jc w:val="both"/>
              <w:rPr>
                <w:sz w:val="20"/>
              </w:rPr>
            </w:pPr>
            <w:r w:rsidRPr="0067741F">
              <w:rPr>
                <w:sz w:val="20"/>
              </w:rPr>
              <w:t>Application for leave to appeal filed</w:t>
            </w:r>
          </w:p>
          <w:p w:rsidR="00D97F7E" w:rsidRPr="0067741F" w:rsidRDefault="00D97F7E" w:rsidP="00D97F7E">
            <w:pPr>
              <w:jc w:val="both"/>
              <w:rPr>
                <w:sz w:val="20"/>
              </w:rPr>
            </w:pPr>
          </w:p>
        </w:tc>
      </w:tr>
    </w:tbl>
    <w:p w:rsidR="00D97F7E" w:rsidRPr="0067741F" w:rsidRDefault="00D97F7E" w:rsidP="00D97F7E">
      <w:pPr>
        <w:jc w:val="both"/>
        <w:rPr>
          <w:sz w:val="20"/>
        </w:rPr>
      </w:pPr>
    </w:p>
    <w:p w:rsidR="00D97F7E" w:rsidRPr="0067741F" w:rsidRDefault="00D97F7E" w:rsidP="00D97F7E">
      <w:pPr>
        <w:jc w:val="both"/>
        <w:rPr>
          <w:sz w:val="20"/>
        </w:rPr>
      </w:pPr>
    </w:p>
    <w:p w:rsidR="00D97F7E" w:rsidRDefault="00D97F7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tblGrid>
      <w:tr w:rsidR="00D97F7E" w:rsidRPr="0067741F" w:rsidTr="00D97F7E">
        <w:tc>
          <w:tcPr>
            <w:tcW w:w="543" w:type="pct"/>
          </w:tcPr>
          <w:p w:rsidR="00D97F7E" w:rsidRPr="0067741F" w:rsidRDefault="00D97F7E" w:rsidP="00D97F7E">
            <w:pPr>
              <w:jc w:val="both"/>
              <w:rPr>
                <w:sz w:val="20"/>
                <w:lang w:val="fr-CA"/>
              </w:rPr>
            </w:pPr>
            <w:r w:rsidRPr="0067741F">
              <w:rPr>
                <w:rStyle w:val="SCCFileNumberChar"/>
                <w:sz w:val="20"/>
                <w:szCs w:val="20"/>
                <w:lang w:val="fr-CA"/>
              </w:rPr>
              <w:lastRenderedPageBreak/>
              <w:t>37910</w:t>
            </w:r>
          </w:p>
        </w:tc>
        <w:tc>
          <w:tcPr>
            <w:tcW w:w="4457" w:type="pct"/>
            <w:gridSpan w:val="3"/>
          </w:tcPr>
          <w:p w:rsidR="00D97F7E" w:rsidRPr="0067741F" w:rsidRDefault="00D97F7E" w:rsidP="00D97F7E">
            <w:pPr>
              <w:pStyle w:val="SCCLsocParty"/>
              <w:jc w:val="both"/>
              <w:rPr>
                <w:b/>
                <w:sz w:val="20"/>
                <w:szCs w:val="20"/>
              </w:rPr>
            </w:pPr>
            <w:r w:rsidRPr="0067741F">
              <w:rPr>
                <w:b/>
                <w:sz w:val="20"/>
                <w:szCs w:val="20"/>
              </w:rPr>
              <w:t>Katherine Lin c. Commission des services policiers de Toronto, commissaire à l’information et à la protection de la vie privée/Ontario, Cité de Toronto, Sophia Arvanitis Equity &amp; Human Rights City of Toronto, Uzma Shakir Dawinne Nichol, Victim Service Toronto, Bobbie McMurrich, Employment Centre and Social Services of Toronto, Bureau du directeur indépendant de l’examen de la police (BDIEP), ministre de la Sécurité publique et des Services correctionnels de l’Ontario, Ennia Luccon, Royal College of Dental Surgeons of Ontario, Robert Bruce Lampard, Toronto Western Hospital, Ordre des médecins et chirurgiens de l’Ontario, On Care Pharmacy, Xiao Yan Xiao</w:t>
            </w:r>
          </w:p>
          <w:p w:rsidR="00D97F7E" w:rsidRPr="0067741F" w:rsidRDefault="00D97F7E" w:rsidP="00D97F7E">
            <w:pPr>
              <w:jc w:val="both"/>
              <w:rPr>
                <w:sz w:val="20"/>
                <w:lang w:val="fr-CA"/>
              </w:rPr>
            </w:pPr>
            <w:r w:rsidRPr="0067741F">
              <w:rPr>
                <w:sz w:val="20"/>
                <w:lang w:val="fr-CA"/>
              </w:rPr>
              <w:t>(Ont.) (Civile) (Autorisation)</w:t>
            </w:r>
          </w:p>
        </w:tc>
      </w:tr>
      <w:tr w:rsidR="00D97F7E" w:rsidRPr="00C15495" w:rsidTr="00D97F7E">
        <w:tc>
          <w:tcPr>
            <w:tcW w:w="5000" w:type="pct"/>
            <w:gridSpan w:val="4"/>
          </w:tcPr>
          <w:p w:rsidR="00D97F7E" w:rsidRPr="003E364B" w:rsidRDefault="003E364B" w:rsidP="00D97F7E">
            <w:pPr>
              <w:pStyle w:val="SCCLsocParty"/>
              <w:jc w:val="both"/>
              <w:rPr>
                <w:b/>
                <w:sz w:val="20"/>
                <w:szCs w:val="20"/>
              </w:rPr>
            </w:pPr>
            <w:r w:rsidRPr="003E364B">
              <w:rPr>
                <w:sz w:val="20"/>
              </w:rPr>
              <w:t xml:space="preserve">La demande d’autorisation d’appel de l’ordonnance de la Cour d’appel de l’Ontario, numéro C64294, datée du 16 novembre 2017, est rejetée pour défaut de compétence, avec dépens en faveur des intimés, le Toronto Police Services Board, la City of Toronto, </w:t>
            </w:r>
            <w:r w:rsidRPr="003E364B">
              <w:rPr>
                <w:rFonts w:eastAsiaTheme="minorEastAsia"/>
                <w:sz w:val="20"/>
                <w:szCs w:val="24"/>
                <w:lang w:eastAsia="en-CA"/>
              </w:rPr>
              <w:t xml:space="preserve">Sophia Arvanitis Equity &amp; Human Rights City of Toronto, Uzma Shakir Dawinne Nichol, </w:t>
            </w:r>
            <w:r w:rsidRPr="003E364B">
              <w:rPr>
                <w:sz w:val="20"/>
              </w:rPr>
              <w:t xml:space="preserve">Victim Services Toronto, Bobbie McMurrich, </w:t>
            </w:r>
            <w:r w:rsidRPr="003E364B">
              <w:rPr>
                <w:rFonts w:eastAsiaTheme="minorEastAsia"/>
                <w:sz w:val="20"/>
                <w:szCs w:val="24"/>
                <w:lang w:eastAsia="en-CA"/>
              </w:rPr>
              <w:t xml:space="preserve">Employment Centre and Social Services of Toronto, Royal College of Dental Surgeons of Ontario, </w:t>
            </w:r>
            <w:r w:rsidRPr="003E364B">
              <w:rPr>
                <w:sz w:val="20"/>
              </w:rPr>
              <w:t>Robert Bruce Lampard, Ennia Luccon, le Toronto Western Hospital, l’</w:t>
            </w:r>
            <w:r w:rsidRPr="003E364B">
              <w:rPr>
                <w:rFonts w:eastAsiaTheme="minorEastAsia"/>
                <w:sz w:val="20"/>
                <w:szCs w:val="24"/>
                <w:lang w:eastAsia="en-CA"/>
              </w:rPr>
              <w:t xml:space="preserve">Ordre des médecins et chirurgiens de l’Ontario, </w:t>
            </w:r>
            <w:r w:rsidRPr="003E364B">
              <w:rPr>
                <w:sz w:val="20"/>
              </w:rPr>
              <w:t>On Care Pharmacy et Xiao Yan Xiao.</w:t>
            </w:r>
          </w:p>
        </w:tc>
      </w:tr>
      <w:tr w:rsidR="00D97F7E" w:rsidRPr="00C15495" w:rsidTr="00D97F7E">
        <w:tc>
          <w:tcPr>
            <w:tcW w:w="5000" w:type="pct"/>
            <w:gridSpan w:val="4"/>
          </w:tcPr>
          <w:p w:rsidR="00D97F7E" w:rsidRPr="0067741F" w:rsidRDefault="00D97F7E" w:rsidP="00D97F7E">
            <w:pPr>
              <w:jc w:val="both"/>
              <w:rPr>
                <w:sz w:val="20"/>
                <w:lang w:val="fr-CA"/>
              </w:rPr>
            </w:pPr>
            <w:r w:rsidRPr="0067741F">
              <w:rPr>
                <w:sz w:val="20"/>
                <w:lang w:val="fr-CA"/>
              </w:rPr>
              <w:t xml:space="preserve">Procédure civile – La demanderesse a-t-elle été harcelée? – Les défenses des intimés sont-elles vouées à l’échec? – L’affaire soulève-t-elle des questions touchant les droits de la personne et la </w:t>
            </w:r>
            <w:r w:rsidRPr="0067741F">
              <w:rPr>
                <w:i/>
                <w:sz w:val="20"/>
                <w:lang w:val="fr-CA"/>
              </w:rPr>
              <w:t>Charte canadienne des droits et libertés</w:t>
            </w:r>
            <w:r w:rsidRPr="0067741F">
              <w:rPr>
                <w:sz w:val="20"/>
                <w:lang w:val="fr-CA"/>
              </w:rPr>
              <w:t xml:space="preserve">? – L’affaire soulève-t-elle des questions d’importance pour le public?  </w:t>
            </w:r>
          </w:p>
        </w:tc>
      </w:tr>
      <w:tr w:rsidR="00D97F7E" w:rsidRPr="00C15495" w:rsidTr="00D97F7E">
        <w:tc>
          <w:tcPr>
            <w:tcW w:w="5000" w:type="pct"/>
            <w:gridSpan w:val="4"/>
          </w:tcPr>
          <w:p w:rsidR="00D97F7E" w:rsidRPr="0067741F" w:rsidRDefault="00D97F7E" w:rsidP="00D97F7E">
            <w:pPr>
              <w:jc w:val="both"/>
              <w:rPr>
                <w:sz w:val="20"/>
                <w:lang w:val="fr-CA"/>
              </w:rPr>
            </w:pPr>
          </w:p>
        </w:tc>
      </w:tr>
      <w:tr w:rsidR="00D97F7E" w:rsidRPr="0067741F" w:rsidTr="00D97F7E">
        <w:tc>
          <w:tcPr>
            <w:tcW w:w="5000" w:type="pct"/>
            <w:gridSpan w:val="4"/>
          </w:tcPr>
          <w:p w:rsidR="00D97F7E" w:rsidRPr="0067741F" w:rsidRDefault="00D97F7E" w:rsidP="00D97F7E">
            <w:pPr>
              <w:jc w:val="both"/>
              <w:rPr>
                <w:sz w:val="20"/>
                <w:lang w:val="fr-CA"/>
              </w:rPr>
            </w:pPr>
            <w:r w:rsidRPr="0067741F">
              <w:rPr>
                <w:sz w:val="20"/>
                <w:lang w:val="fr-CA"/>
              </w:rPr>
              <w:t xml:space="preserve">Madame Lin a intenté une action en Cour supérieure de justice de l’Ontario contre les divers défendeurs nommés. La plupart des défendeurs ont demandé conjointement le rejet de l’action comme étant frivole, vexatoire et un recours abusif au tribunal en application de la règle 2.1.01 des </w:t>
            </w:r>
            <w:r w:rsidRPr="0067741F">
              <w:rPr>
                <w:i/>
                <w:sz w:val="20"/>
                <w:lang w:val="fr-CA"/>
              </w:rPr>
              <w:t>Règles de procédure civile de l’Ontario</w:t>
            </w:r>
            <w:r w:rsidRPr="0067741F">
              <w:rPr>
                <w:sz w:val="20"/>
                <w:lang w:val="fr-CA"/>
              </w:rPr>
              <w:t>, R.R.O. 1990, règl. 194.</w:t>
            </w:r>
          </w:p>
        </w:tc>
      </w:tr>
      <w:tr w:rsidR="00D97F7E" w:rsidRPr="0067741F" w:rsidTr="00D97F7E">
        <w:tc>
          <w:tcPr>
            <w:tcW w:w="5000" w:type="pct"/>
            <w:gridSpan w:val="4"/>
          </w:tcPr>
          <w:p w:rsidR="00D97F7E" w:rsidRPr="0067741F" w:rsidRDefault="00D97F7E" w:rsidP="00D97F7E">
            <w:pPr>
              <w:jc w:val="both"/>
              <w:rPr>
                <w:sz w:val="20"/>
                <w:lang w:val="fr-CA"/>
              </w:rPr>
            </w:pPr>
          </w:p>
        </w:tc>
      </w:tr>
      <w:tr w:rsidR="00D97F7E" w:rsidRPr="00C15495" w:rsidTr="00D97F7E">
        <w:tblPrEx>
          <w:tblCellMar>
            <w:bottom w:w="0" w:type="dxa"/>
          </w:tblCellMar>
        </w:tblPrEx>
        <w:tc>
          <w:tcPr>
            <w:tcW w:w="2390" w:type="pct"/>
            <w:gridSpan w:val="2"/>
          </w:tcPr>
          <w:p w:rsidR="00D97F7E" w:rsidRPr="0067741F" w:rsidRDefault="00D97F7E" w:rsidP="00D97F7E">
            <w:pPr>
              <w:jc w:val="both"/>
              <w:rPr>
                <w:sz w:val="20"/>
                <w:lang w:val="fr-CA"/>
              </w:rPr>
            </w:pPr>
            <w:r w:rsidRPr="0067741F">
              <w:rPr>
                <w:sz w:val="20"/>
                <w:lang w:val="fr-CA"/>
              </w:rPr>
              <w:t>15 août 2017</w:t>
            </w:r>
          </w:p>
          <w:p w:rsidR="00D97F7E" w:rsidRPr="0067741F" w:rsidRDefault="00D97F7E" w:rsidP="00D97F7E">
            <w:pPr>
              <w:jc w:val="both"/>
              <w:rPr>
                <w:sz w:val="20"/>
                <w:lang w:val="fr-CA"/>
              </w:rPr>
            </w:pPr>
            <w:r w:rsidRPr="0067741F">
              <w:rPr>
                <w:sz w:val="20"/>
                <w:lang w:val="fr-CA"/>
              </w:rPr>
              <w:t>Cour supérieure de justice de l’Ontario</w:t>
            </w:r>
          </w:p>
          <w:p w:rsidR="00D97F7E" w:rsidRPr="0067741F" w:rsidRDefault="00D97F7E" w:rsidP="00D97F7E">
            <w:pPr>
              <w:jc w:val="both"/>
              <w:rPr>
                <w:sz w:val="20"/>
                <w:lang w:val="fr-CA"/>
              </w:rPr>
            </w:pPr>
            <w:r w:rsidRPr="0067741F">
              <w:rPr>
                <w:sz w:val="20"/>
                <w:lang w:val="fr-CA"/>
              </w:rPr>
              <w:t>(Juge Chiapetta)</w:t>
            </w:r>
          </w:p>
          <w:p w:rsidR="00D97F7E" w:rsidRPr="0067741F" w:rsidRDefault="00D97F7E" w:rsidP="00D97F7E">
            <w:pPr>
              <w:jc w:val="both"/>
              <w:rPr>
                <w:sz w:val="20"/>
                <w:lang w:val="fr-CA"/>
              </w:rPr>
            </w:pPr>
            <w:r w:rsidRPr="0067741F">
              <w:rPr>
                <w:sz w:val="20"/>
                <w:lang w:val="fr-CA"/>
              </w:rPr>
              <w:t>2017 ONSC 4895 (non publié)</w:t>
            </w:r>
          </w:p>
          <w:p w:rsidR="00D97F7E" w:rsidRPr="0067741F" w:rsidRDefault="00D97F7E" w:rsidP="00D97F7E">
            <w:pPr>
              <w:jc w:val="both"/>
              <w:rPr>
                <w:sz w:val="20"/>
                <w:lang w:val="fr-CA"/>
              </w:rPr>
            </w:pPr>
          </w:p>
        </w:tc>
        <w:tc>
          <w:tcPr>
            <w:tcW w:w="270" w:type="pct"/>
          </w:tcPr>
          <w:p w:rsidR="00D97F7E" w:rsidRPr="0067741F" w:rsidRDefault="00D97F7E" w:rsidP="00D97F7E">
            <w:pPr>
              <w:jc w:val="both"/>
              <w:rPr>
                <w:sz w:val="20"/>
                <w:lang w:val="fr-CA"/>
              </w:rPr>
            </w:pPr>
          </w:p>
        </w:tc>
        <w:tc>
          <w:tcPr>
            <w:tcW w:w="2340" w:type="pct"/>
          </w:tcPr>
          <w:p w:rsidR="00D97F7E" w:rsidRPr="0067741F" w:rsidRDefault="00D97F7E" w:rsidP="00D97F7E">
            <w:pPr>
              <w:jc w:val="both"/>
              <w:rPr>
                <w:sz w:val="20"/>
                <w:lang w:val="fr-CA"/>
              </w:rPr>
            </w:pPr>
            <w:r w:rsidRPr="0067741F">
              <w:rPr>
                <w:sz w:val="20"/>
                <w:lang w:val="fr-CA"/>
              </w:rPr>
              <w:t xml:space="preserve">Ordonnance de sursis de l’action et demandant au greffier d’aviser la demanderesse que le tribunal envisage de rejeter l’action comme étant frivole, vexatoire et un recours abusif au tribunal </w:t>
            </w:r>
          </w:p>
          <w:p w:rsidR="00D97F7E" w:rsidRPr="0067741F" w:rsidRDefault="00D97F7E" w:rsidP="00D97F7E">
            <w:pPr>
              <w:jc w:val="both"/>
              <w:rPr>
                <w:sz w:val="20"/>
                <w:lang w:val="fr-CA"/>
              </w:rPr>
            </w:pPr>
          </w:p>
        </w:tc>
      </w:tr>
      <w:tr w:rsidR="00D97F7E" w:rsidRPr="00C15495" w:rsidTr="00D97F7E">
        <w:tblPrEx>
          <w:tblCellMar>
            <w:bottom w:w="0" w:type="dxa"/>
          </w:tblCellMar>
        </w:tblPrEx>
        <w:tc>
          <w:tcPr>
            <w:tcW w:w="2390" w:type="pct"/>
            <w:gridSpan w:val="2"/>
          </w:tcPr>
          <w:p w:rsidR="00D97F7E" w:rsidRPr="0067741F" w:rsidRDefault="00D97F7E" w:rsidP="00D97F7E">
            <w:pPr>
              <w:jc w:val="both"/>
              <w:rPr>
                <w:sz w:val="20"/>
                <w:lang w:val="fr-CA"/>
              </w:rPr>
            </w:pPr>
            <w:r w:rsidRPr="0067741F">
              <w:rPr>
                <w:sz w:val="20"/>
                <w:lang w:val="fr-CA"/>
              </w:rPr>
              <w:t>25 août 2017</w:t>
            </w:r>
          </w:p>
          <w:p w:rsidR="00D97F7E" w:rsidRPr="0067741F" w:rsidRDefault="00D97F7E" w:rsidP="00D97F7E">
            <w:pPr>
              <w:jc w:val="both"/>
              <w:rPr>
                <w:sz w:val="20"/>
                <w:lang w:val="fr-CA"/>
              </w:rPr>
            </w:pPr>
            <w:r w:rsidRPr="0067741F">
              <w:rPr>
                <w:sz w:val="20"/>
                <w:lang w:val="fr-CA"/>
              </w:rPr>
              <w:t>Cour supérieure de justice de l’Ontario</w:t>
            </w:r>
          </w:p>
          <w:p w:rsidR="00D97F7E" w:rsidRPr="0067741F" w:rsidRDefault="00D97F7E" w:rsidP="00D97F7E">
            <w:pPr>
              <w:jc w:val="both"/>
              <w:rPr>
                <w:sz w:val="20"/>
                <w:lang w:val="fr-CA"/>
              </w:rPr>
            </w:pPr>
            <w:r w:rsidRPr="0067741F">
              <w:rPr>
                <w:sz w:val="20"/>
                <w:lang w:val="fr-CA"/>
              </w:rPr>
              <w:t>(Juge Chiapetta)</w:t>
            </w:r>
          </w:p>
          <w:p w:rsidR="00D97F7E" w:rsidRPr="0067741F" w:rsidRDefault="00D97F7E" w:rsidP="00D97F7E">
            <w:pPr>
              <w:jc w:val="both"/>
              <w:rPr>
                <w:sz w:val="20"/>
                <w:lang w:val="fr-CA"/>
              </w:rPr>
            </w:pPr>
            <w:r w:rsidRPr="0067741F">
              <w:rPr>
                <w:sz w:val="20"/>
                <w:lang w:val="fr-CA"/>
              </w:rPr>
              <w:t>2017 ONSC 4895 (non publié)</w:t>
            </w:r>
          </w:p>
          <w:p w:rsidR="00D97F7E" w:rsidRPr="0067741F" w:rsidRDefault="00D97F7E" w:rsidP="00D97F7E">
            <w:pPr>
              <w:jc w:val="both"/>
              <w:rPr>
                <w:sz w:val="20"/>
                <w:lang w:val="fr-CA"/>
              </w:rPr>
            </w:pPr>
          </w:p>
        </w:tc>
        <w:tc>
          <w:tcPr>
            <w:tcW w:w="270" w:type="pct"/>
          </w:tcPr>
          <w:p w:rsidR="00D97F7E" w:rsidRPr="0067741F" w:rsidRDefault="00D97F7E" w:rsidP="00D97F7E">
            <w:pPr>
              <w:jc w:val="both"/>
              <w:rPr>
                <w:sz w:val="20"/>
                <w:lang w:val="fr-CA"/>
              </w:rPr>
            </w:pPr>
          </w:p>
        </w:tc>
        <w:tc>
          <w:tcPr>
            <w:tcW w:w="2340" w:type="pct"/>
          </w:tcPr>
          <w:p w:rsidR="00D97F7E" w:rsidRPr="0067741F" w:rsidRDefault="00D97F7E" w:rsidP="00D97F7E">
            <w:pPr>
              <w:jc w:val="both"/>
              <w:rPr>
                <w:sz w:val="20"/>
                <w:lang w:val="fr-CA"/>
              </w:rPr>
            </w:pPr>
            <w:r w:rsidRPr="0067741F">
              <w:rPr>
                <w:sz w:val="20"/>
                <w:lang w:val="fr-CA"/>
              </w:rPr>
              <w:t>Rejet de l’action comme étant frivole, vexatoire et un recours abusif au tribunal</w:t>
            </w:r>
          </w:p>
          <w:p w:rsidR="00D97F7E" w:rsidRPr="0067741F" w:rsidRDefault="00D97F7E" w:rsidP="00D97F7E">
            <w:pPr>
              <w:jc w:val="both"/>
              <w:rPr>
                <w:sz w:val="20"/>
                <w:lang w:val="fr-CA"/>
              </w:rPr>
            </w:pPr>
          </w:p>
        </w:tc>
      </w:tr>
      <w:tr w:rsidR="00D97F7E" w:rsidRPr="00C15495" w:rsidTr="00D97F7E">
        <w:tblPrEx>
          <w:tblCellMar>
            <w:bottom w:w="0" w:type="dxa"/>
          </w:tblCellMar>
        </w:tblPrEx>
        <w:trPr>
          <w:trHeight w:val="1017"/>
        </w:trPr>
        <w:tc>
          <w:tcPr>
            <w:tcW w:w="2390" w:type="pct"/>
            <w:gridSpan w:val="2"/>
          </w:tcPr>
          <w:p w:rsidR="00D97F7E" w:rsidRPr="0067741F" w:rsidRDefault="00D97F7E" w:rsidP="00D97F7E">
            <w:pPr>
              <w:jc w:val="both"/>
              <w:rPr>
                <w:sz w:val="20"/>
                <w:lang w:val="fr-CA"/>
              </w:rPr>
            </w:pPr>
            <w:r w:rsidRPr="0067741F">
              <w:rPr>
                <w:sz w:val="20"/>
                <w:lang w:val="fr-CA"/>
              </w:rPr>
              <w:t>16 novembre 2017</w:t>
            </w:r>
          </w:p>
          <w:p w:rsidR="00D97F7E" w:rsidRPr="0067741F" w:rsidRDefault="00D97F7E" w:rsidP="00D97F7E">
            <w:pPr>
              <w:jc w:val="both"/>
              <w:rPr>
                <w:sz w:val="20"/>
                <w:lang w:val="fr-CA"/>
              </w:rPr>
            </w:pPr>
            <w:r w:rsidRPr="0067741F">
              <w:rPr>
                <w:sz w:val="20"/>
                <w:lang w:val="fr-CA"/>
              </w:rPr>
              <w:t>Cour d’appel de l’Ontario</w:t>
            </w:r>
          </w:p>
          <w:p w:rsidR="00D97F7E" w:rsidRPr="0067741F" w:rsidRDefault="00D97F7E" w:rsidP="00D97F7E">
            <w:pPr>
              <w:jc w:val="both"/>
              <w:rPr>
                <w:sz w:val="20"/>
                <w:lang w:val="fr-CA"/>
              </w:rPr>
            </w:pPr>
            <w:r w:rsidRPr="0067741F">
              <w:rPr>
                <w:sz w:val="20"/>
                <w:lang w:val="fr-CA"/>
              </w:rPr>
              <w:t>(S. Theroulde, greffière adjointe)</w:t>
            </w:r>
          </w:p>
        </w:tc>
        <w:tc>
          <w:tcPr>
            <w:tcW w:w="270" w:type="pct"/>
          </w:tcPr>
          <w:p w:rsidR="00D97F7E" w:rsidRPr="0067741F" w:rsidRDefault="00D97F7E" w:rsidP="00D97F7E">
            <w:pPr>
              <w:jc w:val="both"/>
              <w:rPr>
                <w:sz w:val="20"/>
                <w:lang w:val="fr-CA"/>
              </w:rPr>
            </w:pPr>
          </w:p>
        </w:tc>
        <w:tc>
          <w:tcPr>
            <w:tcW w:w="2340" w:type="pct"/>
          </w:tcPr>
          <w:p w:rsidR="00D97F7E" w:rsidRPr="0067741F" w:rsidRDefault="00D97F7E" w:rsidP="00D97F7E">
            <w:pPr>
              <w:jc w:val="both"/>
              <w:rPr>
                <w:sz w:val="20"/>
                <w:lang w:val="fr-CA"/>
              </w:rPr>
            </w:pPr>
            <w:r w:rsidRPr="0067741F">
              <w:rPr>
                <w:sz w:val="20"/>
                <w:lang w:val="fr-CA"/>
              </w:rPr>
              <w:t>Rejet de l’appel pour cause de retard</w:t>
            </w:r>
          </w:p>
          <w:p w:rsidR="00D97F7E" w:rsidRPr="0067741F" w:rsidRDefault="00D97F7E" w:rsidP="00D97F7E">
            <w:pPr>
              <w:jc w:val="both"/>
              <w:rPr>
                <w:sz w:val="20"/>
                <w:lang w:val="fr-CA"/>
              </w:rPr>
            </w:pPr>
          </w:p>
        </w:tc>
      </w:tr>
      <w:tr w:rsidR="00D97F7E" w:rsidRPr="00C15495" w:rsidTr="00D97F7E">
        <w:tblPrEx>
          <w:tblCellMar>
            <w:bottom w:w="0" w:type="dxa"/>
          </w:tblCellMar>
        </w:tblPrEx>
        <w:tc>
          <w:tcPr>
            <w:tcW w:w="2390" w:type="pct"/>
            <w:gridSpan w:val="2"/>
          </w:tcPr>
          <w:p w:rsidR="00D97F7E" w:rsidRPr="0067741F" w:rsidRDefault="00D97F7E" w:rsidP="00D97F7E">
            <w:pPr>
              <w:jc w:val="both"/>
              <w:rPr>
                <w:sz w:val="20"/>
                <w:lang w:val="fr-CA"/>
              </w:rPr>
            </w:pPr>
            <w:r w:rsidRPr="0067741F">
              <w:rPr>
                <w:sz w:val="20"/>
                <w:lang w:val="fr-CA"/>
              </w:rPr>
              <w:t>23 novembre 2017</w:t>
            </w:r>
          </w:p>
          <w:p w:rsidR="00D97F7E" w:rsidRPr="0067741F" w:rsidRDefault="00D97F7E" w:rsidP="00D97F7E">
            <w:pPr>
              <w:jc w:val="both"/>
              <w:rPr>
                <w:sz w:val="20"/>
                <w:lang w:val="fr-CA"/>
              </w:rPr>
            </w:pPr>
            <w:r w:rsidRPr="0067741F">
              <w:rPr>
                <w:sz w:val="20"/>
                <w:lang w:val="fr-CA"/>
              </w:rPr>
              <w:t>Cour suprême du Canada</w:t>
            </w:r>
          </w:p>
        </w:tc>
        <w:tc>
          <w:tcPr>
            <w:tcW w:w="270" w:type="pct"/>
          </w:tcPr>
          <w:p w:rsidR="00D97F7E" w:rsidRPr="0067741F" w:rsidRDefault="00D97F7E" w:rsidP="00D97F7E">
            <w:pPr>
              <w:jc w:val="both"/>
              <w:rPr>
                <w:sz w:val="20"/>
                <w:lang w:val="fr-CA"/>
              </w:rPr>
            </w:pPr>
          </w:p>
        </w:tc>
        <w:tc>
          <w:tcPr>
            <w:tcW w:w="2340" w:type="pct"/>
          </w:tcPr>
          <w:p w:rsidR="00D97F7E" w:rsidRPr="0067741F" w:rsidRDefault="00D97F7E" w:rsidP="00D97F7E">
            <w:pPr>
              <w:jc w:val="both"/>
              <w:rPr>
                <w:sz w:val="20"/>
                <w:lang w:val="fr-CA"/>
              </w:rPr>
            </w:pPr>
            <w:r w:rsidRPr="0067741F">
              <w:rPr>
                <w:sz w:val="20"/>
                <w:lang w:val="fr-CA"/>
              </w:rPr>
              <w:t>Dépôt de la demande d’autorisation d’appel</w:t>
            </w:r>
          </w:p>
          <w:p w:rsidR="00D97F7E" w:rsidRPr="0067741F" w:rsidRDefault="00D97F7E" w:rsidP="00D97F7E">
            <w:pPr>
              <w:jc w:val="both"/>
              <w:rPr>
                <w:sz w:val="20"/>
                <w:lang w:val="fr-CA"/>
              </w:rPr>
            </w:pPr>
          </w:p>
        </w:tc>
      </w:tr>
    </w:tbl>
    <w:p w:rsidR="00D97F7E" w:rsidRPr="0067741F" w:rsidRDefault="00D97F7E" w:rsidP="00D97F7E">
      <w:pPr>
        <w:jc w:val="both"/>
        <w:rPr>
          <w:sz w:val="20"/>
          <w:lang w:val="fr-CA"/>
        </w:rPr>
      </w:pPr>
    </w:p>
    <w:p w:rsidR="00D97F7E" w:rsidRDefault="00D97F7E">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F7E" w:rsidRPr="0067741F" w:rsidTr="00D97F7E">
        <w:trPr>
          <w:trHeight w:val="450"/>
        </w:trPr>
        <w:tc>
          <w:tcPr>
            <w:tcW w:w="543" w:type="pct"/>
          </w:tcPr>
          <w:p w:rsidR="00D97F7E" w:rsidRPr="0067741F" w:rsidRDefault="00D97F7E" w:rsidP="00D97F7E">
            <w:pPr>
              <w:jc w:val="both"/>
              <w:rPr>
                <w:sz w:val="20"/>
              </w:rPr>
            </w:pPr>
            <w:r w:rsidRPr="0067741F">
              <w:rPr>
                <w:rStyle w:val="SCCFileNumberChar"/>
                <w:sz w:val="20"/>
                <w:szCs w:val="20"/>
              </w:rPr>
              <w:lastRenderedPageBreak/>
              <w:t>37780</w:t>
            </w:r>
          </w:p>
        </w:tc>
        <w:tc>
          <w:tcPr>
            <w:tcW w:w="4457" w:type="pct"/>
            <w:gridSpan w:val="3"/>
          </w:tcPr>
          <w:p w:rsidR="00D97F7E" w:rsidRPr="0067741F" w:rsidRDefault="00D97F7E" w:rsidP="00D97F7E">
            <w:pPr>
              <w:pStyle w:val="SCCLsocParty"/>
              <w:jc w:val="both"/>
              <w:rPr>
                <w:b/>
                <w:sz w:val="20"/>
                <w:szCs w:val="20"/>
                <w:lang w:val="en-US"/>
              </w:rPr>
            </w:pPr>
            <w:r w:rsidRPr="0067741F">
              <w:rPr>
                <w:b/>
                <w:sz w:val="20"/>
                <w:szCs w:val="20"/>
                <w:lang w:val="en-US"/>
              </w:rPr>
              <w:t>Darren John v. Alex Ballingall, Toronto Star Newspapers Ltd., Torstar Corporation</w:t>
            </w:r>
          </w:p>
          <w:p w:rsidR="00D97F7E" w:rsidRPr="0067741F" w:rsidRDefault="00D97F7E" w:rsidP="00D97F7E">
            <w:pPr>
              <w:jc w:val="both"/>
              <w:rPr>
                <w:sz w:val="20"/>
              </w:rPr>
            </w:pPr>
            <w:r w:rsidRPr="0067741F">
              <w:rPr>
                <w:sz w:val="20"/>
              </w:rPr>
              <w:t>(Ont.) (Civil) (By Leave)</w:t>
            </w:r>
          </w:p>
        </w:tc>
      </w:tr>
      <w:tr w:rsidR="00D97F7E" w:rsidRPr="0067741F" w:rsidTr="00D97F7E">
        <w:trPr>
          <w:trHeight w:val="450"/>
        </w:trPr>
        <w:tc>
          <w:tcPr>
            <w:tcW w:w="5000" w:type="pct"/>
            <w:gridSpan w:val="4"/>
          </w:tcPr>
          <w:p w:rsidR="00D97F7E" w:rsidRPr="006F373A" w:rsidRDefault="006F373A" w:rsidP="006F373A">
            <w:pPr>
              <w:jc w:val="both"/>
              <w:rPr>
                <w:sz w:val="20"/>
              </w:rPr>
            </w:pPr>
            <w:r w:rsidRPr="006F373A">
              <w:rPr>
                <w:sz w:val="20"/>
              </w:rPr>
              <w:t>The application for leave to appeal from the judgment of the Court of Appeal for Ontario, Number C62056, 2017 ONCA 579, dated July 7, 2017, is dismissed with costs.</w:t>
            </w:r>
          </w:p>
        </w:tc>
      </w:tr>
      <w:tr w:rsidR="00D97F7E" w:rsidRPr="0067741F" w:rsidTr="00D97F7E">
        <w:tc>
          <w:tcPr>
            <w:tcW w:w="5000" w:type="pct"/>
            <w:gridSpan w:val="4"/>
          </w:tcPr>
          <w:p w:rsidR="00D97F7E" w:rsidRPr="0067741F" w:rsidRDefault="00D97F7E" w:rsidP="00D97F7E">
            <w:pPr>
              <w:jc w:val="both"/>
              <w:rPr>
                <w:sz w:val="20"/>
              </w:rPr>
            </w:pPr>
            <w:r w:rsidRPr="0067741F">
              <w:rPr>
                <w:sz w:val="20"/>
              </w:rPr>
              <w:t xml:space="preserve">Legislation – Interpretation – Limitation of actions – </w:t>
            </w:r>
            <w:r w:rsidRPr="0067741F">
              <w:rPr>
                <w:i/>
                <w:sz w:val="20"/>
              </w:rPr>
              <w:t>Libel and Slander Act</w:t>
            </w:r>
            <w:r w:rsidRPr="0067741F">
              <w:rPr>
                <w:sz w:val="20"/>
              </w:rPr>
              <w:t xml:space="preserve">, R.S.O. 1990, c. L.12 – Applicant alleging that story published by respondent newspaper online were defamatory – Respondents moving for order dismissing applicant’s action as statute-barred – Applicant maintaining that notice period in </w:t>
            </w:r>
            <w:r w:rsidRPr="0067741F">
              <w:rPr>
                <w:i/>
                <w:sz w:val="20"/>
              </w:rPr>
              <w:t>Limitations Act</w:t>
            </w:r>
            <w:r w:rsidRPr="0067741F">
              <w:rPr>
                <w:sz w:val="20"/>
              </w:rPr>
              <w:t>, R.S.O. 1990, c. L. applied to his action – Should notice and limitation period restrictions in a provincial statute be interpreted as applying to publications on internet? – Can the Ontario Court of Appeal’s decision be reconciled with inconsistent jurisprudence in Ontario and across Canada?</w:t>
            </w:r>
          </w:p>
        </w:tc>
      </w:tr>
      <w:tr w:rsidR="00D97F7E" w:rsidRPr="0067741F" w:rsidTr="00D97F7E">
        <w:tc>
          <w:tcPr>
            <w:tcW w:w="5000" w:type="pct"/>
            <w:gridSpan w:val="4"/>
          </w:tcPr>
          <w:p w:rsidR="00D97F7E" w:rsidRPr="0067741F" w:rsidRDefault="00D97F7E" w:rsidP="00D97F7E">
            <w:pPr>
              <w:jc w:val="both"/>
              <w:rPr>
                <w:sz w:val="20"/>
              </w:rPr>
            </w:pPr>
          </w:p>
        </w:tc>
      </w:tr>
      <w:tr w:rsidR="00D97F7E" w:rsidRPr="0067741F" w:rsidTr="00D97F7E">
        <w:tc>
          <w:tcPr>
            <w:tcW w:w="5000" w:type="pct"/>
            <w:gridSpan w:val="4"/>
          </w:tcPr>
          <w:p w:rsidR="00D97F7E" w:rsidRPr="0067741F" w:rsidRDefault="00D97F7E" w:rsidP="00D97F7E">
            <w:pPr>
              <w:jc w:val="both"/>
              <w:rPr>
                <w:sz w:val="20"/>
              </w:rPr>
            </w:pPr>
            <w:r w:rsidRPr="0067741F">
              <w:rPr>
                <w:sz w:val="20"/>
              </w:rPr>
              <w:t xml:space="preserve">The applicant is a rapper who wrote a rap entitled “Got Yourself a Gun” sometime prior to December 2013. As a result of the lyrics to the rap, he was charged with uttering threats to cause death or bodily harm and criminal harassment. The respondent, Mr. Ballingall, is a reporter employed by Toronto Star Newspapers Ltd. and its parent company, Torstar Corporation. Mr. Ballingall interviewed Mr. John about the criminal charges. His article was published in the online version of the Star’s newspaper on December 4, 2013 under the headline: “Rapper says death threat just a lyric”. The hard copy appeared in the December 9 edition with the headline “Trial to decide if rapper’s rhyme is a crime”. Mr. John sent the Star an electronic message through its website complaining about the article the day after the online article appeared. In that message he stated that he did not admit to making a death threat in his rap and did not say he was going to commit any kind of violence. There was no further communication between the parties until April 15, 2015 when Mr. John sent an email to Mr. Ballingall complaining about the online article, alleging libel and threatening legal action. On April 28, 2015, Mr. John filed a statement of claim, alleging that the words “Rapper says death threat just a lyric” in the online article were false, defamatory and libelous. The respondents brought a motion under Rule 21.01(1)(a) requesting that the action be struck on a point of law because it was statute-barred by his failure to meet the notice requirement and the three month limitation period in ss. 5(1) and 6 of the </w:t>
            </w:r>
            <w:r w:rsidRPr="0067741F">
              <w:rPr>
                <w:i/>
                <w:sz w:val="20"/>
              </w:rPr>
              <w:t>Libel and Slander Act</w:t>
            </w:r>
            <w:r w:rsidRPr="0067741F">
              <w:rPr>
                <w:sz w:val="20"/>
              </w:rPr>
              <w:t>.</w:t>
            </w:r>
          </w:p>
          <w:p w:rsidR="00D97F7E" w:rsidRPr="0067741F" w:rsidRDefault="00D97F7E" w:rsidP="00D97F7E">
            <w:pPr>
              <w:jc w:val="both"/>
              <w:rPr>
                <w:sz w:val="20"/>
              </w:rPr>
            </w:pPr>
          </w:p>
        </w:tc>
      </w:tr>
      <w:tr w:rsidR="00D97F7E" w:rsidRPr="0067741F" w:rsidTr="00D97F7E">
        <w:tc>
          <w:tcPr>
            <w:tcW w:w="2427" w:type="pct"/>
            <w:gridSpan w:val="2"/>
          </w:tcPr>
          <w:p w:rsidR="00D97F7E" w:rsidRPr="0067741F" w:rsidRDefault="00D97F7E" w:rsidP="00D97F7E">
            <w:pPr>
              <w:jc w:val="both"/>
              <w:rPr>
                <w:sz w:val="20"/>
              </w:rPr>
            </w:pPr>
            <w:r w:rsidRPr="0067741F">
              <w:rPr>
                <w:sz w:val="20"/>
              </w:rPr>
              <w:t>April 1, 2016</w:t>
            </w:r>
          </w:p>
          <w:p w:rsidR="00D97F7E" w:rsidRPr="0067741F" w:rsidRDefault="00D97F7E" w:rsidP="00D97F7E">
            <w:pPr>
              <w:jc w:val="both"/>
              <w:rPr>
                <w:sz w:val="20"/>
              </w:rPr>
            </w:pPr>
            <w:r w:rsidRPr="0067741F">
              <w:rPr>
                <w:sz w:val="20"/>
              </w:rPr>
              <w:t>Ontario Superior Court of Justice</w:t>
            </w:r>
          </w:p>
          <w:p w:rsidR="00D97F7E" w:rsidRPr="0067741F" w:rsidRDefault="00D97F7E" w:rsidP="00D97F7E">
            <w:pPr>
              <w:jc w:val="both"/>
              <w:rPr>
                <w:sz w:val="20"/>
              </w:rPr>
            </w:pPr>
            <w:r w:rsidRPr="0067741F">
              <w:rPr>
                <w:sz w:val="20"/>
              </w:rPr>
              <w:t>(Trimble J.)</w:t>
            </w:r>
          </w:p>
          <w:p w:rsidR="00D97F7E" w:rsidRPr="0067741F" w:rsidRDefault="00FE4582" w:rsidP="00D97F7E">
            <w:pPr>
              <w:jc w:val="both"/>
              <w:rPr>
                <w:sz w:val="20"/>
              </w:rPr>
            </w:pPr>
            <w:hyperlink r:id="rId31" w:history="1">
              <w:r w:rsidR="00D97F7E" w:rsidRPr="0067741F">
                <w:rPr>
                  <w:rStyle w:val="Hyperlink"/>
                  <w:sz w:val="20"/>
                </w:rPr>
                <w:t>2016 ONSC 2245</w:t>
              </w:r>
            </w:hyperlink>
          </w:p>
          <w:p w:rsidR="00D97F7E" w:rsidRPr="0067741F" w:rsidRDefault="00D97F7E" w:rsidP="00D97F7E">
            <w:pPr>
              <w:jc w:val="both"/>
              <w:rPr>
                <w:sz w:val="20"/>
              </w:rPr>
            </w:pPr>
          </w:p>
        </w:tc>
        <w:tc>
          <w:tcPr>
            <w:tcW w:w="243" w:type="pct"/>
          </w:tcPr>
          <w:p w:rsidR="00D97F7E" w:rsidRPr="0067741F" w:rsidRDefault="00D97F7E" w:rsidP="00D97F7E">
            <w:pPr>
              <w:jc w:val="both"/>
              <w:rPr>
                <w:sz w:val="20"/>
              </w:rPr>
            </w:pPr>
          </w:p>
        </w:tc>
        <w:tc>
          <w:tcPr>
            <w:tcW w:w="2330" w:type="pct"/>
          </w:tcPr>
          <w:p w:rsidR="00D97F7E" w:rsidRPr="0067741F" w:rsidRDefault="00D97F7E" w:rsidP="00D97F7E">
            <w:pPr>
              <w:jc w:val="both"/>
              <w:rPr>
                <w:sz w:val="20"/>
              </w:rPr>
            </w:pPr>
            <w:r w:rsidRPr="0067741F">
              <w:rPr>
                <w:sz w:val="20"/>
              </w:rPr>
              <w:t xml:space="preserve">Respondent’s motion to dismiss applicant’s action under Rule 21 of Ontario </w:t>
            </w:r>
            <w:r w:rsidRPr="0067741F">
              <w:rPr>
                <w:i/>
                <w:sz w:val="20"/>
              </w:rPr>
              <w:t xml:space="preserve">Rules of Civil Procedure </w:t>
            </w:r>
            <w:r w:rsidRPr="0067741F">
              <w:rPr>
                <w:sz w:val="20"/>
              </w:rPr>
              <w:t>granted</w:t>
            </w:r>
          </w:p>
          <w:p w:rsidR="00D97F7E" w:rsidRPr="0067741F" w:rsidRDefault="00D97F7E" w:rsidP="00D97F7E">
            <w:pPr>
              <w:jc w:val="both"/>
              <w:rPr>
                <w:sz w:val="20"/>
              </w:rPr>
            </w:pPr>
          </w:p>
          <w:p w:rsidR="00D97F7E" w:rsidRPr="0067741F" w:rsidRDefault="00D97F7E" w:rsidP="00D97F7E">
            <w:pPr>
              <w:jc w:val="both"/>
              <w:rPr>
                <w:sz w:val="20"/>
              </w:rPr>
            </w:pPr>
          </w:p>
        </w:tc>
      </w:tr>
      <w:tr w:rsidR="00D97F7E" w:rsidRPr="0067741F" w:rsidTr="00D97F7E">
        <w:tc>
          <w:tcPr>
            <w:tcW w:w="2427" w:type="pct"/>
            <w:gridSpan w:val="2"/>
          </w:tcPr>
          <w:p w:rsidR="00D97F7E" w:rsidRPr="0067741F" w:rsidRDefault="00D97F7E" w:rsidP="00D97F7E">
            <w:pPr>
              <w:jc w:val="both"/>
              <w:rPr>
                <w:sz w:val="20"/>
              </w:rPr>
            </w:pPr>
            <w:r w:rsidRPr="0067741F">
              <w:rPr>
                <w:sz w:val="20"/>
              </w:rPr>
              <w:t>July 7, 2017</w:t>
            </w:r>
          </w:p>
          <w:p w:rsidR="00D97F7E" w:rsidRPr="0067741F" w:rsidRDefault="00D97F7E" w:rsidP="00D97F7E">
            <w:pPr>
              <w:jc w:val="both"/>
              <w:rPr>
                <w:sz w:val="20"/>
              </w:rPr>
            </w:pPr>
            <w:r w:rsidRPr="0067741F">
              <w:rPr>
                <w:sz w:val="20"/>
              </w:rPr>
              <w:t>Court of Appeal for Ontario</w:t>
            </w:r>
          </w:p>
          <w:p w:rsidR="00D97F7E" w:rsidRPr="0067741F" w:rsidRDefault="00D97F7E" w:rsidP="00D97F7E">
            <w:pPr>
              <w:jc w:val="both"/>
              <w:rPr>
                <w:sz w:val="20"/>
              </w:rPr>
            </w:pPr>
            <w:r w:rsidRPr="0067741F">
              <w:rPr>
                <w:sz w:val="20"/>
              </w:rPr>
              <w:t>(Doherty, Benotto and Trotter JJ.A.)</w:t>
            </w:r>
          </w:p>
          <w:p w:rsidR="00D97F7E" w:rsidRPr="0067741F" w:rsidRDefault="00FE4582" w:rsidP="00D97F7E">
            <w:pPr>
              <w:jc w:val="both"/>
              <w:rPr>
                <w:sz w:val="20"/>
              </w:rPr>
            </w:pPr>
            <w:hyperlink r:id="rId32" w:history="1">
              <w:r w:rsidR="00D97F7E" w:rsidRPr="0067741F">
                <w:rPr>
                  <w:rStyle w:val="Hyperlink"/>
                  <w:sz w:val="20"/>
                </w:rPr>
                <w:t>2017 ONCA 579</w:t>
              </w:r>
            </w:hyperlink>
          </w:p>
          <w:p w:rsidR="00D97F7E" w:rsidRPr="0067741F" w:rsidRDefault="00D97F7E" w:rsidP="00D97F7E">
            <w:pPr>
              <w:jc w:val="both"/>
              <w:rPr>
                <w:sz w:val="20"/>
              </w:rPr>
            </w:pPr>
          </w:p>
        </w:tc>
        <w:tc>
          <w:tcPr>
            <w:tcW w:w="243" w:type="pct"/>
          </w:tcPr>
          <w:p w:rsidR="00D97F7E" w:rsidRPr="0067741F" w:rsidRDefault="00D97F7E" w:rsidP="00D97F7E">
            <w:pPr>
              <w:jc w:val="both"/>
              <w:rPr>
                <w:sz w:val="20"/>
              </w:rPr>
            </w:pPr>
          </w:p>
        </w:tc>
        <w:tc>
          <w:tcPr>
            <w:tcW w:w="2330" w:type="pct"/>
          </w:tcPr>
          <w:p w:rsidR="00D97F7E" w:rsidRPr="0067741F" w:rsidRDefault="00D97F7E" w:rsidP="00D97F7E">
            <w:pPr>
              <w:jc w:val="both"/>
              <w:rPr>
                <w:sz w:val="20"/>
              </w:rPr>
            </w:pPr>
            <w:r w:rsidRPr="0067741F">
              <w:rPr>
                <w:sz w:val="20"/>
              </w:rPr>
              <w:t>Applicant’s appeal dismissed</w:t>
            </w:r>
          </w:p>
          <w:p w:rsidR="00D97F7E" w:rsidRPr="0067741F" w:rsidRDefault="00D97F7E" w:rsidP="00D97F7E">
            <w:pPr>
              <w:jc w:val="both"/>
              <w:rPr>
                <w:sz w:val="20"/>
              </w:rPr>
            </w:pPr>
          </w:p>
        </w:tc>
      </w:tr>
      <w:tr w:rsidR="00D97F7E" w:rsidRPr="0067741F" w:rsidTr="00D97F7E">
        <w:tc>
          <w:tcPr>
            <w:tcW w:w="2427" w:type="pct"/>
            <w:gridSpan w:val="2"/>
          </w:tcPr>
          <w:p w:rsidR="00D97F7E" w:rsidRPr="0067741F" w:rsidRDefault="00D97F7E" w:rsidP="00D97F7E">
            <w:pPr>
              <w:jc w:val="both"/>
              <w:rPr>
                <w:sz w:val="20"/>
              </w:rPr>
            </w:pPr>
            <w:r w:rsidRPr="0067741F">
              <w:rPr>
                <w:sz w:val="20"/>
              </w:rPr>
              <w:t>September 29, 2017</w:t>
            </w:r>
          </w:p>
          <w:p w:rsidR="00D97F7E" w:rsidRPr="0067741F" w:rsidRDefault="00D97F7E" w:rsidP="00D97F7E">
            <w:pPr>
              <w:jc w:val="both"/>
              <w:rPr>
                <w:sz w:val="20"/>
              </w:rPr>
            </w:pPr>
            <w:r w:rsidRPr="0067741F">
              <w:rPr>
                <w:sz w:val="20"/>
              </w:rPr>
              <w:t>Supreme Court of Canada</w:t>
            </w:r>
          </w:p>
        </w:tc>
        <w:tc>
          <w:tcPr>
            <w:tcW w:w="243" w:type="pct"/>
          </w:tcPr>
          <w:p w:rsidR="00D97F7E" w:rsidRPr="0067741F" w:rsidRDefault="00D97F7E" w:rsidP="00D97F7E">
            <w:pPr>
              <w:jc w:val="both"/>
              <w:rPr>
                <w:sz w:val="20"/>
              </w:rPr>
            </w:pPr>
          </w:p>
        </w:tc>
        <w:tc>
          <w:tcPr>
            <w:tcW w:w="2330" w:type="pct"/>
          </w:tcPr>
          <w:p w:rsidR="00D97F7E" w:rsidRPr="0067741F" w:rsidRDefault="00D97F7E" w:rsidP="00D97F7E">
            <w:pPr>
              <w:jc w:val="both"/>
              <w:rPr>
                <w:sz w:val="20"/>
              </w:rPr>
            </w:pPr>
            <w:r w:rsidRPr="0067741F">
              <w:rPr>
                <w:sz w:val="20"/>
              </w:rPr>
              <w:t>Application for leave to appeal filed</w:t>
            </w:r>
          </w:p>
          <w:p w:rsidR="00D97F7E" w:rsidRPr="0067741F" w:rsidRDefault="00D97F7E" w:rsidP="00D97F7E">
            <w:pPr>
              <w:jc w:val="both"/>
              <w:rPr>
                <w:sz w:val="20"/>
              </w:rPr>
            </w:pPr>
          </w:p>
        </w:tc>
      </w:tr>
    </w:tbl>
    <w:p w:rsidR="00D97F7E" w:rsidRPr="0067741F" w:rsidRDefault="00D97F7E" w:rsidP="00D97F7E">
      <w:pPr>
        <w:jc w:val="both"/>
        <w:rPr>
          <w:sz w:val="20"/>
        </w:rPr>
      </w:pPr>
    </w:p>
    <w:p w:rsidR="00D97F7E" w:rsidRPr="0067741F" w:rsidRDefault="00D97F7E" w:rsidP="00D97F7E">
      <w:pPr>
        <w:jc w:val="both"/>
        <w:rPr>
          <w:sz w:val="20"/>
        </w:rPr>
      </w:pPr>
    </w:p>
    <w:p w:rsidR="00D97F7E" w:rsidRDefault="00D97F7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F7E" w:rsidRPr="0067741F" w:rsidTr="00D97F7E">
        <w:trPr>
          <w:trHeight w:val="468"/>
        </w:trPr>
        <w:tc>
          <w:tcPr>
            <w:tcW w:w="543" w:type="pct"/>
          </w:tcPr>
          <w:p w:rsidR="00D97F7E" w:rsidRPr="0067741F" w:rsidRDefault="00D97F7E" w:rsidP="00D97F7E">
            <w:pPr>
              <w:jc w:val="both"/>
              <w:rPr>
                <w:sz w:val="20"/>
                <w:lang w:val="fr-CA"/>
              </w:rPr>
            </w:pPr>
            <w:r w:rsidRPr="0067741F">
              <w:rPr>
                <w:rStyle w:val="SCCFileNumberChar"/>
                <w:sz w:val="20"/>
                <w:szCs w:val="20"/>
                <w:lang w:val="fr-CA"/>
              </w:rPr>
              <w:lastRenderedPageBreak/>
              <w:t>37780</w:t>
            </w:r>
          </w:p>
        </w:tc>
        <w:tc>
          <w:tcPr>
            <w:tcW w:w="4457" w:type="pct"/>
            <w:gridSpan w:val="3"/>
          </w:tcPr>
          <w:p w:rsidR="00D97F7E" w:rsidRPr="0067741F" w:rsidRDefault="00D97F7E" w:rsidP="00D97F7E">
            <w:pPr>
              <w:pStyle w:val="SCCLsocParty"/>
              <w:jc w:val="both"/>
              <w:rPr>
                <w:b/>
                <w:sz w:val="20"/>
                <w:szCs w:val="20"/>
                <w:lang w:val="en-US"/>
              </w:rPr>
            </w:pPr>
            <w:r w:rsidRPr="0067741F">
              <w:rPr>
                <w:b/>
                <w:sz w:val="20"/>
                <w:szCs w:val="20"/>
                <w:lang w:val="en-US"/>
              </w:rPr>
              <w:t>Darren John c. Alex Ballingall, Toronto Star Newspapers Ltd., Torstar Corporation</w:t>
            </w:r>
          </w:p>
          <w:p w:rsidR="00D97F7E" w:rsidRPr="0067741F" w:rsidRDefault="00D97F7E" w:rsidP="00D97F7E">
            <w:pPr>
              <w:jc w:val="both"/>
              <w:rPr>
                <w:sz w:val="20"/>
                <w:lang w:val="fr-CA"/>
              </w:rPr>
            </w:pPr>
            <w:r w:rsidRPr="0067741F">
              <w:rPr>
                <w:sz w:val="20"/>
                <w:lang w:val="fr-CA"/>
              </w:rPr>
              <w:t>(Ont.) (Civile) (Autorisation)</w:t>
            </w:r>
          </w:p>
        </w:tc>
      </w:tr>
      <w:tr w:rsidR="00D97F7E" w:rsidRPr="00C15495" w:rsidTr="00D97F7E">
        <w:trPr>
          <w:trHeight w:val="468"/>
        </w:trPr>
        <w:tc>
          <w:tcPr>
            <w:tcW w:w="5000" w:type="pct"/>
            <w:gridSpan w:val="4"/>
          </w:tcPr>
          <w:p w:rsidR="00D97F7E" w:rsidRPr="006F373A" w:rsidRDefault="006F373A" w:rsidP="00D97F7E">
            <w:pPr>
              <w:pStyle w:val="SCCLsocParty"/>
              <w:jc w:val="both"/>
              <w:rPr>
                <w:b/>
                <w:sz w:val="20"/>
                <w:szCs w:val="20"/>
              </w:rPr>
            </w:pPr>
            <w:r w:rsidRPr="006F373A">
              <w:rPr>
                <w:sz w:val="20"/>
              </w:rPr>
              <w:t>La demande d’autorisation d’appel de l’arrêt de la Cour d’appel de l’Ontario, numéro C62056, 2017 ONCA 579, daté du 7 juillet 2017, est rejetée avec dépens.</w:t>
            </w:r>
          </w:p>
        </w:tc>
      </w:tr>
      <w:tr w:rsidR="00D97F7E" w:rsidRPr="00C15495" w:rsidTr="00D97F7E">
        <w:tc>
          <w:tcPr>
            <w:tcW w:w="5000" w:type="pct"/>
            <w:gridSpan w:val="4"/>
          </w:tcPr>
          <w:p w:rsidR="00D97F7E" w:rsidRPr="0067741F" w:rsidRDefault="00D97F7E" w:rsidP="00D97F7E">
            <w:pPr>
              <w:jc w:val="both"/>
              <w:rPr>
                <w:sz w:val="20"/>
                <w:lang w:val="fr-CA"/>
              </w:rPr>
            </w:pPr>
            <w:r w:rsidRPr="0067741F">
              <w:rPr>
                <w:sz w:val="20"/>
                <w:lang w:val="fr-CA"/>
              </w:rPr>
              <w:t xml:space="preserve">Législation – Interprétation – Prescription – </w:t>
            </w:r>
            <w:r w:rsidRPr="0067741F">
              <w:rPr>
                <w:i/>
                <w:sz w:val="20"/>
                <w:lang w:val="fr-CA"/>
              </w:rPr>
              <w:t>Loi sur la diffamation</w:t>
            </w:r>
            <w:r w:rsidRPr="0067741F">
              <w:rPr>
                <w:sz w:val="20"/>
                <w:lang w:val="fr-CA"/>
              </w:rPr>
              <w:t xml:space="preserve">, L.R.O. 1990, ch. L.12 – Le demandeur allègue que l’article publié par le journal intimé est diffamatoire – Les intimés demandent par voie de motion une ordonnance de rejet de l’action du demandeur au motif qu’elle est prescrite – Le demandeur soutient que le délai de préavis prévu dans la </w:t>
            </w:r>
            <w:r w:rsidRPr="0067741F">
              <w:rPr>
                <w:i/>
                <w:sz w:val="20"/>
                <w:lang w:val="fr-CA"/>
              </w:rPr>
              <w:t>Loi sur la prescription des actions</w:t>
            </w:r>
            <w:r w:rsidRPr="0067741F">
              <w:rPr>
                <w:sz w:val="20"/>
                <w:lang w:val="fr-CA"/>
              </w:rPr>
              <w:t>, L.R.O. 1990, ch. L. s’applique à son action – Faut-il interpréter les restrictions relatives aux avis et aux délais de prescription prévues dans une loi provinciale comme s’appliquant aux publications sur l’Internet? – Peut-on concilier l’arrêt de la Cour d’appel de l’Ontario et la jurisprudence discordante en Ontario et ailleurs au Canada?</w:t>
            </w:r>
          </w:p>
        </w:tc>
      </w:tr>
      <w:tr w:rsidR="00D97F7E" w:rsidRPr="00C15495" w:rsidTr="00D97F7E">
        <w:tc>
          <w:tcPr>
            <w:tcW w:w="5000" w:type="pct"/>
            <w:gridSpan w:val="4"/>
          </w:tcPr>
          <w:p w:rsidR="00D97F7E" w:rsidRPr="0067741F" w:rsidRDefault="00D97F7E" w:rsidP="00D97F7E">
            <w:pPr>
              <w:jc w:val="both"/>
              <w:rPr>
                <w:sz w:val="20"/>
                <w:lang w:val="fr-CA"/>
              </w:rPr>
            </w:pPr>
          </w:p>
        </w:tc>
      </w:tr>
      <w:tr w:rsidR="00D97F7E" w:rsidRPr="00C15495" w:rsidTr="00D97F7E">
        <w:tc>
          <w:tcPr>
            <w:tcW w:w="5000" w:type="pct"/>
            <w:gridSpan w:val="4"/>
          </w:tcPr>
          <w:p w:rsidR="00D97F7E" w:rsidRPr="0067741F" w:rsidRDefault="00D97F7E" w:rsidP="00D97F7E">
            <w:pPr>
              <w:jc w:val="both"/>
              <w:rPr>
                <w:sz w:val="20"/>
                <w:lang w:val="fr-CA"/>
              </w:rPr>
            </w:pPr>
            <w:r w:rsidRPr="0067741F">
              <w:rPr>
                <w:sz w:val="20"/>
                <w:lang w:val="fr-CA"/>
              </w:rPr>
              <w:t>Le demandeur est un rappeur qui a écrit un rap intitulé « Got Yourself a Gun » avant décembre 2013. Les paroles du rap lui ont valu des accusations d’avoir proféré des menaces de mort ou de lésions corporelles et de harcèlement criminel. L’intimé, M. Ballingall, est journaliste au service de Toronto Star Newspapers Ltd. et de sa société mère, Torstar Corporation. Monsieur Ballingall a interviewé M. John au sujet des accusations au criminel. Son article a été publié dans la version en ligne du journal du Star le 4 décembre 2013 sous le titre [</w:t>
            </w:r>
            <w:r w:rsidRPr="0067741F">
              <w:rPr>
                <w:smallCaps/>
                <w:sz w:val="20"/>
                <w:lang w:val="fr-CA"/>
              </w:rPr>
              <w:t>traduction</w:t>
            </w:r>
            <w:r w:rsidRPr="0067741F">
              <w:rPr>
                <w:sz w:val="20"/>
                <w:lang w:val="fr-CA"/>
              </w:rPr>
              <w:t>] « Un rappeur affirme qu’une menace de mort est rien qu’une parole de chanson ». La version imprimée a paru dans le numéro du 9 décembre sous le titre [</w:t>
            </w:r>
            <w:r w:rsidRPr="0067741F">
              <w:rPr>
                <w:smallCaps/>
                <w:sz w:val="20"/>
                <w:lang w:val="fr-CA"/>
              </w:rPr>
              <w:t>traduction</w:t>
            </w:r>
            <w:r w:rsidRPr="0067741F">
              <w:rPr>
                <w:sz w:val="20"/>
                <w:lang w:val="fr-CA"/>
              </w:rPr>
              <w:t>] « Un procès doit décider si la rime d’un rappeur est un crime ». Monsieur John a envoyé au Star un message électronique par son site Web, se plaignant de l’article le lendemain de sa parution en ligne. Selon ses dires, il n’avait pas avoué avoir proféré une menace de mort dans son rap et il n’avait pas dit qu’il allait commettre quelque type de violence que ce soit. Il n’y a pas eu d’autres communications entre les parties jusqu’au 15 avril 2015, lorsque M. John a envoyé un courriel à M. Ballingall se plaignant de l’article en ligne, alléguant la diffamation et menaçant d’intenter une action en justice. Le 28 avril 2015, M. John a déposé une déclaration, alléguant que les mots [</w:t>
            </w:r>
            <w:r w:rsidRPr="0067741F">
              <w:rPr>
                <w:smallCaps/>
                <w:sz w:val="20"/>
                <w:lang w:val="fr-CA"/>
              </w:rPr>
              <w:t>traduction</w:t>
            </w:r>
            <w:r w:rsidRPr="0067741F">
              <w:rPr>
                <w:sz w:val="20"/>
                <w:lang w:val="fr-CA"/>
              </w:rPr>
              <w:t xml:space="preserve">] « Un rappeur affirme qu’une menace de mort est rien qu’une parole de chanson » étaient faux et diffamatoires. Les intimés ont présenté une motion en application de la règle 21.01(1)a), sollicitant la radiation sur une question de droit parce qu’elle était prescrite par sa non-observation de l’exigence en matière d’avis et du délai de prescription de trois mois prévus au par. 5(1) et à l’art. 6 de la </w:t>
            </w:r>
            <w:r w:rsidRPr="0067741F">
              <w:rPr>
                <w:i/>
                <w:sz w:val="20"/>
                <w:lang w:val="fr-CA"/>
              </w:rPr>
              <w:t>Loi sur la diffamation</w:t>
            </w:r>
            <w:r w:rsidRPr="0067741F">
              <w:rPr>
                <w:sz w:val="20"/>
                <w:lang w:val="fr-CA"/>
              </w:rPr>
              <w:t>.</w:t>
            </w:r>
          </w:p>
          <w:p w:rsidR="00D97F7E" w:rsidRPr="0067741F" w:rsidRDefault="00D97F7E" w:rsidP="00D97F7E">
            <w:pPr>
              <w:jc w:val="both"/>
              <w:rPr>
                <w:sz w:val="20"/>
                <w:lang w:val="fr-CA"/>
              </w:rPr>
            </w:pPr>
          </w:p>
        </w:tc>
      </w:tr>
      <w:tr w:rsidR="00D97F7E" w:rsidRPr="00C15495" w:rsidTr="00D97F7E">
        <w:tc>
          <w:tcPr>
            <w:tcW w:w="2427" w:type="pct"/>
            <w:gridSpan w:val="2"/>
          </w:tcPr>
          <w:p w:rsidR="00D97F7E" w:rsidRPr="0067741F" w:rsidRDefault="00D97F7E" w:rsidP="00D97F7E">
            <w:pPr>
              <w:jc w:val="both"/>
              <w:rPr>
                <w:sz w:val="20"/>
                <w:lang w:val="fr-CA"/>
              </w:rPr>
            </w:pPr>
            <w:r w:rsidRPr="0067741F">
              <w:rPr>
                <w:sz w:val="20"/>
                <w:lang w:val="fr-CA"/>
              </w:rPr>
              <w:t>1</w:t>
            </w:r>
            <w:r w:rsidRPr="0067741F">
              <w:rPr>
                <w:sz w:val="20"/>
                <w:vertAlign w:val="superscript"/>
                <w:lang w:val="fr-CA"/>
              </w:rPr>
              <w:t>er</w:t>
            </w:r>
            <w:r w:rsidRPr="0067741F">
              <w:rPr>
                <w:sz w:val="20"/>
                <w:lang w:val="fr-CA"/>
              </w:rPr>
              <w:t xml:space="preserve"> avril 2016</w:t>
            </w:r>
          </w:p>
          <w:p w:rsidR="00D97F7E" w:rsidRPr="0067741F" w:rsidRDefault="00D97F7E" w:rsidP="00D97F7E">
            <w:pPr>
              <w:jc w:val="both"/>
              <w:rPr>
                <w:sz w:val="20"/>
                <w:lang w:val="fr-CA"/>
              </w:rPr>
            </w:pPr>
            <w:r w:rsidRPr="0067741F">
              <w:rPr>
                <w:sz w:val="20"/>
                <w:lang w:val="fr-CA"/>
              </w:rPr>
              <w:t>Cour supérieure de justice de l’Ontario</w:t>
            </w:r>
          </w:p>
          <w:p w:rsidR="00D97F7E" w:rsidRPr="0067741F" w:rsidRDefault="00D97F7E" w:rsidP="00D97F7E">
            <w:pPr>
              <w:jc w:val="both"/>
              <w:rPr>
                <w:sz w:val="20"/>
                <w:lang w:val="fr-CA"/>
              </w:rPr>
            </w:pPr>
            <w:r w:rsidRPr="0067741F">
              <w:rPr>
                <w:sz w:val="20"/>
                <w:lang w:val="fr-CA"/>
              </w:rPr>
              <w:t>(Juge Trimble)</w:t>
            </w:r>
          </w:p>
          <w:p w:rsidR="00D97F7E" w:rsidRPr="0067741F" w:rsidRDefault="00FE4582" w:rsidP="00D97F7E">
            <w:pPr>
              <w:jc w:val="both"/>
              <w:rPr>
                <w:sz w:val="20"/>
                <w:lang w:val="fr-CA"/>
              </w:rPr>
            </w:pPr>
            <w:hyperlink r:id="rId33" w:history="1">
              <w:r w:rsidR="00D97F7E" w:rsidRPr="0067741F">
                <w:rPr>
                  <w:rStyle w:val="Hyperlink"/>
                  <w:sz w:val="20"/>
                  <w:lang w:val="fr-CA"/>
                </w:rPr>
                <w:t>2016 ONSC 2245</w:t>
              </w:r>
            </w:hyperlink>
          </w:p>
          <w:p w:rsidR="00D97F7E" w:rsidRPr="0067741F" w:rsidRDefault="00D97F7E" w:rsidP="00D97F7E">
            <w:pPr>
              <w:jc w:val="both"/>
              <w:rPr>
                <w:sz w:val="20"/>
                <w:lang w:val="fr-CA"/>
              </w:rPr>
            </w:pPr>
          </w:p>
        </w:tc>
        <w:tc>
          <w:tcPr>
            <w:tcW w:w="243" w:type="pct"/>
          </w:tcPr>
          <w:p w:rsidR="00D97F7E" w:rsidRPr="0067741F" w:rsidRDefault="00D97F7E" w:rsidP="00D97F7E">
            <w:pPr>
              <w:jc w:val="both"/>
              <w:rPr>
                <w:sz w:val="20"/>
                <w:lang w:val="fr-CA"/>
              </w:rPr>
            </w:pPr>
          </w:p>
        </w:tc>
        <w:tc>
          <w:tcPr>
            <w:tcW w:w="2330" w:type="pct"/>
          </w:tcPr>
          <w:p w:rsidR="00D97F7E" w:rsidRPr="0067741F" w:rsidRDefault="00D97F7E" w:rsidP="00D97F7E">
            <w:pPr>
              <w:jc w:val="both"/>
              <w:rPr>
                <w:sz w:val="20"/>
                <w:lang w:val="fr-CA"/>
              </w:rPr>
            </w:pPr>
            <w:r w:rsidRPr="0067741F">
              <w:rPr>
                <w:sz w:val="20"/>
                <w:lang w:val="fr-CA"/>
              </w:rPr>
              <w:t xml:space="preserve">Jugement accueillant la motion des intimés en rejet de l’action du demandeur en application de la règle 21 des </w:t>
            </w:r>
            <w:r w:rsidRPr="0067741F">
              <w:rPr>
                <w:i/>
                <w:sz w:val="20"/>
                <w:lang w:val="fr-CA"/>
              </w:rPr>
              <w:t xml:space="preserve">Règles de procédure civile </w:t>
            </w:r>
            <w:r w:rsidRPr="0067741F">
              <w:rPr>
                <w:sz w:val="20"/>
                <w:lang w:val="fr-CA"/>
              </w:rPr>
              <w:t>de l’Ontario</w:t>
            </w:r>
          </w:p>
          <w:p w:rsidR="00D97F7E" w:rsidRPr="0067741F" w:rsidRDefault="00D97F7E" w:rsidP="00D97F7E">
            <w:pPr>
              <w:jc w:val="both"/>
              <w:rPr>
                <w:sz w:val="20"/>
                <w:lang w:val="fr-CA"/>
              </w:rPr>
            </w:pPr>
          </w:p>
        </w:tc>
      </w:tr>
      <w:tr w:rsidR="00D97F7E" w:rsidRPr="0067741F" w:rsidTr="00D97F7E">
        <w:tc>
          <w:tcPr>
            <w:tcW w:w="2427" w:type="pct"/>
            <w:gridSpan w:val="2"/>
          </w:tcPr>
          <w:p w:rsidR="00D97F7E" w:rsidRPr="0067741F" w:rsidRDefault="00D97F7E" w:rsidP="00D97F7E">
            <w:pPr>
              <w:jc w:val="both"/>
              <w:rPr>
                <w:sz w:val="20"/>
                <w:lang w:val="fr-CA"/>
              </w:rPr>
            </w:pPr>
            <w:r w:rsidRPr="0067741F">
              <w:rPr>
                <w:sz w:val="20"/>
                <w:lang w:val="fr-CA"/>
              </w:rPr>
              <w:t>7 juillet 2017</w:t>
            </w:r>
          </w:p>
          <w:p w:rsidR="00D97F7E" w:rsidRPr="0067741F" w:rsidRDefault="00D97F7E" w:rsidP="00D97F7E">
            <w:pPr>
              <w:jc w:val="both"/>
              <w:rPr>
                <w:sz w:val="20"/>
                <w:lang w:val="fr-CA"/>
              </w:rPr>
            </w:pPr>
            <w:r w:rsidRPr="0067741F">
              <w:rPr>
                <w:sz w:val="20"/>
                <w:lang w:val="fr-CA"/>
              </w:rPr>
              <w:t>Cour d’appel de l’Ontario</w:t>
            </w:r>
          </w:p>
          <w:p w:rsidR="00D97F7E" w:rsidRPr="0067741F" w:rsidRDefault="00D97F7E" w:rsidP="00D97F7E">
            <w:pPr>
              <w:jc w:val="both"/>
              <w:rPr>
                <w:sz w:val="20"/>
                <w:lang w:val="fr-CA"/>
              </w:rPr>
            </w:pPr>
            <w:r w:rsidRPr="0067741F">
              <w:rPr>
                <w:sz w:val="20"/>
                <w:lang w:val="fr-CA"/>
              </w:rPr>
              <w:t>(Juges Doherty, Benotto et Trotter)</w:t>
            </w:r>
          </w:p>
          <w:p w:rsidR="00D97F7E" w:rsidRPr="0067741F" w:rsidRDefault="00FE4582" w:rsidP="00D97F7E">
            <w:pPr>
              <w:jc w:val="both"/>
              <w:rPr>
                <w:sz w:val="20"/>
                <w:lang w:val="fr-CA"/>
              </w:rPr>
            </w:pPr>
            <w:hyperlink r:id="rId34" w:history="1">
              <w:r w:rsidR="00D97F7E" w:rsidRPr="0067741F">
                <w:rPr>
                  <w:rStyle w:val="Hyperlink"/>
                  <w:sz w:val="20"/>
                  <w:lang w:val="fr-CA"/>
                </w:rPr>
                <w:t>2017 ONCA 579</w:t>
              </w:r>
            </w:hyperlink>
          </w:p>
          <w:p w:rsidR="00D97F7E" w:rsidRPr="0067741F" w:rsidRDefault="00D97F7E" w:rsidP="00D97F7E">
            <w:pPr>
              <w:jc w:val="both"/>
              <w:rPr>
                <w:sz w:val="20"/>
                <w:lang w:val="fr-CA"/>
              </w:rPr>
            </w:pPr>
          </w:p>
        </w:tc>
        <w:tc>
          <w:tcPr>
            <w:tcW w:w="243" w:type="pct"/>
          </w:tcPr>
          <w:p w:rsidR="00D97F7E" w:rsidRPr="0067741F" w:rsidRDefault="00D97F7E" w:rsidP="00D97F7E">
            <w:pPr>
              <w:jc w:val="both"/>
              <w:rPr>
                <w:sz w:val="20"/>
                <w:lang w:val="fr-CA"/>
              </w:rPr>
            </w:pPr>
          </w:p>
        </w:tc>
        <w:tc>
          <w:tcPr>
            <w:tcW w:w="2330" w:type="pct"/>
          </w:tcPr>
          <w:p w:rsidR="00D97F7E" w:rsidRPr="0067741F" w:rsidRDefault="00D97F7E" w:rsidP="00D97F7E">
            <w:pPr>
              <w:jc w:val="both"/>
              <w:rPr>
                <w:sz w:val="20"/>
                <w:lang w:val="fr-CA"/>
              </w:rPr>
            </w:pPr>
            <w:r w:rsidRPr="0067741F">
              <w:rPr>
                <w:sz w:val="20"/>
                <w:lang w:val="fr-CA"/>
              </w:rPr>
              <w:t>Rejet de l’appel du demandeur</w:t>
            </w:r>
          </w:p>
          <w:p w:rsidR="00D97F7E" w:rsidRPr="0067741F" w:rsidRDefault="00D97F7E" w:rsidP="00D97F7E">
            <w:pPr>
              <w:jc w:val="both"/>
              <w:rPr>
                <w:sz w:val="20"/>
                <w:lang w:val="fr-CA"/>
              </w:rPr>
            </w:pPr>
          </w:p>
        </w:tc>
      </w:tr>
      <w:tr w:rsidR="00D97F7E" w:rsidRPr="00C15495" w:rsidTr="00D97F7E">
        <w:tc>
          <w:tcPr>
            <w:tcW w:w="2427" w:type="pct"/>
            <w:gridSpan w:val="2"/>
          </w:tcPr>
          <w:p w:rsidR="00D97F7E" w:rsidRPr="0067741F" w:rsidRDefault="00D97F7E" w:rsidP="00D97F7E">
            <w:pPr>
              <w:jc w:val="both"/>
              <w:rPr>
                <w:sz w:val="20"/>
                <w:lang w:val="fr-CA"/>
              </w:rPr>
            </w:pPr>
            <w:r w:rsidRPr="0067741F">
              <w:rPr>
                <w:sz w:val="20"/>
                <w:lang w:val="fr-CA"/>
              </w:rPr>
              <w:t>29 septembre 2017</w:t>
            </w:r>
          </w:p>
          <w:p w:rsidR="00D97F7E" w:rsidRPr="0067741F" w:rsidRDefault="00D97F7E" w:rsidP="00D97F7E">
            <w:pPr>
              <w:jc w:val="both"/>
              <w:rPr>
                <w:sz w:val="20"/>
                <w:lang w:val="fr-CA"/>
              </w:rPr>
            </w:pPr>
            <w:r w:rsidRPr="0067741F">
              <w:rPr>
                <w:sz w:val="20"/>
                <w:lang w:val="fr-CA"/>
              </w:rPr>
              <w:t>Cour suprême du Canada</w:t>
            </w:r>
          </w:p>
        </w:tc>
        <w:tc>
          <w:tcPr>
            <w:tcW w:w="243" w:type="pct"/>
          </w:tcPr>
          <w:p w:rsidR="00D97F7E" w:rsidRPr="0067741F" w:rsidRDefault="00D97F7E" w:rsidP="00D97F7E">
            <w:pPr>
              <w:jc w:val="both"/>
              <w:rPr>
                <w:sz w:val="20"/>
                <w:lang w:val="fr-CA"/>
              </w:rPr>
            </w:pPr>
          </w:p>
        </w:tc>
        <w:tc>
          <w:tcPr>
            <w:tcW w:w="2330" w:type="pct"/>
          </w:tcPr>
          <w:p w:rsidR="00D97F7E" w:rsidRPr="0067741F" w:rsidRDefault="00D97F7E" w:rsidP="00D97F7E">
            <w:pPr>
              <w:jc w:val="both"/>
              <w:rPr>
                <w:sz w:val="20"/>
                <w:lang w:val="fr-CA"/>
              </w:rPr>
            </w:pPr>
            <w:r w:rsidRPr="0067741F">
              <w:rPr>
                <w:sz w:val="20"/>
                <w:lang w:val="fr-CA"/>
              </w:rPr>
              <w:t>Dépôt de la demande d’autorisation d’appel</w:t>
            </w:r>
          </w:p>
          <w:p w:rsidR="00D97F7E" w:rsidRPr="0067741F" w:rsidRDefault="00D97F7E" w:rsidP="00D97F7E">
            <w:pPr>
              <w:jc w:val="both"/>
              <w:rPr>
                <w:sz w:val="20"/>
                <w:lang w:val="fr-CA"/>
              </w:rPr>
            </w:pPr>
          </w:p>
        </w:tc>
      </w:tr>
    </w:tbl>
    <w:p w:rsidR="00D97F7E" w:rsidRPr="0067741F" w:rsidRDefault="00D97F7E" w:rsidP="00D97F7E">
      <w:pPr>
        <w:jc w:val="both"/>
        <w:rPr>
          <w:sz w:val="20"/>
          <w:lang w:val="fr-CA"/>
        </w:rPr>
      </w:pPr>
    </w:p>
    <w:p w:rsidR="00D97F7E" w:rsidRPr="0067741F" w:rsidRDefault="00D97F7E" w:rsidP="00D97F7E">
      <w:pPr>
        <w:jc w:val="both"/>
        <w:rPr>
          <w:sz w:val="20"/>
          <w:lang w:val="fr-CA"/>
        </w:rPr>
      </w:pPr>
    </w:p>
    <w:p w:rsidR="00D97F7E" w:rsidRPr="00C040D9" w:rsidRDefault="00D97F7E">
      <w:pPr>
        <w:rPr>
          <w:lang w:val="fr-CA"/>
        </w:rPr>
      </w:pPr>
      <w:r w:rsidRPr="00C040D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F7E" w:rsidRPr="0067741F" w:rsidTr="00D97F7E">
        <w:tc>
          <w:tcPr>
            <w:tcW w:w="543" w:type="pct"/>
          </w:tcPr>
          <w:p w:rsidR="00D97F7E" w:rsidRPr="0067741F" w:rsidRDefault="00D97F7E" w:rsidP="00D97F7E">
            <w:pPr>
              <w:jc w:val="both"/>
              <w:rPr>
                <w:sz w:val="20"/>
              </w:rPr>
            </w:pPr>
            <w:r w:rsidRPr="0067741F">
              <w:rPr>
                <w:rStyle w:val="SCCFileNumberChar"/>
                <w:sz w:val="20"/>
                <w:szCs w:val="20"/>
              </w:rPr>
              <w:lastRenderedPageBreak/>
              <w:t>37822</w:t>
            </w:r>
          </w:p>
        </w:tc>
        <w:tc>
          <w:tcPr>
            <w:tcW w:w="4457" w:type="pct"/>
            <w:gridSpan w:val="3"/>
          </w:tcPr>
          <w:p w:rsidR="00D97F7E" w:rsidRPr="0067741F" w:rsidRDefault="00D97F7E" w:rsidP="00D97F7E">
            <w:pPr>
              <w:pStyle w:val="SCCLsocParty"/>
              <w:jc w:val="both"/>
              <w:rPr>
                <w:b/>
                <w:sz w:val="20"/>
                <w:szCs w:val="20"/>
                <w:lang w:val="en-US"/>
              </w:rPr>
            </w:pPr>
            <w:r w:rsidRPr="0067741F">
              <w:rPr>
                <w:b/>
                <w:sz w:val="20"/>
                <w:szCs w:val="20"/>
                <w:lang w:val="en-US"/>
              </w:rPr>
              <w:t>Grand River Enterprises Six Nations Ltd. v. Minister of Finance for Ontario</w:t>
            </w:r>
          </w:p>
          <w:p w:rsidR="00D97F7E" w:rsidRPr="0067741F" w:rsidRDefault="00D97F7E" w:rsidP="00D97F7E">
            <w:pPr>
              <w:jc w:val="both"/>
              <w:rPr>
                <w:sz w:val="20"/>
              </w:rPr>
            </w:pPr>
            <w:r w:rsidRPr="0067741F">
              <w:rPr>
                <w:sz w:val="20"/>
              </w:rPr>
              <w:t>(Ont.) (Civil) (By Leave)</w:t>
            </w:r>
          </w:p>
        </w:tc>
      </w:tr>
      <w:tr w:rsidR="00D97F7E" w:rsidRPr="0067741F" w:rsidTr="00D97F7E">
        <w:tc>
          <w:tcPr>
            <w:tcW w:w="5000" w:type="pct"/>
            <w:gridSpan w:val="4"/>
          </w:tcPr>
          <w:p w:rsidR="00D97F7E" w:rsidRPr="00077F6E" w:rsidRDefault="00077F6E" w:rsidP="00077F6E">
            <w:pPr>
              <w:jc w:val="both"/>
              <w:rPr>
                <w:sz w:val="20"/>
              </w:rPr>
            </w:pPr>
            <w:r w:rsidRPr="00077F6E">
              <w:rPr>
                <w:sz w:val="20"/>
              </w:rPr>
              <w:t>The application for leave to appeal from the judgment of the Court of Appeal for Ontario, Number C62599, 2017 ONCA 680, dated September 5, 2017, is dismissed with costs.</w:t>
            </w:r>
          </w:p>
        </w:tc>
      </w:tr>
      <w:tr w:rsidR="00D97F7E" w:rsidRPr="0067741F" w:rsidTr="00D97F7E">
        <w:tc>
          <w:tcPr>
            <w:tcW w:w="5000" w:type="pct"/>
            <w:gridSpan w:val="4"/>
          </w:tcPr>
          <w:p w:rsidR="00D97F7E" w:rsidRPr="0067741F" w:rsidRDefault="00D97F7E" w:rsidP="00D97F7E">
            <w:pPr>
              <w:jc w:val="both"/>
              <w:rPr>
                <w:sz w:val="20"/>
              </w:rPr>
            </w:pPr>
            <w:r w:rsidRPr="0067741F">
              <w:rPr>
                <w:sz w:val="20"/>
              </w:rPr>
              <w:t>Taxation – Constitutional law – Division of powers – What are the constitutional limits to provincial government’s control over exports of tobacco and the taxation of that trade – Whether a provincial government is required to give due recognition and credit, or comity, to the federal government’s regulatory regime and its extensive controls over the export trade in tobacco or is it entitled to ignore them and act as if they do not exist or have no effect?</w:t>
            </w:r>
            <w:r w:rsidRPr="0067741F">
              <w:rPr>
                <w:sz w:val="20"/>
                <w:lang w:val="en"/>
              </w:rPr>
              <w:t xml:space="preserve"> </w:t>
            </w:r>
          </w:p>
        </w:tc>
      </w:tr>
      <w:tr w:rsidR="00D97F7E" w:rsidRPr="0067741F" w:rsidTr="00D97F7E">
        <w:tc>
          <w:tcPr>
            <w:tcW w:w="5000" w:type="pct"/>
            <w:gridSpan w:val="4"/>
          </w:tcPr>
          <w:p w:rsidR="00D97F7E" w:rsidRPr="0067741F" w:rsidRDefault="00D97F7E" w:rsidP="00D97F7E">
            <w:pPr>
              <w:jc w:val="both"/>
              <w:rPr>
                <w:sz w:val="20"/>
              </w:rPr>
            </w:pPr>
          </w:p>
        </w:tc>
      </w:tr>
      <w:tr w:rsidR="00D97F7E" w:rsidRPr="0067741F" w:rsidTr="00D97F7E">
        <w:tc>
          <w:tcPr>
            <w:tcW w:w="5000" w:type="pct"/>
            <w:gridSpan w:val="4"/>
          </w:tcPr>
          <w:p w:rsidR="00D97F7E" w:rsidRPr="0067741F" w:rsidRDefault="00D97F7E" w:rsidP="00D97F7E">
            <w:pPr>
              <w:jc w:val="both"/>
              <w:rPr>
                <w:sz w:val="20"/>
              </w:rPr>
            </w:pPr>
            <w:r w:rsidRPr="0067741F">
              <w:rPr>
                <w:sz w:val="20"/>
              </w:rPr>
              <w:t>Grand River Enterprises Six Nations Ltd. manufactures and sells tobacco products exclusively to on-reserve First Nations retailers and by export outside Canada, including unmarked fine cut tobacco. It does so pursuant to permits issued by the Minister of Finance for Ontario</w:t>
            </w:r>
            <w:r w:rsidRPr="0067741F">
              <w:rPr>
                <w:sz w:val="20"/>
                <w:lang w:val="en"/>
              </w:rPr>
              <w:t xml:space="preserve">. </w:t>
            </w:r>
            <w:r w:rsidRPr="0067741F">
              <w:rPr>
                <w:sz w:val="20"/>
              </w:rPr>
              <w:t xml:space="preserve">Its sales are not liable to tax under the </w:t>
            </w:r>
            <w:r w:rsidRPr="0067741F">
              <w:rPr>
                <w:i/>
                <w:sz w:val="20"/>
              </w:rPr>
              <w:t>Tobacco Tax Act</w:t>
            </w:r>
            <w:r w:rsidRPr="0067741F">
              <w:rPr>
                <w:sz w:val="20"/>
              </w:rPr>
              <w:t>, R.S.O. 1990, c. T.10. Section 12(2)(f.1) of the Act states that the Minister shall demand security from every holder of a permit to purchase or sell unmarked fine cut tobacco.</w:t>
            </w:r>
            <w:r w:rsidRPr="0067741F">
              <w:rPr>
                <w:sz w:val="20"/>
                <w:lang w:val="en"/>
              </w:rPr>
              <w:t xml:space="preserve"> The Minister made a formal demand for security. GRE brought an application for judicial review to have the demand set aside. The application was dismissed and the Court of Appeal dismissed an appeal.</w:t>
            </w:r>
          </w:p>
          <w:p w:rsidR="00D97F7E" w:rsidRPr="0067741F" w:rsidRDefault="00D97F7E" w:rsidP="00D97F7E">
            <w:pPr>
              <w:jc w:val="both"/>
              <w:rPr>
                <w:sz w:val="20"/>
              </w:rPr>
            </w:pPr>
          </w:p>
        </w:tc>
      </w:tr>
      <w:tr w:rsidR="00D97F7E" w:rsidRPr="0067741F" w:rsidTr="00D97F7E">
        <w:tc>
          <w:tcPr>
            <w:tcW w:w="2427" w:type="pct"/>
            <w:gridSpan w:val="2"/>
          </w:tcPr>
          <w:p w:rsidR="00D97F7E" w:rsidRPr="0067741F" w:rsidRDefault="00D97F7E" w:rsidP="00D97F7E">
            <w:pPr>
              <w:jc w:val="both"/>
              <w:rPr>
                <w:sz w:val="20"/>
              </w:rPr>
            </w:pPr>
            <w:r w:rsidRPr="0067741F">
              <w:rPr>
                <w:sz w:val="20"/>
              </w:rPr>
              <w:t>March 31, 2016</w:t>
            </w:r>
          </w:p>
          <w:p w:rsidR="00D97F7E" w:rsidRPr="0067741F" w:rsidRDefault="00D97F7E" w:rsidP="00D97F7E">
            <w:pPr>
              <w:jc w:val="both"/>
              <w:rPr>
                <w:sz w:val="20"/>
              </w:rPr>
            </w:pPr>
            <w:r w:rsidRPr="0067741F">
              <w:rPr>
                <w:sz w:val="20"/>
              </w:rPr>
              <w:t>Ontario Superior Court of Justice</w:t>
            </w:r>
          </w:p>
          <w:p w:rsidR="00D97F7E" w:rsidRPr="0067741F" w:rsidRDefault="00D97F7E" w:rsidP="00D97F7E">
            <w:pPr>
              <w:jc w:val="both"/>
              <w:rPr>
                <w:sz w:val="20"/>
              </w:rPr>
            </w:pPr>
            <w:r w:rsidRPr="0067741F">
              <w:rPr>
                <w:sz w:val="20"/>
              </w:rPr>
              <w:t>(Lederman, Corbett, Hackland JJ.)</w:t>
            </w:r>
          </w:p>
          <w:p w:rsidR="00D97F7E" w:rsidRPr="0067741F" w:rsidRDefault="00FE4582" w:rsidP="00D97F7E">
            <w:pPr>
              <w:jc w:val="both"/>
              <w:rPr>
                <w:sz w:val="20"/>
              </w:rPr>
            </w:pPr>
            <w:hyperlink r:id="rId35" w:history="1">
              <w:r w:rsidR="00D97F7E" w:rsidRPr="0067741F">
                <w:rPr>
                  <w:rStyle w:val="Hyperlink"/>
                  <w:sz w:val="20"/>
                </w:rPr>
                <w:t>2016 ONSC 2061</w:t>
              </w:r>
            </w:hyperlink>
          </w:p>
          <w:p w:rsidR="00D97F7E" w:rsidRPr="0067741F" w:rsidRDefault="00D97F7E" w:rsidP="00D97F7E">
            <w:pPr>
              <w:jc w:val="both"/>
              <w:rPr>
                <w:sz w:val="20"/>
              </w:rPr>
            </w:pPr>
          </w:p>
        </w:tc>
        <w:tc>
          <w:tcPr>
            <w:tcW w:w="243" w:type="pct"/>
          </w:tcPr>
          <w:p w:rsidR="00D97F7E" w:rsidRPr="0067741F" w:rsidRDefault="00D97F7E" w:rsidP="00D97F7E">
            <w:pPr>
              <w:jc w:val="both"/>
              <w:rPr>
                <w:sz w:val="20"/>
              </w:rPr>
            </w:pPr>
          </w:p>
        </w:tc>
        <w:tc>
          <w:tcPr>
            <w:tcW w:w="2330" w:type="pct"/>
          </w:tcPr>
          <w:p w:rsidR="00D97F7E" w:rsidRPr="0067741F" w:rsidRDefault="00D97F7E" w:rsidP="00D97F7E">
            <w:pPr>
              <w:jc w:val="both"/>
              <w:rPr>
                <w:sz w:val="20"/>
              </w:rPr>
            </w:pPr>
            <w:r w:rsidRPr="0067741F">
              <w:rPr>
                <w:sz w:val="20"/>
              </w:rPr>
              <w:t>Application for judicial review dismissed</w:t>
            </w:r>
          </w:p>
          <w:p w:rsidR="00D97F7E" w:rsidRPr="0067741F" w:rsidRDefault="00D97F7E" w:rsidP="00D97F7E">
            <w:pPr>
              <w:jc w:val="both"/>
              <w:rPr>
                <w:sz w:val="20"/>
              </w:rPr>
            </w:pPr>
          </w:p>
        </w:tc>
      </w:tr>
      <w:tr w:rsidR="00D97F7E" w:rsidRPr="0067741F" w:rsidTr="00D97F7E">
        <w:tc>
          <w:tcPr>
            <w:tcW w:w="2427" w:type="pct"/>
            <w:gridSpan w:val="2"/>
          </w:tcPr>
          <w:p w:rsidR="00D97F7E" w:rsidRPr="0067741F" w:rsidRDefault="00D97F7E" w:rsidP="00D97F7E">
            <w:pPr>
              <w:jc w:val="both"/>
              <w:rPr>
                <w:sz w:val="20"/>
              </w:rPr>
            </w:pPr>
            <w:r w:rsidRPr="0067741F">
              <w:rPr>
                <w:sz w:val="20"/>
              </w:rPr>
              <w:t>September 5, 2017</w:t>
            </w:r>
          </w:p>
          <w:p w:rsidR="00D97F7E" w:rsidRPr="0067741F" w:rsidRDefault="00D97F7E" w:rsidP="00D97F7E">
            <w:pPr>
              <w:jc w:val="both"/>
              <w:rPr>
                <w:sz w:val="20"/>
              </w:rPr>
            </w:pPr>
            <w:r w:rsidRPr="0067741F">
              <w:rPr>
                <w:sz w:val="20"/>
              </w:rPr>
              <w:t>Court of Appeal for Ontario</w:t>
            </w:r>
          </w:p>
          <w:p w:rsidR="00D97F7E" w:rsidRPr="0067741F" w:rsidRDefault="00D97F7E" w:rsidP="00D97F7E">
            <w:pPr>
              <w:jc w:val="both"/>
              <w:rPr>
                <w:sz w:val="20"/>
              </w:rPr>
            </w:pPr>
            <w:r w:rsidRPr="0067741F">
              <w:rPr>
                <w:sz w:val="20"/>
              </w:rPr>
              <w:t>(Strathy, Cronk, Pepall JJ.A.)</w:t>
            </w:r>
          </w:p>
          <w:p w:rsidR="00D97F7E" w:rsidRPr="0067741F" w:rsidRDefault="00FE4582" w:rsidP="00D97F7E">
            <w:pPr>
              <w:jc w:val="both"/>
              <w:rPr>
                <w:sz w:val="20"/>
              </w:rPr>
            </w:pPr>
            <w:hyperlink r:id="rId36" w:history="1">
              <w:r w:rsidR="00D97F7E" w:rsidRPr="0067741F">
                <w:rPr>
                  <w:rStyle w:val="Hyperlink"/>
                  <w:sz w:val="20"/>
                </w:rPr>
                <w:t>2017 ONCA 680</w:t>
              </w:r>
            </w:hyperlink>
          </w:p>
          <w:p w:rsidR="00D97F7E" w:rsidRPr="0067741F" w:rsidRDefault="00D97F7E" w:rsidP="00D97F7E">
            <w:pPr>
              <w:jc w:val="both"/>
              <w:rPr>
                <w:sz w:val="20"/>
              </w:rPr>
            </w:pPr>
          </w:p>
        </w:tc>
        <w:tc>
          <w:tcPr>
            <w:tcW w:w="243" w:type="pct"/>
          </w:tcPr>
          <w:p w:rsidR="00D97F7E" w:rsidRPr="0067741F" w:rsidRDefault="00D97F7E" w:rsidP="00D97F7E">
            <w:pPr>
              <w:jc w:val="both"/>
              <w:rPr>
                <w:sz w:val="20"/>
              </w:rPr>
            </w:pPr>
          </w:p>
        </w:tc>
        <w:tc>
          <w:tcPr>
            <w:tcW w:w="2330" w:type="pct"/>
          </w:tcPr>
          <w:p w:rsidR="00D97F7E" w:rsidRPr="0067741F" w:rsidRDefault="00D97F7E" w:rsidP="00D97F7E">
            <w:pPr>
              <w:jc w:val="both"/>
              <w:rPr>
                <w:sz w:val="20"/>
              </w:rPr>
            </w:pPr>
            <w:r w:rsidRPr="0067741F">
              <w:rPr>
                <w:sz w:val="20"/>
              </w:rPr>
              <w:t>Appeal dismissed</w:t>
            </w:r>
          </w:p>
          <w:p w:rsidR="00D97F7E" w:rsidRPr="0067741F" w:rsidRDefault="00D97F7E" w:rsidP="00D97F7E">
            <w:pPr>
              <w:jc w:val="both"/>
              <w:rPr>
                <w:sz w:val="20"/>
              </w:rPr>
            </w:pPr>
          </w:p>
        </w:tc>
      </w:tr>
      <w:tr w:rsidR="00D97F7E" w:rsidRPr="0067741F" w:rsidTr="00D97F7E">
        <w:tc>
          <w:tcPr>
            <w:tcW w:w="2427" w:type="pct"/>
            <w:gridSpan w:val="2"/>
          </w:tcPr>
          <w:p w:rsidR="00D97F7E" w:rsidRPr="0067741F" w:rsidRDefault="00D97F7E" w:rsidP="00D97F7E">
            <w:pPr>
              <w:jc w:val="both"/>
              <w:rPr>
                <w:sz w:val="20"/>
              </w:rPr>
            </w:pPr>
            <w:r w:rsidRPr="0067741F">
              <w:rPr>
                <w:sz w:val="20"/>
              </w:rPr>
              <w:t>November 2, 2017</w:t>
            </w:r>
          </w:p>
          <w:p w:rsidR="00D97F7E" w:rsidRPr="0067741F" w:rsidRDefault="00D97F7E" w:rsidP="00D97F7E">
            <w:pPr>
              <w:jc w:val="both"/>
              <w:rPr>
                <w:sz w:val="20"/>
              </w:rPr>
            </w:pPr>
            <w:r w:rsidRPr="0067741F">
              <w:rPr>
                <w:sz w:val="20"/>
              </w:rPr>
              <w:t>Supreme Court of Canada</w:t>
            </w:r>
          </w:p>
        </w:tc>
        <w:tc>
          <w:tcPr>
            <w:tcW w:w="243" w:type="pct"/>
          </w:tcPr>
          <w:p w:rsidR="00D97F7E" w:rsidRPr="0067741F" w:rsidRDefault="00D97F7E" w:rsidP="00D97F7E">
            <w:pPr>
              <w:jc w:val="both"/>
              <w:rPr>
                <w:sz w:val="20"/>
              </w:rPr>
            </w:pPr>
          </w:p>
        </w:tc>
        <w:tc>
          <w:tcPr>
            <w:tcW w:w="2330" w:type="pct"/>
          </w:tcPr>
          <w:p w:rsidR="00D97F7E" w:rsidRPr="0067741F" w:rsidRDefault="00D97F7E" w:rsidP="00D97F7E">
            <w:pPr>
              <w:jc w:val="both"/>
              <w:rPr>
                <w:sz w:val="20"/>
              </w:rPr>
            </w:pPr>
            <w:r w:rsidRPr="0067741F">
              <w:rPr>
                <w:sz w:val="20"/>
              </w:rPr>
              <w:t>Application for leave to appeal filed</w:t>
            </w:r>
          </w:p>
          <w:p w:rsidR="00D97F7E" w:rsidRPr="0067741F" w:rsidRDefault="00D97F7E" w:rsidP="00D97F7E">
            <w:pPr>
              <w:jc w:val="both"/>
              <w:rPr>
                <w:sz w:val="20"/>
              </w:rPr>
            </w:pPr>
          </w:p>
        </w:tc>
      </w:tr>
    </w:tbl>
    <w:p w:rsidR="00D97F7E" w:rsidRPr="0067741F" w:rsidRDefault="00D97F7E" w:rsidP="00D97F7E">
      <w:pPr>
        <w:jc w:val="both"/>
        <w:rPr>
          <w:sz w:val="20"/>
        </w:rPr>
      </w:pPr>
    </w:p>
    <w:p w:rsidR="00D97F7E" w:rsidRPr="0067741F" w:rsidRDefault="00D97F7E" w:rsidP="00D97F7E">
      <w:pPr>
        <w:jc w:val="both"/>
        <w:rPr>
          <w:sz w:val="20"/>
        </w:rPr>
      </w:pPr>
    </w:p>
    <w:p w:rsidR="00D97F7E" w:rsidRDefault="00D97F7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F7E" w:rsidRPr="0067741F" w:rsidTr="00D97F7E">
        <w:tc>
          <w:tcPr>
            <w:tcW w:w="543" w:type="pct"/>
          </w:tcPr>
          <w:p w:rsidR="00D97F7E" w:rsidRPr="0067741F" w:rsidRDefault="00D97F7E" w:rsidP="00D97F7E">
            <w:pPr>
              <w:jc w:val="both"/>
              <w:rPr>
                <w:sz w:val="20"/>
                <w:lang w:val="fr-CA"/>
              </w:rPr>
            </w:pPr>
            <w:r w:rsidRPr="0067741F">
              <w:rPr>
                <w:rStyle w:val="SCCFileNumberChar"/>
                <w:sz w:val="20"/>
                <w:szCs w:val="20"/>
                <w:lang w:val="fr-CA"/>
              </w:rPr>
              <w:lastRenderedPageBreak/>
              <w:t>37822</w:t>
            </w:r>
          </w:p>
        </w:tc>
        <w:tc>
          <w:tcPr>
            <w:tcW w:w="4457" w:type="pct"/>
            <w:gridSpan w:val="3"/>
          </w:tcPr>
          <w:p w:rsidR="00D97F7E" w:rsidRPr="0067741F" w:rsidRDefault="00D97F7E" w:rsidP="00D97F7E">
            <w:pPr>
              <w:pStyle w:val="SCCLsocParty"/>
              <w:jc w:val="both"/>
              <w:rPr>
                <w:b/>
                <w:sz w:val="20"/>
                <w:szCs w:val="20"/>
              </w:rPr>
            </w:pPr>
            <w:r w:rsidRPr="0067741F">
              <w:rPr>
                <w:b/>
                <w:sz w:val="20"/>
                <w:szCs w:val="20"/>
              </w:rPr>
              <w:t>Grand River Enterprises Six Nations Ltd. c. Ministre des Finances de l’Ontario</w:t>
            </w:r>
          </w:p>
          <w:p w:rsidR="00D97F7E" w:rsidRPr="0067741F" w:rsidRDefault="00D97F7E" w:rsidP="00D97F7E">
            <w:pPr>
              <w:jc w:val="both"/>
              <w:rPr>
                <w:sz w:val="20"/>
                <w:lang w:val="fr-CA"/>
              </w:rPr>
            </w:pPr>
            <w:r w:rsidRPr="0067741F">
              <w:rPr>
                <w:sz w:val="20"/>
                <w:lang w:val="fr-CA"/>
              </w:rPr>
              <w:t>(Ont.) (Civile) (Autorisation)</w:t>
            </w:r>
          </w:p>
        </w:tc>
      </w:tr>
      <w:tr w:rsidR="00D97F7E" w:rsidRPr="00C15495" w:rsidTr="00D97F7E">
        <w:tc>
          <w:tcPr>
            <w:tcW w:w="5000" w:type="pct"/>
            <w:gridSpan w:val="4"/>
          </w:tcPr>
          <w:p w:rsidR="00D97F7E" w:rsidRPr="00077F6E" w:rsidRDefault="00077F6E" w:rsidP="00D97F7E">
            <w:pPr>
              <w:pStyle w:val="SCCLsocParty"/>
              <w:jc w:val="both"/>
              <w:rPr>
                <w:b/>
                <w:sz w:val="20"/>
                <w:szCs w:val="20"/>
              </w:rPr>
            </w:pPr>
            <w:r w:rsidRPr="00077F6E">
              <w:rPr>
                <w:sz w:val="20"/>
              </w:rPr>
              <w:t>La demande d’autorisation d’appel de l’arrêt de la Cour d’appel de l’Ontario, numéro C62599, 2017 ONCA 680, daté du 5 septembre 2017, est rejetée avec dépens.</w:t>
            </w:r>
          </w:p>
        </w:tc>
      </w:tr>
      <w:tr w:rsidR="00D97F7E" w:rsidRPr="00C15495" w:rsidTr="00D97F7E">
        <w:tc>
          <w:tcPr>
            <w:tcW w:w="5000" w:type="pct"/>
            <w:gridSpan w:val="4"/>
          </w:tcPr>
          <w:p w:rsidR="00D97F7E" w:rsidRPr="0067741F" w:rsidRDefault="00D97F7E" w:rsidP="00D97F7E">
            <w:pPr>
              <w:jc w:val="both"/>
              <w:rPr>
                <w:sz w:val="20"/>
                <w:lang w:val="fr-CA"/>
              </w:rPr>
            </w:pPr>
            <w:r w:rsidRPr="0067741F">
              <w:rPr>
                <w:sz w:val="20"/>
                <w:lang w:val="fr-CA"/>
              </w:rPr>
              <w:t xml:space="preserve">Droit fiscal – Droit constitutionnel – Partage des compétences – Quelles sont les limites constitutionnelles du contrôle exercé par le gouvernement provincial à l’égard des exportations de tabac et de la taxation de ce commerce? – Un gouvernement provincial est-il tenu de reconnaître et de respecter comme il se doit, par déférence, le régime réglementaire du gouvernement fédéral et ses contrôles importants sur le commerce d’exportation du tabac, ou a-t-il le droit d’en faire abstraction et d’agir comme </w:t>
            </w:r>
            <w:r w:rsidR="000A46AA" w:rsidRPr="0067741F">
              <w:rPr>
                <w:sz w:val="20"/>
                <w:lang w:val="fr-CA"/>
              </w:rPr>
              <w:t>s’il n’existait</w:t>
            </w:r>
            <w:r w:rsidRPr="0067741F">
              <w:rPr>
                <w:sz w:val="20"/>
                <w:lang w:val="fr-CA"/>
              </w:rPr>
              <w:t xml:space="preserve"> pas ou n’avaient aucun effet? </w:t>
            </w:r>
          </w:p>
        </w:tc>
      </w:tr>
      <w:tr w:rsidR="00D97F7E" w:rsidRPr="00C15495" w:rsidTr="00D97F7E">
        <w:tc>
          <w:tcPr>
            <w:tcW w:w="5000" w:type="pct"/>
            <w:gridSpan w:val="4"/>
          </w:tcPr>
          <w:p w:rsidR="00D97F7E" w:rsidRPr="0067741F" w:rsidRDefault="00D97F7E" w:rsidP="00D97F7E">
            <w:pPr>
              <w:jc w:val="both"/>
              <w:rPr>
                <w:sz w:val="20"/>
                <w:lang w:val="fr-CA"/>
              </w:rPr>
            </w:pPr>
          </w:p>
        </w:tc>
      </w:tr>
      <w:tr w:rsidR="00D97F7E" w:rsidRPr="00C15495" w:rsidTr="00D97F7E">
        <w:tc>
          <w:tcPr>
            <w:tcW w:w="5000" w:type="pct"/>
            <w:gridSpan w:val="4"/>
          </w:tcPr>
          <w:p w:rsidR="00D97F7E" w:rsidRPr="0067741F" w:rsidRDefault="00D97F7E" w:rsidP="00D97F7E">
            <w:pPr>
              <w:jc w:val="both"/>
              <w:rPr>
                <w:sz w:val="20"/>
                <w:lang w:val="fr-CA"/>
              </w:rPr>
            </w:pPr>
            <w:r w:rsidRPr="0067741F">
              <w:rPr>
                <w:sz w:val="20"/>
                <w:lang w:val="fr-CA"/>
              </w:rPr>
              <w:t xml:space="preserve">Grand River Enterprises Six Nations Ltd. fabrique et vend des produits du tabac exclusivement à des détaillants des Premières Nations sur des réserves et par exportation à l’extérieur du Canada, y compris du tabac haché fin non marqué. Elle exerce ces activités en vertu de permis délivrés par le ministre des Finances de l’Ontario. Ses ventes ne sont pas assujetties à la taxe imposée par la </w:t>
            </w:r>
            <w:r w:rsidRPr="0067741F">
              <w:rPr>
                <w:i/>
                <w:sz w:val="20"/>
                <w:lang w:val="fr-CA"/>
              </w:rPr>
              <w:t>Loi sur la taxe sur le tabac</w:t>
            </w:r>
            <w:r w:rsidRPr="0067741F">
              <w:rPr>
                <w:sz w:val="20"/>
                <w:lang w:val="fr-CA"/>
              </w:rPr>
              <w:t>, L.R.O. 1990, c. T.10. L’alinéa 12(2)f.1) de la Loi prévoit que le ministre peut exiger une garantie de tout titulaire de permis d’achat ou de vente de tabac haché fin non marqué. Le ministre a fait une demande officielle de garantie. GRE a présenté une demande de contrôle judiciaire pour faire annuler la demande du ministre. La demande de contrôle judiciaire a été rejetée et la Cour d’appel a rejeté l’appel.</w:t>
            </w:r>
          </w:p>
          <w:p w:rsidR="00D97F7E" w:rsidRPr="0067741F" w:rsidRDefault="00D97F7E" w:rsidP="00D97F7E">
            <w:pPr>
              <w:jc w:val="both"/>
              <w:rPr>
                <w:sz w:val="20"/>
                <w:lang w:val="fr-CA"/>
              </w:rPr>
            </w:pPr>
          </w:p>
        </w:tc>
      </w:tr>
      <w:tr w:rsidR="00D97F7E" w:rsidRPr="00C15495" w:rsidTr="00D97F7E">
        <w:tc>
          <w:tcPr>
            <w:tcW w:w="2427" w:type="pct"/>
            <w:gridSpan w:val="2"/>
          </w:tcPr>
          <w:p w:rsidR="00D97F7E" w:rsidRPr="0067741F" w:rsidRDefault="00D97F7E" w:rsidP="00D97F7E">
            <w:pPr>
              <w:jc w:val="both"/>
              <w:rPr>
                <w:sz w:val="20"/>
                <w:lang w:val="fr-CA"/>
              </w:rPr>
            </w:pPr>
            <w:r w:rsidRPr="0067741F">
              <w:rPr>
                <w:sz w:val="20"/>
                <w:lang w:val="fr-CA"/>
              </w:rPr>
              <w:t>31 mars 2016</w:t>
            </w:r>
          </w:p>
          <w:p w:rsidR="00D97F7E" w:rsidRPr="0067741F" w:rsidRDefault="00D97F7E" w:rsidP="00D97F7E">
            <w:pPr>
              <w:jc w:val="both"/>
              <w:rPr>
                <w:sz w:val="20"/>
                <w:lang w:val="fr-CA"/>
              </w:rPr>
            </w:pPr>
            <w:r w:rsidRPr="0067741F">
              <w:rPr>
                <w:sz w:val="20"/>
                <w:lang w:val="fr-CA"/>
              </w:rPr>
              <w:t>Cour supérieure de justice de l’Ontario</w:t>
            </w:r>
          </w:p>
          <w:p w:rsidR="00D97F7E" w:rsidRPr="0067741F" w:rsidRDefault="00D97F7E" w:rsidP="00D97F7E">
            <w:pPr>
              <w:jc w:val="both"/>
              <w:rPr>
                <w:sz w:val="20"/>
                <w:lang w:val="fr-CA"/>
              </w:rPr>
            </w:pPr>
            <w:r w:rsidRPr="0067741F">
              <w:rPr>
                <w:sz w:val="20"/>
                <w:lang w:val="fr-CA"/>
              </w:rPr>
              <w:t>(Juges Lederman, Corbett et Hackland)</w:t>
            </w:r>
          </w:p>
          <w:p w:rsidR="00D97F7E" w:rsidRPr="0067741F" w:rsidRDefault="00FE4582" w:rsidP="00D97F7E">
            <w:pPr>
              <w:jc w:val="both"/>
              <w:rPr>
                <w:sz w:val="20"/>
                <w:lang w:val="fr-CA"/>
              </w:rPr>
            </w:pPr>
            <w:hyperlink r:id="rId37" w:history="1">
              <w:r w:rsidR="00D97F7E" w:rsidRPr="0067741F">
                <w:rPr>
                  <w:rStyle w:val="Hyperlink"/>
                  <w:sz w:val="20"/>
                  <w:lang w:val="fr-CA"/>
                </w:rPr>
                <w:t>2016 ONSC 2061</w:t>
              </w:r>
            </w:hyperlink>
          </w:p>
          <w:p w:rsidR="00D97F7E" w:rsidRPr="0067741F" w:rsidRDefault="00D97F7E" w:rsidP="00D97F7E">
            <w:pPr>
              <w:jc w:val="both"/>
              <w:rPr>
                <w:sz w:val="20"/>
                <w:lang w:val="fr-CA"/>
              </w:rPr>
            </w:pPr>
          </w:p>
        </w:tc>
        <w:tc>
          <w:tcPr>
            <w:tcW w:w="243" w:type="pct"/>
          </w:tcPr>
          <w:p w:rsidR="00D97F7E" w:rsidRPr="0067741F" w:rsidRDefault="00D97F7E" w:rsidP="00D97F7E">
            <w:pPr>
              <w:jc w:val="both"/>
              <w:rPr>
                <w:sz w:val="20"/>
                <w:lang w:val="fr-CA"/>
              </w:rPr>
            </w:pPr>
          </w:p>
        </w:tc>
        <w:tc>
          <w:tcPr>
            <w:tcW w:w="2330" w:type="pct"/>
          </w:tcPr>
          <w:p w:rsidR="00D97F7E" w:rsidRPr="0067741F" w:rsidRDefault="00D97F7E" w:rsidP="00D97F7E">
            <w:pPr>
              <w:jc w:val="both"/>
              <w:rPr>
                <w:sz w:val="20"/>
                <w:lang w:val="fr-CA"/>
              </w:rPr>
            </w:pPr>
            <w:r w:rsidRPr="0067741F">
              <w:rPr>
                <w:sz w:val="20"/>
                <w:lang w:val="fr-CA"/>
              </w:rPr>
              <w:t>Rejet de la demande de contrôle judiciaire</w:t>
            </w:r>
          </w:p>
          <w:p w:rsidR="00D97F7E" w:rsidRPr="0067741F" w:rsidRDefault="00D97F7E" w:rsidP="00D97F7E">
            <w:pPr>
              <w:jc w:val="both"/>
              <w:rPr>
                <w:sz w:val="20"/>
                <w:lang w:val="fr-CA"/>
              </w:rPr>
            </w:pPr>
          </w:p>
        </w:tc>
      </w:tr>
      <w:tr w:rsidR="00D97F7E" w:rsidRPr="0067741F" w:rsidTr="00D97F7E">
        <w:tc>
          <w:tcPr>
            <w:tcW w:w="2427" w:type="pct"/>
            <w:gridSpan w:val="2"/>
          </w:tcPr>
          <w:p w:rsidR="00D97F7E" w:rsidRPr="0067741F" w:rsidRDefault="00D97F7E" w:rsidP="00D97F7E">
            <w:pPr>
              <w:jc w:val="both"/>
              <w:rPr>
                <w:sz w:val="20"/>
                <w:lang w:val="fr-CA"/>
              </w:rPr>
            </w:pPr>
            <w:r w:rsidRPr="0067741F">
              <w:rPr>
                <w:sz w:val="20"/>
                <w:lang w:val="fr-CA"/>
              </w:rPr>
              <w:t>5 septembre 2017</w:t>
            </w:r>
          </w:p>
          <w:p w:rsidR="00D97F7E" w:rsidRPr="0067741F" w:rsidRDefault="00D97F7E" w:rsidP="00D97F7E">
            <w:pPr>
              <w:jc w:val="both"/>
              <w:rPr>
                <w:sz w:val="20"/>
                <w:lang w:val="fr-CA"/>
              </w:rPr>
            </w:pPr>
            <w:r w:rsidRPr="0067741F">
              <w:rPr>
                <w:sz w:val="20"/>
                <w:lang w:val="fr-CA"/>
              </w:rPr>
              <w:t>Cour d’appel de l’Ontario</w:t>
            </w:r>
          </w:p>
          <w:p w:rsidR="00D97F7E" w:rsidRPr="0067741F" w:rsidRDefault="00D97F7E" w:rsidP="00D97F7E">
            <w:pPr>
              <w:jc w:val="both"/>
              <w:rPr>
                <w:sz w:val="20"/>
                <w:lang w:val="fr-CA"/>
              </w:rPr>
            </w:pPr>
            <w:r w:rsidRPr="0067741F">
              <w:rPr>
                <w:sz w:val="20"/>
                <w:lang w:val="fr-CA"/>
              </w:rPr>
              <w:t>(Juges Strathy, Cronk et Pepall)</w:t>
            </w:r>
          </w:p>
          <w:p w:rsidR="00D97F7E" w:rsidRPr="0067741F" w:rsidRDefault="00FE4582" w:rsidP="00D97F7E">
            <w:pPr>
              <w:jc w:val="both"/>
              <w:rPr>
                <w:sz w:val="20"/>
                <w:lang w:val="fr-CA"/>
              </w:rPr>
            </w:pPr>
            <w:hyperlink r:id="rId38" w:history="1">
              <w:r w:rsidR="00D97F7E" w:rsidRPr="0067741F">
                <w:rPr>
                  <w:rStyle w:val="Hyperlink"/>
                  <w:sz w:val="20"/>
                  <w:lang w:val="fr-CA"/>
                </w:rPr>
                <w:t>2017 ONCA 680</w:t>
              </w:r>
            </w:hyperlink>
          </w:p>
          <w:p w:rsidR="00D97F7E" w:rsidRPr="0067741F" w:rsidRDefault="00D97F7E" w:rsidP="00D97F7E">
            <w:pPr>
              <w:jc w:val="both"/>
              <w:rPr>
                <w:sz w:val="20"/>
                <w:lang w:val="fr-CA"/>
              </w:rPr>
            </w:pPr>
          </w:p>
        </w:tc>
        <w:tc>
          <w:tcPr>
            <w:tcW w:w="243" w:type="pct"/>
          </w:tcPr>
          <w:p w:rsidR="00D97F7E" w:rsidRPr="0067741F" w:rsidRDefault="00D97F7E" w:rsidP="00D97F7E">
            <w:pPr>
              <w:jc w:val="both"/>
              <w:rPr>
                <w:sz w:val="20"/>
                <w:lang w:val="fr-CA"/>
              </w:rPr>
            </w:pPr>
          </w:p>
        </w:tc>
        <w:tc>
          <w:tcPr>
            <w:tcW w:w="2330" w:type="pct"/>
          </w:tcPr>
          <w:p w:rsidR="00D97F7E" w:rsidRPr="0067741F" w:rsidRDefault="00D97F7E" w:rsidP="00D97F7E">
            <w:pPr>
              <w:jc w:val="both"/>
              <w:rPr>
                <w:sz w:val="20"/>
                <w:lang w:val="fr-CA"/>
              </w:rPr>
            </w:pPr>
            <w:r w:rsidRPr="0067741F">
              <w:rPr>
                <w:sz w:val="20"/>
                <w:lang w:val="fr-CA"/>
              </w:rPr>
              <w:t>Rejet de l’appel</w:t>
            </w:r>
          </w:p>
          <w:p w:rsidR="00D97F7E" w:rsidRPr="0067741F" w:rsidRDefault="00D97F7E" w:rsidP="00D97F7E">
            <w:pPr>
              <w:jc w:val="both"/>
              <w:rPr>
                <w:sz w:val="20"/>
                <w:lang w:val="fr-CA"/>
              </w:rPr>
            </w:pPr>
          </w:p>
        </w:tc>
      </w:tr>
      <w:tr w:rsidR="00D97F7E" w:rsidRPr="00C15495" w:rsidTr="00D97F7E">
        <w:tc>
          <w:tcPr>
            <w:tcW w:w="2427" w:type="pct"/>
            <w:gridSpan w:val="2"/>
          </w:tcPr>
          <w:p w:rsidR="00D97F7E" w:rsidRPr="0067741F" w:rsidRDefault="00D97F7E" w:rsidP="00D97F7E">
            <w:pPr>
              <w:jc w:val="both"/>
              <w:rPr>
                <w:sz w:val="20"/>
                <w:lang w:val="fr-CA"/>
              </w:rPr>
            </w:pPr>
            <w:r w:rsidRPr="0067741F">
              <w:rPr>
                <w:sz w:val="20"/>
                <w:lang w:val="fr-CA"/>
              </w:rPr>
              <w:t>2 novembre 2017</w:t>
            </w:r>
          </w:p>
          <w:p w:rsidR="00D97F7E" w:rsidRPr="0067741F" w:rsidRDefault="00D97F7E" w:rsidP="00D97F7E">
            <w:pPr>
              <w:jc w:val="both"/>
              <w:rPr>
                <w:sz w:val="20"/>
                <w:lang w:val="fr-CA"/>
              </w:rPr>
            </w:pPr>
            <w:r w:rsidRPr="0067741F">
              <w:rPr>
                <w:sz w:val="20"/>
                <w:lang w:val="fr-CA"/>
              </w:rPr>
              <w:t>Cour suprême du Canada</w:t>
            </w:r>
          </w:p>
        </w:tc>
        <w:tc>
          <w:tcPr>
            <w:tcW w:w="243" w:type="pct"/>
          </w:tcPr>
          <w:p w:rsidR="00D97F7E" w:rsidRPr="0067741F" w:rsidRDefault="00D97F7E" w:rsidP="00D97F7E">
            <w:pPr>
              <w:jc w:val="both"/>
              <w:rPr>
                <w:sz w:val="20"/>
                <w:lang w:val="fr-CA"/>
              </w:rPr>
            </w:pPr>
          </w:p>
        </w:tc>
        <w:tc>
          <w:tcPr>
            <w:tcW w:w="2330" w:type="pct"/>
          </w:tcPr>
          <w:p w:rsidR="00D97F7E" w:rsidRPr="0067741F" w:rsidRDefault="00D97F7E" w:rsidP="00D97F7E">
            <w:pPr>
              <w:jc w:val="both"/>
              <w:rPr>
                <w:sz w:val="20"/>
                <w:lang w:val="fr-CA"/>
              </w:rPr>
            </w:pPr>
            <w:r w:rsidRPr="0067741F">
              <w:rPr>
                <w:sz w:val="20"/>
                <w:lang w:val="fr-CA"/>
              </w:rPr>
              <w:t>Dépôt de la demande d’autorisation d’appel</w:t>
            </w:r>
          </w:p>
          <w:p w:rsidR="00D97F7E" w:rsidRPr="0067741F" w:rsidRDefault="00D97F7E" w:rsidP="00D97F7E">
            <w:pPr>
              <w:jc w:val="both"/>
              <w:rPr>
                <w:sz w:val="20"/>
                <w:lang w:val="fr-CA"/>
              </w:rPr>
            </w:pPr>
          </w:p>
        </w:tc>
      </w:tr>
    </w:tbl>
    <w:p w:rsidR="00D97F7E" w:rsidRPr="0067741F" w:rsidRDefault="00D97F7E" w:rsidP="00D97F7E">
      <w:pPr>
        <w:jc w:val="both"/>
        <w:rPr>
          <w:sz w:val="20"/>
          <w:lang w:val="fr-CA"/>
        </w:rPr>
      </w:pPr>
    </w:p>
    <w:p w:rsidR="00D97F7E" w:rsidRPr="0067741F" w:rsidRDefault="00D97F7E" w:rsidP="00D97F7E">
      <w:pPr>
        <w:jc w:val="both"/>
        <w:rPr>
          <w:sz w:val="20"/>
          <w:lang w:val="fr-CA"/>
        </w:rPr>
      </w:pPr>
    </w:p>
    <w:p w:rsidR="00D97F7E" w:rsidRPr="00C040D9" w:rsidRDefault="00D97F7E">
      <w:pPr>
        <w:rPr>
          <w:lang w:val="fr-CA"/>
        </w:rPr>
      </w:pPr>
      <w:r w:rsidRPr="00C040D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F7E" w:rsidRPr="0067741F" w:rsidTr="00D97F7E">
        <w:tc>
          <w:tcPr>
            <w:tcW w:w="543" w:type="pct"/>
          </w:tcPr>
          <w:p w:rsidR="00D97F7E" w:rsidRPr="0067741F" w:rsidRDefault="00D97F7E" w:rsidP="00D97F7E">
            <w:pPr>
              <w:jc w:val="both"/>
              <w:rPr>
                <w:sz w:val="20"/>
              </w:rPr>
            </w:pPr>
            <w:r w:rsidRPr="0067741F">
              <w:rPr>
                <w:rStyle w:val="SCCFileNumberChar"/>
                <w:sz w:val="20"/>
                <w:szCs w:val="20"/>
              </w:rPr>
              <w:lastRenderedPageBreak/>
              <w:t>37793</w:t>
            </w:r>
          </w:p>
        </w:tc>
        <w:tc>
          <w:tcPr>
            <w:tcW w:w="4457" w:type="pct"/>
            <w:gridSpan w:val="3"/>
          </w:tcPr>
          <w:p w:rsidR="00D97F7E" w:rsidRPr="0067741F" w:rsidRDefault="00D97F7E" w:rsidP="00D97F7E">
            <w:pPr>
              <w:pStyle w:val="SCCLsocParty"/>
              <w:jc w:val="both"/>
              <w:rPr>
                <w:b/>
                <w:sz w:val="20"/>
                <w:szCs w:val="20"/>
                <w:lang w:val="en-US"/>
              </w:rPr>
            </w:pPr>
            <w:r w:rsidRPr="0067741F">
              <w:rPr>
                <w:b/>
                <w:sz w:val="20"/>
                <w:szCs w:val="20"/>
                <w:lang w:val="en-US"/>
              </w:rPr>
              <w:t>Mohamed Zeki Mahjoub v. The Minister of Citizenship and Immigration, The Minister of Public Safety and Emergency Preparedness</w:t>
            </w:r>
          </w:p>
          <w:p w:rsidR="00D97F7E" w:rsidRPr="0067741F" w:rsidRDefault="00D97F7E" w:rsidP="00D97F7E">
            <w:pPr>
              <w:jc w:val="both"/>
              <w:rPr>
                <w:sz w:val="20"/>
              </w:rPr>
            </w:pPr>
            <w:r w:rsidRPr="0067741F">
              <w:rPr>
                <w:sz w:val="20"/>
              </w:rPr>
              <w:t>(F.C.) (Civil) (By Leave)</w:t>
            </w:r>
          </w:p>
        </w:tc>
      </w:tr>
      <w:tr w:rsidR="00A46181" w:rsidRPr="0067741F" w:rsidTr="00A46181">
        <w:tc>
          <w:tcPr>
            <w:tcW w:w="5000" w:type="pct"/>
            <w:gridSpan w:val="4"/>
          </w:tcPr>
          <w:p w:rsidR="00A46181" w:rsidRPr="00A46181" w:rsidRDefault="00A46181" w:rsidP="00D97F7E">
            <w:pPr>
              <w:pStyle w:val="SCCLsocParty"/>
              <w:jc w:val="both"/>
              <w:rPr>
                <w:b/>
                <w:sz w:val="20"/>
                <w:szCs w:val="20"/>
                <w:lang w:val="en-US"/>
              </w:rPr>
            </w:pPr>
            <w:r w:rsidRPr="00A46181">
              <w:rPr>
                <w:sz w:val="20"/>
                <w:lang w:val="en-US"/>
              </w:rPr>
              <w:t>The motion to file a single application for leave to appeal from the three Court of Appeal orders is granted. The application for leave to appeal from the judgment of the Federal Court of Appeal, Numbers A-478-14, A-313-12 and A-479-14, 2017 FCA 157,  dated July 19, 2017, is dismissed without costs.</w:t>
            </w:r>
          </w:p>
        </w:tc>
      </w:tr>
      <w:tr w:rsidR="00D97F7E" w:rsidRPr="0067741F" w:rsidTr="00D97F7E">
        <w:tc>
          <w:tcPr>
            <w:tcW w:w="5000" w:type="pct"/>
            <w:gridSpan w:val="4"/>
          </w:tcPr>
          <w:p w:rsidR="00D97F7E" w:rsidRPr="0067741F" w:rsidRDefault="00D97F7E" w:rsidP="00D97F7E">
            <w:pPr>
              <w:jc w:val="both"/>
              <w:rPr>
                <w:sz w:val="20"/>
              </w:rPr>
            </w:pPr>
            <w:r w:rsidRPr="0067741F">
              <w:rPr>
                <w:sz w:val="20"/>
              </w:rPr>
              <w:t xml:space="preserve">Constitutional law — </w:t>
            </w:r>
            <w:r w:rsidRPr="0067741F">
              <w:rPr>
                <w:i/>
                <w:sz w:val="20"/>
              </w:rPr>
              <w:t>Charter of Rights</w:t>
            </w:r>
            <w:r w:rsidRPr="0067741F">
              <w:rPr>
                <w:sz w:val="20"/>
              </w:rPr>
              <w:t xml:space="preserve"> — Fundamental justice — Immigration — Security certificate — Whether the certificate proceeding was unfair — Whether the state’s conduct undermined the integrity of the judicial system requiring a stay of proceedings or quashing of the security certificate — Whether the CSIS’s treatment of solicitor-client communications was so abhorrent to our system of justice or unfair that the security certificate proceedings should have been stayed — Whether the lower courts erred in law in interpreting and applying </w:t>
            </w:r>
            <w:r w:rsidRPr="0067741F">
              <w:rPr>
                <w:i/>
                <w:sz w:val="20"/>
              </w:rPr>
              <w:t>Atwal v. Canada</w:t>
            </w:r>
            <w:r w:rsidRPr="0067741F">
              <w:rPr>
                <w:sz w:val="20"/>
              </w:rPr>
              <w:t xml:space="preserve">, [1988] 1 F.C. 107, ruling and </w:t>
            </w:r>
            <w:r w:rsidRPr="0067741F">
              <w:rPr>
                <w:i/>
                <w:sz w:val="20"/>
              </w:rPr>
              <w:t>Solosky v. The Queen</w:t>
            </w:r>
            <w:r w:rsidRPr="0067741F">
              <w:rPr>
                <w:sz w:val="20"/>
              </w:rPr>
              <w:t xml:space="preserve">, [1980] 1 S.C.R. 821, ruling — Whether the warrants issued and executed under CSIS policy OPS 211 and the underlying investigation and security certificate was unlawful and unconstitutional — Whether the conclusion that the prejudice based on hearsay evidence had been rebutted was lawful — Whether the order requiring the separation of the documents seized was lawful — Whether the lower courts erred in law regarding the prejudice created by various other breaches — Whether the lower courts erred in law regarding the Ministers’ failure to read the supporting documents of the Security Intelligence Report — Whether the lower courts erred in law regarding CSIS’s breach of the duty of candor — Whether the lower courts erred in law in inferring membership in a terrorist group and danger to national security, by adopting overbroad definition of membership and past danger to national security, or by applying the reasonable grounds to believe standard to determine underlying facts not captured by s. 33 from which inferences can be drawn — Whether ss. 12 and 21 of the </w:t>
            </w:r>
            <w:r w:rsidRPr="0067741F">
              <w:rPr>
                <w:i/>
                <w:sz w:val="20"/>
              </w:rPr>
              <w:t>Canadian Security Intelligence Service Act</w:t>
            </w:r>
            <w:r w:rsidRPr="0067741F">
              <w:rPr>
                <w:sz w:val="20"/>
              </w:rPr>
              <w:t xml:space="preserve">, R.S.C. 1985, c. C-23, violate ss. 7 and 8 of the </w:t>
            </w:r>
            <w:r w:rsidRPr="0067741F">
              <w:rPr>
                <w:i/>
                <w:sz w:val="20"/>
              </w:rPr>
              <w:t>Charter</w:t>
            </w:r>
            <w:r w:rsidRPr="0067741F">
              <w:rPr>
                <w:sz w:val="20"/>
              </w:rPr>
              <w:t xml:space="preserve"> — Whether the </w:t>
            </w:r>
            <w:r w:rsidRPr="0067741F">
              <w:rPr>
                <w:i/>
                <w:sz w:val="20"/>
              </w:rPr>
              <w:t>Immigration and Refugee Protection Act</w:t>
            </w:r>
            <w:r w:rsidRPr="0067741F">
              <w:rPr>
                <w:sz w:val="20"/>
              </w:rPr>
              <w:t xml:space="preserve">, S.C. 2001, c. 27, violates s. 7 of the </w:t>
            </w:r>
            <w:r w:rsidRPr="0067741F">
              <w:rPr>
                <w:i/>
                <w:sz w:val="20"/>
              </w:rPr>
              <w:t>Charter</w:t>
            </w:r>
            <w:r w:rsidRPr="0067741F">
              <w:rPr>
                <w:sz w:val="20"/>
              </w:rPr>
              <w:t xml:space="preserve"> either by denying the right to public counsel of choice to act in the </w:t>
            </w:r>
            <w:r w:rsidRPr="0067741F">
              <w:rPr>
                <w:i/>
                <w:sz w:val="20"/>
              </w:rPr>
              <w:t>ex parte</w:t>
            </w:r>
            <w:r w:rsidRPr="0067741F">
              <w:rPr>
                <w:sz w:val="20"/>
              </w:rPr>
              <w:t xml:space="preserve"> proceedings as special advocate or by its effect — Whether the standard at s. 33 of the </w:t>
            </w:r>
            <w:r w:rsidRPr="0067741F">
              <w:rPr>
                <w:i/>
                <w:sz w:val="20"/>
              </w:rPr>
              <w:t>Immigration and Refugee Protection Act</w:t>
            </w:r>
            <w:r w:rsidRPr="0067741F">
              <w:rPr>
                <w:sz w:val="20"/>
              </w:rPr>
              <w:t xml:space="preserve"> unconstitutional in its combined effect with s. 77 of the </w:t>
            </w:r>
            <w:r w:rsidRPr="0067741F">
              <w:rPr>
                <w:i/>
                <w:sz w:val="20"/>
              </w:rPr>
              <w:t>Immigration and Refugee Protection Act</w:t>
            </w:r>
            <w:r w:rsidRPr="0067741F">
              <w:rPr>
                <w:sz w:val="20"/>
              </w:rPr>
              <w:t>.</w:t>
            </w:r>
          </w:p>
        </w:tc>
      </w:tr>
      <w:tr w:rsidR="00D97F7E" w:rsidRPr="0067741F" w:rsidTr="00D97F7E">
        <w:tc>
          <w:tcPr>
            <w:tcW w:w="5000" w:type="pct"/>
            <w:gridSpan w:val="4"/>
          </w:tcPr>
          <w:p w:rsidR="00D97F7E" w:rsidRPr="0067741F" w:rsidRDefault="00D97F7E" w:rsidP="00D97F7E">
            <w:pPr>
              <w:jc w:val="both"/>
              <w:rPr>
                <w:sz w:val="20"/>
              </w:rPr>
            </w:pPr>
          </w:p>
        </w:tc>
      </w:tr>
      <w:tr w:rsidR="00D97F7E" w:rsidRPr="0067741F" w:rsidTr="00D97F7E">
        <w:tc>
          <w:tcPr>
            <w:tcW w:w="5000" w:type="pct"/>
            <w:gridSpan w:val="4"/>
          </w:tcPr>
          <w:p w:rsidR="00D97F7E" w:rsidRPr="0067741F" w:rsidRDefault="00D97F7E" w:rsidP="00D97F7E">
            <w:pPr>
              <w:jc w:val="both"/>
              <w:rPr>
                <w:sz w:val="20"/>
                <w:lang w:eastAsia="en-CA"/>
              </w:rPr>
            </w:pPr>
            <w:r w:rsidRPr="0067741F">
              <w:rPr>
                <w:sz w:val="20"/>
                <w:lang w:eastAsia="en-CA"/>
              </w:rPr>
              <w:t xml:space="preserve">In February 2008, after an earlier security certificate issued in relation to Mr. Mahjoub had been declared invalid by </w:t>
            </w:r>
            <w:r w:rsidRPr="0067741F">
              <w:rPr>
                <w:i/>
                <w:sz w:val="20"/>
                <w:lang w:eastAsia="en-CA"/>
              </w:rPr>
              <w:t>Charkaoui v. Canada</w:t>
            </w:r>
            <w:r w:rsidRPr="0067741F">
              <w:rPr>
                <w:sz w:val="20"/>
                <w:lang w:eastAsia="en-CA"/>
              </w:rPr>
              <w:t xml:space="preserve">, 2007 SCC 9. Before the suspension of that declaration expired, the Ministers of Public Safety and Emergency Preparedness and Citizenship and Immigration signed a new security certificate in relation to Mr. Mahjoub under s. 77(1) of the </w:t>
            </w:r>
            <w:r w:rsidRPr="0067741F">
              <w:rPr>
                <w:i/>
                <w:sz w:val="20"/>
                <w:lang w:eastAsia="en-CA"/>
              </w:rPr>
              <w:t>Immigration and Refugee Protection Act</w:t>
            </w:r>
            <w:r w:rsidRPr="0067741F">
              <w:rPr>
                <w:sz w:val="20"/>
                <w:lang w:eastAsia="en-CA"/>
              </w:rPr>
              <w:t xml:space="preserve">, S.C. 2001, c. 27 (the “IRPA”). It stated that Mr. Mahjoub, an Egyptian national who had been granted refugee status in Canada, is not admissible to Canada on grounds of security for the reasons described in section 34(1)(b), (c), (d) and (f) of the </w:t>
            </w:r>
            <w:r w:rsidRPr="0067741F">
              <w:rPr>
                <w:i/>
                <w:sz w:val="20"/>
                <w:lang w:eastAsia="en-CA"/>
              </w:rPr>
              <w:t>Immigration and Refugee Protection Act</w:t>
            </w:r>
            <w:r w:rsidRPr="0067741F">
              <w:rPr>
                <w:sz w:val="20"/>
                <w:lang w:eastAsia="en-CA"/>
              </w:rPr>
              <w:t xml:space="preserve">. Shortly after the new security certificate was issued, </w:t>
            </w:r>
            <w:r w:rsidRPr="0067741F">
              <w:rPr>
                <w:i/>
                <w:sz w:val="20"/>
                <w:lang w:eastAsia="en-CA"/>
              </w:rPr>
              <w:t>Charkaoui v. Canada</w:t>
            </w:r>
            <w:r w:rsidRPr="0067741F">
              <w:rPr>
                <w:sz w:val="20"/>
                <w:lang w:eastAsia="en-CA"/>
              </w:rPr>
              <w:t xml:space="preserve">, 2008 SCC 38, was released. Mr. Mahjoub was arrested and detained, and, as required by s. 77 of the IRPA, the Ministers referred the security certificate to the Federal Court for determination of its reasonableness. After Mr. Mahjoub’s arrest, certain communications between himself and his solicitor had been intercepted under national security warrants authorized by s. 21 of the </w:t>
            </w:r>
            <w:r w:rsidRPr="0067741F">
              <w:rPr>
                <w:i/>
                <w:sz w:val="20"/>
                <w:lang w:eastAsia="en-CA"/>
              </w:rPr>
              <w:t>Canadian Security Intelligence Service Act</w:t>
            </w:r>
            <w:r w:rsidRPr="0067741F">
              <w:rPr>
                <w:sz w:val="20"/>
                <w:lang w:eastAsia="en-CA"/>
              </w:rPr>
              <w:t>, R.S.C. 1985, c. C-23. In addition, some of Mr. Mahjoub’s privileged materials were inadvertently commingled with the Ministers’ materials. When the commingling was discovered the assistants stopped.</w:t>
            </w:r>
          </w:p>
          <w:p w:rsidR="00D97F7E" w:rsidRPr="0067741F" w:rsidRDefault="00D97F7E" w:rsidP="00D97F7E">
            <w:pPr>
              <w:jc w:val="both"/>
              <w:rPr>
                <w:sz w:val="20"/>
                <w:lang w:eastAsia="en-CA"/>
              </w:rPr>
            </w:pPr>
          </w:p>
          <w:p w:rsidR="00D97F7E" w:rsidRPr="0067741F" w:rsidRDefault="00D97F7E" w:rsidP="00D97F7E">
            <w:pPr>
              <w:jc w:val="both"/>
              <w:rPr>
                <w:sz w:val="20"/>
                <w:lang w:eastAsia="en-CA"/>
              </w:rPr>
            </w:pPr>
            <w:r w:rsidRPr="0067741F">
              <w:rPr>
                <w:sz w:val="20"/>
                <w:lang w:eastAsia="en-CA"/>
              </w:rPr>
              <w:t xml:space="preserve">Before ruling on Mr. Mahjoub’s motion for a stay, the Federal Court established a process for separating the documents. </w:t>
            </w:r>
            <w:r w:rsidRPr="0067741F">
              <w:rPr>
                <w:sz w:val="20"/>
              </w:rPr>
              <w:t>The Federal Court found that there were reasonable grounds to believe that two grounds of inadmissibility were present: danger to the security of Canada, under s. 34(1)(d), and membership in two organizations that engaged in subversion by force and terrorism, under s. 34(1)(f). The appeal was dismissed.</w:t>
            </w:r>
          </w:p>
          <w:p w:rsidR="00D97F7E" w:rsidRPr="0067741F" w:rsidRDefault="00D97F7E" w:rsidP="00D97F7E">
            <w:pPr>
              <w:jc w:val="both"/>
              <w:rPr>
                <w:sz w:val="20"/>
              </w:rPr>
            </w:pPr>
          </w:p>
        </w:tc>
      </w:tr>
      <w:tr w:rsidR="00D97F7E" w:rsidRPr="0067741F" w:rsidTr="00D97F7E">
        <w:tc>
          <w:tcPr>
            <w:tcW w:w="2427" w:type="pct"/>
            <w:gridSpan w:val="2"/>
          </w:tcPr>
          <w:p w:rsidR="00D97F7E" w:rsidRPr="0067741F" w:rsidRDefault="00D97F7E" w:rsidP="00D97F7E">
            <w:pPr>
              <w:jc w:val="both"/>
              <w:rPr>
                <w:sz w:val="20"/>
              </w:rPr>
            </w:pPr>
            <w:r w:rsidRPr="0067741F">
              <w:rPr>
                <w:sz w:val="20"/>
              </w:rPr>
              <w:t>October 25, 2013</w:t>
            </w:r>
          </w:p>
          <w:p w:rsidR="00D97F7E" w:rsidRPr="0067741F" w:rsidRDefault="00D97F7E" w:rsidP="00D97F7E">
            <w:pPr>
              <w:jc w:val="both"/>
              <w:rPr>
                <w:sz w:val="20"/>
              </w:rPr>
            </w:pPr>
            <w:r w:rsidRPr="0067741F">
              <w:rPr>
                <w:sz w:val="20"/>
              </w:rPr>
              <w:t>Federal Court</w:t>
            </w:r>
          </w:p>
          <w:p w:rsidR="00D97F7E" w:rsidRPr="0067741F" w:rsidRDefault="00D97F7E" w:rsidP="00D97F7E">
            <w:pPr>
              <w:jc w:val="both"/>
              <w:rPr>
                <w:sz w:val="20"/>
              </w:rPr>
            </w:pPr>
            <w:r w:rsidRPr="0067741F">
              <w:rPr>
                <w:sz w:val="20"/>
              </w:rPr>
              <w:t>(Blanchard J.)</w:t>
            </w:r>
          </w:p>
          <w:p w:rsidR="00D97F7E" w:rsidRPr="0067741F" w:rsidRDefault="00D97F7E" w:rsidP="00D97F7E">
            <w:pPr>
              <w:jc w:val="both"/>
              <w:rPr>
                <w:sz w:val="20"/>
              </w:rPr>
            </w:pPr>
            <w:r w:rsidRPr="0067741F">
              <w:rPr>
                <w:sz w:val="20"/>
              </w:rPr>
              <w:t>2013 FC 1097</w:t>
            </w:r>
          </w:p>
          <w:p w:rsidR="00D97F7E" w:rsidRPr="0067741F" w:rsidRDefault="00D97F7E" w:rsidP="00D97F7E">
            <w:pPr>
              <w:jc w:val="both"/>
              <w:rPr>
                <w:sz w:val="20"/>
              </w:rPr>
            </w:pPr>
          </w:p>
        </w:tc>
        <w:tc>
          <w:tcPr>
            <w:tcW w:w="243" w:type="pct"/>
          </w:tcPr>
          <w:p w:rsidR="00D97F7E" w:rsidRPr="0067741F" w:rsidRDefault="00D97F7E" w:rsidP="00D97F7E">
            <w:pPr>
              <w:jc w:val="both"/>
              <w:rPr>
                <w:sz w:val="20"/>
              </w:rPr>
            </w:pPr>
          </w:p>
        </w:tc>
        <w:tc>
          <w:tcPr>
            <w:tcW w:w="2330" w:type="pct"/>
          </w:tcPr>
          <w:p w:rsidR="00D97F7E" w:rsidRPr="0067741F" w:rsidRDefault="00D97F7E" w:rsidP="00D97F7E">
            <w:pPr>
              <w:jc w:val="both"/>
              <w:rPr>
                <w:sz w:val="20"/>
              </w:rPr>
            </w:pPr>
            <w:r w:rsidRPr="0067741F">
              <w:rPr>
                <w:sz w:val="20"/>
              </w:rPr>
              <w:t xml:space="preserve">Security certificate signed pursuant to s. 77(1) of the </w:t>
            </w:r>
            <w:r w:rsidRPr="0067741F">
              <w:rPr>
                <w:i/>
                <w:sz w:val="20"/>
              </w:rPr>
              <w:t>Immigration and Refugee Protection Act</w:t>
            </w:r>
            <w:r w:rsidRPr="0067741F">
              <w:rPr>
                <w:sz w:val="20"/>
              </w:rPr>
              <w:t xml:space="preserve"> dated February 22, 2008, naming Mr. Mahjoub is reasonable</w:t>
            </w:r>
          </w:p>
        </w:tc>
      </w:tr>
      <w:tr w:rsidR="00D97F7E" w:rsidRPr="0067741F" w:rsidTr="00D97F7E">
        <w:tc>
          <w:tcPr>
            <w:tcW w:w="2427" w:type="pct"/>
            <w:gridSpan w:val="2"/>
          </w:tcPr>
          <w:p w:rsidR="00D97F7E" w:rsidRPr="0067741F" w:rsidRDefault="00D97F7E" w:rsidP="00D97F7E">
            <w:pPr>
              <w:jc w:val="both"/>
              <w:rPr>
                <w:sz w:val="20"/>
              </w:rPr>
            </w:pPr>
            <w:r w:rsidRPr="0067741F">
              <w:rPr>
                <w:sz w:val="20"/>
              </w:rPr>
              <w:t>July 19, 2017</w:t>
            </w:r>
          </w:p>
          <w:p w:rsidR="00D97F7E" w:rsidRPr="0067741F" w:rsidRDefault="00D97F7E" w:rsidP="00D97F7E">
            <w:pPr>
              <w:jc w:val="both"/>
              <w:rPr>
                <w:sz w:val="20"/>
              </w:rPr>
            </w:pPr>
            <w:r w:rsidRPr="0067741F">
              <w:rPr>
                <w:sz w:val="20"/>
              </w:rPr>
              <w:lastRenderedPageBreak/>
              <w:t>Federal Court of Appeal</w:t>
            </w:r>
          </w:p>
          <w:p w:rsidR="00D97F7E" w:rsidRPr="0067741F" w:rsidRDefault="00D97F7E" w:rsidP="00D97F7E">
            <w:pPr>
              <w:jc w:val="both"/>
              <w:rPr>
                <w:sz w:val="20"/>
              </w:rPr>
            </w:pPr>
            <w:r w:rsidRPr="0067741F">
              <w:rPr>
                <w:sz w:val="20"/>
              </w:rPr>
              <w:t>(Stratas, Boivin, Woods JJ.A.)</w:t>
            </w:r>
          </w:p>
          <w:p w:rsidR="00D97F7E" w:rsidRPr="0067741F" w:rsidRDefault="00FE4582" w:rsidP="00D97F7E">
            <w:pPr>
              <w:jc w:val="both"/>
              <w:rPr>
                <w:sz w:val="20"/>
              </w:rPr>
            </w:pPr>
            <w:hyperlink r:id="rId39" w:history="1">
              <w:r w:rsidR="00D97F7E" w:rsidRPr="0067741F">
                <w:rPr>
                  <w:rStyle w:val="Hyperlink"/>
                  <w:sz w:val="20"/>
                </w:rPr>
                <w:t>2017 FCA 157</w:t>
              </w:r>
            </w:hyperlink>
          </w:p>
          <w:p w:rsidR="00D97F7E" w:rsidRPr="0067741F" w:rsidRDefault="00D97F7E" w:rsidP="00D97F7E">
            <w:pPr>
              <w:jc w:val="both"/>
              <w:rPr>
                <w:sz w:val="20"/>
              </w:rPr>
            </w:pPr>
          </w:p>
        </w:tc>
        <w:tc>
          <w:tcPr>
            <w:tcW w:w="243" w:type="pct"/>
          </w:tcPr>
          <w:p w:rsidR="00D97F7E" w:rsidRPr="0067741F" w:rsidRDefault="00D97F7E" w:rsidP="00D97F7E">
            <w:pPr>
              <w:jc w:val="both"/>
              <w:rPr>
                <w:sz w:val="20"/>
              </w:rPr>
            </w:pPr>
          </w:p>
        </w:tc>
        <w:tc>
          <w:tcPr>
            <w:tcW w:w="2330" w:type="pct"/>
          </w:tcPr>
          <w:p w:rsidR="00D97F7E" w:rsidRPr="0067741F" w:rsidRDefault="00D97F7E" w:rsidP="00D97F7E">
            <w:pPr>
              <w:jc w:val="both"/>
              <w:rPr>
                <w:sz w:val="20"/>
              </w:rPr>
            </w:pPr>
            <w:r w:rsidRPr="0067741F">
              <w:rPr>
                <w:sz w:val="20"/>
              </w:rPr>
              <w:t>Appeal dismissed</w:t>
            </w:r>
          </w:p>
          <w:p w:rsidR="00D97F7E" w:rsidRPr="0067741F" w:rsidRDefault="00D97F7E" w:rsidP="00D97F7E">
            <w:pPr>
              <w:jc w:val="both"/>
              <w:rPr>
                <w:sz w:val="20"/>
              </w:rPr>
            </w:pPr>
          </w:p>
        </w:tc>
      </w:tr>
      <w:tr w:rsidR="00D97F7E" w:rsidRPr="0067741F" w:rsidTr="00D97F7E">
        <w:tc>
          <w:tcPr>
            <w:tcW w:w="2427" w:type="pct"/>
            <w:gridSpan w:val="2"/>
          </w:tcPr>
          <w:p w:rsidR="00D97F7E" w:rsidRPr="0067741F" w:rsidRDefault="00D97F7E" w:rsidP="00D97F7E">
            <w:pPr>
              <w:jc w:val="both"/>
              <w:rPr>
                <w:sz w:val="20"/>
              </w:rPr>
            </w:pPr>
            <w:r w:rsidRPr="0067741F">
              <w:rPr>
                <w:sz w:val="20"/>
              </w:rPr>
              <w:lastRenderedPageBreak/>
              <w:t>September 29, 2017</w:t>
            </w:r>
          </w:p>
          <w:p w:rsidR="00D97F7E" w:rsidRPr="0067741F" w:rsidRDefault="00D97F7E" w:rsidP="00D97F7E">
            <w:pPr>
              <w:jc w:val="both"/>
              <w:rPr>
                <w:sz w:val="20"/>
              </w:rPr>
            </w:pPr>
            <w:r w:rsidRPr="0067741F">
              <w:rPr>
                <w:sz w:val="20"/>
              </w:rPr>
              <w:t>Supreme Court of Canada</w:t>
            </w:r>
          </w:p>
        </w:tc>
        <w:tc>
          <w:tcPr>
            <w:tcW w:w="243" w:type="pct"/>
          </w:tcPr>
          <w:p w:rsidR="00D97F7E" w:rsidRPr="0067741F" w:rsidRDefault="00D97F7E" w:rsidP="00D97F7E">
            <w:pPr>
              <w:jc w:val="both"/>
              <w:rPr>
                <w:sz w:val="20"/>
              </w:rPr>
            </w:pPr>
          </w:p>
        </w:tc>
        <w:tc>
          <w:tcPr>
            <w:tcW w:w="2330" w:type="pct"/>
          </w:tcPr>
          <w:p w:rsidR="00D97F7E" w:rsidRPr="0067741F" w:rsidRDefault="00D97F7E" w:rsidP="00D97F7E">
            <w:pPr>
              <w:jc w:val="both"/>
              <w:rPr>
                <w:sz w:val="20"/>
              </w:rPr>
            </w:pPr>
            <w:r w:rsidRPr="0067741F">
              <w:rPr>
                <w:sz w:val="20"/>
              </w:rPr>
              <w:t>Application for leave to appeal filed</w:t>
            </w:r>
          </w:p>
        </w:tc>
      </w:tr>
    </w:tbl>
    <w:p w:rsidR="00D97F7E" w:rsidRPr="0067741F" w:rsidRDefault="00D97F7E" w:rsidP="00D97F7E">
      <w:pPr>
        <w:jc w:val="both"/>
        <w:rPr>
          <w:sz w:val="20"/>
        </w:rPr>
      </w:pPr>
    </w:p>
    <w:p w:rsidR="00D97F7E" w:rsidRPr="0067741F" w:rsidRDefault="00D97F7E" w:rsidP="00D97F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F7E" w:rsidRPr="0067741F" w:rsidTr="00D97F7E">
        <w:tc>
          <w:tcPr>
            <w:tcW w:w="543" w:type="pct"/>
          </w:tcPr>
          <w:p w:rsidR="00D97F7E" w:rsidRPr="0067741F" w:rsidRDefault="00D97F7E" w:rsidP="00D97F7E">
            <w:pPr>
              <w:jc w:val="both"/>
              <w:rPr>
                <w:sz w:val="20"/>
                <w:lang w:val="fr-CA"/>
              </w:rPr>
            </w:pPr>
            <w:r w:rsidRPr="0067741F">
              <w:rPr>
                <w:rStyle w:val="SCCFileNumberChar"/>
                <w:sz w:val="20"/>
                <w:szCs w:val="20"/>
                <w:lang w:val="fr-CA"/>
              </w:rPr>
              <w:t>37793</w:t>
            </w:r>
          </w:p>
        </w:tc>
        <w:tc>
          <w:tcPr>
            <w:tcW w:w="4457" w:type="pct"/>
            <w:gridSpan w:val="3"/>
          </w:tcPr>
          <w:p w:rsidR="00D97F7E" w:rsidRPr="0067741F" w:rsidRDefault="00D97F7E" w:rsidP="00D97F7E">
            <w:pPr>
              <w:pStyle w:val="SCCLsocParty"/>
              <w:jc w:val="both"/>
              <w:rPr>
                <w:b/>
                <w:sz w:val="20"/>
                <w:szCs w:val="20"/>
              </w:rPr>
            </w:pPr>
            <w:r w:rsidRPr="0067741F">
              <w:rPr>
                <w:b/>
                <w:sz w:val="20"/>
                <w:szCs w:val="20"/>
              </w:rPr>
              <w:t>Mohamed Zeki Mahjoub c. Le ministre de la Citoyenneté et de l’Immigration, le ministre de la Sécurité publique et de la Protection civile</w:t>
            </w:r>
          </w:p>
          <w:p w:rsidR="00D97F7E" w:rsidRPr="0067741F" w:rsidRDefault="00D97F7E" w:rsidP="00D97F7E">
            <w:pPr>
              <w:jc w:val="both"/>
              <w:rPr>
                <w:sz w:val="20"/>
                <w:lang w:val="fr-CA"/>
              </w:rPr>
            </w:pPr>
            <w:r w:rsidRPr="0067741F">
              <w:rPr>
                <w:sz w:val="20"/>
                <w:lang w:val="fr-CA"/>
              </w:rPr>
              <w:t>(C.F.) (Civile) (Autorisation)</w:t>
            </w:r>
          </w:p>
        </w:tc>
      </w:tr>
      <w:tr w:rsidR="00350983" w:rsidRPr="00C15495" w:rsidTr="00350983">
        <w:tc>
          <w:tcPr>
            <w:tcW w:w="5000" w:type="pct"/>
            <w:gridSpan w:val="4"/>
          </w:tcPr>
          <w:p w:rsidR="00350983" w:rsidRPr="00350983" w:rsidRDefault="00350983" w:rsidP="00D97F7E">
            <w:pPr>
              <w:pStyle w:val="SCCLsocParty"/>
              <w:jc w:val="both"/>
              <w:rPr>
                <w:b/>
                <w:sz w:val="20"/>
                <w:szCs w:val="20"/>
              </w:rPr>
            </w:pPr>
            <w:r w:rsidRPr="00350983">
              <w:rPr>
                <w:sz w:val="20"/>
              </w:rPr>
              <w:t>La requête visant à déposer une seule demande d’autorisation d’appel des trois ordonnances de la Cour d’appel est accueillie. La demande d’autorisation d’appel de l’arrêt de la Cour d’appel fédérale, numéros A-478-14, A-313-12 et A-479-14, 2017 CAF 157, daté du 19 juillet 2017, est rejetée sans dépens.</w:t>
            </w:r>
          </w:p>
        </w:tc>
      </w:tr>
      <w:tr w:rsidR="00D97F7E" w:rsidRPr="00FE4582" w:rsidTr="00D97F7E">
        <w:tc>
          <w:tcPr>
            <w:tcW w:w="5000" w:type="pct"/>
            <w:gridSpan w:val="4"/>
          </w:tcPr>
          <w:p w:rsidR="00D97F7E" w:rsidRPr="0067741F" w:rsidRDefault="00D97F7E" w:rsidP="00D97F7E">
            <w:pPr>
              <w:jc w:val="both"/>
              <w:rPr>
                <w:sz w:val="20"/>
                <w:lang w:val="fr-CA"/>
              </w:rPr>
            </w:pPr>
            <w:r w:rsidRPr="0067741F">
              <w:rPr>
                <w:sz w:val="20"/>
                <w:lang w:val="fr-CA"/>
              </w:rPr>
              <w:t xml:space="preserve">Droit constitutionnel — </w:t>
            </w:r>
            <w:r w:rsidRPr="0067741F">
              <w:rPr>
                <w:i/>
                <w:sz w:val="20"/>
                <w:lang w:val="fr-CA"/>
              </w:rPr>
              <w:t>Charte des droits</w:t>
            </w:r>
            <w:r w:rsidRPr="0067741F">
              <w:rPr>
                <w:sz w:val="20"/>
                <w:lang w:val="fr-CA"/>
              </w:rPr>
              <w:t xml:space="preserve"> — Justice fondamentale — Immigration — Certificat de sécurité — La procédure relative au certificat était-elle inéquitable? — La conduite de l’État a-t-elle miné l’intégrité du système de justice, nécessitant un arrêt des procédures ou l’annulation du certificat de sécurité? — La manière dont le SCRS a traité les communications entre l’avocat et son client était-il si abominable pour notre système de justice ou si inéquitable que la procédure relative au certificat de sécurité aurait dû être suspendue? — Les juridictions inférieures ont-elles commis une erreur de droit en interprétant et en appliquant le jugement </w:t>
            </w:r>
            <w:r w:rsidRPr="0067741F">
              <w:rPr>
                <w:i/>
                <w:sz w:val="20"/>
                <w:lang w:val="fr-CA"/>
              </w:rPr>
              <w:t>Atwal c. Canada</w:t>
            </w:r>
            <w:r w:rsidRPr="0067741F">
              <w:rPr>
                <w:sz w:val="20"/>
                <w:lang w:val="fr-CA"/>
              </w:rPr>
              <w:t xml:space="preserve">, [1988] 1 C.F. 107 et l’arrêt </w:t>
            </w:r>
            <w:r w:rsidRPr="0067741F">
              <w:rPr>
                <w:i/>
                <w:sz w:val="20"/>
                <w:lang w:val="fr-CA"/>
              </w:rPr>
              <w:t>Solosky c. La Reine</w:t>
            </w:r>
            <w:r w:rsidRPr="0067741F">
              <w:rPr>
                <w:sz w:val="20"/>
                <w:lang w:val="fr-CA"/>
              </w:rPr>
              <w:t xml:space="preserve">, [1980] 1 R.C.S. 821? — Les mandats délivrés et exécutés en application de la politique OPS 211 du SCRS, ainsi que l’enquête et le certificat de sécurité sous-jacents, étaient-ils illégaux et inconstitutionnels? — La conclusion selon laquelle le préjudice fondé sur la preuve par ouï-dire avait été réfuté était-elle légale? — L’ordonnance obligeant la séparation des documents saisis était-elle légale? — Les juridictions inférieures ont-elles commis une erreur de droit en ce qui concerne le préjudice créé par diverses autres violations? — Les juridictions inférieures ont-elles commis une erreur de droit relativement à l’omission du ministre d’avoir lu les documents justificatifs du rapport de renseignements de sécurité? — Les juridictions inférieures ont-elles commis une erreur de droit en ce qui concerne le manquement du SCRS à son obligation de franchise? — Les juridictions inférieures ont-elles commis une erreur de droit en inférant l’appartenance à un groupe terroriste et un danger passé pour la sécurité nationale, en adoptant une définition trop large de l’appartenance et du danger passé pour la sécurité nationale ou en appliquant la norme des motifs raisonnables de croire pour statuer sur les faits sous-jacents, non visés par l’art. 33, desquels des inférences peuvent être tirées? — Les art. 12 et 21 de la </w:t>
            </w:r>
            <w:r w:rsidRPr="0067741F">
              <w:rPr>
                <w:i/>
                <w:sz w:val="20"/>
                <w:lang w:val="fr-CA"/>
              </w:rPr>
              <w:t>Loi sur le Service canadien du renseignement de sécurité</w:t>
            </w:r>
            <w:r w:rsidRPr="0067741F">
              <w:rPr>
                <w:sz w:val="20"/>
                <w:lang w:val="fr-CA"/>
              </w:rPr>
              <w:t xml:space="preserve">, L.R.C. 1985, ch. C-23, violent-elles les art. 7 et 8 de la </w:t>
            </w:r>
            <w:r w:rsidRPr="0067741F">
              <w:rPr>
                <w:i/>
                <w:sz w:val="20"/>
                <w:lang w:val="fr-CA"/>
              </w:rPr>
              <w:t>Charte</w:t>
            </w:r>
            <w:r w:rsidRPr="0067741F">
              <w:rPr>
                <w:sz w:val="20"/>
                <w:lang w:val="fr-CA"/>
              </w:rPr>
              <w:t xml:space="preserve">? — La </w:t>
            </w:r>
            <w:r w:rsidRPr="0067741F">
              <w:rPr>
                <w:i/>
                <w:sz w:val="20"/>
                <w:lang w:val="fr-CA"/>
              </w:rPr>
              <w:t>Loi sur l’immigration et la protection des réfugiés</w:t>
            </w:r>
            <w:r w:rsidRPr="0067741F">
              <w:rPr>
                <w:sz w:val="20"/>
                <w:lang w:val="fr-CA"/>
              </w:rPr>
              <w:t xml:space="preserve">, L.C. 2001, ch. 27, viole-t-elle l’art. 7 de la </w:t>
            </w:r>
            <w:r w:rsidRPr="0067741F">
              <w:rPr>
                <w:i/>
                <w:sz w:val="20"/>
                <w:lang w:val="fr-CA"/>
              </w:rPr>
              <w:t>Charte</w:t>
            </w:r>
            <w:r w:rsidRPr="0067741F">
              <w:rPr>
                <w:sz w:val="20"/>
                <w:lang w:val="fr-CA"/>
              </w:rPr>
              <w:t xml:space="preserve">, soit parce qu’elle refuse le droit à l’avocat public de son choix pour agir dans la procédure </w:t>
            </w:r>
            <w:r w:rsidRPr="0067741F">
              <w:rPr>
                <w:i/>
                <w:sz w:val="20"/>
                <w:lang w:val="fr-CA"/>
              </w:rPr>
              <w:t>ex parte</w:t>
            </w:r>
            <w:r w:rsidRPr="0067741F">
              <w:rPr>
                <w:sz w:val="20"/>
                <w:lang w:val="fr-CA"/>
              </w:rPr>
              <w:t xml:space="preserve"> à titre d’avocat spécial, soit par son effet? — La norme prévue à l’art. 33 de la </w:t>
            </w:r>
            <w:r w:rsidRPr="0067741F">
              <w:rPr>
                <w:i/>
                <w:sz w:val="20"/>
                <w:lang w:val="fr-CA"/>
              </w:rPr>
              <w:t>Loi sur l’immigration et la protection des réfugiés</w:t>
            </w:r>
            <w:r w:rsidRPr="0067741F">
              <w:rPr>
                <w:sz w:val="20"/>
                <w:lang w:val="fr-CA"/>
              </w:rPr>
              <w:t xml:space="preserve"> est-elle inconstitutionnelle de par son effet combiné avec l’art. 77 de la </w:t>
            </w:r>
            <w:r w:rsidRPr="0067741F">
              <w:rPr>
                <w:i/>
                <w:sz w:val="20"/>
                <w:lang w:val="fr-CA"/>
              </w:rPr>
              <w:t>Loi sur l’immigration et la protection des réfugiés</w:t>
            </w:r>
            <w:r w:rsidRPr="0067741F">
              <w:rPr>
                <w:sz w:val="20"/>
                <w:lang w:val="fr-CA"/>
              </w:rPr>
              <w:t>?</w:t>
            </w:r>
          </w:p>
        </w:tc>
      </w:tr>
      <w:tr w:rsidR="00D97F7E" w:rsidRPr="00FE4582" w:rsidTr="00D97F7E">
        <w:tc>
          <w:tcPr>
            <w:tcW w:w="5000" w:type="pct"/>
            <w:gridSpan w:val="4"/>
          </w:tcPr>
          <w:p w:rsidR="00D97F7E" w:rsidRPr="0067741F" w:rsidRDefault="00D97F7E" w:rsidP="00D97F7E">
            <w:pPr>
              <w:jc w:val="both"/>
              <w:rPr>
                <w:sz w:val="20"/>
                <w:lang w:val="fr-CA"/>
              </w:rPr>
            </w:pPr>
          </w:p>
        </w:tc>
      </w:tr>
      <w:tr w:rsidR="00D97F7E" w:rsidRPr="0067741F" w:rsidTr="00D97F7E">
        <w:tc>
          <w:tcPr>
            <w:tcW w:w="5000" w:type="pct"/>
            <w:gridSpan w:val="4"/>
          </w:tcPr>
          <w:p w:rsidR="00D97F7E" w:rsidRPr="0067741F" w:rsidRDefault="00D97F7E" w:rsidP="00D97F7E">
            <w:pPr>
              <w:jc w:val="both"/>
              <w:rPr>
                <w:sz w:val="20"/>
                <w:lang w:val="fr-CA" w:eastAsia="en-CA"/>
              </w:rPr>
            </w:pPr>
            <w:r w:rsidRPr="0067741F">
              <w:rPr>
                <w:sz w:val="20"/>
                <w:lang w:val="fr-CA" w:eastAsia="en-CA"/>
              </w:rPr>
              <w:t xml:space="preserve">En février 2008, après qu’un certificat de sécurité antérieur délivré en rapport à M. Mahjoub a été déclaré invalide dans l’arrêt </w:t>
            </w:r>
            <w:r w:rsidRPr="0067741F">
              <w:rPr>
                <w:i/>
                <w:sz w:val="20"/>
                <w:lang w:val="fr-CA" w:eastAsia="en-CA"/>
              </w:rPr>
              <w:t>Charkaoui c. Canada</w:t>
            </w:r>
            <w:r w:rsidRPr="0067741F">
              <w:rPr>
                <w:sz w:val="20"/>
                <w:lang w:val="fr-CA" w:eastAsia="en-CA"/>
              </w:rPr>
              <w:t xml:space="preserve">, 2007 CSC 9 et avant que la suspension de cette déclaration expire, le ministre de la Sécurité publique et de la Protection civile et le ministre de la Citoyenneté et de l’Immigration ont signé un nouveau certificat de sécurité en rapport avec M. Mahjoub en application du par. 77(1) de la </w:t>
            </w:r>
            <w:r w:rsidRPr="0067741F">
              <w:rPr>
                <w:i/>
                <w:sz w:val="20"/>
                <w:lang w:val="fr-CA" w:eastAsia="en-CA"/>
              </w:rPr>
              <w:t>Loi sur l’immigration et la protection des réfugiés</w:t>
            </w:r>
            <w:r w:rsidRPr="0067741F">
              <w:rPr>
                <w:sz w:val="20"/>
                <w:lang w:val="fr-CA" w:eastAsia="en-CA"/>
              </w:rPr>
              <w:t xml:space="preserve">, L.C. 2001, ch. 27 (la « LIPR »). Ce certificat déclarait que M. Mahjoub, un ressortissant égyptien, qui s’était vu reconnaître le statut de réfugié au Canada, était interdit de territoire au Canada pour des raisons de sécurité, c’est-à-dire les raisons décrites aux alinéas 34(1)b), c), d) et f) de la </w:t>
            </w:r>
            <w:r w:rsidRPr="0067741F">
              <w:rPr>
                <w:i/>
                <w:sz w:val="20"/>
                <w:lang w:val="fr-CA" w:eastAsia="en-CA"/>
              </w:rPr>
              <w:t>Loi sur l’immigration et la protection des réfugiés</w:t>
            </w:r>
            <w:r w:rsidRPr="0067741F">
              <w:rPr>
                <w:sz w:val="20"/>
                <w:lang w:val="fr-CA" w:eastAsia="en-CA"/>
              </w:rPr>
              <w:t xml:space="preserve">. Peu de temps après la délivrance du nouveau certificat de sécurité, l’arrêt </w:t>
            </w:r>
            <w:r w:rsidRPr="0067741F">
              <w:rPr>
                <w:i/>
                <w:sz w:val="20"/>
                <w:lang w:val="fr-CA" w:eastAsia="en-CA"/>
              </w:rPr>
              <w:t>Charkaoui c. Canada</w:t>
            </w:r>
            <w:r w:rsidRPr="0067741F">
              <w:rPr>
                <w:sz w:val="20"/>
                <w:lang w:val="fr-CA" w:eastAsia="en-CA"/>
              </w:rPr>
              <w:t xml:space="preserve">, 2008 CSC 38, a été rendu. Monsieur Mahjoub a été arrêté et détenu et, comme le prescrit l’art. 77 de la LIPR, les ministres ont présenté le certificat à la Cour fédérale pour qu’elle statue sur son caractère raisonnable. Après l’arrestation de M. Mahjoub, certaines communications entre lui et son avocat ont été interceptées en exécution de mandats de sécurité nationale autorisés par l’art. 21 de la </w:t>
            </w:r>
            <w:r w:rsidRPr="0067741F">
              <w:rPr>
                <w:i/>
                <w:sz w:val="20"/>
                <w:lang w:val="fr-CA" w:eastAsia="en-CA"/>
              </w:rPr>
              <w:t>Loi sur le Service canadien du renseignement de sécurité</w:t>
            </w:r>
            <w:r w:rsidRPr="0067741F">
              <w:rPr>
                <w:sz w:val="20"/>
                <w:lang w:val="fr-CA" w:eastAsia="en-CA"/>
              </w:rPr>
              <w:t xml:space="preserve">, L.R.C. 1985, ch. C-23. De plus, certains </w:t>
            </w:r>
            <w:r w:rsidRPr="0067741F">
              <w:rPr>
                <w:sz w:val="20"/>
                <w:lang w:val="fr-CA" w:eastAsia="en-CA"/>
              </w:rPr>
              <w:lastRenderedPageBreak/>
              <w:t>documents confidentiels de M. Mahjoub ont été amalgamés par inadvertance avec des documents des ministres. Lorsque l’amalgamation a été découverte, les adjoints ont cessé.</w:t>
            </w:r>
          </w:p>
          <w:p w:rsidR="00D97F7E" w:rsidRPr="0067741F" w:rsidRDefault="00D97F7E" w:rsidP="00D97F7E">
            <w:pPr>
              <w:jc w:val="both"/>
              <w:rPr>
                <w:sz w:val="20"/>
                <w:lang w:val="fr-CA" w:eastAsia="en-CA"/>
              </w:rPr>
            </w:pPr>
          </w:p>
          <w:p w:rsidR="00D97F7E" w:rsidRPr="0067741F" w:rsidRDefault="00D97F7E" w:rsidP="00D97F7E">
            <w:pPr>
              <w:jc w:val="both"/>
              <w:rPr>
                <w:sz w:val="20"/>
                <w:lang w:val="fr-CA" w:eastAsia="en-CA"/>
              </w:rPr>
            </w:pPr>
            <w:r w:rsidRPr="0067741F">
              <w:rPr>
                <w:sz w:val="20"/>
                <w:lang w:val="fr-CA" w:eastAsia="en-CA"/>
              </w:rPr>
              <w:t xml:space="preserve">Avant de statuer sur la requête en arrêt des procédures de M. Mahjoub, la Cour fédérale a établi un processus pour séparer les documents. </w:t>
            </w:r>
            <w:r w:rsidRPr="0067741F">
              <w:rPr>
                <w:sz w:val="20"/>
                <w:lang w:val="fr-CA"/>
              </w:rPr>
              <w:t>La Cour fédérale a conclu qu’il existait des motifs raisonnables de croire que deux motifs d’interdiction de territoire étaient présents : un danger pour la sécurité du Canada, prévu à l’al. 34(1)</w:t>
            </w:r>
            <w:r w:rsidRPr="0067741F">
              <w:rPr>
                <w:iCs/>
                <w:sz w:val="20"/>
                <w:lang w:val="fr-CA"/>
              </w:rPr>
              <w:t>d</w:t>
            </w:r>
            <w:r w:rsidRPr="0067741F">
              <w:rPr>
                <w:sz w:val="20"/>
                <w:lang w:val="fr-CA"/>
              </w:rPr>
              <w:t>), et l’appartenance à deux organisations qui se livraient à des actes visant au renversement d’un gouvernement par la force ou au terrorisme, prévu à l’al. 34(1)f). L’appel a été rejeté.</w:t>
            </w:r>
          </w:p>
          <w:p w:rsidR="00D97F7E" w:rsidRPr="0067741F" w:rsidRDefault="00D97F7E" w:rsidP="00D97F7E">
            <w:pPr>
              <w:jc w:val="both"/>
              <w:rPr>
                <w:sz w:val="20"/>
                <w:lang w:val="fr-CA"/>
              </w:rPr>
            </w:pPr>
          </w:p>
        </w:tc>
      </w:tr>
      <w:tr w:rsidR="00D97F7E" w:rsidRPr="00C15495" w:rsidTr="00D97F7E">
        <w:tc>
          <w:tcPr>
            <w:tcW w:w="2427" w:type="pct"/>
            <w:gridSpan w:val="2"/>
          </w:tcPr>
          <w:p w:rsidR="00D97F7E" w:rsidRPr="0067741F" w:rsidRDefault="00D97F7E" w:rsidP="00D97F7E">
            <w:pPr>
              <w:jc w:val="both"/>
              <w:rPr>
                <w:sz w:val="20"/>
                <w:lang w:val="fr-CA"/>
              </w:rPr>
            </w:pPr>
            <w:r w:rsidRPr="0067741F">
              <w:rPr>
                <w:sz w:val="20"/>
                <w:lang w:val="fr-CA"/>
              </w:rPr>
              <w:lastRenderedPageBreak/>
              <w:t>25 octobre 2013</w:t>
            </w:r>
          </w:p>
          <w:p w:rsidR="00D97F7E" w:rsidRPr="0067741F" w:rsidRDefault="00D97F7E" w:rsidP="00D97F7E">
            <w:pPr>
              <w:jc w:val="both"/>
              <w:rPr>
                <w:sz w:val="20"/>
                <w:lang w:val="fr-CA"/>
              </w:rPr>
            </w:pPr>
            <w:r w:rsidRPr="0067741F">
              <w:rPr>
                <w:sz w:val="20"/>
                <w:lang w:val="fr-CA"/>
              </w:rPr>
              <w:t>Cour fédérale</w:t>
            </w:r>
          </w:p>
          <w:p w:rsidR="00D97F7E" w:rsidRPr="0067741F" w:rsidRDefault="00D97F7E" w:rsidP="00D97F7E">
            <w:pPr>
              <w:jc w:val="both"/>
              <w:rPr>
                <w:sz w:val="20"/>
                <w:lang w:val="fr-CA"/>
              </w:rPr>
            </w:pPr>
            <w:r w:rsidRPr="0067741F">
              <w:rPr>
                <w:sz w:val="20"/>
                <w:lang w:val="fr-CA"/>
              </w:rPr>
              <w:t>(Juge Blanchard)</w:t>
            </w:r>
          </w:p>
          <w:p w:rsidR="00D97F7E" w:rsidRPr="0067741F" w:rsidRDefault="00D97F7E" w:rsidP="00D97F7E">
            <w:pPr>
              <w:jc w:val="both"/>
              <w:rPr>
                <w:sz w:val="20"/>
                <w:lang w:val="fr-CA"/>
              </w:rPr>
            </w:pPr>
            <w:r w:rsidRPr="0067741F">
              <w:rPr>
                <w:sz w:val="20"/>
                <w:lang w:val="fr-CA"/>
              </w:rPr>
              <w:t>2013 CF 1097</w:t>
            </w:r>
          </w:p>
          <w:p w:rsidR="00D97F7E" w:rsidRPr="0067741F" w:rsidRDefault="00D97F7E" w:rsidP="00D97F7E">
            <w:pPr>
              <w:jc w:val="both"/>
              <w:rPr>
                <w:sz w:val="20"/>
                <w:lang w:val="fr-CA"/>
              </w:rPr>
            </w:pPr>
          </w:p>
        </w:tc>
        <w:tc>
          <w:tcPr>
            <w:tcW w:w="243" w:type="pct"/>
          </w:tcPr>
          <w:p w:rsidR="00D97F7E" w:rsidRPr="0067741F" w:rsidRDefault="00D97F7E" w:rsidP="00D97F7E">
            <w:pPr>
              <w:jc w:val="both"/>
              <w:rPr>
                <w:sz w:val="20"/>
                <w:lang w:val="fr-CA"/>
              </w:rPr>
            </w:pPr>
          </w:p>
        </w:tc>
        <w:tc>
          <w:tcPr>
            <w:tcW w:w="2330" w:type="pct"/>
          </w:tcPr>
          <w:p w:rsidR="00D97F7E" w:rsidRPr="0067741F" w:rsidRDefault="00D97F7E" w:rsidP="00D97F7E">
            <w:pPr>
              <w:spacing w:after="240"/>
              <w:jc w:val="both"/>
              <w:rPr>
                <w:sz w:val="20"/>
                <w:lang w:val="fr-CA"/>
              </w:rPr>
            </w:pPr>
            <w:r w:rsidRPr="0067741F">
              <w:rPr>
                <w:sz w:val="20"/>
                <w:lang w:val="fr-CA"/>
              </w:rPr>
              <w:t>Jugement concluant que le certificat de sécurité nommant M.</w:t>
            </w:r>
            <w:r w:rsidRPr="0067741F">
              <w:rPr>
                <w:sz w:val="20"/>
                <w:lang w:val="fr-CA" w:eastAsia="en-CA"/>
              </w:rPr>
              <w:t> </w:t>
            </w:r>
            <w:r w:rsidRPr="0067741F">
              <w:rPr>
                <w:sz w:val="20"/>
                <w:lang w:val="fr-CA"/>
              </w:rPr>
              <w:t xml:space="preserve">Mahjoub, signé en application du par. 77(1) de la </w:t>
            </w:r>
            <w:r w:rsidRPr="0067741F">
              <w:rPr>
                <w:i/>
                <w:sz w:val="20"/>
                <w:lang w:val="fr-CA"/>
              </w:rPr>
              <w:t>Loi sur l’immigration et la protection des réfugiés</w:t>
            </w:r>
            <w:r w:rsidRPr="0067741F">
              <w:rPr>
                <w:sz w:val="20"/>
                <w:lang w:val="fr-CA"/>
              </w:rPr>
              <w:t xml:space="preserve"> daté du 22 février 2008 est raisonnable</w:t>
            </w:r>
          </w:p>
        </w:tc>
      </w:tr>
      <w:tr w:rsidR="00D97F7E" w:rsidRPr="0067741F" w:rsidTr="00D97F7E">
        <w:tc>
          <w:tcPr>
            <w:tcW w:w="2427" w:type="pct"/>
            <w:gridSpan w:val="2"/>
          </w:tcPr>
          <w:p w:rsidR="00D97F7E" w:rsidRPr="0067741F" w:rsidRDefault="00D97F7E" w:rsidP="00D97F7E">
            <w:pPr>
              <w:jc w:val="both"/>
              <w:rPr>
                <w:sz w:val="20"/>
                <w:lang w:val="fr-CA"/>
              </w:rPr>
            </w:pPr>
            <w:r w:rsidRPr="0067741F">
              <w:rPr>
                <w:sz w:val="20"/>
                <w:lang w:val="fr-CA"/>
              </w:rPr>
              <w:t>19 juillet 2017</w:t>
            </w:r>
          </w:p>
          <w:p w:rsidR="00D97F7E" w:rsidRPr="0067741F" w:rsidRDefault="00D97F7E" w:rsidP="00D97F7E">
            <w:pPr>
              <w:jc w:val="both"/>
              <w:rPr>
                <w:sz w:val="20"/>
                <w:lang w:val="fr-CA"/>
              </w:rPr>
            </w:pPr>
            <w:r w:rsidRPr="0067741F">
              <w:rPr>
                <w:sz w:val="20"/>
                <w:lang w:val="fr-CA"/>
              </w:rPr>
              <w:t>Cour d’appel fédérale</w:t>
            </w:r>
          </w:p>
          <w:p w:rsidR="00D97F7E" w:rsidRPr="0067741F" w:rsidRDefault="00D97F7E" w:rsidP="00D97F7E">
            <w:pPr>
              <w:jc w:val="both"/>
              <w:rPr>
                <w:sz w:val="20"/>
                <w:lang w:val="fr-CA"/>
              </w:rPr>
            </w:pPr>
            <w:r w:rsidRPr="0067741F">
              <w:rPr>
                <w:sz w:val="20"/>
                <w:lang w:val="fr-CA"/>
              </w:rPr>
              <w:t>(Juges Stratas, Boivin et Woods)</w:t>
            </w:r>
          </w:p>
          <w:p w:rsidR="00D97F7E" w:rsidRPr="0067741F" w:rsidRDefault="00FE4582" w:rsidP="00D97F7E">
            <w:pPr>
              <w:jc w:val="both"/>
              <w:rPr>
                <w:sz w:val="20"/>
                <w:lang w:val="fr-CA"/>
              </w:rPr>
            </w:pPr>
            <w:hyperlink r:id="rId40" w:history="1">
              <w:r w:rsidR="00D97F7E" w:rsidRPr="0067741F">
                <w:rPr>
                  <w:rStyle w:val="Hyperlink"/>
                  <w:sz w:val="20"/>
                  <w:lang w:val="fr-CA"/>
                </w:rPr>
                <w:t>2017 CAF 157</w:t>
              </w:r>
            </w:hyperlink>
          </w:p>
          <w:p w:rsidR="00D97F7E" w:rsidRPr="0067741F" w:rsidRDefault="00D97F7E" w:rsidP="00D97F7E">
            <w:pPr>
              <w:jc w:val="both"/>
              <w:rPr>
                <w:sz w:val="20"/>
                <w:lang w:val="fr-CA"/>
              </w:rPr>
            </w:pPr>
          </w:p>
        </w:tc>
        <w:tc>
          <w:tcPr>
            <w:tcW w:w="243" w:type="pct"/>
          </w:tcPr>
          <w:p w:rsidR="00D97F7E" w:rsidRPr="0067741F" w:rsidRDefault="00D97F7E" w:rsidP="00D97F7E">
            <w:pPr>
              <w:jc w:val="both"/>
              <w:rPr>
                <w:sz w:val="20"/>
                <w:lang w:val="fr-CA"/>
              </w:rPr>
            </w:pPr>
          </w:p>
        </w:tc>
        <w:tc>
          <w:tcPr>
            <w:tcW w:w="2330" w:type="pct"/>
          </w:tcPr>
          <w:p w:rsidR="00D97F7E" w:rsidRPr="0067741F" w:rsidRDefault="00D97F7E" w:rsidP="00D97F7E">
            <w:pPr>
              <w:jc w:val="both"/>
              <w:rPr>
                <w:sz w:val="20"/>
                <w:lang w:val="fr-CA"/>
              </w:rPr>
            </w:pPr>
            <w:r w:rsidRPr="0067741F">
              <w:rPr>
                <w:sz w:val="20"/>
                <w:lang w:val="fr-CA"/>
              </w:rPr>
              <w:t>Rejet de l’appel</w:t>
            </w:r>
          </w:p>
          <w:p w:rsidR="00D97F7E" w:rsidRPr="0067741F" w:rsidRDefault="00D97F7E" w:rsidP="00D97F7E">
            <w:pPr>
              <w:jc w:val="both"/>
              <w:rPr>
                <w:sz w:val="20"/>
                <w:lang w:val="fr-CA"/>
              </w:rPr>
            </w:pPr>
          </w:p>
        </w:tc>
      </w:tr>
      <w:tr w:rsidR="00D97F7E" w:rsidRPr="00C15495" w:rsidTr="00D97F7E">
        <w:tc>
          <w:tcPr>
            <w:tcW w:w="2427" w:type="pct"/>
            <w:gridSpan w:val="2"/>
          </w:tcPr>
          <w:p w:rsidR="00D97F7E" w:rsidRPr="0067741F" w:rsidRDefault="00D97F7E" w:rsidP="00D97F7E">
            <w:pPr>
              <w:jc w:val="both"/>
              <w:rPr>
                <w:sz w:val="20"/>
                <w:lang w:val="fr-CA"/>
              </w:rPr>
            </w:pPr>
            <w:r w:rsidRPr="0067741F">
              <w:rPr>
                <w:sz w:val="20"/>
                <w:lang w:val="fr-CA"/>
              </w:rPr>
              <w:t>29 septembre 2017</w:t>
            </w:r>
          </w:p>
          <w:p w:rsidR="00D97F7E" w:rsidRPr="0067741F" w:rsidRDefault="00D97F7E" w:rsidP="00D97F7E">
            <w:pPr>
              <w:jc w:val="both"/>
              <w:rPr>
                <w:sz w:val="20"/>
                <w:lang w:val="fr-CA"/>
              </w:rPr>
            </w:pPr>
            <w:r w:rsidRPr="0067741F">
              <w:rPr>
                <w:sz w:val="20"/>
                <w:lang w:val="fr-CA"/>
              </w:rPr>
              <w:t>Cour suprême du Canada</w:t>
            </w:r>
          </w:p>
        </w:tc>
        <w:tc>
          <w:tcPr>
            <w:tcW w:w="243" w:type="pct"/>
          </w:tcPr>
          <w:p w:rsidR="00D97F7E" w:rsidRPr="0067741F" w:rsidRDefault="00D97F7E" w:rsidP="00D97F7E">
            <w:pPr>
              <w:jc w:val="both"/>
              <w:rPr>
                <w:sz w:val="20"/>
                <w:lang w:val="fr-CA"/>
              </w:rPr>
            </w:pPr>
          </w:p>
        </w:tc>
        <w:tc>
          <w:tcPr>
            <w:tcW w:w="2330" w:type="pct"/>
          </w:tcPr>
          <w:p w:rsidR="00D97F7E" w:rsidRPr="0067741F" w:rsidRDefault="00D97F7E" w:rsidP="00D97F7E">
            <w:pPr>
              <w:jc w:val="both"/>
              <w:rPr>
                <w:sz w:val="20"/>
                <w:lang w:val="fr-CA"/>
              </w:rPr>
            </w:pPr>
            <w:r w:rsidRPr="0067741F">
              <w:rPr>
                <w:sz w:val="20"/>
                <w:lang w:val="fr-CA"/>
              </w:rPr>
              <w:t>Dépôt de la demande d’autorisation d’appel</w:t>
            </w:r>
          </w:p>
        </w:tc>
      </w:tr>
    </w:tbl>
    <w:p w:rsidR="00D97F7E" w:rsidRPr="0067741F" w:rsidRDefault="00D97F7E" w:rsidP="00D97F7E">
      <w:pPr>
        <w:jc w:val="both"/>
        <w:rPr>
          <w:sz w:val="20"/>
          <w:lang w:val="fr-CA"/>
        </w:rPr>
      </w:pPr>
    </w:p>
    <w:p w:rsidR="00D97F7E" w:rsidRPr="0067741F" w:rsidRDefault="00D97F7E" w:rsidP="00D97F7E">
      <w:pPr>
        <w:jc w:val="both"/>
        <w:rPr>
          <w:sz w:val="20"/>
          <w:lang w:val="fr-CA"/>
        </w:rPr>
      </w:pPr>
    </w:p>
    <w:p w:rsidR="00D97F7E" w:rsidRPr="00C040D9" w:rsidRDefault="00D97F7E">
      <w:pPr>
        <w:rPr>
          <w:lang w:val="fr-CA"/>
        </w:rPr>
      </w:pPr>
      <w:r w:rsidRPr="00C040D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F7E" w:rsidRPr="0067741F" w:rsidTr="00D97F7E">
        <w:tc>
          <w:tcPr>
            <w:tcW w:w="543" w:type="pct"/>
          </w:tcPr>
          <w:p w:rsidR="00D97F7E" w:rsidRPr="0067741F" w:rsidRDefault="00D97F7E" w:rsidP="00D97F7E">
            <w:pPr>
              <w:jc w:val="both"/>
              <w:rPr>
                <w:sz w:val="20"/>
              </w:rPr>
            </w:pPr>
            <w:r w:rsidRPr="0067741F">
              <w:rPr>
                <w:rStyle w:val="SCCFileNumberChar"/>
                <w:sz w:val="20"/>
                <w:szCs w:val="20"/>
              </w:rPr>
              <w:lastRenderedPageBreak/>
              <w:t>37813</w:t>
            </w:r>
          </w:p>
        </w:tc>
        <w:tc>
          <w:tcPr>
            <w:tcW w:w="4457" w:type="pct"/>
            <w:gridSpan w:val="3"/>
          </w:tcPr>
          <w:p w:rsidR="00D97F7E" w:rsidRPr="0067741F" w:rsidRDefault="00D97F7E" w:rsidP="00D97F7E">
            <w:pPr>
              <w:pStyle w:val="SCCLsocParty"/>
              <w:jc w:val="both"/>
              <w:rPr>
                <w:b/>
                <w:sz w:val="20"/>
                <w:szCs w:val="20"/>
              </w:rPr>
            </w:pPr>
            <w:r w:rsidRPr="0067741F">
              <w:rPr>
                <w:b/>
                <w:sz w:val="20"/>
                <w:szCs w:val="20"/>
              </w:rPr>
              <w:t>Modern Cleaning Concept Inc. v. Comité paritaire de l'entretien d'édifices publics de la région de Québec</w:t>
            </w:r>
          </w:p>
          <w:p w:rsidR="00D97F7E" w:rsidRPr="0067741F" w:rsidRDefault="00D97F7E" w:rsidP="00D97F7E">
            <w:pPr>
              <w:jc w:val="both"/>
              <w:rPr>
                <w:sz w:val="20"/>
              </w:rPr>
            </w:pPr>
            <w:r w:rsidRPr="0067741F">
              <w:rPr>
                <w:sz w:val="20"/>
              </w:rPr>
              <w:t>(Que.) (Civil) (By Leave)</w:t>
            </w:r>
          </w:p>
        </w:tc>
      </w:tr>
      <w:tr w:rsidR="00D97F7E" w:rsidRPr="0067741F" w:rsidTr="00D97F7E">
        <w:tc>
          <w:tcPr>
            <w:tcW w:w="5000" w:type="pct"/>
            <w:gridSpan w:val="4"/>
          </w:tcPr>
          <w:p w:rsidR="00D97F7E" w:rsidRPr="003D09BC" w:rsidRDefault="003D09BC" w:rsidP="003D09BC">
            <w:pPr>
              <w:jc w:val="both"/>
              <w:rPr>
                <w:b/>
                <w:sz w:val="20"/>
                <w:szCs w:val="20"/>
              </w:rPr>
            </w:pPr>
            <w:r w:rsidRPr="003D09BC">
              <w:rPr>
                <w:sz w:val="20"/>
              </w:rPr>
              <w:t xml:space="preserve">The application for leave to appeal from the judgment of the Court of Appeal of Quebec (Québec), Number 200-09-009251-163, 2017 QCCA 1237, dated August 18, 2017, is granted with costs in the cause. </w:t>
            </w:r>
          </w:p>
        </w:tc>
      </w:tr>
      <w:tr w:rsidR="00D97F7E" w:rsidRPr="0067741F" w:rsidTr="00D97F7E">
        <w:tc>
          <w:tcPr>
            <w:tcW w:w="5000" w:type="pct"/>
            <w:gridSpan w:val="4"/>
          </w:tcPr>
          <w:p w:rsidR="00D97F7E" w:rsidRPr="0067741F" w:rsidRDefault="00D97F7E" w:rsidP="00D97F7E">
            <w:pPr>
              <w:pStyle w:val="SCCBanSummary"/>
              <w:rPr>
                <w:sz w:val="20"/>
                <w:szCs w:val="20"/>
              </w:rPr>
            </w:pPr>
            <w:r w:rsidRPr="0067741F">
              <w:rPr>
                <w:sz w:val="20"/>
                <w:szCs w:val="20"/>
              </w:rPr>
              <w:t>(</w:t>
            </w:r>
            <w:r w:rsidRPr="0067741F">
              <w:rPr>
                <w:sz w:val="20"/>
                <w:szCs w:val="20"/>
                <w:lang w:val="en-GB"/>
              </w:rPr>
              <w:t>Sealing Order</w:t>
            </w:r>
            <w:r w:rsidRPr="0067741F">
              <w:rPr>
                <w:sz w:val="20"/>
                <w:szCs w:val="20"/>
              </w:rPr>
              <w:t>) (</w:t>
            </w:r>
            <w:r w:rsidRPr="0067741F">
              <w:rPr>
                <w:sz w:val="20"/>
                <w:szCs w:val="20"/>
                <w:lang w:val="en-GB"/>
              </w:rPr>
              <w:t>Court file contains information that is not available for inspection by the public</w:t>
            </w:r>
            <w:r w:rsidRPr="0067741F">
              <w:rPr>
                <w:sz w:val="20"/>
                <w:szCs w:val="20"/>
              </w:rPr>
              <w:t>)</w:t>
            </w:r>
          </w:p>
          <w:p w:rsidR="00D97F7E" w:rsidRPr="0067741F" w:rsidRDefault="00D97F7E" w:rsidP="00D97F7E">
            <w:pPr>
              <w:jc w:val="both"/>
              <w:rPr>
                <w:sz w:val="20"/>
              </w:rPr>
            </w:pPr>
          </w:p>
          <w:p w:rsidR="00D97F7E" w:rsidRPr="0067741F" w:rsidRDefault="00D97F7E" w:rsidP="00D97F7E">
            <w:pPr>
              <w:jc w:val="both"/>
              <w:rPr>
                <w:sz w:val="20"/>
              </w:rPr>
            </w:pPr>
            <w:r w:rsidRPr="0067741F">
              <w:rPr>
                <w:sz w:val="20"/>
              </w:rPr>
              <w:t xml:space="preserve">Labour relations — Concepts of employee and independent contractor within meaning of </w:t>
            </w:r>
            <w:r w:rsidRPr="0067741F">
              <w:rPr>
                <w:i/>
                <w:sz w:val="20"/>
                <w:lang w:val="en"/>
              </w:rPr>
              <w:t>Act respecting collective agreement decrees</w:t>
            </w:r>
            <w:r w:rsidRPr="0067741F">
              <w:rPr>
                <w:sz w:val="20"/>
              </w:rPr>
              <w:t xml:space="preserve"> — Actual status of franchisee in contractual relationship with franchisor — Whether fact that franchisor assumes certain risks in relation to franchisee’s customers turns franchisee into employee — Whether application of contract standards established by franchisor to support and protect its brand turns franchisee into employee — Whether Court of Appeal erred in not showing appropriate deference to trial judge’s findings of fact and in reviewing them in absence of palpable and overriding error — </w:t>
            </w:r>
            <w:r w:rsidRPr="0067741F">
              <w:rPr>
                <w:i/>
                <w:sz w:val="20"/>
                <w:lang w:val="en"/>
              </w:rPr>
              <w:t>Act respecting collective agreement decrees</w:t>
            </w:r>
            <w:r w:rsidRPr="0067741F">
              <w:rPr>
                <w:sz w:val="20"/>
              </w:rPr>
              <w:t>, CQLR, c. D-2, ss. 1(</w:t>
            </w:r>
            <w:r w:rsidRPr="0067741F">
              <w:rPr>
                <w:i/>
                <w:sz w:val="20"/>
              </w:rPr>
              <w:t>g</w:t>
            </w:r>
            <w:r w:rsidRPr="0067741F">
              <w:rPr>
                <w:sz w:val="20"/>
              </w:rPr>
              <w:t>) and (</w:t>
            </w:r>
            <w:r w:rsidRPr="0067741F">
              <w:rPr>
                <w:i/>
                <w:sz w:val="20"/>
              </w:rPr>
              <w:t>j</w:t>
            </w:r>
            <w:r w:rsidRPr="0067741F">
              <w:rPr>
                <w:sz w:val="20"/>
              </w:rPr>
              <w:t xml:space="preserve">), 11, 12 and 48 — </w:t>
            </w:r>
            <w:r w:rsidRPr="0067741F">
              <w:rPr>
                <w:i/>
                <w:sz w:val="20"/>
                <w:lang w:val="en"/>
              </w:rPr>
              <w:t>Decree respecting building service employees in the Québec region</w:t>
            </w:r>
            <w:r w:rsidRPr="0067741F">
              <w:rPr>
                <w:sz w:val="20"/>
              </w:rPr>
              <w:t>, CQLR, c. D-2, r. 16, s. 2.03(2).</w:t>
            </w:r>
          </w:p>
        </w:tc>
      </w:tr>
      <w:tr w:rsidR="00D97F7E" w:rsidRPr="0067741F" w:rsidTr="00D97F7E">
        <w:tc>
          <w:tcPr>
            <w:tcW w:w="5000" w:type="pct"/>
            <w:gridSpan w:val="4"/>
          </w:tcPr>
          <w:p w:rsidR="00D97F7E" w:rsidRPr="0067741F" w:rsidRDefault="00D97F7E" w:rsidP="00D97F7E">
            <w:pPr>
              <w:jc w:val="both"/>
              <w:rPr>
                <w:sz w:val="20"/>
              </w:rPr>
            </w:pPr>
          </w:p>
        </w:tc>
      </w:tr>
      <w:tr w:rsidR="00D97F7E" w:rsidRPr="0067741F" w:rsidTr="00D97F7E">
        <w:tc>
          <w:tcPr>
            <w:tcW w:w="5000" w:type="pct"/>
            <w:gridSpan w:val="4"/>
          </w:tcPr>
          <w:p w:rsidR="00D97F7E" w:rsidRPr="0067741F" w:rsidRDefault="00D97F7E" w:rsidP="00D97F7E">
            <w:pPr>
              <w:jc w:val="both"/>
              <w:rPr>
                <w:sz w:val="20"/>
              </w:rPr>
            </w:pPr>
            <w:r w:rsidRPr="0067741F">
              <w:rPr>
                <w:sz w:val="20"/>
              </w:rPr>
              <w:t>The applicant Modern Cleaning Concept Inc. is a franchisor with a network of cleaning franchises serving commercial, industrial and institutional customers in small and medium-sized premises in the Québec region. The network has about 450 franchisees. One of them was Francis Bourque, an independent contractor who had been operating his own cleaning business for several years as a sideline to his full-time job when he signed the franchise agreement in 2014. As a result of signing that agreement, Mr. Bourque was assigned cleaning contracts. After about five months working as a franchisee, Mr. Bourque decided to terminate the franchise agreement and continue his cleaning activities through his personal business. He allegedly made that decision after realizing that he was unable to generate enough income to cover his expenses and that he had to count on the help of his spouse, Jocelyne Fortin, to complete the work. Following the resiliation of the franchise agreement, the respondent Comité paritaire de l’entretien d’édifices public de la région de Québec brought an action in the Court of Québec claiming wages from the applicant on the ground that Mr. Bourque and his spouse, Ms. Fortin, had been employees and not independent contractors within the meaning of the</w:t>
            </w:r>
            <w:r w:rsidRPr="0067741F">
              <w:rPr>
                <w:i/>
                <w:sz w:val="20"/>
                <w:lang w:val="en"/>
              </w:rPr>
              <w:t xml:space="preserve"> Act respecting collective agreement decrees</w:t>
            </w:r>
            <w:r w:rsidRPr="0067741F">
              <w:rPr>
                <w:i/>
                <w:sz w:val="20"/>
              </w:rPr>
              <w:t>,</w:t>
            </w:r>
            <w:r w:rsidRPr="0067741F">
              <w:rPr>
                <w:sz w:val="20"/>
              </w:rPr>
              <w:t xml:space="preserve"> CQLR, c. D-2, and the </w:t>
            </w:r>
            <w:r w:rsidRPr="0067741F">
              <w:rPr>
                <w:i/>
                <w:sz w:val="20"/>
                <w:lang w:val="en"/>
              </w:rPr>
              <w:t>Decree respecting building service employees in the Québec region</w:t>
            </w:r>
            <w:r w:rsidRPr="0067741F">
              <w:rPr>
                <w:sz w:val="20"/>
              </w:rPr>
              <w:t>, CQLR, c. D-2, r. 16.</w:t>
            </w:r>
          </w:p>
          <w:p w:rsidR="00D97F7E" w:rsidRPr="0067741F" w:rsidRDefault="00D97F7E" w:rsidP="00D97F7E">
            <w:pPr>
              <w:jc w:val="both"/>
              <w:rPr>
                <w:sz w:val="20"/>
              </w:rPr>
            </w:pPr>
          </w:p>
        </w:tc>
      </w:tr>
      <w:tr w:rsidR="00D97F7E" w:rsidRPr="0067741F" w:rsidTr="00D97F7E">
        <w:tc>
          <w:tcPr>
            <w:tcW w:w="2427" w:type="pct"/>
            <w:gridSpan w:val="2"/>
          </w:tcPr>
          <w:p w:rsidR="00D97F7E" w:rsidRPr="0067741F" w:rsidRDefault="00D97F7E" w:rsidP="00D97F7E">
            <w:pPr>
              <w:jc w:val="both"/>
              <w:rPr>
                <w:sz w:val="20"/>
              </w:rPr>
            </w:pPr>
            <w:r w:rsidRPr="0067741F">
              <w:rPr>
                <w:sz w:val="20"/>
              </w:rPr>
              <w:t>March 10, 2016</w:t>
            </w:r>
          </w:p>
          <w:p w:rsidR="00D97F7E" w:rsidRPr="0067741F" w:rsidRDefault="00D97F7E" w:rsidP="00D97F7E">
            <w:pPr>
              <w:jc w:val="both"/>
              <w:rPr>
                <w:sz w:val="20"/>
              </w:rPr>
            </w:pPr>
            <w:r w:rsidRPr="0067741F">
              <w:rPr>
                <w:sz w:val="20"/>
              </w:rPr>
              <w:t>Court of Québec</w:t>
            </w:r>
          </w:p>
          <w:p w:rsidR="00D97F7E" w:rsidRPr="0067741F" w:rsidRDefault="00D97F7E" w:rsidP="00D97F7E">
            <w:pPr>
              <w:jc w:val="both"/>
              <w:rPr>
                <w:sz w:val="20"/>
              </w:rPr>
            </w:pPr>
            <w:r w:rsidRPr="0067741F">
              <w:rPr>
                <w:sz w:val="20"/>
              </w:rPr>
              <w:t>(Judge Lavoie)</w:t>
            </w:r>
          </w:p>
          <w:p w:rsidR="00D97F7E" w:rsidRPr="0067741F" w:rsidRDefault="00FE4582" w:rsidP="00D97F7E">
            <w:pPr>
              <w:jc w:val="both"/>
              <w:rPr>
                <w:sz w:val="20"/>
              </w:rPr>
            </w:pPr>
            <w:hyperlink r:id="rId41" w:history="1">
              <w:r w:rsidR="00D97F7E" w:rsidRPr="0067741F">
                <w:rPr>
                  <w:rStyle w:val="Hyperlink"/>
                  <w:sz w:val="20"/>
                </w:rPr>
                <w:t>2016 QCCQ 1789</w:t>
              </w:r>
            </w:hyperlink>
          </w:p>
          <w:p w:rsidR="00D97F7E" w:rsidRPr="0067741F" w:rsidRDefault="00D97F7E" w:rsidP="00D97F7E">
            <w:pPr>
              <w:jc w:val="both"/>
              <w:rPr>
                <w:sz w:val="20"/>
              </w:rPr>
            </w:pPr>
          </w:p>
        </w:tc>
        <w:tc>
          <w:tcPr>
            <w:tcW w:w="243" w:type="pct"/>
          </w:tcPr>
          <w:p w:rsidR="00D97F7E" w:rsidRPr="0067741F" w:rsidRDefault="00D97F7E" w:rsidP="00D97F7E">
            <w:pPr>
              <w:jc w:val="both"/>
              <w:rPr>
                <w:sz w:val="20"/>
              </w:rPr>
            </w:pPr>
          </w:p>
        </w:tc>
        <w:tc>
          <w:tcPr>
            <w:tcW w:w="2330" w:type="pct"/>
          </w:tcPr>
          <w:p w:rsidR="00D97F7E" w:rsidRPr="0067741F" w:rsidRDefault="00D97F7E" w:rsidP="00D97F7E">
            <w:pPr>
              <w:jc w:val="both"/>
              <w:rPr>
                <w:sz w:val="20"/>
              </w:rPr>
            </w:pPr>
            <w:r w:rsidRPr="0067741F">
              <w:rPr>
                <w:sz w:val="20"/>
              </w:rPr>
              <w:t>Action allowed in part; Modern Cleaning Concept Inc. ordered to pay $2,877.28</w:t>
            </w:r>
          </w:p>
          <w:p w:rsidR="00D97F7E" w:rsidRPr="0067741F" w:rsidRDefault="00D97F7E" w:rsidP="00D97F7E">
            <w:pPr>
              <w:jc w:val="both"/>
              <w:rPr>
                <w:sz w:val="20"/>
              </w:rPr>
            </w:pPr>
          </w:p>
        </w:tc>
      </w:tr>
      <w:tr w:rsidR="00D97F7E" w:rsidRPr="0067741F" w:rsidTr="00D97F7E">
        <w:tc>
          <w:tcPr>
            <w:tcW w:w="2427" w:type="pct"/>
            <w:gridSpan w:val="2"/>
          </w:tcPr>
          <w:p w:rsidR="00D97F7E" w:rsidRPr="0067741F" w:rsidRDefault="00D97F7E" w:rsidP="00D97F7E">
            <w:pPr>
              <w:jc w:val="both"/>
              <w:rPr>
                <w:sz w:val="20"/>
              </w:rPr>
            </w:pPr>
            <w:r w:rsidRPr="0067741F">
              <w:rPr>
                <w:sz w:val="20"/>
              </w:rPr>
              <w:t>August 18, 2017</w:t>
            </w:r>
          </w:p>
          <w:p w:rsidR="00D97F7E" w:rsidRPr="0067741F" w:rsidRDefault="00D97F7E" w:rsidP="00D97F7E">
            <w:pPr>
              <w:jc w:val="both"/>
              <w:rPr>
                <w:sz w:val="20"/>
              </w:rPr>
            </w:pPr>
            <w:r w:rsidRPr="0067741F">
              <w:rPr>
                <w:sz w:val="20"/>
              </w:rPr>
              <w:t>Quebec Court of Appeal (Québec)</w:t>
            </w:r>
          </w:p>
          <w:p w:rsidR="00D97F7E" w:rsidRPr="0067741F" w:rsidRDefault="00D97F7E" w:rsidP="00D97F7E">
            <w:pPr>
              <w:jc w:val="both"/>
              <w:rPr>
                <w:sz w:val="20"/>
              </w:rPr>
            </w:pPr>
            <w:r w:rsidRPr="0067741F">
              <w:rPr>
                <w:sz w:val="20"/>
              </w:rPr>
              <w:t>(Kasirer and Bélanger JJ.A. and Morin J.A. [</w:t>
            </w:r>
            <w:r w:rsidRPr="0067741F">
              <w:rPr>
                <w:i/>
                <w:sz w:val="20"/>
              </w:rPr>
              <w:t>dissenting</w:t>
            </w:r>
            <w:r w:rsidRPr="0067741F">
              <w:rPr>
                <w:sz w:val="20"/>
              </w:rPr>
              <w:t>])</w:t>
            </w:r>
          </w:p>
          <w:p w:rsidR="00D97F7E" w:rsidRPr="0067741F" w:rsidRDefault="00FE4582" w:rsidP="00D97F7E">
            <w:pPr>
              <w:jc w:val="both"/>
              <w:rPr>
                <w:sz w:val="20"/>
              </w:rPr>
            </w:pPr>
            <w:hyperlink r:id="rId42" w:history="1">
              <w:r w:rsidR="00D97F7E" w:rsidRPr="0067741F">
                <w:rPr>
                  <w:rStyle w:val="Hyperlink"/>
                  <w:sz w:val="20"/>
                </w:rPr>
                <w:t>2017 QCCA 1237</w:t>
              </w:r>
            </w:hyperlink>
          </w:p>
          <w:p w:rsidR="00D97F7E" w:rsidRPr="0067741F" w:rsidRDefault="00D97F7E" w:rsidP="00D97F7E">
            <w:pPr>
              <w:jc w:val="both"/>
              <w:rPr>
                <w:sz w:val="20"/>
              </w:rPr>
            </w:pPr>
          </w:p>
        </w:tc>
        <w:tc>
          <w:tcPr>
            <w:tcW w:w="243" w:type="pct"/>
          </w:tcPr>
          <w:p w:rsidR="00D97F7E" w:rsidRPr="0067741F" w:rsidRDefault="00D97F7E" w:rsidP="00D97F7E">
            <w:pPr>
              <w:jc w:val="both"/>
              <w:rPr>
                <w:sz w:val="20"/>
              </w:rPr>
            </w:pPr>
          </w:p>
        </w:tc>
        <w:tc>
          <w:tcPr>
            <w:tcW w:w="2330" w:type="pct"/>
          </w:tcPr>
          <w:p w:rsidR="00D97F7E" w:rsidRPr="0067741F" w:rsidRDefault="00D97F7E" w:rsidP="00D97F7E">
            <w:pPr>
              <w:jc w:val="both"/>
              <w:rPr>
                <w:sz w:val="20"/>
              </w:rPr>
            </w:pPr>
            <w:r w:rsidRPr="0067741F">
              <w:rPr>
                <w:sz w:val="20"/>
              </w:rPr>
              <w:t>Appeal allowed; Modern Cleaning Concept Inc. ordered to pay $9,219.32</w:t>
            </w:r>
          </w:p>
          <w:p w:rsidR="00D97F7E" w:rsidRPr="0067741F" w:rsidRDefault="00D97F7E" w:rsidP="00D97F7E">
            <w:pPr>
              <w:jc w:val="both"/>
              <w:rPr>
                <w:sz w:val="20"/>
              </w:rPr>
            </w:pPr>
          </w:p>
        </w:tc>
      </w:tr>
      <w:tr w:rsidR="00D97F7E" w:rsidRPr="0067741F" w:rsidTr="00D97F7E">
        <w:tc>
          <w:tcPr>
            <w:tcW w:w="2427" w:type="pct"/>
            <w:gridSpan w:val="2"/>
          </w:tcPr>
          <w:p w:rsidR="00D97F7E" w:rsidRPr="0067741F" w:rsidRDefault="00D97F7E" w:rsidP="00D97F7E">
            <w:pPr>
              <w:jc w:val="both"/>
              <w:rPr>
                <w:sz w:val="20"/>
              </w:rPr>
            </w:pPr>
            <w:r w:rsidRPr="0067741F">
              <w:rPr>
                <w:sz w:val="20"/>
              </w:rPr>
              <w:t>October 17, 2017</w:t>
            </w:r>
          </w:p>
          <w:p w:rsidR="00D97F7E" w:rsidRPr="0067741F" w:rsidRDefault="00D97F7E" w:rsidP="00D97F7E">
            <w:pPr>
              <w:jc w:val="both"/>
              <w:rPr>
                <w:sz w:val="20"/>
              </w:rPr>
            </w:pPr>
            <w:r w:rsidRPr="0067741F">
              <w:rPr>
                <w:sz w:val="20"/>
              </w:rPr>
              <w:t>Supreme Court of Canada</w:t>
            </w:r>
          </w:p>
        </w:tc>
        <w:tc>
          <w:tcPr>
            <w:tcW w:w="243" w:type="pct"/>
          </w:tcPr>
          <w:p w:rsidR="00D97F7E" w:rsidRPr="0067741F" w:rsidRDefault="00D97F7E" w:rsidP="00D97F7E">
            <w:pPr>
              <w:jc w:val="both"/>
              <w:rPr>
                <w:sz w:val="20"/>
              </w:rPr>
            </w:pPr>
          </w:p>
        </w:tc>
        <w:tc>
          <w:tcPr>
            <w:tcW w:w="2330" w:type="pct"/>
          </w:tcPr>
          <w:p w:rsidR="00D97F7E" w:rsidRPr="0067741F" w:rsidRDefault="00D97F7E" w:rsidP="00D97F7E">
            <w:pPr>
              <w:jc w:val="both"/>
              <w:rPr>
                <w:sz w:val="20"/>
              </w:rPr>
            </w:pPr>
            <w:r w:rsidRPr="0067741F">
              <w:rPr>
                <w:sz w:val="20"/>
              </w:rPr>
              <w:t>Application for leave to appeal filed</w:t>
            </w:r>
          </w:p>
          <w:p w:rsidR="00D97F7E" w:rsidRPr="0067741F" w:rsidRDefault="00D97F7E" w:rsidP="00D97F7E">
            <w:pPr>
              <w:jc w:val="both"/>
              <w:rPr>
                <w:sz w:val="20"/>
              </w:rPr>
            </w:pPr>
          </w:p>
        </w:tc>
      </w:tr>
    </w:tbl>
    <w:p w:rsidR="00D97F7E" w:rsidRPr="0067741F" w:rsidRDefault="00D97F7E" w:rsidP="00D97F7E">
      <w:pPr>
        <w:jc w:val="both"/>
        <w:rPr>
          <w:sz w:val="20"/>
        </w:rPr>
      </w:pPr>
    </w:p>
    <w:p w:rsidR="00D97F7E" w:rsidRPr="0067741F" w:rsidRDefault="00D97F7E" w:rsidP="00D97F7E">
      <w:pPr>
        <w:jc w:val="both"/>
        <w:rPr>
          <w:sz w:val="20"/>
        </w:rPr>
      </w:pPr>
    </w:p>
    <w:p w:rsidR="00D97F7E" w:rsidRDefault="00D97F7E">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97F7E" w:rsidRPr="0067741F" w:rsidTr="00D97F7E">
        <w:tc>
          <w:tcPr>
            <w:tcW w:w="543" w:type="pct"/>
          </w:tcPr>
          <w:p w:rsidR="00D97F7E" w:rsidRPr="0067741F" w:rsidRDefault="00D97F7E" w:rsidP="00D97F7E">
            <w:pPr>
              <w:jc w:val="both"/>
              <w:rPr>
                <w:sz w:val="20"/>
              </w:rPr>
            </w:pPr>
            <w:r w:rsidRPr="0067741F">
              <w:rPr>
                <w:rStyle w:val="SCCFileNumberChar"/>
                <w:sz w:val="20"/>
                <w:szCs w:val="20"/>
              </w:rPr>
              <w:lastRenderedPageBreak/>
              <w:t>37813</w:t>
            </w:r>
          </w:p>
        </w:tc>
        <w:tc>
          <w:tcPr>
            <w:tcW w:w="4457" w:type="pct"/>
            <w:gridSpan w:val="3"/>
          </w:tcPr>
          <w:p w:rsidR="00D97F7E" w:rsidRPr="0067741F" w:rsidRDefault="00D97F7E" w:rsidP="00D97F7E">
            <w:pPr>
              <w:pStyle w:val="SCCLsocParty"/>
              <w:jc w:val="both"/>
              <w:rPr>
                <w:b/>
                <w:sz w:val="20"/>
                <w:szCs w:val="20"/>
              </w:rPr>
            </w:pPr>
            <w:r w:rsidRPr="0067741F">
              <w:rPr>
                <w:b/>
                <w:sz w:val="20"/>
                <w:szCs w:val="20"/>
              </w:rPr>
              <w:t>Modern Concept d'entretien inc. c. Comité paritaire de l'entretien d'édifices publics de la région de Québec</w:t>
            </w:r>
          </w:p>
          <w:p w:rsidR="00D97F7E" w:rsidRPr="0067741F" w:rsidRDefault="00D97F7E" w:rsidP="00D97F7E">
            <w:pPr>
              <w:jc w:val="both"/>
              <w:rPr>
                <w:sz w:val="20"/>
              </w:rPr>
            </w:pPr>
            <w:r w:rsidRPr="0067741F">
              <w:rPr>
                <w:sz w:val="20"/>
              </w:rPr>
              <w:t>(Qc) (Civile) (Autorisation)</w:t>
            </w:r>
          </w:p>
        </w:tc>
      </w:tr>
      <w:tr w:rsidR="00D97F7E" w:rsidRPr="00C15495" w:rsidTr="00D97F7E">
        <w:tc>
          <w:tcPr>
            <w:tcW w:w="5000" w:type="pct"/>
            <w:gridSpan w:val="4"/>
          </w:tcPr>
          <w:p w:rsidR="00D97F7E" w:rsidRPr="003D09BC" w:rsidRDefault="003D09BC" w:rsidP="00D97F7E">
            <w:pPr>
              <w:pStyle w:val="SCCLsocParty"/>
              <w:jc w:val="both"/>
              <w:rPr>
                <w:b/>
                <w:sz w:val="20"/>
                <w:szCs w:val="20"/>
              </w:rPr>
            </w:pPr>
            <w:r w:rsidRPr="003D09BC">
              <w:rPr>
                <w:sz w:val="20"/>
              </w:rPr>
              <w:t>La demande d’autorisation d’appel de l’arrêt de la Cour d’appel du Québec (Québec), numéro 200-09-009251-163, 2017 QCCA 1237, daté du 18 août 2017, est accueillie avec dépens suivant l’issue de la cause.</w:t>
            </w:r>
          </w:p>
        </w:tc>
      </w:tr>
      <w:tr w:rsidR="00D97F7E" w:rsidRPr="00C15495" w:rsidTr="00D97F7E">
        <w:tc>
          <w:tcPr>
            <w:tcW w:w="5000" w:type="pct"/>
            <w:gridSpan w:val="4"/>
          </w:tcPr>
          <w:p w:rsidR="00D97F7E" w:rsidRPr="0067741F" w:rsidRDefault="00D97F7E" w:rsidP="00D97F7E">
            <w:pPr>
              <w:pStyle w:val="SCCBanSummary"/>
              <w:rPr>
                <w:sz w:val="20"/>
                <w:szCs w:val="20"/>
                <w:lang w:val="fr-CA"/>
              </w:rPr>
            </w:pPr>
            <w:r w:rsidRPr="0067741F">
              <w:rPr>
                <w:sz w:val="20"/>
                <w:szCs w:val="20"/>
                <w:lang w:val="fr-CA"/>
              </w:rPr>
              <w:t>(Ordonnance de mise sous scellés) (Le dossier de la Cour renferme des données que le public n'est pas autorisé à consulter)</w:t>
            </w:r>
          </w:p>
          <w:p w:rsidR="00D97F7E" w:rsidRPr="0067741F" w:rsidRDefault="00D97F7E" w:rsidP="00D97F7E">
            <w:pPr>
              <w:jc w:val="both"/>
              <w:rPr>
                <w:sz w:val="20"/>
                <w:lang w:val="fr-CA"/>
              </w:rPr>
            </w:pPr>
          </w:p>
          <w:p w:rsidR="00D97F7E" w:rsidRPr="0067741F" w:rsidRDefault="00D97F7E" w:rsidP="00D97F7E">
            <w:pPr>
              <w:jc w:val="both"/>
              <w:rPr>
                <w:sz w:val="20"/>
                <w:lang w:val="fr-CA"/>
              </w:rPr>
            </w:pPr>
            <w:r w:rsidRPr="0067741F">
              <w:rPr>
                <w:sz w:val="20"/>
                <w:lang w:val="fr-CA"/>
              </w:rPr>
              <w:t xml:space="preserve">Relations du travail — Notions de salarié et d’entrepreneur indépendant au sens de la </w:t>
            </w:r>
            <w:r w:rsidRPr="0067741F">
              <w:rPr>
                <w:i/>
                <w:sz w:val="20"/>
                <w:lang w:val="fr-FR"/>
              </w:rPr>
              <w:t>Loi sur les décrets de convention collective</w:t>
            </w:r>
            <w:r w:rsidRPr="0067741F">
              <w:rPr>
                <w:sz w:val="20"/>
                <w:lang w:val="fr-FR"/>
              </w:rPr>
              <w:t xml:space="preserve"> — Statut réel d’un franchisé dans le cadre d’une relation contractuelle avec un franchiseur </w:t>
            </w:r>
            <w:r w:rsidRPr="0067741F">
              <w:rPr>
                <w:sz w:val="20"/>
                <w:lang w:val="fr-CA"/>
              </w:rPr>
              <w:t xml:space="preserve">— Le fait, pour un franchiseur, d’assumer certains risques envers les clients de son franchisé transforme-t-il pour autant ce dernier en salarié? — L’exercice de normes contractuelles mises en place par un franchiseur pour assurer le soutien et la protection de sa marque transforme-t-il pour autant un franchisé en salarié? — La Cour d’appel a-t-elle erré en ne faisant pas preuve de la déférence qui s’impose à elle relativement aux conclusions factuelles tirées par le Juge de première instance et en révisant en l’absence d’erreur manifeste et déterminante? — </w:t>
            </w:r>
            <w:r w:rsidRPr="0067741F">
              <w:rPr>
                <w:i/>
                <w:sz w:val="20"/>
                <w:lang w:val="fr-FR"/>
              </w:rPr>
              <w:t>Loi sur les décrets de convention collective,</w:t>
            </w:r>
            <w:r w:rsidRPr="0067741F">
              <w:rPr>
                <w:sz w:val="20"/>
                <w:lang w:val="fr-FR"/>
              </w:rPr>
              <w:t xml:space="preserve"> RLRQ c. D-2, art. 1 g) et j), 11, 12 et 48 — </w:t>
            </w:r>
            <w:r w:rsidRPr="0067741F">
              <w:rPr>
                <w:i/>
                <w:sz w:val="20"/>
                <w:lang w:val="fr-CA"/>
              </w:rPr>
              <w:t>Décret sur le personnel d’entretien d’édifices publics de la région de Québec</w:t>
            </w:r>
            <w:r w:rsidRPr="0067741F">
              <w:rPr>
                <w:sz w:val="20"/>
                <w:lang w:val="fr-CA"/>
              </w:rPr>
              <w:t>, RLRQ, c. D-2, r. 16, art. 2.03 2°.</w:t>
            </w:r>
          </w:p>
        </w:tc>
      </w:tr>
      <w:tr w:rsidR="00D97F7E" w:rsidRPr="00C15495" w:rsidTr="00D97F7E">
        <w:tc>
          <w:tcPr>
            <w:tcW w:w="5000" w:type="pct"/>
            <w:gridSpan w:val="4"/>
          </w:tcPr>
          <w:p w:rsidR="00D97F7E" w:rsidRPr="0067741F" w:rsidRDefault="00D97F7E" w:rsidP="00D97F7E">
            <w:pPr>
              <w:jc w:val="both"/>
              <w:rPr>
                <w:sz w:val="20"/>
                <w:lang w:val="fr-CA"/>
              </w:rPr>
            </w:pPr>
          </w:p>
        </w:tc>
      </w:tr>
      <w:tr w:rsidR="00D97F7E" w:rsidRPr="00C15495" w:rsidTr="00D97F7E">
        <w:tc>
          <w:tcPr>
            <w:tcW w:w="5000" w:type="pct"/>
            <w:gridSpan w:val="4"/>
          </w:tcPr>
          <w:p w:rsidR="00D97F7E" w:rsidRPr="0067741F" w:rsidRDefault="00D97F7E" w:rsidP="00D97F7E">
            <w:pPr>
              <w:jc w:val="both"/>
              <w:rPr>
                <w:sz w:val="20"/>
                <w:lang w:val="fr-CA"/>
              </w:rPr>
            </w:pPr>
            <w:r w:rsidRPr="0067741F">
              <w:rPr>
                <w:sz w:val="20"/>
                <w:lang w:val="fr-CA"/>
              </w:rPr>
              <w:t xml:space="preserve">La demanderesse, Modern Concept d’entretien inc., est un franchiseur ayant établit un réseau de franchises dans le domaine de l’entretien ménager desservant des clients ou donneurs d’ouvrages commerciaux, industriels et institutionnels qui occupent des locaux de petite et moyenne tailles dans la région de Québec. Ce réseau regroupe environ 450 franchisés dont Monsieur Francis Bourque, un entrepreneur indépendant qui exploitait sa propre entreprise d’entretien ménager depuis plusieurs années en marge de son emploi à temps complet au moment de la signature du contrat de franchise en 2014. Comme suite à la signature de ce contrat, M. Bourque se voit céder des contrats d’entretien ménager. Après environ cinq mois de travail comme franchisé, M. Bourque décide de mettre un terme au contrat de franchise et de poursuivre ses activités d’entretien ménager par l’entremise de son entreprise personnelle. Cette décision résulterait du constat qu’il n’était pas en mesure de générer des revenus suffisants pour couvrir ses dépenses et qu’il devait compter sur l’aide de sa conjointe, Madame Jocelyne Fortin afin de compléter le travail. Comme suite à la résiliation du contrat franchise, l’intimé, le Comité paritaire de l’entretien d’édifices public de la région de Québec a entrepris un recours en justice devant la Cour du Québec en réclamation de salaires contre la demanderesse au motif que M. Bourque et sa conjointe, Mme Fortin étaient des salariés et non des entrepreneurs indépendant au sens de la </w:t>
            </w:r>
            <w:r w:rsidRPr="0067741F">
              <w:rPr>
                <w:i/>
                <w:sz w:val="20"/>
                <w:lang w:val="fr-FR"/>
              </w:rPr>
              <w:t>Loi sur les décrets de convention collective,</w:t>
            </w:r>
            <w:r w:rsidRPr="0067741F">
              <w:rPr>
                <w:sz w:val="20"/>
                <w:lang w:val="fr-FR"/>
              </w:rPr>
              <w:t xml:space="preserve"> RLRQ c. D-2 et </w:t>
            </w:r>
            <w:r w:rsidRPr="0067741F">
              <w:rPr>
                <w:sz w:val="20"/>
                <w:lang w:val="fr-CA"/>
              </w:rPr>
              <w:t xml:space="preserve">du </w:t>
            </w:r>
            <w:r w:rsidRPr="0067741F">
              <w:rPr>
                <w:i/>
                <w:sz w:val="20"/>
                <w:lang w:val="fr-CA"/>
              </w:rPr>
              <w:t>Décret sur le personnel d’entretien d’édifices publics de la région de Québec</w:t>
            </w:r>
            <w:r w:rsidRPr="0067741F">
              <w:rPr>
                <w:sz w:val="20"/>
                <w:lang w:val="fr-CA"/>
              </w:rPr>
              <w:t>, RLRQ, c. D-2, r. 16.</w:t>
            </w:r>
          </w:p>
          <w:p w:rsidR="00D97F7E" w:rsidRPr="0067741F" w:rsidRDefault="00D97F7E" w:rsidP="00D97F7E">
            <w:pPr>
              <w:jc w:val="both"/>
              <w:rPr>
                <w:sz w:val="20"/>
                <w:lang w:val="fr-CA"/>
              </w:rPr>
            </w:pPr>
          </w:p>
        </w:tc>
      </w:tr>
      <w:tr w:rsidR="00D97F7E" w:rsidRPr="00C15495" w:rsidTr="00D97F7E">
        <w:tc>
          <w:tcPr>
            <w:tcW w:w="2427" w:type="pct"/>
            <w:gridSpan w:val="2"/>
          </w:tcPr>
          <w:p w:rsidR="00D97F7E" w:rsidRPr="0067741F" w:rsidRDefault="00D97F7E" w:rsidP="00D97F7E">
            <w:pPr>
              <w:jc w:val="both"/>
              <w:rPr>
                <w:sz w:val="20"/>
                <w:lang w:val="fr-CA"/>
              </w:rPr>
            </w:pPr>
            <w:r w:rsidRPr="0067741F">
              <w:rPr>
                <w:sz w:val="20"/>
                <w:lang w:val="fr-CA"/>
              </w:rPr>
              <w:t>Le 10 mars 2016</w:t>
            </w:r>
          </w:p>
          <w:p w:rsidR="00D97F7E" w:rsidRPr="0067741F" w:rsidRDefault="00D97F7E" w:rsidP="00D97F7E">
            <w:pPr>
              <w:jc w:val="both"/>
              <w:rPr>
                <w:sz w:val="20"/>
                <w:lang w:val="fr-CA"/>
              </w:rPr>
            </w:pPr>
            <w:r w:rsidRPr="0067741F">
              <w:rPr>
                <w:sz w:val="20"/>
                <w:lang w:val="fr-CA"/>
              </w:rPr>
              <w:t>Cour du Québec</w:t>
            </w:r>
          </w:p>
          <w:p w:rsidR="00D97F7E" w:rsidRPr="0067741F" w:rsidRDefault="00D97F7E" w:rsidP="00D97F7E">
            <w:pPr>
              <w:jc w:val="both"/>
              <w:rPr>
                <w:sz w:val="20"/>
                <w:lang w:val="fr-CA"/>
              </w:rPr>
            </w:pPr>
            <w:r w:rsidRPr="0067741F">
              <w:rPr>
                <w:sz w:val="20"/>
                <w:lang w:val="fr-CA"/>
              </w:rPr>
              <w:t>(Le juge Lavoie)</w:t>
            </w:r>
          </w:p>
          <w:p w:rsidR="00D97F7E" w:rsidRPr="0067741F" w:rsidRDefault="00FE4582" w:rsidP="00D97F7E">
            <w:pPr>
              <w:jc w:val="both"/>
              <w:rPr>
                <w:sz w:val="20"/>
              </w:rPr>
            </w:pPr>
            <w:hyperlink r:id="rId43" w:history="1">
              <w:r w:rsidR="00D97F7E" w:rsidRPr="0067741F">
                <w:rPr>
                  <w:rStyle w:val="Hyperlink"/>
                  <w:sz w:val="20"/>
                </w:rPr>
                <w:t>2016 QCCQ 1789</w:t>
              </w:r>
            </w:hyperlink>
          </w:p>
          <w:p w:rsidR="00D97F7E" w:rsidRPr="0067741F" w:rsidRDefault="00D97F7E" w:rsidP="00D97F7E">
            <w:pPr>
              <w:jc w:val="both"/>
              <w:rPr>
                <w:sz w:val="20"/>
              </w:rPr>
            </w:pPr>
          </w:p>
        </w:tc>
        <w:tc>
          <w:tcPr>
            <w:tcW w:w="243" w:type="pct"/>
          </w:tcPr>
          <w:p w:rsidR="00D97F7E" w:rsidRPr="0067741F" w:rsidRDefault="00D97F7E" w:rsidP="00D97F7E">
            <w:pPr>
              <w:jc w:val="both"/>
              <w:rPr>
                <w:sz w:val="20"/>
              </w:rPr>
            </w:pPr>
          </w:p>
        </w:tc>
        <w:tc>
          <w:tcPr>
            <w:tcW w:w="2330" w:type="pct"/>
          </w:tcPr>
          <w:p w:rsidR="00D97F7E" w:rsidRPr="0067741F" w:rsidRDefault="00D97F7E" w:rsidP="00D97F7E">
            <w:pPr>
              <w:jc w:val="both"/>
              <w:rPr>
                <w:sz w:val="20"/>
                <w:lang w:val="fr-CA"/>
              </w:rPr>
            </w:pPr>
            <w:r w:rsidRPr="0067741F">
              <w:rPr>
                <w:sz w:val="20"/>
                <w:lang w:val="fr-CA"/>
              </w:rPr>
              <w:t xml:space="preserve">Action accueillie en partie; Modern Concept d’entretien inc. condamné à payer </w:t>
            </w:r>
            <w:r w:rsidRPr="0067741F">
              <w:rPr>
                <w:sz w:val="20"/>
                <w:lang w:val="fr-FR"/>
              </w:rPr>
              <w:t>2 877,28 $</w:t>
            </w:r>
          </w:p>
          <w:p w:rsidR="00D97F7E" w:rsidRPr="0067741F" w:rsidRDefault="00D97F7E" w:rsidP="00D97F7E">
            <w:pPr>
              <w:jc w:val="both"/>
              <w:rPr>
                <w:sz w:val="20"/>
                <w:lang w:val="fr-CA"/>
              </w:rPr>
            </w:pPr>
          </w:p>
        </w:tc>
      </w:tr>
      <w:tr w:rsidR="00D97F7E" w:rsidRPr="00C15495" w:rsidTr="00D97F7E">
        <w:tc>
          <w:tcPr>
            <w:tcW w:w="2427" w:type="pct"/>
            <w:gridSpan w:val="2"/>
          </w:tcPr>
          <w:p w:rsidR="00D97F7E" w:rsidRPr="0067741F" w:rsidRDefault="00D97F7E" w:rsidP="00D97F7E">
            <w:pPr>
              <w:jc w:val="both"/>
              <w:rPr>
                <w:sz w:val="20"/>
                <w:lang w:val="fr-CA"/>
              </w:rPr>
            </w:pPr>
            <w:r w:rsidRPr="0067741F">
              <w:rPr>
                <w:sz w:val="20"/>
                <w:lang w:val="fr-CA"/>
              </w:rPr>
              <w:t>Le 18 août 2017</w:t>
            </w:r>
          </w:p>
          <w:p w:rsidR="00D97F7E" w:rsidRPr="0067741F" w:rsidRDefault="00D97F7E" w:rsidP="00D97F7E">
            <w:pPr>
              <w:jc w:val="both"/>
              <w:rPr>
                <w:sz w:val="20"/>
                <w:lang w:val="fr-CA"/>
              </w:rPr>
            </w:pPr>
            <w:r w:rsidRPr="0067741F">
              <w:rPr>
                <w:sz w:val="20"/>
                <w:lang w:val="fr-CA"/>
              </w:rPr>
              <w:t>Cour d’appel du Québec (Québec)</w:t>
            </w:r>
          </w:p>
          <w:p w:rsidR="00D97F7E" w:rsidRPr="0067741F" w:rsidRDefault="00D97F7E" w:rsidP="00D97F7E">
            <w:pPr>
              <w:jc w:val="both"/>
              <w:rPr>
                <w:sz w:val="20"/>
                <w:lang w:val="fr-CA"/>
              </w:rPr>
            </w:pPr>
            <w:r w:rsidRPr="0067741F">
              <w:rPr>
                <w:sz w:val="20"/>
                <w:lang w:val="fr-CA"/>
              </w:rPr>
              <w:t>(Les juges Kasirer et Bélanger, et le juge Morin [</w:t>
            </w:r>
            <w:r w:rsidRPr="0067741F">
              <w:rPr>
                <w:i/>
                <w:sz w:val="20"/>
                <w:lang w:val="fr-CA"/>
              </w:rPr>
              <w:t>dissident</w:t>
            </w:r>
            <w:r w:rsidRPr="0067741F">
              <w:rPr>
                <w:sz w:val="20"/>
                <w:lang w:val="fr-CA"/>
              </w:rPr>
              <w:t>])</w:t>
            </w:r>
          </w:p>
          <w:p w:rsidR="00D97F7E" w:rsidRPr="0067741F" w:rsidRDefault="00FE4582" w:rsidP="00D97F7E">
            <w:pPr>
              <w:jc w:val="both"/>
              <w:rPr>
                <w:sz w:val="20"/>
              </w:rPr>
            </w:pPr>
            <w:hyperlink r:id="rId44" w:history="1">
              <w:r w:rsidR="00D97F7E" w:rsidRPr="0067741F">
                <w:rPr>
                  <w:rStyle w:val="Hyperlink"/>
                  <w:sz w:val="20"/>
                </w:rPr>
                <w:t>2017 QCCA 1237</w:t>
              </w:r>
            </w:hyperlink>
          </w:p>
          <w:p w:rsidR="00D97F7E" w:rsidRPr="0067741F" w:rsidRDefault="00D97F7E" w:rsidP="00D97F7E">
            <w:pPr>
              <w:jc w:val="both"/>
              <w:rPr>
                <w:sz w:val="20"/>
              </w:rPr>
            </w:pPr>
          </w:p>
        </w:tc>
        <w:tc>
          <w:tcPr>
            <w:tcW w:w="243" w:type="pct"/>
          </w:tcPr>
          <w:p w:rsidR="00D97F7E" w:rsidRPr="0067741F" w:rsidRDefault="00D97F7E" w:rsidP="00D97F7E">
            <w:pPr>
              <w:jc w:val="both"/>
              <w:rPr>
                <w:sz w:val="20"/>
              </w:rPr>
            </w:pPr>
          </w:p>
        </w:tc>
        <w:tc>
          <w:tcPr>
            <w:tcW w:w="2330" w:type="pct"/>
          </w:tcPr>
          <w:p w:rsidR="00D97F7E" w:rsidRPr="0067741F" w:rsidRDefault="00D97F7E" w:rsidP="00D97F7E">
            <w:pPr>
              <w:jc w:val="both"/>
              <w:rPr>
                <w:sz w:val="20"/>
                <w:lang w:val="fr-CA"/>
              </w:rPr>
            </w:pPr>
            <w:r w:rsidRPr="0067741F">
              <w:rPr>
                <w:sz w:val="20"/>
                <w:lang w:val="fr-CA"/>
              </w:rPr>
              <w:t xml:space="preserve">Appel accueilli; Modern Concept d’entretien inc. condamné à payer </w:t>
            </w:r>
            <w:r w:rsidRPr="0067741F">
              <w:rPr>
                <w:sz w:val="20"/>
                <w:lang w:val="fr-FR"/>
              </w:rPr>
              <w:t>9 219,32 $</w:t>
            </w:r>
          </w:p>
          <w:p w:rsidR="00D97F7E" w:rsidRPr="0067741F" w:rsidRDefault="00D97F7E" w:rsidP="00D97F7E">
            <w:pPr>
              <w:jc w:val="both"/>
              <w:rPr>
                <w:sz w:val="20"/>
                <w:lang w:val="fr-CA"/>
              </w:rPr>
            </w:pPr>
          </w:p>
        </w:tc>
      </w:tr>
      <w:tr w:rsidR="00D97F7E" w:rsidRPr="0067741F" w:rsidTr="00D97F7E">
        <w:tc>
          <w:tcPr>
            <w:tcW w:w="2427" w:type="pct"/>
            <w:gridSpan w:val="2"/>
          </w:tcPr>
          <w:p w:rsidR="00D97F7E" w:rsidRPr="0067741F" w:rsidRDefault="00D97F7E" w:rsidP="00D97F7E">
            <w:pPr>
              <w:jc w:val="both"/>
              <w:rPr>
                <w:sz w:val="20"/>
                <w:lang w:val="fr-CA"/>
              </w:rPr>
            </w:pPr>
            <w:r w:rsidRPr="0067741F">
              <w:rPr>
                <w:sz w:val="20"/>
                <w:lang w:val="fr-CA"/>
              </w:rPr>
              <w:t>Le 17 octobre 2017</w:t>
            </w:r>
          </w:p>
          <w:p w:rsidR="00D97F7E" w:rsidRPr="0067741F" w:rsidRDefault="00D97F7E" w:rsidP="00D97F7E">
            <w:pPr>
              <w:jc w:val="both"/>
              <w:rPr>
                <w:sz w:val="20"/>
                <w:lang w:val="fr-CA"/>
              </w:rPr>
            </w:pPr>
            <w:r w:rsidRPr="0067741F">
              <w:rPr>
                <w:sz w:val="20"/>
                <w:lang w:val="fr-CA"/>
              </w:rPr>
              <w:t>Cour suprême du Canada</w:t>
            </w:r>
          </w:p>
        </w:tc>
        <w:tc>
          <w:tcPr>
            <w:tcW w:w="243" w:type="pct"/>
          </w:tcPr>
          <w:p w:rsidR="00D97F7E" w:rsidRPr="0067741F" w:rsidRDefault="00D97F7E" w:rsidP="00D97F7E">
            <w:pPr>
              <w:jc w:val="both"/>
              <w:rPr>
                <w:sz w:val="20"/>
                <w:lang w:val="fr-CA"/>
              </w:rPr>
            </w:pPr>
          </w:p>
        </w:tc>
        <w:tc>
          <w:tcPr>
            <w:tcW w:w="2330" w:type="pct"/>
          </w:tcPr>
          <w:p w:rsidR="00D97F7E" w:rsidRPr="0067741F" w:rsidRDefault="00D97F7E" w:rsidP="00D97F7E">
            <w:pPr>
              <w:jc w:val="both"/>
              <w:rPr>
                <w:sz w:val="20"/>
              </w:rPr>
            </w:pPr>
            <w:r w:rsidRPr="0067741F">
              <w:rPr>
                <w:sz w:val="20"/>
              </w:rPr>
              <w:t>Demande d'autorisation d'appel déposée</w:t>
            </w:r>
          </w:p>
          <w:p w:rsidR="00D97F7E" w:rsidRPr="0067741F" w:rsidRDefault="00D97F7E" w:rsidP="00D97F7E">
            <w:pPr>
              <w:jc w:val="both"/>
              <w:rPr>
                <w:sz w:val="20"/>
              </w:rPr>
            </w:pPr>
          </w:p>
        </w:tc>
      </w:tr>
    </w:tbl>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83454" w:rsidRPr="00012FDB" w:rsidRDefault="00687786" w:rsidP="00183454">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t>04</w:t>
      </w:r>
      <w:r w:rsidR="00183454" w:rsidRPr="00012FDB">
        <w:rPr>
          <w:rFonts w:eastAsia="Times New Roman" w:cs="Times New Roman"/>
          <w:sz w:val="20"/>
          <w:szCs w:val="20"/>
          <w:lang w:val="fr-CA" w:eastAsia="en-CA"/>
        </w:rPr>
        <w:t>.</w:t>
      </w:r>
      <w:r w:rsidR="00183454">
        <w:rPr>
          <w:rFonts w:eastAsia="Times New Roman" w:cs="Times New Roman"/>
          <w:sz w:val="20"/>
          <w:szCs w:val="20"/>
          <w:lang w:val="fr-CA" w:eastAsia="en-CA"/>
        </w:rPr>
        <w:t>0</w:t>
      </w:r>
      <w:r>
        <w:rPr>
          <w:rFonts w:eastAsia="Times New Roman" w:cs="Times New Roman"/>
          <w:sz w:val="20"/>
          <w:szCs w:val="20"/>
          <w:lang w:val="fr-CA" w:eastAsia="en-CA"/>
        </w:rPr>
        <w:t>5</w:t>
      </w:r>
      <w:r w:rsidR="00183454" w:rsidRPr="00012FDB">
        <w:rPr>
          <w:rFonts w:eastAsia="Times New Roman" w:cs="Times New Roman"/>
          <w:sz w:val="20"/>
          <w:szCs w:val="20"/>
          <w:lang w:val="fr-CA" w:eastAsia="en-CA"/>
        </w:rPr>
        <w:t>.201</w:t>
      </w:r>
      <w:r w:rsidR="00C406CA">
        <w:rPr>
          <w:rFonts w:eastAsia="Times New Roman" w:cs="Times New Roman"/>
          <w:sz w:val="20"/>
          <w:szCs w:val="20"/>
          <w:lang w:val="fr-CA" w:eastAsia="en-CA"/>
        </w:rPr>
        <w:t>8</w:t>
      </w:r>
    </w:p>
    <w:p w:rsidR="00183454" w:rsidRPr="00012FDB" w:rsidRDefault="00183454" w:rsidP="00183454">
      <w:pPr>
        <w:tabs>
          <w:tab w:val="left" w:pos="-1440"/>
          <w:tab w:val="left" w:pos="-720"/>
        </w:tabs>
        <w:jc w:val="both"/>
        <w:rPr>
          <w:rFonts w:eastAsia="Times New Roman" w:cs="Times New Roman"/>
          <w:sz w:val="20"/>
          <w:szCs w:val="20"/>
          <w:lang w:val="fr-CA" w:eastAsia="en-CA"/>
        </w:rPr>
      </w:pPr>
    </w:p>
    <w:p w:rsidR="00687786" w:rsidRPr="0010611E" w:rsidRDefault="00687786" w:rsidP="00687786">
      <w:pPr>
        <w:tabs>
          <w:tab w:val="left" w:pos="-1440"/>
          <w:tab w:val="left" w:pos="-720"/>
        </w:tabs>
        <w:jc w:val="both"/>
        <w:rPr>
          <w:rFonts w:eastAsia="Times New Roman" w:cs="Times New Roman"/>
          <w:sz w:val="20"/>
          <w:szCs w:val="20"/>
          <w:lang w:val="fr-CA" w:eastAsia="en-CA"/>
        </w:rPr>
      </w:pPr>
      <w:r w:rsidRPr="0010611E">
        <w:rPr>
          <w:rFonts w:eastAsia="Times New Roman" w:cs="Times New Roman"/>
          <w:sz w:val="20"/>
          <w:szCs w:val="20"/>
          <w:lang w:val="fr-CA" w:eastAsia="en-CA"/>
        </w:rPr>
        <w:t xml:space="preserve">Before / Devant :   </w:t>
      </w:r>
      <w:r>
        <w:rPr>
          <w:rFonts w:eastAsia="Times New Roman" w:cs="Times New Roman"/>
          <w:sz w:val="20"/>
          <w:szCs w:val="20"/>
          <w:lang w:val="fr-CA" w:eastAsia="en-CA"/>
        </w:rPr>
        <w:t>THE CHIEF JUSTICE</w:t>
      </w:r>
      <w:r w:rsidRPr="0010611E">
        <w:rPr>
          <w:rFonts w:eastAsia="Times New Roman" w:cs="Times New Roman"/>
          <w:sz w:val="20"/>
          <w:szCs w:val="20"/>
          <w:lang w:val="fr-CA" w:eastAsia="en-CA"/>
        </w:rPr>
        <w:t xml:space="preserve"> / L</w:t>
      </w:r>
      <w:r>
        <w:rPr>
          <w:rFonts w:eastAsia="Times New Roman" w:cs="Times New Roman"/>
          <w:sz w:val="20"/>
          <w:szCs w:val="20"/>
          <w:lang w:val="fr-CA" w:eastAsia="en-CA"/>
        </w:rPr>
        <w:t>E JUGE EN CHEF</w:t>
      </w:r>
    </w:p>
    <w:p w:rsidR="00687786" w:rsidRPr="00EB7EB8" w:rsidRDefault="00687786" w:rsidP="00687786">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3"/>
        <w:gridCol w:w="4230"/>
      </w:tblGrid>
      <w:tr w:rsidR="00561E0B" w:rsidRPr="00C15495" w:rsidTr="00C74F2E">
        <w:trPr>
          <w:trHeight w:val="387"/>
        </w:trPr>
        <w:tc>
          <w:tcPr>
            <w:tcW w:w="4246" w:type="dxa"/>
          </w:tcPr>
          <w:p w:rsidR="00561E0B" w:rsidRPr="00017E86" w:rsidRDefault="00561E0B" w:rsidP="00561E0B">
            <w:pPr>
              <w:jc w:val="both"/>
              <w:rPr>
                <w:b/>
                <w:bCs/>
                <w:lang w:val="fr-CA"/>
              </w:rPr>
            </w:pPr>
            <w:r w:rsidRPr="00D12F79">
              <w:rPr>
                <w:b/>
                <w:bCs/>
              </w:rPr>
              <w:t>Miscellaneous motion</w:t>
            </w:r>
          </w:p>
        </w:tc>
        <w:tc>
          <w:tcPr>
            <w:tcW w:w="1143" w:type="dxa"/>
          </w:tcPr>
          <w:p w:rsidR="00561E0B" w:rsidRPr="0010611E" w:rsidRDefault="00561E0B" w:rsidP="00561E0B">
            <w:pPr>
              <w:tabs>
                <w:tab w:val="left" w:pos="-1440"/>
                <w:tab w:val="left" w:pos="-720"/>
              </w:tabs>
              <w:jc w:val="both"/>
            </w:pPr>
          </w:p>
          <w:p w:rsidR="00561E0B" w:rsidRPr="0010611E" w:rsidRDefault="00561E0B" w:rsidP="00561E0B">
            <w:pPr>
              <w:tabs>
                <w:tab w:val="left" w:pos="-1440"/>
                <w:tab w:val="left" w:pos="-720"/>
              </w:tabs>
              <w:jc w:val="both"/>
            </w:pPr>
          </w:p>
        </w:tc>
        <w:tc>
          <w:tcPr>
            <w:tcW w:w="4230" w:type="dxa"/>
          </w:tcPr>
          <w:p w:rsidR="00561E0B" w:rsidRPr="00017E86" w:rsidRDefault="00561E0B" w:rsidP="00561E0B">
            <w:pPr>
              <w:jc w:val="both"/>
              <w:rPr>
                <w:b/>
                <w:bCs/>
                <w:lang w:val="fr-CA"/>
              </w:rPr>
            </w:pPr>
            <w:r w:rsidRPr="00D12F79">
              <w:rPr>
                <w:b/>
                <w:bCs/>
                <w:lang w:val="fr-CA"/>
              </w:rPr>
              <w:t>Requête diverse</w:t>
            </w:r>
          </w:p>
        </w:tc>
      </w:tr>
      <w:tr w:rsidR="00561E0B" w:rsidRPr="0010611E" w:rsidTr="00C74F2E">
        <w:tc>
          <w:tcPr>
            <w:tcW w:w="4246" w:type="dxa"/>
          </w:tcPr>
          <w:p w:rsidR="00561E0B" w:rsidRDefault="00561E0B" w:rsidP="00561E0B">
            <w:pPr>
              <w:tabs>
                <w:tab w:val="left" w:pos="-1440"/>
                <w:tab w:val="left" w:pos="-720"/>
              </w:tabs>
              <w:jc w:val="both"/>
              <w:rPr>
                <w:lang w:val="en-US"/>
              </w:rPr>
            </w:pPr>
            <w:r>
              <w:rPr>
                <w:lang w:val="en-US"/>
              </w:rPr>
              <w:t>Bradley Barton</w:t>
            </w:r>
          </w:p>
          <w:p w:rsidR="00561E0B" w:rsidRPr="0010611E" w:rsidRDefault="00561E0B" w:rsidP="00561E0B">
            <w:pPr>
              <w:tabs>
                <w:tab w:val="left" w:pos="-1440"/>
                <w:tab w:val="left" w:pos="-720"/>
              </w:tabs>
              <w:jc w:val="both"/>
              <w:rPr>
                <w:lang w:val="en-US"/>
              </w:rPr>
            </w:pPr>
          </w:p>
          <w:p w:rsidR="00561E0B" w:rsidRPr="0010611E" w:rsidRDefault="00561E0B" w:rsidP="00561E0B">
            <w:pPr>
              <w:tabs>
                <w:tab w:val="left" w:pos="-1440"/>
                <w:tab w:val="left" w:pos="-720"/>
              </w:tabs>
              <w:jc w:val="both"/>
              <w:rPr>
                <w:lang w:val="en-US"/>
              </w:rPr>
            </w:pPr>
            <w:r>
              <w:rPr>
                <w:lang w:val="en-US"/>
              </w:rPr>
              <w:tab/>
              <w:t>v. (37769</w:t>
            </w:r>
            <w:r w:rsidRPr="0010611E">
              <w:rPr>
                <w:lang w:val="en-US"/>
              </w:rPr>
              <w:t>)</w:t>
            </w:r>
          </w:p>
          <w:p w:rsidR="00561E0B" w:rsidRPr="0010611E" w:rsidRDefault="00561E0B" w:rsidP="00561E0B">
            <w:pPr>
              <w:tabs>
                <w:tab w:val="left" w:pos="-1440"/>
                <w:tab w:val="left" w:pos="-720"/>
              </w:tabs>
              <w:jc w:val="both"/>
              <w:rPr>
                <w:lang w:val="en-US"/>
              </w:rPr>
            </w:pPr>
          </w:p>
          <w:p w:rsidR="00561E0B" w:rsidRPr="0010611E" w:rsidRDefault="00561E0B" w:rsidP="00561E0B">
            <w:pPr>
              <w:tabs>
                <w:tab w:val="left" w:pos="-1440"/>
                <w:tab w:val="left" w:pos="-720"/>
              </w:tabs>
              <w:jc w:val="both"/>
              <w:rPr>
                <w:lang w:val="en-US"/>
              </w:rPr>
            </w:pPr>
            <w:r>
              <w:t xml:space="preserve">Her Majesty the Queen </w:t>
            </w:r>
            <w:r>
              <w:rPr>
                <w:lang w:val="en-US"/>
              </w:rPr>
              <w:t>(Alta.</w:t>
            </w:r>
            <w:r w:rsidRPr="0010611E">
              <w:rPr>
                <w:lang w:val="en-US"/>
              </w:rPr>
              <w:t>)</w:t>
            </w:r>
          </w:p>
        </w:tc>
        <w:tc>
          <w:tcPr>
            <w:tcW w:w="1143" w:type="dxa"/>
          </w:tcPr>
          <w:p w:rsidR="00561E0B" w:rsidRPr="0010611E" w:rsidRDefault="00561E0B" w:rsidP="00561E0B">
            <w:pPr>
              <w:tabs>
                <w:tab w:val="left" w:pos="-1440"/>
                <w:tab w:val="left" w:pos="-720"/>
              </w:tabs>
              <w:jc w:val="both"/>
              <w:rPr>
                <w:lang w:val="en-US"/>
              </w:rPr>
            </w:pPr>
          </w:p>
        </w:tc>
        <w:tc>
          <w:tcPr>
            <w:tcW w:w="4230" w:type="dxa"/>
          </w:tcPr>
          <w:p w:rsidR="00561E0B" w:rsidRPr="0010611E" w:rsidRDefault="00561E0B" w:rsidP="00561E0B">
            <w:pPr>
              <w:tabs>
                <w:tab w:val="left" w:pos="-1440"/>
                <w:tab w:val="left" w:pos="-720"/>
              </w:tabs>
              <w:jc w:val="both"/>
              <w:rPr>
                <w:lang w:val="en-US"/>
              </w:rPr>
            </w:pPr>
          </w:p>
        </w:tc>
      </w:tr>
    </w:tbl>
    <w:p w:rsidR="00687786" w:rsidRPr="0010611E" w:rsidRDefault="00687786" w:rsidP="00687786">
      <w:pPr>
        <w:tabs>
          <w:tab w:val="left" w:pos="-1440"/>
          <w:tab w:val="left" w:pos="-720"/>
        </w:tabs>
        <w:jc w:val="both"/>
        <w:rPr>
          <w:rFonts w:eastAsia="Times New Roman" w:cs="Times New Roman"/>
          <w:sz w:val="20"/>
          <w:szCs w:val="20"/>
          <w:lang w:val="en-US" w:eastAsia="en-CA"/>
        </w:rPr>
      </w:pPr>
    </w:p>
    <w:p w:rsidR="00687786" w:rsidRPr="00EB7EB8" w:rsidRDefault="00687786" w:rsidP="00687786">
      <w:pPr>
        <w:tabs>
          <w:tab w:val="left" w:pos="-1440"/>
          <w:tab w:val="left" w:pos="-720"/>
        </w:tabs>
        <w:jc w:val="both"/>
        <w:rPr>
          <w:rFonts w:eastAsia="Times New Roman" w:cs="Times New Roman"/>
          <w:b/>
          <w:sz w:val="20"/>
          <w:szCs w:val="20"/>
          <w:lang w:val="en-US" w:eastAsia="en-CA"/>
        </w:rPr>
      </w:pPr>
      <w:r w:rsidRPr="00B051B5">
        <w:rPr>
          <w:rFonts w:eastAsia="Times New Roman" w:cs="Times New Roman"/>
          <w:b/>
          <w:sz w:val="20"/>
          <w:szCs w:val="20"/>
          <w:lang w:val="en-US" w:eastAsia="en-CA"/>
        </w:rPr>
        <w:t>DISMISSED /REJET</w:t>
      </w:r>
      <w:r w:rsidRPr="00EB7EB8">
        <w:rPr>
          <w:rFonts w:eastAsia="Times New Roman" w:cs="Times New Roman"/>
          <w:b/>
          <w:sz w:val="20"/>
          <w:szCs w:val="20"/>
          <w:lang w:val="en-US" w:eastAsia="en-CA"/>
        </w:rPr>
        <w:t>ÉE</w:t>
      </w:r>
    </w:p>
    <w:p w:rsidR="00CA2DEA" w:rsidRPr="00C15495" w:rsidRDefault="00CA2DEA" w:rsidP="00CA2DEA">
      <w:pPr>
        <w:widowControl w:val="0"/>
        <w:rPr>
          <w:rFonts w:eastAsia="Times New Roman" w:cs="Times New Roman"/>
          <w:sz w:val="20"/>
          <w:szCs w:val="20"/>
          <w:lang w:val="en-US" w:eastAsia="en-CA"/>
        </w:rPr>
      </w:pPr>
    </w:p>
    <w:p w:rsidR="00687786" w:rsidRPr="00687786" w:rsidRDefault="00687786" w:rsidP="00687786">
      <w:pPr>
        <w:rPr>
          <w:rFonts w:cs="Times New Roman"/>
          <w:sz w:val="20"/>
        </w:rPr>
      </w:pPr>
      <w:r w:rsidRPr="00687786">
        <w:rPr>
          <w:rFonts w:cs="Times New Roman"/>
          <w:bCs/>
          <w:sz w:val="20"/>
        </w:rPr>
        <w:t>UPON APPLICATION</w:t>
      </w:r>
      <w:r w:rsidRPr="00687786">
        <w:rPr>
          <w:rFonts w:cs="Times New Roman"/>
          <w:sz w:val="20"/>
        </w:rPr>
        <w:t xml:space="preserve"> by the appellant </w:t>
      </w:r>
      <w:r w:rsidRPr="00687786">
        <w:rPr>
          <w:rFonts w:cs="Times New Roman"/>
          <w:sz w:val="20"/>
        </w:rPr>
        <w:fldChar w:fldCharType="begin"/>
      </w:r>
      <w:r w:rsidRPr="00687786">
        <w:rPr>
          <w:rFonts w:cs="Times New Roman"/>
          <w:sz w:val="20"/>
        </w:rPr>
        <w:instrText xml:space="preserve"> SEQ CHAPTER \h \r 1</w:instrText>
      </w:r>
      <w:r w:rsidRPr="00687786">
        <w:rPr>
          <w:rFonts w:cs="Times New Roman"/>
          <w:sz w:val="20"/>
        </w:rPr>
        <w:fldChar w:fldCharType="end"/>
      </w:r>
      <w:r w:rsidRPr="00687786">
        <w:rPr>
          <w:rFonts w:cs="Times New Roman"/>
          <w:sz w:val="20"/>
        </w:rPr>
        <w:t>for an order permitting both parties to this appeal to each file a factum not exceeding sixty (60) pages in length, and each accorded ninety (90) minutes in oral argument at the hearing of the appeal;</w:t>
      </w:r>
    </w:p>
    <w:p w:rsidR="00687786" w:rsidRPr="00687786" w:rsidRDefault="00687786" w:rsidP="00687786">
      <w:pPr>
        <w:rPr>
          <w:rFonts w:cs="Times New Roman"/>
          <w:sz w:val="20"/>
        </w:rPr>
      </w:pPr>
    </w:p>
    <w:p w:rsidR="00687786" w:rsidRPr="00687786" w:rsidRDefault="00687786" w:rsidP="00687786">
      <w:pPr>
        <w:rPr>
          <w:rFonts w:cs="Times New Roman"/>
          <w:sz w:val="20"/>
        </w:rPr>
      </w:pPr>
      <w:r w:rsidRPr="00687786">
        <w:rPr>
          <w:rFonts w:cs="Times New Roman"/>
          <w:bCs/>
          <w:sz w:val="20"/>
        </w:rPr>
        <w:t>AND THE MATERIAL FILED having been read</w:t>
      </w:r>
      <w:r w:rsidRPr="00687786">
        <w:rPr>
          <w:rFonts w:cs="Times New Roman"/>
          <w:sz w:val="20"/>
        </w:rPr>
        <w:t>;</w:t>
      </w:r>
    </w:p>
    <w:p w:rsidR="00687786" w:rsidRPr="00687786" w:rsidRDefault="00687786" w:rsidP="00687786">
      <w:pPr>
        <w:rPr>
          <w:rFonts w:cs="Times New Roman"/>
          <w:sz w:val="20"/>
        </w:rPr>
      </w:pPr>
    </w:p>
    <w:p w:rsidR="00687786" w:rsidRPr="00687786" w:rsidRDefault="00687786" w:rsidP="00687786">
      <w:pPr>
        <w:rPr>
          <w:rFonts w:cs="Times New Roman"/>
          <w:sz w:val="20"/>
        </w:rPr>
      </w:pPr>
      <w:r w:rsidRPr="00687786">
        <w:rPr>
          <w:rFonts w:cs="Times New Roman"/>
          <w:sz w:val="20"/>
        </w:rPr>
        <w:t>IT IS HEREBY ORDERED THAT:</w:t>
      </w:r>
    </w:p>
    <w:p w:rsidR="00687786" w:rsidRPr="00687786" w:rsidRDefault="00687786" w:rsidP="00687786">
      <w:pPr>
        <w:rPr>
          <w:rFonts w:cs="Times New Roman"/>
          <w:sz w:val="20"/>
        </w:rPr>
      </w:pPr>
    </w:p>
    <w:p w:rsidR="00687786" w:rsidRPr="00687786" w:rsidRDefault="00687786" w:rsidP="00687786">
      <w:pPr>
        <w:rPr>
          <w:rFonts w:cs="Times New Roman"/>
          <w:sz w:val="20"/>
          <w:lang w:val="fr-CA"/>
        </w:rPr>
      </w:pPr>
      <w:r w:rsidRPr="00687786">
        <w:rPr>
          <w:rFonts w:cs="Times New Roman"/>
          <w:sz w:val="20"/>
          <w:lang w:val="fr-CA"/>
        </w:rPr>
        <w:t>The motion is dismissed.</w:t>
      </w:r>
    </w:p>
    <w:p w:rsidR="00687786" w:rsidRPr="00687786" w:rsidRDefault="00687786" w:rsidP="00687786">
      <w:pPr>
        <w:rPr>
          <w:rFonts w:cs="Times New Roman"/>
          <w:sz w:val="20"/>
          <w:lang w:val="fr-CA"/>
        </w:rPr>
      </w:pPr>
    </w:p>
    <w:p w:rsidR="00687786" w:rsidRPr="00687786" w:rsidRDefault="00687786" w:rsidP="00687786">
      <w:pPr>
        <w:rPr>
          <w:rFonts w:cs="Times New Roman"/>
          <w:bCs/>
          <w:sz w:val="20"/>
          <w:lang w:val="fr-CA"/>
        </w:rPr>
      </w:pPr>
      <w:r w:rsidRPr="00687786">
        <w:rPr>
          <w:rFonts w:cs="Times New Roman"/>
          <w:bCs/>
          <w:sz w:val="20"/>
          <w:lang w:val="fr-CA"/>
        </w:rPr>
        <w:t>À LA SUITE DE LA DEMANDE de l’appelant sollicitant une ordonnance autorisant chacune des deux parties à l’appel à déposer un mémoire d’au plus soixante (60) pages et à présenter une plaidoirie orale de quatre-vingt-dix (90) minutes lors de l’audition de l’appel;</w:t>
      </w:r>
    </w:p>
    <w:p w:rsidR="00687786" w:rsidRPr="00687786" w:rsidRDefault="00687786" w:rsidP="00687786">
      <w:pPr>
        <w:rPr>
          <w:rFonts w:cs="Times New Roman"/>
          <w:sz w:val="20"/>
          <w:lang w:val="fr-CA"/>
        </w:rPr>
      </w:pPr>
    </w:p>
    <w:p w:rsidR="00687786" w:rsidRPr="00687786" w:rsidRDefault="00687786" w:rsidP="00687786">
      <w:pPr>
        <w:rPr>
          <w:rFonts w:cs="Times New Roman"/>
          <w:bCs/>
          <w:sz w:val="20"/>
          <w:lang w:val="fr-CA"/>
        </w:rPr>
      </w:pPr>
      <w:r w:rsidRPr="00687786">
        <w:rPr>
          <w:rFonts w:cs="Times New Roman"/>
          <w:bCs/>
          <w:sz w:val="20"/>
          <w:lang w:val="fr-CA"/>
        </w:rPr>
        <w:t>ET APRÈS EXAMEN des documents déposés;</w:t>
      </w:r>
    </w:p>
    <w:p w:rsidR="00687786" w:rsidRPr="00687786" w:rsidRDefault="00687786" w:rsidP="00687786">
      <w:pPr>
        <w:rPr>
          <w:rFonts w:cs="Times New Roman"/>
          <w:sz w:val="20"/>
          <w:lang w:val="fr-CA"/>
        </w:rPr>
      </w:pPr>
    </w:p>
    <w:p w:rsidR="00687786" w:rsidRPr="00687786" w:rsidRDefault="00687786" w:rsidP="00687786">
      <w:pPr>
        <w:rPr>
          <w:rFonts w:cs="Times New Roman"/>
          <w:sz w:val="20"/>
          <w:lang w:val="fr-CA"/>
        </w:rPr>
      </w:pPr>
      <w:r w:rsidRPr="00687786">
        <w:rPr>
          <w:rFonts w:cs="Times New Roman"/>
          <w:sz w:val="20"/>
          <w:lang w:val="fr-CA"/>
        </w:rPr>
        <w:t>IL EST ORDONNÉ CE QUI SUIT :</w:t>
      </w:r>
    </w:p>
    <w:p w:rsidR="00687786" w:rsidRPr="00687786" w:rsidRDefault="00687786" w:rsidP="00687786">
      <w:pPr>
        <w:rPr>
          <w:rFonts w:cs="Times New Roman"/>
          <w:sz w:val="20"/>
          <w:lang w:val="fr-CA"/>
        </w:rPr>
      </w:pPr>
    </w:p>
    <w:p w:rsidR="00687786" w:rsidRPr="00687786" w:rsidRDefault="00687786" w:rsidP="00687786">
      <w:pPr>
        <w:rPr>
          <w:rFonts w:cs="Times New Roman"/>
          <w:sz w:val="20"/>
          <w:lang w:val="fr-CA"/>
        </w:rPr>
      </w:pPr>
      <w:r w:rsidRPr="00687786">
        <w:rPr>
          <w:rFonts w:cs="Times New Roman"/>
          <w:sz w:val="20"/>
          <w:lang w:val="fr-CA"/>
        </w:rPr>
        <w:t xml:space="preserve">La requête est rejetée. </w:t>
      </w:r>
    </w:p>
    <w:p w:rsidR="00687786" w:rsidRPr="006E5D7C" w:rsidRDefault="00687786" w:rsidP="00CA2DEA">
      <w:pPr>
        <w:widowControl w:val="0"/>
        <w:rPr>
          <w:rFonts w:eastAsia="Times New Roman" w:cs="Times New Roman"/>
          <w:sz w:val="20"/>
          <w:szCs w:val="20"/>
          <w:lang w:val="fr-CA" w:eastAsia="en-CA"/>
        </w:rPr>
      </w:pPr>
    </w:p>
    <w:p w:rsidR="00CA2DEA" w:rsidRPr="006E5D7C" w:rsidRDefault="00FE4582"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C15495"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 xml:space="preserve">APPEALS HEARD SINCE </w:t>
            </w:r>
            <w:r w:rsidR="003E5F3E">
              <w:rPr>
                <w:b/>
                <w:szCs w:val="24"/>
              </w:rPr>
              <w:t xml:space="preserve">THE </w:t>
            </w:r>
            <w:r w:rsidRPr="00C1697B">
              <w:rPr>
                <w:b/>
                <w:szCs w:val="24"/>
              </w:rPr>
              <w:t>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C50A5C" w:rsidRDefault="00E70F48" w:rsidP="007C47C2">
      <w:pPr>
        <w:widowControl w:val="0"/>
        <w:rPr>
          <w:sz w:val="20"/>
          <w:szCs w:val="20"/>
        </w:rPr>
      </w:pPr>
      <w:r>
        <w:rPr>
          <w:sz w:val="20"/>
          <w:szCs w:val="20"/>
        </w:rPr>
        <w:t>14</w:t>
      </w:r>
      <w:r w:rsidR="007C47C2" w:rsidRPr="00C50A5C">
        <w:rPr>
          <w:sz w:val="20"/>
          <w:szCs w:val="20"/>
        </w:rPr>
        <w:t>.0</w:t>
      </w:r>
      <w:r>
        <w:rPr>
          <w:sz w:val="20"/>
          <w:szCs w:val="20"/>
        </w:rPr>
        <w:t>5</w:t>
      </w:r>
      <w:r w:rsidR="007C47C2" w:rsidRPr="00C50A5C">
        <w:rPr>
          <w:sz w:val="20"/>
          <w:szCs w:val="20"/>
        </w:rPr>
        <w:t>.201</w:t>
      </w:r>
      <w:r w:rsidR="00E8544A">
        <w:rPr>
          <w:sz w:val="20"/>
          <w:szCs w:val="20"/>
        </w:rPr>
        <w:t>7</w:t>
      </w:r>
    </w:p>
    <w:p w:rsidR="007C47C2" w:rsidRPr="00C50A5C" w:rsidRDefault="007C47C2" w:rsidP="007C47C2">
      <w:pPr>
        <w:widowControl w:val="0"/>
        <w:rPr>
          <w:sz w:val="20"/>
          <w:szCs w:val="20"/>
        </w:rPr>
      </w:pPr>
    </w:p>
    <w:p w:rsidR="007C47C2" w:rsidRDefault="007C47C2" w:rsidP="007C47C2">
      <w:pPr>
        <w:widowControl w:val="0"/>
        <w:ind w:left="720" w:hanging="720"/>
        <w:rPr>
          <w:sz w:val="20"/>
          <w:szCs w:val="20"/>
        </w:rPr>
      </w:pPr>
      <w:r w:rsidRPr="00C50A5C">
        <w:rPr>
          <w:sz w:val="20"/>
          <w:szCs w:val="20"/>
        </w:rPr>
        <w:t xml:space="preserve">Coram: </w:t>
      </w:r>
      <w:r w:rsidRPr="00C50A5C">
        <w:rPr>
          <w:sz w:val="20"/>
          <w:szCs w:val="20"/>
        </w:rPr>
        <w:tab/>
      </w:r>
      <w:r w:rsidR="00E70F48">
        <w:rPr>
          <w:sz w:val="20"/>
          <w:szCs w:val="20"/>
          <w:u w:val="single"/>
        </w:rPr>
        <w:t>Wagner C.J.</w:t>
      </w:r>
      <w:r w:rsidR="00E8544A">
        <w:rPr>
          <w:sz w:val="20"/>
          <w:szCs w:val="20"/>
          <w:u w:val="single"/>
        </w:rPr>
        <w:t xml:space="preserve"> and</w:t>
      </w:r>
      <w:r w:rsidR="00E70F48">
        <w:rPr>
          <w:sz w:val="20"/>
          <w:szCs w:val="20"/>
          <w:u w:val="single"/>
        </w:rPr>
        <w:t xml:space="preserve"> </w:t>
      </w:r>
      <w:r w:rsidR="0056248C">
        <w:rPr>
          <w:sz w:val="20"/>
          <w:szCs w:val="20"/>
          <w:u w:val="single"/>
        </w:rPr>
        <w:t>Karakatsanis</w:t>
      </w:r>
      <w:r>
        <w:rPr>
          <w:sz w:val="20"/>
          <w:szCs w:val="20"/>
          <w:u w:val="single"/>
        </w:rPr>
        <w:t xml:space="preserve">, </w:t>
      </w:r>
      <w:r w:rsidR="00E70F48">
        <w:rPr>
          <w:sz w:val="20"/>
          <w:szCs w:val="20"/>
          <w:u w:val="single"/>
        </w:rPr>
        <w:t xml:space="preserve">Gascon, Côté and Martin </w:t>
      </w:r>
      <w:r w:rsidRPr="00C50A5C">
        <w:rPr>
          <w:sz w:val="20"/>
          <w:szCs w:val="20"/>
          <w:u w:val="single"/>
        </w:rPr>
        <w:t>JJ.</w:t>
      </w:r>
      <w:r w:rsidRPr="00C50A5C">
        <w:rPr>
          <w:sz w:val="20"/>
          <w:szCs w:val="20"/>
        </w:rPr>
        <w:t xml:space="preserve"> </w:t>
      </w:r>
    </w:p>
    <w:p w:rsidR="007C47C2" w:rsidRPr="00C50A5C"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50A5C" w:rsidTr="00E942C2">
        <w:tc>
          <w:tcPr>
            <w:tcW w:w="4380" w:type="dxa"/>
            <w:tcMar>
              <w:left w:w="0" w:type="dxa"/>
              <w:right w:w="0" w:type="dxa"/>
            </w:tcMar>
          </w:tcPr>
          <w:p w:rsidR="007C47C2" w:rsidRPr="00C50A5C" w:rsidRDefault="00E70F48" w:rsidP="00E942C2">
            <w:pPr>
              <w:widowControl w:val="0"/>
              <w:jc w:val="both"/>
              <w:rPr>
                <w:b/>
                <w:sz w:val="20"/>
                <w:szCs w:val="20"/>
              </w:rPr>
            </w:pPr>
            <w:r>
              <w:rPr>
                <w:b/>
                <w:sz w:val="20"/>
                <w:szCs w:val="20"/>
              </w:rPr>
              <w:t>Percy Lewis Cain</w:t>
            </w:r>
          </w:p>
          <w:p w:rsidR="007C47C2" w:rsidRPr="00C50A5C" w:rsidRDefault="007C47C2" w:rsidP="00E942C2">
            <w:pPr>
              <w:widowControl w:val="0"/>
              <w:jc w:val="both"/>
              <w:rPr>
                <w:b/>
                <w:sz w:val="20"/>
                <w:szCs w:val="20"/>
              </w:rPr>
            </w:pPr>
          </w:p>
          <w:p w:rsidR="007C47C2" w:rsidRPr="00C50A5C" w:rsidRDefault="007C47C2" w:rsidP="00E942C2">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57" w:history="1">
              <w:r w:rsidR="00E70F48">
                <w:rPr>
                  <w:rStyle w:val="Hyperlink"/>
                  <w:sz w:val="20"/>
                  <w:szCs w:val="20"/>
                </w:rPr>
                <w:t>37926</w:t>
              </w:r>
            </w:hyperlink>
            <w:r w:rsidRPr="00765D4A">
              <w:rPr>
                <w:sz w:val="20"/>
                <w:szCs w:val="20"/>
              </w:rPr>
              <w:t>)</w:t>
            </w:r>
          </w:p>
          <w:p w:rsidR="007C47C2" w:rsidRPr="00C50A5C" w:rsidRDefault="007C47C2" w:rsidP="00E942C2">
            <w:pPr>
              <w:widowControl w:val="0"/>
              <w:jc w:val="both"/>
              <w:rPr>
                <w:b/>
                <w:sz w:val="20"/>
                <w:szCs w:val="20"/>
              </w:rPr>
            </w:pPr>
          </w:p>
          <w:p w:rsidR="007C47C2" w:rsidRPr="00893C7B" w:rsidRDefault="00E70F48" w:rsidP="00E70F48">
            <w:pPr>
              <w:widowControl w:val="0"/>
              <w:jc w:val="both"/>
              <w:rPr>
                <w:sz w:val="20"/>
                <w:szCs w:val="20"/>
              </w:rPr>
            </w:pPr>
            <w:r>
              <w:rPr>
                <w:b/>
                <w:sz w:val="20"/>
                <w:szCs w:val="20"/>
              </w:rPr>
              <w:t>Her Majesty the Queen</w:t>
            </w:r>
            <w:r w:rsidR="007C47C2" w:rsidRPr="00072C86">
              <w:rPr>
                <w:b/>
                <w:sz w:val="20"/>
                <w:szCs w:val="20"/>
              </w:rPr>
              <w:t xml:space="preserve"> (</w:t>
            </w:r>
            <w:r>
              <w:rPr>
                <w:b/>
                <w:sz w:val="20"/>
                <w:szCs w:val="20"/>
              </w:rPr>
              <w:t>N.S</w:t>
            </w:r>
            <w:r w:rsidR="007C47C2" w:rsidRPr="00072C86">
              <w:rPr>
                <w:b/>
                <w:sz w:val="20"/>
                <w:szCs w:val="20"/>
              </w:rPr>
              <w:t xml:space="preserve">.) </w:t>
            </w:r>
            <w:r w:rsidR="007C47C2" w:rsidRPr="00C50A5C">
              <w:rPr>
                <w:b/>
                <w:sz w:val="20"/>
                <w:szCs w:val="20"/>
              </w:rPr>
              <w:t>(C</w:t>
            </w:r>
            <w:r w:rsidR="007C47C2">
              <w:rPr>
                <w:b/>
                <w:sz w:val="20"/>
                <w:szCs w:val="20"/>
              </w:rPr>
              <w:t>r</w:t>
            </w:r>
            <w:r w:rsidR="007C47C2" w:rsidRPr="00C50A5C">
              <w:rPr>
                <w:b/>
                <w:sz w:val="20"/>
                <w:szCs w:val="20"/>
              </w:rPr>
              <w:t>i</w:t>
            </w:r>
            <w:r w:rsidR="007C47C2">
              <w:rPr>
                <w:b/>
                <w:sz w:val="20"/>
                <w:szCs w:val="20"/>
              </w:rPr>
              <w:t>m</w:t>
            </w:r>
            <w:r w:rsidR="007C47C2" w:rsidRPr="00C50A5C">
              <w:rPr>
                <w:b/>
                <w:sz w:val="20"/>
                <w:szCs w:val="20"/>
              </w:rPr>
              <w:t>i</w:t>
            </w:r>
            <w:r w:rsidR="007C47C2">
              <w:rPr>
                <w:b/>
                <w:sz w:val="20"/>
                <w:szCs w:val="20"/>
              </w:rPr>
              <w:t>na</w:t>
            </w:r>
            <w:r w:rsidR="007C47C2" w:rsidRPr="00C50A5C">
              <w:rPr>
                <w:b/>
                <w:sz w:val="20"/>
                <w:szCs w:val="20"/>
              </w:rPr>
              <w:t>l) (</w:t>
            </w:r>
            <w:r w:rsidR="007C47C2">
              <w:rPr>
                <w:b/>
                <w:sz w:val="20"/>
                <w:szCs w:val="20"/>
              </w:rPr>
              <w:t>As of Right</w:t>
            </w:r>
            <w:r w:rsidR="007C47C2" w:rsidRPr="00C50A5C">
              <w:rPr>
                <w:b/>
                <w:sz w:val="20"/>
                <w:szCs w:val="20"/>
              </w:rPr>
              <w:t>)</w:t>
            </w:r>
          </w:p>
        </w:tc>
        <w:tc>
          <w:tcPr>
            <w:tcW w:w="720" w:type="dxa"/>
            <w:tcMar>
              <w:left w:w="0" w:type="dxa"/>
              <w:right w:w="0" w:type="dxa"/>
            </w:tcMar>
          </w:tcPr>
          <w:p w:rsidR="007C47C2" w:rsidRPr="00893C7B" w:rsidRDefault="007C47C2" w:rsidP="00E942C2">
            <w:pPr>
              <w:widowControl w:val="0"/>
              <w:jc w:val="center"/>
              <w:rPr>
                <w:sz w:val="20"/>
                <w:szCs w:val="20"/>
              </w:rPr>
            </w:pPr>
          </w:p>
        </w:tc>
        <w:tc>
          <w:tcPr>
            <w:tcW w:w="4380" w:type="dxa"/>
            <w:tcMar>
              <w:left w:w="0" w:type="dxa"/>
              <w:right w:w="0" w:type="dxa"/>
            </w:tcMar>
          </w:tcPr>
          <w:p w:rsidR="00106CD9" w:rsidRDefault="00106CD9" w:rsidP="00106CD9">
            <w:pPr>
              <w:widowControl w:val="0"/>
              <w:jc w:val="both"/>
              <w:rPr>
                <w:sz w:val="20"/>
                <w:szCs w:val="20"/>
              </w:rPr>
            </w:pPr>
            <w:r>
              <w:rPr>
                <w:sz w:val="20"/>
                <w:szCs w:val="20"/>
              </w:rPr>
              <w:t>Roger A. Burrill f</w:t>
            </w:r>
            <w:r w:rsidRPr="00106CD9">
              <w:rPr>
                <w:sz w:val="20"/>
                <w:szCs w:val="20"/>
              </w:rPr>
              <w:t>or the Appellant</w:t>
            </w:r>
            <w:r>
              <w:rPr>
                <w:sz w:val="20"/>
                <w:szCs w:val="20"/>
              </w:rPr>
              <w:t xml:space="preserve"> </w:t>
            </w:r>
            <w:r w:rsidRPr="00106CD9">
              <w:rPr>
                <w:sz w:val="20"/>
                <w:szCs w:val="20"/>
              </w:rPr>
              <w:t>Percy Lewis Cain</w:t>
            </w:r>
            <w:r>
              <w:rPr>
                <w:sz w:val="20"/>
                <w:szCs w:val="20"/>
              </w:rPr>
              <w:t>.</w:t>
            </w:r>
          </w:p>
          <w:p w:rsidR="00106CD9" w:rsidRPr="00106CD9" w:rsidRDefault="00106CD9" w:rsidP="00106CD9">
            <w:pPr>
              <w:widowControl w:val="0"/>
              <w:jc w:val="both"/>
              <w:rPr>
                <w:sz w:val="20"/>
                <w:szCs w:val="20"/>
              </w:rPr>
            </w:pPr>
          </w:p>
          <w:p w:rsidR="00106CD9" w:rsidRPr="00106CD9" w:rsidRDefault="00106CD9" w:rsidP="00106CD9">
            <w:pPr>
              <w:widowControl w:val="0"/>
              <w:jc w:val="both"/>
              <w:rPr>
                <w:sz w:val="20"/>
                <w:szCs w:val="20"/>
              </w:rPr>
            </w:pPr>
            <w:r w:rsidRPr="00106CD9">
              <w:rPr>
                <w:sz w:val="20"/>
                <w:szCs w:val="20"/>
                <w:lang w:val="en-US"/>
              </w:rPr>
              <w:t>James A. Gumpert, Q.C.</w:t>
            </w:r>
            <w:r>
              <w:rPr>
                <w:sz w:val="20"/>
                <w:szCs w:val="20"/>
                <w:lang w:val="en-US"/>
              </w:rPr>
              <w:t xml:space="preserve"> </w:t>
            </w:r>
            <w:r w:rsidRPr="00106CD9">
              <w:rPr>
                <w:sz w:val="20"/>
                <w:szCs w:val="20"/>
                <w:lang w:val="en-US"/>
              </w:rPr>
              <w:t xml:space="preserve">and </w:t>
            </w:r>
            <w:r w:rsidRPr="00106CD9">
              <w:rPr>
                <w:sz w:val="20"/>
                <w:szCs w:val="20"/>
              </w:rPr>
              <w:t>Sean P. McCarroll f</w:t>
            </w:r>
            <w:r w:rsidRPr="00106CD9">
              <w:rPr>
                <w:sz w:val="20"/>
                <w:szCs w:val="20"/>
                <w:lang w:val="en-US"/>
              </w:rPr>
              <w:t xml:space="preserve">or the Respondent </w:t>
            </w:r>
            <w:r w:rsidRPr="00106CD9">
              <w:rPr>
                <w:sz w:val="20"/>
                <w:szCs w:val="20"/>
              </w:rPr>
              <w:t>Her Majesty the Queen.</w:t>
            </w:r>
          </w:p>
          <w:p w:rsidR="00106CD9" w:rsidRPr="00106CD9" w:rsidRDefault="00106CD9" w:rsidP="00106CD9">
            <w:pPr>
              <w:widowControl w:val="0"/>
              <w:jc w:val="both"/>
              <w:rPr>
                <w:sz w:val="20"/>
                <w:szCs w:val="20"/>
              </w:rPr>
            </w:pPr>
          </w:p>
          <w:p w:rsidR="007C47C2" w:rsidRPr="00C50A5C" w:rsidRDefault="007C47C2" w:rsidP="00E942C2">
            <w:pPr>
              <w:widowControl w:val="0"/>
              <w:jc w:val="both"/>
              <w:rPr>
                <w:sz w:val="20"/>
                <w:szCs w:val="20"/>
              </w:rPr>
            </w:pPr>
          </w:p>
        </w:tc>
      </w:tr>
    </w:tbl>
    <w:p w:rsidR="007C47C2" w:rsidRDefault="007C47C2" w:rsidP="007C47C2">
      <w:pPr>
        <w:widowControl w:val="0"/>
      </w:pPr>
    </w:p>
    <w:p w:rsidR="007C47C2" w:rsidRPr="00F10242" w:rsidRDefault="007C47C2" w:rsidP="007C47C2">
      <w:pPr>
        <w:rPr>
          <w:rFonts w:eastAsia="Calibri" w:cs="Times New Roman"/>
          <w:b/>
          <w:bCs/>
          <w:sz w:val="20"/>
          <w:szCs w:val="20"/>
          <w:lang w:val="fr-CA"/>
        </w:rPr>
      </w:pPr>
      <w:r w:rsidRPr="00F10242">
        <w:rPr>
          <w:rFonts w:eastAsia="Calibri" w:cs="Times New Roman"/>
          <w:b/>
          <w:bCs/>
          <w:sz w:val="20"/>
          <w:szCs w:val="20"/>
          <w:lang w:val="fr-CA"/>
        </w:rPr>
        <w:t>201</w:t>
      </w:r>
      <w:r w:rsidR="00E70F48" w:rsidRPr="00F10242">
        <w:rPr>
          <w:rFonts w:eastAsia="Calibri" w:cs="Times New Roman"/>
          <w:b/>
          <w:bCs/>
          <w:sz w:val="20"/>
          <w:szCs w:val="20"/>
          <w:lang w:val="fr-CA"/>
        </w:rPr>
        <w:t>8</w:t>
      </w:r>
      <w:r w:rsidRPr="00F10242">
        <w:rPr>
          <w:rFonts w:eastAsia="Calibri" w:cs="Times New Roman"/>
          <w:b/>
          <w:bCs/>
          <w:sz w:val="20"/>
          <w:szCs w:val="20"/>
          <w:lang w:val="fr-CA"/>
        </w:rPr>
        <w:t xml:space="preserve"> SCC </w:t>
      </w:r>
      <w:r w:rsidR="00E70F48" w:rsidRPr="00F10242">
        <w:rPr>
          <w:rFonts w:eastAsia="Calibri" w:cs="Times New Roman"/>
          <w:b/>
          <w:bCs/>
          <w:sz w:val="20"/>
          <w:szCs w:val="20"/>
          <w:lang w:val="fr-CA"/>
        </w:rPr>
        <w:t>20 / 2018 CSC 20</w:t>
      </w:r>
    </w:p>
    <w:p w:rsidR="007C47C2" w:rsidRPr="00F10242" w:rsidRDefault="007C47C2" w:rsidP="007C47C2">
      <w:pPr>
        <w:widowControl w:val="0"/>
        <w:rPr>
          <w:sz w:val="20"/>
          <w:szCs w:val="20"/>
          <w:lang w:val="fr-CA"/>
        </w:rPr>
      </w:pPr>
    </w:p>
    <w:p w:rsidR="00F10242" w:rsidRDefault="003201B8" w:rsidP="00F10242">
      <w:pPr>
        <w:rPr>
          <w:b/>
          <w:sz w:val="20"/>
          <w:szCs w:val="20"/>
          <w:lang w:val="fr-CA"/>
        </w:rPr>
      </w:pPr>
      <w:r>
        <w:rPr>
          <w:b/>
          <w:sz w:val="20"/>
          <w:szCs w:val="20"/>
          <w:lang w:val="fr-CA"/>
        </w:rPr>
        <w:t>DISMISSED, Côté</w:t>
      </w:r>
      <w:r w:rsidR="00F10242" w:rsidRPr="00D051B2">
        <w:rPr>
          <w:b/>
          <w:sz w:val="20"/>
          <w:szCs w:val="20"/>
          <w:lang w:val="fr-CA"/>
        </w:rPr>
        <w:t xml:space="preserve"> J dissenting</w:t>
      </w:r>
      <w:r>
        <w:rPr>
          <w:b/>
          <w:sz w:val="20"/>
          <w:szCs w:val="20"/>
          <w:lang w:val="fr-CA"/>
        </w:rPr>
        <w:t xml:space="preserve"> / REJETÉ, la juge Côté</w:t>
      </w:r>
      <w:r w:rsidR="00F10242" w:rsidRPr="00D051B2">
        <w:rPr>
          <w:b/>
          <w:sz w:val="20"/>
          <w:szCs w:val="20"/>
          <w:lang w:val="fr-CA"/>
        </w:rPr>
        <w:t xml:space="preserve"> est dissidente</w:t>
      </w:r>
    </w:p>
    <w:p w:rsidR="007C47C2" w:rsidRPr="00F10242" w:rsidRDefault="007C47C2" w:rsidP="007C47C2">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15495" w:rsidTr="00E942C2">
        <w:tc>
          <w:tcPr>
            <w:tcW w:w="4380" w:type="dxa"/>
            <w:tcMar>
              <w:left w:w="0" w:type="dxa"/>
              <w:right w:w="0" w:type="dxa"/>
            </w:tcMar>
          </w:tcPr>
          <w:p w:rsidR="007C47C2" w:rsidRPr="00CC4D84" w:rsidRDefault="007C47C2" w:rsidP="00E942C2">
            <w:pPr>
              <w:widowControl w:val="0"/>
              <w:jc w:val="both"/>
              <w:rPr>
                <w:b/>
                <w:sz w:val="20"/>
                <w:szCs w:val="20"/>
                <w:u w:val="single"/>
              </w:rPr>
            </w:pPr>
            <w:r>
              <w:rPr>
                <w:b/>
                <w:sz w:val="20"/>
                <w:szCs w:val="20"/>
                <w:u w:val="single"/>
              </w:rPr>
              <w:t>JUDGMENT</w:t>
            </w:r>
            <w:r w:rsidRPr="00CC4D84">
              <w:rPr>
                <w:b/>
                <w:sz w:val="20"/>
                <w:szCs w:val="20"/>
                <w:u w:val="single"/>
              </w:rPr>
              <w:t>:</w:t>
            </w:r>
          </w:p>
          <w:p w:rsidR="007C47C2" w:rsidRPr="001A663B" w:rsidRDefault="007C47C2" w:rsidP="00E942C2">
            <w:pPr>
              <w:widowControl w:val="0"/>
              <w:jc w:val="both"/>
              <w:rPr>
                <w:b/>
                <w:sz w:val="20"/>
                <w:szCs w:val="20"/>
              </w:rPr>
            </w:pPr>
          </w:p>
          <w:p w:rsidR="009008B7" w:rsidRPr="009008B7" w:rsidRDefault="009008B7" w:rsidP="009008B7">
            <w:pPr>
              <w:jc w:val="both"/>
              <w:rPr>
                <w:sz w:val="20"/>
              </w:rPr>
            </w:pPr>
            <w:r w:rsidRPr="009008B7">
              <w:rPr>
                <w:sz w:val="20"/>
              </w:rPr>
              <w:t xml:space="preserve">The appeal from the judgment of the Nova Scotia Court of Appeal, Number CAC 460968, 2017 NSCA 96, dated December 28, 2017, was heard on May 14, 2018, and the Court on that day delivered the following judgment orally: </w:t>
            </w:r>
          </w:p>
          <w:p w:rsidR="009008B7" w:rsidRPr="009008B7" w:rsidRDefault="009008B7" w:rsidP="009008B7">
            <w:pPr>
              <w:jc w:val="both"/>
              <w:rPr>
                <w:sz w:val="20"/>
              </w:rPr>
            </w:pPr>
          </w:p>
          <w:p w:rsidR="009008B7" w:rsidRPr="009008B7" w:rsidRDefault="009008B7" w:rsidP="009008B7">
            <w:pPr>
              <w:jc w:val="both"/>
              <w:rPr>
                <w:sz w:val="20"/>
              </w:rPr>
            </w:pPr>
          </w:p>
          <w:p w:rsidR="009008B7" w:rsidRPr="009008B7" w:rsidRDefault="009008B7" w:rsidP="009008B7">
            <w:pPr>
              <w:jc w:val="both"/>
              <w:rPr>
                <w:sz w:val="20"/>
              </w:rPr>
            </w:pPr>
            <w:r w:rsidRPr="009008B7">
              <w:rPr>
                <w:smallCaps/>
                <w:sz w:val="20"/>
              </w:rPr>
              <w:t xml:space="preserve">The Chief Justice </w:t>
            </w:r>
            <w:r w:rsidRPr="009008B7">
              <w:rPr>
                <w:smallCaps/>
                <w:sz w:val="20"/>
                <w:lang w:val="en-US"/>
              </w:rPr>
              <w:t>—</w:t>
            </w:r>
            <w:r w:rsidRPr="009008B7">
              <w:rPr>
                <w:smallCaps/>
                <w:sz w:val="20"/>
              </w:rPr>
              <w:t xml:space="preserve"> </w:t>
            </w:r>
            <w:r w:rsidRPr="009008B7">
              <w:rPr>
                <w:sz w:val="20"/>
              </w:rPr>
              <w:t xml:space="preserve">Mr. Cain was convicted at trial of sexual assault, contrary to s. 271 of the </w:t>
            </w:r>
            <w:r w:rsidRPr="009008B7">
              <w:rPr>
                <w:i/>
                <w:sz w:val="20"/>
              </w:rPr>
              <w:t>Criminal Code</w:t>
            </w:r>
            <w:r w:rsidRPr="009008B7">
              <w:rPr>
                <w:sz w:val="20"/>
              </w:rPr>
              <w:t>, R.S.C. 1985, c. C-46. He appealed on the ground that the trial judge relied on the complainant’s prior consistent statement for an impermissible purpose, namely, to confirm the truth of her testimony. A majority of the Nova Scotia Court of Appeal dismissed Mr. Cain’s appeal, Scanlan J.A. dissenting. Mr. Cain appeals to this Court as of right.</w:t>
            </w:r>
          </w:p>
          <w:p w:rsidR="009008B7" w:rsidRPr="009008B7" w:rsidRDefault="009008B7" w:rsidP="009008B7">
            <w:pPr>
              <w:jc w:val="both"/>
              <w:rPr>
                <w:sz w:val="20"/>
              </w:rPr>
            </w:pPr>
          </w:p>
          <w:p w:rsidR="009008B7" w:rsidRPr="009008B7" w:rsidRDefault="009008B7" w:rsidP="009008B7">
            <w:pPr>
              <w:jc w:val="both"/>
              <w:rPr>
                <w:sz w:val="20"/>
              </w:rPr>
            </w:pPr>
          </w:p>
          <w:p w:rsidR="009008B7" w:rsidRPr="009008B7" w:rsidRDefault="009008B7" w:rsidP="009008B7">
            <w:pPr>
              <w:jc w:val="both"/>
              <w:rPr>
                <w:sz w:val="20"/>
              </w:rPr>
            </w:pPr>
            <w:r w:rsidRPr="009008B7">
              <w:rPr>
                <w:sz w:val="20"/>
              </w:rPr>
              <w:t>A majority of this Court would dismiss the appeal, substantially for the reasons of the majority of the Court of Appeal. At trial, Mr. Cain challenged the reliability of the complainant’s testimony on the basis of inconsistencies between it and her prior statements to police. The trial judge found that the inconsistencies involved only insignificant peripheral matters, and so he rejected Mr. Cain’s contention that any inconsistencies rendered the complainant not credible or her evidence unreliable. The trial judge did not rely on consistencies between the statements and testimony to bolster the truth of the complainant’s testimony. This was an appropriate use of a prior consistent statement and did not constitute an error of law.</w:t>
            </w:r>
          </w:p>
          <w:p w:rsidR="009008B7" w:rsidRPr="009008B7" w:rsidRDefault="009008B7" w:rsidP="009008B7">
            <w:pPr>
              <w:jc w:val="both"/>
              <w:rPr>
                <w:sz w:val="20"/>
              </w:rPr>
            </w:pPr>
          </w:p>
          <w:p w:rsidR="009008B7" w:rsidRPr="009008B7" w:rsidRDefault="009008B7" w:rsidP="009008B7">
            <w:pPr>
              <w:jc w:val="both"/>
              <w:rPr>
                <w:sz w:val="20"/>
              </w:rPr>
            </w:pPr>
          </w:p>
          <w:p w:rsidR="009008B7" w:rsidRPr="009008B7" w:rsidRDefault="009008B7" w:rsidP="009008B7">
            <w:pPr>
              <w:jc w:val="both"/>
              <w:rPr>
                <w:sz w:val="20"/>
              </w:rPr>
            </w:pPr>
          </w:p>
          <w:p w:rsidR="009008B7" w:rsidRPr="009008B7" w:rsidRDefault="009008B7" w:rsidP="009008B7">
            <w:pPr>
              <w:jc w:val="both"/>
              <w:rPr>
                <w:sz w:val="20"/>
              </w:rPr>
            </w:pPr>
          </w:p>
          <w:p w:rsidR="009008B7" w:rsidRPr="009008B7" w:rsidRDefault="009008B7" w:rsidP="009008B7">
            <w:pPr>
              <w:jc w:val="both"/>
              <w:rPr>
                <w:sz w:val="20"/>
              </w:rPr>
            </w:pPr>
            <w:r w:rsidRPr="009008B7">
              <w:rPr>
                <w:sz w:val="20"/>
              </w:rPr>
              <w:lastRenderedPageBreak/>
              <w:t>Justice C</w:t>
            </w:r>
            <w:r w:rsidRPr="009008B7">
              <w:rPr>
                <w:rFonts w:cs="Times New Roman"/>
                <w:sz w:val="20"/>
              </w:rPr>
              <w:t>ô</w:t>
            </w:r>
            <w:r w:rsidRPr="009008B7">
              <w:rPr>
                <w:sz w:val="20"/>
              </w:rPr>
              <w:t>t</w:t>
            </w:r>
            <w:r w:rsidRPr="009008B7">
              <w:rPr>
                <w:rFonts w:cs="Times New Roman"/>
                <w:sz w:val="20"/>
              </w:rPr>
              <w:t>é</w:t>
            </w:r>
            <w:r w:rsidRPr="009008B7">
              <w:rPr>
                <w:sz w:val="20"/>
              </w:rPr>
              <w:t>, dissenting, would have allowed the appeal, substantially for the reasons of Scanlan J.A.</w:t>
            </w:r>
          </w:p>
          <w:p w:rsidR="009008B7" w:rsidRPr="009008B7" w:rsidRDefault="009008B7" w:rsidP="009008B7">
            <w:pPr>
              <w:jc w:val="both"/>
              <w:rPr>
                <w:sz w:val="20"/>
              </w:rPr>
            </w:pPr>
          </w:p>
          <w:p w:rsidR="009008B7" w:rsidRDefault="009008B7" w:rsidP="009008B7">
            <w:pPr>
              <w:jc w:val="both"/>
              <w:rPr>
                <w:sz w:val="20"/>
              </w:rPr>
            </w:pPr>
          </w:p>
          <w:p w:rsidR="007C47C2" w:rsidRPr="00C1697B" w:rsidRDefault="009008B7" w:rsidP="009008B7">
            <w:pPr>
              <w:jc w:val="both"/>
              <w:rPr>
                <w:b/>
                <w:sz w:val="20"/>
                <w:szCs w:val="20"/>
              </w:rPr>
            </w:pPr>
            <w:r w:rsidRPr="009008B7">
              <w:rPr>
                <w:sz w:val="20"/>
              </w:rPr>
              <w:t>Therefore, the appeal is dismissed.</w:t>
            </w:r>
          </w:p>
        </w:tc>
        <w:tc>
          <w:tcPr>
            <w:tcW w:w="720" w:type="dxa"/>
            <w:tcMar>
              <w:left w:w="0" w:type="dxa"/>
              <w:right w:w="0" w:type="dxa"/>
            </w:tcMar>
          </w:tcPr>
          <w:p w:rsidR="007C47C2" w:rsidRPr="00C1697B" w:rsidRDefault="007C47C2" w:rsidP="00E942C2">
            <w:pPr>
              <w:widowControl w:val="0"/>
              <w:jc w:val="center"/>
              <w:rPr>
                <w:sz w:val="20"/>
                <w:szCs w:val="20"/>
              </w:rPr>
            </w:pPr>
          </w:p>
        </w:tc>
        <w:tc>
          <w:tcPr>
            <w:tcW w:w="4380" w:type="dxa"/>
            <w:tcMar>
              <w:left w:w="0" w:type="dxa"/>
              <w:right w:w="0" w:type="dxa"/>
            </w:tcMar>
          </w:tcPr>
          <w:p w:rsidR="007C47C2" w:rsidRPr="009008B7" w:rsidRDefault="007C47C2" w:rsidP="00E942C2">
            <w:pPr>
              <w:widowControl w:val="0"/>
              <w:jc w:val="both"/>
              <w:rPr>
                <w:b/>
                <w:sz w:val="20"/>
                <w:szCs w:val="20"/>
                <w:u w:val="single"/>
                <w:lang w:val="fr-CA"/>
              </w:rPr>
            </w:pPr>
            <w:r w:rsidRPr="009008B7">
              <w:rPr>
                <w:b/>
                <w:sz w:val="20"/>
                <w:szCs w:val="20"/>
                <w:u w:val="single"/>
                <w:lang w:val="fr-CA"/>
              </w:rPr>
              <w:t>JUGEMENT :</w:t>
            </w:r>
          </w:p>
          <w:p w:rsidR="007C47C2" w:rsidRPr="009008B7" w:rsidRDefault="007C47C2" w:rsidP="00E942C2">
            <w:pPr>
              <w:widowControl w:val="0"/>
              <w:jc w:val="both"/>
              <w:rPr>
                <w:sz w:val="20"/>
                <w:szCs w:val="20"/>
                <w:lang w:val="fr-CA"/>
              </w:rPr>
            </w:pPr>
          </w:p>
          <w:p w:rsidR="009008B7" w:rsidRPr="009008B7" w:rsidRDefault="009008B7" w:rsidP="009008B7">
            <w:pPr>
              <w:jc w:val="both"/>
              <w:rPr>
                <w:sz w:val="20"/>
                <w:lang w:val="fr-CA"/>
              </w:rPr>
            </w:pPr>
            <w:r w:rsidRPr="009008B7">
              <w:rPr>
                <w:sz w:val="20"/>
                <w:lang w:val="fr-CA"/>
              </w:rPr>
              <w:t>L’appel interjeté contre l’arrêt de la Cour d’appel de la Nouvelle-Écosse, numéro CAC 460968, 2017 NSCA 96, daté du 28 décembre 2017, a été entendu le 14 mai 2018 et la Cour a prononcé oralement le même jour le jugement suivant :</w:t>
            </w:r>
          </w:p>
          <w:p w:rsidR="009008B7" w:rsidRPr="009008B7" w:rsidRDefault="009008B7" w:rsidP="009008B7">
            <w:pPr>
              <w:jc w:val="both"/>
              <w:rPr>
                <w:sz w:val="20"/>
                <w:lang w:val="fr-CA"/>
              </w:rPr>
            </w:pPr>
          </w:p>
          <w:p w:rsidR="009008B7" w:rsidRPr="009008B7" w:rsidRDefault="009008B7" w:rsidP="009008B7">
            <w:pPr>
              <w:jc w:val="both"/>
              <w:rPr>
                <w:sz w:val="20"/>
                <w:lang w:val="fr-CA"/>
              </w:rPr>
            </w:pPr>
            <w:r w:rsidRPr="009008B7">
              <w:rPr>
                <w:sz w:val="20"/>
                <w:lang w:val="fr-CA"/>
              </w:rPr>
              <w:t>[</w:t>
            </w:r>
            <w:r w:rsidRPr="009008B7">
              <w:rPr>
                <w:smallCaps/>
                <w:sz w:val="20"/>
                <w:lang w:val="fr-CA"/>
              </w:rPr>
              <w:t>traduction</w:t>
            </w:r>
            <w:r w:rsidRPr="009008B7">
              <w:rPr>
                <w:sz w:val="20"/>
                <w:lang w:val="fr-CA"/>
              </w:rPr>
              <w:t>]</w:t>
            </w:r>
            <w:r w:rsidRPr="009008B7">
              <w:rPr>
                <w:sz w:val="20"/>
                <w:lang w:val="fr-CA"/>
              </w:rPr>
              <w:tab/>
            </w:r>
          </w:p>
          <w:p w:rsidR="009008B7" w:rsidRPr="009008B7" w:rsidRDefault="009008B7" w:rsidP="009008B7">
            <w:pPr>
              <w:jc w:val="both"/>
              <w:rPr>
                <w:sz w:val="20"/>
                <w:lang w:val="fr-CA"/>
              </w:rPr>
            </w:pPr>
            <w:r w:rsidRPr="009008B7">
              <w:rPr>
                <w:smallCaps/>
                <w:sz w:val="20"/>
                <w:lang w:val="fr-CA"/>
              </w:rPr>
              <w:t xml:space="preserve">Le juge en chef — </w:t>
            </w:r>
            <w:r w:rsidRPr="009008B7">
              <w:rPr>
                <w:sz w:val="20"/>
                <w:lang w:val="fr-CA"/>
              </w:rPr>
              <w:t xml:space="preserve">Au procès, M. Cain a été déclaré coupable d’agression sexuelle en application de l’art. 271 du </w:t>
            </w:r>
            <w:r w:rsidRPr="009008B7">
              <w:rPr>
                <w:i/>
                <w:sz w:val="20"/>
                <w:lang w:val="fr-CA"/>
              </w:rPr>
              <w:t>Code criminel</w:t>
            </w:r>
            <w:r w:rsidRPr="009008B7">
              <w:rPr>
                <w:sz w:val="20"/>
                <w:lang w:val="fr-CA"/>
              </w:rPr>
              <w:t>, L.R.C. 1985, c. C-46. Il a fait appel au motif que le juge du procès s’était appuyé sur la déclaration antérieure compatible de la plaignante à une fin inadmissible, c’est-à-dire pour confirmer la véracité de son témoignage. Les juges majoritaires de la Cour d’appel de la Nouvelle-Écosse ont rejeté l’appel de M. Cain, le juge Scanlan étant dissident. M. Cain se pourvoit de plein droit devant notre Cour.</w:t>
            </w:r>
          </w:p>
          <w:p w:rsidR="009008B7" w:rsidRPr="009008B7" w:rsidRDefault="009008B7" w:rsidP="009008B7">
            <w:pPr>
              <w:jc w:val="both"/>
              <w:rPr>
                <w:sz w:val="20"/>
                <w:lang w:val="fr-CA"/>
              </w:rPr>
            </w:pPr>
          </w:p>
          <w:p w:rsidR="009008B7" w:rsidRPr="009008B7" w:rsidRDefault="009008B7" w:rsidP="009008B7">
            <w:pPr>
              <w:jc w:val="both"/>
              <w:rPr>
                <w:sz w:val="20"/>
                <w:lang w:val="fr-CA"/>
              </w:rPr>
            </w:pPr>
            <w:r w:rsidRPr="009008B7">
              <w:rPr>
                <w:sz w:val="20"/>
                <w:lang w:val="fr-CA"/>
              </w:rPr>
              <w:t>La Cour, à la majorité, rejetterait le pourvoi, essentiellement pour les motifs des juges majoritaires de la Cour d’appel. Lors du procès, M. Cain a contesté la fiabilité du témoignage de la plaignante, alléguant l’existence d’incohérences entre ce témoignage et les déclarations antérieures de cette dernière à la police. Le juge du procès a statué que les incohérences portaient uniquement sur des aspects accessoires négligeables, et il a donc rejeté la prétention de M. Cain selon laquelle ces incohérences faisaient perdre crédibilité à la plaignante ou fiabilité à son témoignage. Le juge du procès ne s’est pas fondé sur les aspects cohérents des déclarations de la plaignante et de son témoignage pour confirmer la véracité de son témoignage. L’utilisation qui a été faite de la déclaration antérieure compatible était adéquate et ne constituait pas une erreur de droit.</w:t>
            </w:r>
          </w:p>
          <w:p w:rsidR="009008B7" w:rsidRPr="009008B7" w:rsidRDefault="009008B7" w:rsidP="009008B7">
            <w:pPr>
              <w:jc w:val="both"/>
              <w:rPr>
                <w:sz w:val="20"/>
                <w:lang w:val="fr-CA"/>
              </w:rPr>
            </w:pPr>
          </w:p>
          <w:p w:rsidR="009008B7" w:rsidRPr="009008B7" w:rsidRDefault="009008B7" w:rsidP="009008B7">
            <w:pPr>
              <w:jc w:val="both"/>
              <w:rPr>
                <w:sz w:val="20"/>
                <w:lang w:val="fr-CA"/>
              </w:rPr>
            </w:pPr>
            <w:r w:rsidRPr="009008B7">
              <w:rPr>
                <w:sz w:val="20"/>
                <w:lang w:val="fr-CA"/>
              </w:rPr>
              <w:lastRenderedPageBreak/>
              <w:t>La juge Côté, dissidente, aurait accueilli le pourvoi, essentiellement pour les motifs exposés par le juge d’appel Scanlan.</w:t>
            </w:r>
          </w:p>
          <w:p w:rsidR="009008B7" w:rsidRPr="009008B7" w:rsidRDefault="009008B7" w:rsidP="009008B7">
            <w:pPr>
              <w:jc w:val="both"/>
              <w:rPr>
                <w:sz w:val="20"/>
                <w:lang w:val="fr-CA"/>
              </w:rPr>
            </w:pPr>
          </w:p>
          <w:p w:rsidR="007C47C2" w:rsidRPr="009008B7" w:rsidRDefault="009008B7" w:rsidP="009008B7">
            <w:pPr>
              <w:jc w:val="both"/>
              <w:rPr>
                <w:sz w:val="20"/>
                <w:szCs w:val="20"/>
                <w:lang w:val="fr-CA"/>
              </w:rPr>
            </w:pPr>
            <w:r w:rsidRPr="009008B7">
              <w:rPr>
                <w:sz w:val="20"/>
                <w:lang w:val="fr-CA"/>
              </w:rPr>
              <w:t>En conséquence, le pourvoi est rejeté.</w:t>
            </w:r>
          </w:p>
        </w:tc>
      </w:tr>
    </w:tbl>
    <w:p w:rsidR="007C47C2" w:rsidRPr="009008B7" w:rsidRDefault="007C47C2" w:rsidP="007C47C2">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C15495" w:rsidTr="00E942C2">
        <w:tc>
          <w:tcPr>
            <w:tcW w:w="4380" w:type="dxa"/>
            <w:tcMar>
              <w:left w:w="0" w:type="dxa"/>
              <w:right w:w="0" w:type="dxa"/>
            </w:tcMar>
          </w:tcPr>
          <w:p w:rsidR="007C47C2" w:rsidRPr="00CC4D84" w:rsidRDefault="007C47C2" w:rsidP="00E942C2">
            <w:pPr>
              <w:widowControl w:val="0"/>
              <w:jc w:val="both"/>
              <w:rPr>
                <w:b/>
                <w:sz w:val="20"/>
                <w:szCs w:val="20"/>
                <w:u w:val="single"/>
              </w:rPr>
            </w:pPr>
            <w:r w:rsidRPr="00CC4D84">
              <w:rPr>
                <w:b/>
                <w:sz w:val="20"/>
                <w:szCs w:val="20"/>
                <w:u w:val="single"/>
              </w:rPr>
              <w:t>Nature of the case:</w:t>
            </w:r>
          </w:p>
          <w:p w:rsidR="007C47C2" w:rsidRPr="00C1697B" w:rsidRDefault="007C47C2" w:rsidP="00E942C2">
            <w:pPr>
              <w:widowControl w:val="0"/>
              <w:jc w:val="both"/>
              <w:rPr>
                <w:b/>
                <w:sz w:val="20"/>
                <w:szCs w:val="20"/>
              </w:rPr>
            </w:pPr>
          </w:p>
          <w:p w:rsidR="007C47C2" w:rsidRPr="00C1697B" w:rsidRDefault="00E70F48" w:rsidP="00E942C2">
            <w:pPr>
              <w:widowControl w:val="0"/>
              <w:jc w:val="both"/>
              <w:rPr>
                <w:b/>
                <w:sz w:val="20"/>
                <w:szCs w:val="20"/>
              </w:rPr>
            </w:pPr>
            <w:r w:rsidRPr="00E70F48">
              <w:rPr>
                <w:sz w:val="20"/>
                <w:szCs w:val="20"/>
                <w:lang w:val="en"/>
              </w:rPr>
              <w:t>Criminal law - Evidence - Admissibility - Prior consistent statement - Whether trial judge committed error of law as to use of prior consistent statements of the complainant.</w:t>
            </w:r>
          </w:p>
        </w:tc>
        <w:tc>
          <w:tcPr>
            <w:tcW w:w="720" w:type="dxa"/>
            <w:tcMar>
              <w:left w:w="0" w:type="dxa"/>
              <w:right w:w="0" w:type="dxa"/>
            </w:tcMar>
          </w:tcPr>
          <w:p w:rsidR="007C47C2" w:rsidRPr="00C1697B" w:rsidRDefault="007C47C2" w:rsidP="00E942C2">
            <w:pPr>
              <w:widowControl w:val="0"/>
              <w:jc w:val="center"/>
              <w:rPr>
                <w:sz w:val="20"/>
                <w:szCs w:val="20"/>
              </w:rPr>
            </w:pPr>
          </w:p>
        </w:tc>
        <w:tc>
          <w:tcPr>
            <w:tcW w:w="4380" w:type="dxa"/>
            <w:tcMar>
              <w:left w:w="0" w:type="dxa"/>
              <w:right w:w="0" w:type="dxa"/>
            </w:tcMar>
          </w:tcPr>
          <w:p w:rsidR="007C47C2" w:rsidRPr="00CC4D84" w:rsidRDefault="007C47C2" w:rsidP="00E942C2">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E942C2">
            <w:pPr>
              <w:widowControl w:val="0"/>
              <w:jc w:val="both"/>
              <w:rPr>
                <w:sz w:val="20"/>
                <w:szCs w:val="20"/>
                <w:lang w:val="fr-CA"/>
              </w:rPr>
            </w:pPr>
          </w:p>
          <w:p w:rsidR="007C47C2" w:rsidRPr="00C1697B" w:rsidRDefault="00E70F48" w:rsidP="00E942C2">
            <w:pPr>
              <w:widowControl w:val="0"/>
              <w:jc w:val="both"/>
              <w:rPr>
                <w:sz w:val="20"/>
                <w:szCs w:val="20"/>
                <w:lang w:val="fr-CA"/>
              </w:rPr>
            </w:pPr>
            <w:r w:rsidRPr="00E70F48">
              <w:rPr>
                <w:sz w:val="20"/>
                <w:szCs w:val="20"/>
                <w:lang w:val="fr-FR"/>
              </w:rPr>
              <w:t>Droit criminel - Preuve - Admissibilité - Déclaration antérieure compatible - Le juge du procès a-t-il commis une erreur de droit quant à l’utilisation des déclarations antérieure</w:t>
            </w:r>
            <w:r>
              <w:rPr>
                <w:sz w:val="20"/>
                <w:szCs w:val="20"/>
                <w:lang w:val="fr-FR"/>
              </w:rPr>
              <w:t>s compatibles de la plaignante?</w:t>
            </w:r>
          </w:p>
        </w:tc>
      </w:tr>
    </w:tbl>
    <w:p w:rsidR="007C47C2" w:rsidRDefault="007C47C2" w:rsidP="007C47C2">
      <w:pPr>
        <w:widowControl w:val="0"/>
        <w:rPr>
          <w:sz w:val="20"/>
          <w:szCs w:val="20"/>
          <w:lang w:val="fr-CA"/>
        </w:rPr>
      </w:pPr>
    </w:p>
    <w:p w:rsidR="00E940EB" w:rsidRDefault="00FE4582" w:rsidP="00732DB7">
      <w:pPr>
        <w:widowControl w:val="0"/>
        <w:rPr>
          <w:sz w:val="20"/>
          <w:szCs w:val="20"/>
          <w:lang w:val="fr-CA"/>
        </w:rPr>
      </w:pPr>
      <w:r>
        <w:rPr>
          <w:sz w:val="20"/>
          <w:szCs w:val="20"/>
          <w:lang w:val="fr-CA"/>
        </w:rPr>
        <w:pict>
          <v:rect id="_x0000_i1062" style="width:2in;height:1pt" o:hrpct="0" o:hralign="center" o:hrstd="t" o:hrnoshade="t" o:hr="t" fillcolor="black [3213]" stroked="f"/>
        </w:pict>
      </w:r>
    </w:p>
    <w:p w:rsidR="00D97F7E" w:rsidRDefault="00D97F7E">
      <w:pPr>
        <w:rPr>
          <w:sz w:val="20"/>
          <w:szCs w:val="20"/>
          <w:lang w:val="fr-CA"/>
        </w:rPr>
      </w:pPr>
      <w:r>
        <w:rPr>
          <w:sz w:val="20"/>
          <w:szCs w:val="20"/>
          <w:lang w:val="fr-CA"/>
        </w:rPr>
        <w:br w:type="page"/>
      </w:r>
    </w:p>
    <w:p w:rsidR="00F10242" w:rsidRPr="00C50A5C" w:rsidRDefault="00F10242" w:rsidP="00F10242">
      <w:pPr>
        <w:widowControl w:val="0"/>
        <w:rPr>
          <w:sz w:val="20"/>
          <w:szCs w:val="20"/>
        </w:rPr>
      </w:pPr>
      <w:r>
        <w:rPr>
          <w:sz w:val="20"/>
          <w:szCs w:val="20"/>
        </w:rPr>
        <w:lastRenderedPageBreak/>
        <w:t>1</w:t>
      </w:r>
      <w:r w:rsidR="00CA45F5">
        <w:rPr>
          <w:sz w:val="20"/>
          <w:szCs w:val="20"/>
        </w:rPr>
        <w:t>5</w:t>
      </w:r>
      <w:r w:rsidRPr="00C50A5C">
        <w:rPr>
          <w:sz w:val="20"/>
          <w:szCs w:val="20"/>
        </w:rPr>
        <w:t>.0</w:t>
      </w:r>
      <w:r>
        <w:rPr>
          <w:sz w:val="20"/>
          <w:szCs w:val="20"/>
        </w:rPr>
        <w:t>5</w:t>
      </w:r>
      <w:r w:rsidRPr="00C50A5C">
        <w:rPr>
          <w:sz w:val="20"/>
          <w:szCs w:val="20"/>
        </w:rPr>
        <w:t>.201</w:t>
      </w:r>
      <w:r>
        <w:rPr>
          <w:sz w:val="20"/>
          <w:szCs w:val="20"/>
        </w:rPr>
        <w:t>7</w:t>
      </w:r>
    </w:p>
    <w:p w:rsidR="00F10242" w:rsidRPr="00C50A5C" w:rsidRDefault="00F10242" w:rsidP="00F10242">
      <w:pPr>
        <w:widowControl w:val="0"/>
        <w:rPr>
          <w:sz w:val="20"/>
          <w:szCs w:val="20"/>
        </w:rPr>
      </w:pPr>
    </w:p>
    <w:p w:rsidR="00F10242" w:rsidRDefault="00F10242" w:rsidP="00F10242">
      <w:pPr>
        <w:widowControl w:val="0"/>
        <w:ind w:left="720" w:hanging="720"/>
        <w:rPr>
          <w:sz w:val="20"/>
          <w:szCs w:val="20"/>
        </w:rPr>
      </w:pPr>
      <w:r w:rsidRPr="00C50A5C">
        <w:rPr>
          <w:sz w:val="20"/>
          <w:szCs w:val="20"/>
        </w:rPr>
        <w:t xml:space="preserve">Coram: </w:t>
      </w:r>
      <w:r w:rsidRPr="00C50A5C">
        <w:rPr>
          <w:sz w:val="20"/>
          <w:szCs w:val="20"/>
        </w:rPr>
        <w:tab/>
      </w:r>
      <w:r>
        <w:rPr>
          <w:sz w:val="20"/>
          <w:szCs w:val="20"/>
          <w:u w:val="single"/>
        </w:rPr>
        <w:t>Wagner C.J. and Abella,</w:t>
      </w:r>
      <w:r w:rsidR="00CA45F5">
        <w:rPr>
          <w:sz w:val="20"/>
          <w:szCs w:val="20"/>
          <w:u w:val="single"/>
        </w:rPr>
        <w:t xml:space="preserve"> Moldaver, </w:t>
      </w:r>
      <w:r>
        <w:rPr>
          <w:sz w:val="20"/>
          <w:szCs w:val="20"/>
          <w:u w:val="single"/>
        </w:rPr>
        <w:t xml:space="preserve">Karakatsanis, Gascon, Côté and Rowe </w:t>
      </w:r>
      <w:r w:rsidRPr="00C50A5C">
        <w:rPr>
          <w:sz w:val="20"/>
          <w:szCs w:val="20"/>
          <w:u w:val="single"/>
        </w:rPr>
        <w:t>JJ.</w:t>
      </w:r>
      <w:r w:rsidRPr="00C50A5C">
        <w:rPr>
          <w:sz w:val="20"/>
          <w:szCs w:val="20"/>
        </w:rPr>
        <w:t xml:space="preserve"> </w:t>
      </w:r>
    </w:p>
    <w:p w:rsidR="00F10242" w:rsidRPr="00C50A5C" w:rsidRDefault="00F10242" w:rsidP="00F1024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10242" w:rsidRPr="00C50A5C" w:rsidTr="00F10242">
        <w:tc>
          <w:tcPr>
            <w:tcW w:w="4380" w:type="dxa"/>
            <w:tcMar>
              <w:left w:w="0" w:type="dxa"/>
              <w:right w:w="0" w:type="dxa"/>
            </w:tcMar>
          </w:tcPr>
          <w:p w:rsidR="00F10242" w:rsidRPr="00C50A5C" w:rsidRDefault="00F10242" w:rsidP="00F10242">
            <w:pPr>
              <w:widowControl w:val="0"/>
              <w:jc w:val="both"/>
              <w:rPr>
                <w:b/>
                <w:sz w:val="20"/>
                <w:szCs w:val="20"/>
              </w:rPr>
            </w:pPr>
            <w:r>
              <w:rPr>
                <w:b/>
                <w:sz w:val="20"/>
                <w:szCs w:val="20"/>
              </w:rPr>
              <w:t>Collet Dawn Stephan</w:t>
            </w:r>
          </w:p>
          <w:p w:rsidR="00F10242" w:rsidRPr="00C50A5C" w:rsidRDefault="00F10242" w:rsidP="00F10242">
            <w:pPr>
              <w:widowControl w:val="0"/>
              <w:jc w:val="both"/>
              <w:rPr>
                <w:b/>
                <w:sz w:val="20"/>
                <w:szCs w:val="20"/>
              </w:rPr>
            </w:pPr>
          </w:p>
          <w:p w:rsidR="00F10242" w:rsidRPr="00C50A5C" w:rsidRDefault="00F10242" w:rsidP="00F10242">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58" w:history="1">
              <w:r>
                <w:rPr>
                  <w:rStyle w:val="Hyperlink"/>
                  <w:sz w:val="20"/>
                  <w:szCs w:val="20"/>
                </w:rPr>
                <w:t>37845</w:t>
              </w:r>
            </w:hyperlink>
            <w:r w:rsidRPr="00765D4A">
              <w:rPr>
                <w:sz w:val="20"/>
                <w:szCs w:val="20"/>
              </w:rPr>
              <w:t>)</w:t>
            </w:r>
          </w:p>
          <w:p w:rsidR="00F10242" w:rsidRPr="00C50A5C" w:rsidRDefault="00F10242" w:rsidP="00F10242">
            <w:pPr>
              <w:widowControl w:val="0"/>
              <w:jc w:val="both"/>
              <w:rPr>
                <w:b/>
                <w:sz w:val="20"/>
                <w:szCs w:val="20"/>
              </w:rPr>
            </w:pPr>
          </w:p>
          <w:p w:rsidR="00F10242" w:rsidRPr="00D97F7E" w:rsidRDefault="00F10242" w:rsidP="00CA103E">
            <w:pPr>
              <w:widowControl w:val="0"/>
              <w:jc w:val="both"/>
              <w:rPr>
                <w:sz w:val="20"/>
                <w:szCs w:val="20"/>
              </w:rPr>
            </w:pPr>
            <w:r>
              <w:rPr>
                <w:b/>
                <w:sz w:val="20"/>
                <w:szCs w:val="20"/>
              </w:rPr>
              <w:t>Her Majesty the Queen</w:t>
            </w:r>
            <w:r w:rsidRPr="00072C86">
              <w:rPr>
                <w:b/>
                <w:sz w:val="20"/>
                <w:szCs w:val="20"/>
              </w:rPr>
              <w:t xml:space="preserve"> (</w:t>
            </w:r>
            <w:r>
              <w:rPr>
                <w:b/>
                <w:sz w:val="20"/>
                <w:szCs w:val="20"/>
              </w:rPr>
              <w:t>Alta.</w:t>
            </w:r>
            <w:r w:rsidRPr="00072C86">
              <w:rPr>
                <w:b/>
                <w:sz w:val="20"/>
                <w:szCs w:val="20"/>
              </w:rPr>
              <w:t xml:space="preserve">) </w:t>
            </w:r>
            <w:r w:rsidRPr="00C50A5C">
              <w:rPr>
                <w:b/>
                <w:sz w:val="20"/>
                <w:szCs w:val="20"/>
              </w:rPr>
              <w:t>(C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l) (</w:t>
            </w:r>
            <w:r>
              <w:rPr>
                <w:b/>
                <w:sz w:val="20"/>
                <w:szCs w:val="20"/>
              </w:rPr>
              <w:t>As of Right</w:t>
            </w:r>
            <w:r w:rsidRPr="00C50A5C">
              <w:rPr>
                <w:b/>
                <w:sz w:val="20"/>
                <w:szCs w:val="20"/>
              </w:rPr>
              <w:t>)</w:t>
            </w:r>
          </w:p>
        </w:tc>
        <w:tc>
          <w:tcPr>
            <w:tcW w:w="720" w:type="dxa"/>
            <w:tcMar>
              <w:left w:w="0" w:type="dxa"/>
              <w:right w:w="0" w:type="dxa"/>
            </w:tcMar>
          </w:tcPr>
          <w:p w:rsidR="00F10242" w:rsidRPr="00893C7B" w:rsidRDefault="00F10242" w:rsidP="00F10242">
            <w:pPr>
              <w:widowControl w:val="0"/>
              <w:jc w:val="center"/>
              <w:rPr>
                <w:sz w:val="20"/>
                <w:szCs w:val="20"/>
              </w:rPr>
            </w:pPr>
          </w:p>
        </w:tc>
        <w:tc>
          <w:tcPr>
            <w:tcW w:w="4380" w:type="dxa"/>
            <w:tcMar>
              <w:left w:w="0" w:type="dxa"/>
              <w:right w:w="0" w:type="dxa"/>
            </w:tcMar>
          </w:tcPr>
          <w:p w:rsidR="00F10242" w:rsidRPr="00D97F7E" w:rsidRDefault="00F10242" w:rsidP="00F10242">
            <w:pPr>
              <w:widowControl w:val="0"/>
              <w:jc w:val="both"/>
              <w:rPr>
                <w:sz w:val="20"/>
                <w:szCs w:val="20"/>
              </w:rPr>
            </w:pPr>
            <w:r w:rsidRPr="00D97F7E">
              <w:rPr>
                <w:sz w:val="20"/>
                <w:szCs w:val="20"/>
              </w:rPr>
              <w:t>Karen B. Molle,</w:t>
            </w:r>
            <w:r w:rsidRPr="00D97F7E">
              <w:rPr>
                <w:sz w:val="20"/>
                <w:szCs w:val="20"/>
                <w:lang w:val="en-US"/>
              </w:rPr>
              <w:t xml:space="preserve"> Kelsey Sitar, Heather Ferg</w:t>
            </w:r>
            <w:r w:rsidRPr="00D97F7E">
              <w:rPr>
                <w:sz w:val="20"/>
                <w:szCs w:val="20"/>
              </w:rPr>
              <w:t xml:space="preserve"> and Ian McKay f</w:t>
            </w:r>
            <w:r w:rsidR="00CA103E">
              <w:rPr>
                <w:sz w:val="20"/>
                <w:szCs w:val="20"/>
                <w:lang w:val="en-US"/>
              </w:rPr>
              <w:t xml:space="preserve">or the </w:t>
            </w:r>
            <w:r w:rsidR="00CA103E">
              <w:rPr>
                <w:sz w:val="20"/>
                <w:szCs w:val="20"/>
              </w:rPr>
              <w:t>Collett Dawn Stephan.</w:t>
            </w:r>
          </w:p>
          <w:p w:rsidR="00F10242" w:rsidRPr="00D97F7E" w:rsidRDefault="00F10242" w:rsidP="00F10242">
            <w:pPr>
              <w:widowControl w:val="0"/>
              <w:jc w:val="both"/>
              <w:rPr>
                <w:sz w:val="20"/>
                <w:szCs w:val="20"/>
              </w:rPr>
            </w:pPr>
          </w:p>
          <w:p w:rsidR="00F10242" w:rsidRPr="00D97F7E" w:rsidRDefault="00F10242" w:rsidP="00CA103E">
            <w:pPr>
              <w:widowControl w:val="0"/>
              <w:jc w:val="both"/>
              <w:rPr>
                <w:sz w:val="20"/>
                <w:szCs w:val="20"/>
              </w:rPr>
            </w:pPr>
            <w:r w:rsidRPr="00D97F7E">
              <w:rPr>
                <w:sz w:val="20"/>
                <w:szCs w:val="20"/>
                <w:lang w:val="en-US"/>
              </w:rPr>
              <w:t xml:space="preserve">Julie Morgan and </w:t>
            </w:r>
            <w:r w:rsidRPr="00D97F7E">
              <w:rPr>
                <w:sz w:val="20"/>
                <w:szCs w:val="20"/>
              </w:rPr>
              <w:t>Colin Schulhauser f</w:t>
            </w:r>
            <w:r w:rsidR="00CA103E">
              <w:rPr>
                <w:sz w:val="20"/>
                <w:szCs w:val="20"/>
                <w:lang w:val="en-US"/>
              </w:rPr>
              <w:t xml:space="preserve">or the Respondent </w:t>
            </w:r>
            <w:r w:rsidRPr="00D97F7E">
              <w:rPr>
                <w:sz w:val="20"/>
                <w:szCs w:val="20"/>
              </w:rPr>
              <w:t>Her Majesty the Queen.</w:t>
            </w:r>
          </w:p>
        </w:tc>
      </w:tr>
    </w:tbl>
    <w:p w:rsidR="00F10242" w:rsidRDefault="00F10242" w:rsidP="00F10242">
      <w:pPr>
        <w:widowControl w:val="0"/>
      </w:pPr>
    </w:p>
    <w:p w:rsidR="00F10242" w:rsidRPr="00106CD9" w:rsidRDefault="00F10242" w:rsidP="00F10242">
      <w:pPr>
        <w:rPr>
          <w:rFonts w:eastAsia="Calibri" w:cs="Times New Roman"/>
          <w:b/>
          <w:bCs/>
          <w:sz w:val="20"/>
          <w:szCs w:val="20"/>
          <w:lang w:val="en-US"/>
        </w:rPr>
      </w:pPr>
      <w:r w:rsidRPr="00106CD9">
        <w:rPr>
          <w:rFonts w:eastAsia="Calibri" w:cs="Times New Roman"/>
          <w:b/>
          <w:bCs/>
          <w:sz w:val="20"/>
          <w:szCs w:val="20"/>
          <w:lang w:val="en-US"/>
        </w:rPr>
        <w:t xml:space="preserve">2018 </w:t>
      </w:r>
      <w:r w:rsidRPr="00E829A1">
        <w:rPr>
          <w:rFonts w:eastAsia="Calibri" w:cs="Times New Roman"/>
          <w:b/>
          <w:bCs/>
          <w:sz w:val="20"/>
          <w:szCs w:val="20"/>
        </w:rPr>
        <w:t xml:space="preserve">SCC </w:t>
      </w:r>
      <w:r>
        <w:rPr>
          <w:rFonts w:eastAsia="Calibri" w:cs="Times New Roman"/>
          <w:b/>
          <w:bCs/>
          <w:sz w:val="20"/>
          <w:szCs w:val="20"/>
        </w:rPr>
        <w:t>21</w:t>
      </w:r>
      <w:r>
        <w:rPr>
          <w:rFonts w:eastAsia="Calibri" w:cs="Times New Roman"/>
          <w:b/>
          <w:bCs/>
          <w:sz w:val="20"/>
          <w:szCs w:val="20"/>
          <w:lang w:val="en-US"/>
        </w:rPr>
        <w:t xml:space="preserve"> / 2018 CSC 21</w:t>
      </w:r>
    </w:p>
    <w:p w:rsidR="00F10242" w:rsidRPr="005E31A3" w:rsidRDefault="00F10242" w:rsidP="00F10242">
      <w:pPr>
        <w:widowControl w:val="0"/>
        <w:rPr>
          <w:sz w:val="20"/>
          <w:szCs w:val="20"/>
        </w:rPr>
      </w:pPr>
    </w:p>
    <w:p w:rsidR="00F10242" w:rsidRDefault="00F10242" w:rsidP="00F10242">
      <w:pPr>
        <w:widowControl w:val="0"/>
        <w:rPr>
          <w:b/>
          <w:sz w:val="20"/>
          <w:szCs w:val="20"/>
        </w:rPr>
      </w:pPr>
      <w:r>
        <w:rPr>
          <w:b/>
          <w:sz w:val="20"/>
          <w:szCs w:val="20"/>
        </w:rPr>
        <w:t xml:space="preserve">ALLOWED </w:t>
      </w:r>
      <w:r w:rsidRPr="0085476B">
        <w:rPr>
          <w:b/>
          <w:sz w:val="20"/>
          <w:szCs w:val="20"/>
        </w:rPr>
        <w:t>/</w:t>
      </w:r>
      <w:r>
        <w:rPr>
          <w:b/>
          <w:sz w:val="20"/>
          <w:szCs w:val="20"/>
        </w:rPr>
        <w:t xml:space="preserve"> ACCEUILLIE</w:t>
      </w:r>
    </w:p>
    <w:p w:rsidR="00F10242" w:rsidRPr="005E31A3" w:rsidRDefault="00F10242" w:rsidP="00F10242">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A103E" w:rsidRPr="00C15495" w:rsidTr="00F10242">
        <w:tc>
          <w:tcPr>
            <w:tcW w:w="4380" w:type="dxa"/>
            <w:tcMar>
              <w:left w:w="0" w:type="dxa"/>
              <w:right w:w="0" w:type="dxa"/>
            </w:tcMar>
          </w:tcPr>
          <w:p w:rsidR="00CA103E" w:rsidRDefault="00CA103E" w:rsidP="00F10242">
            <w:pPr>
              <w:widowControl w:val="0"/>
              <w:jc w:val="both"/>
              <w:rPr>
                <w:b/>
                <w:sz w:val="20"/>
                <w:szCs w:val="20"/>
                <w:u w:val="single"/>
              </w:rPr>
            </w:pPr>
            <w:r>
              <w:rPr>
                <w:b/>
                <w:sz w:val="20"/>
                <w:szCs w:val="20"/>
                <w:u w:val="single"/>
              </w:rPr>
              <w:t>Judgment:</w:t>
            </w:r>
          </w:p>
          <w:p w:rsidR="00CA103E" w:rsidRDefault="00CA103E" w:rsidP="00F10242">
            <w:pPr>
              <w:widowControl w:val="0"/>
              <w:jc w:val="both"/>
              <w:rPr>
                <w:b/>
                <w:sz w:val="20"/>
                <w:szCs w:val="20"/>
                <w:u w:val="single"/>
              </w:rPr>
            </w:pPr>
          </w:p>
          <w:p w:rsidR="00CA103E" w:rsidRPr="00CA103E" w:rsidRDefault="00CA103E" w:rsidP="00CA103E">
            <w:pPr>
              <w:jc w:val="both"/>
              <w:rPr>
                <w:sz w:val="20"/>
              </w:rPr>
            </w:pPr>
            <w:r w:rsidRPr="00CA103E">
              <w:rPr>
                <w:sz w:val="20"/>
              </w:rPr>
              <w:t xml:space="preserve">The appeal from the judgment of the Court of Appeal of Alberta (Calgary), Number 1601-0171-A, 2017 ABCA 380, dated November 15, 2017, was heard on May 15, 2018, and the Court on that day delivered the following judgment orally: </w:t>
            </w:r>
          </w:p>
          <w:p w:rsidR="00CA103E" w:rsidRPr="00CA103E" w:rsidRDefault="00CA103E" w:rsidP="00CA103E">
            <w:pPr>
              <w:jc w:val="both"/>
              <w:rPr>
                <w:sz w:val="20"/>
              </w:rPr>
            </w:pPr>
            <w:r w:rsidRPr="00CA103E">
              <w:rPr>
                <w:sz w:val="20"/>
              </w:rPr>
              <w:tab/>
            </w:r>
          </w:p>
          <w:p w:rsidR="00CA103E" w:rsidRPr="00CA103E" w:rsidRDefault="00CA103E" w:rsidP="00CA103E">
            <w:pPr>
              <w:jc w:val="both"/>
              <w:rPr>
                <w:smallCaps/>
                <w:color w:val="000000" w:themeColor="text1"/>
                <w:sz w:val="20"/>
              </w:rPr>
            </w:pPr>
          </w:p>
          <w:p w:rsidR="00CA103E" w:rsidRPr="00CA103E" w:rsidRDefault="00CA103E" w:rsidP="00CA103E">
            <w:pPr>
              <w:jc w:val="both"/>
              <w:rPr>
                <w:sz w:val="20"/>
              </w:rPr>
            </w:pPr>
            <w:r w:rsidRPr="00CA103E">
              <w:rPr>
                <w:smallCaps/>
                <w:color w:val="000000" w:themeColor="text1"/>
                <w:sz w:val="20"/>
              </w:rPr>
              <w:t>Moldaver J.</w:t>
            </w:r>
            <w:r w:rsidRPr="00CA103E">
              <w:rPr>
                <w:color w:val="000000" w:themeColor="text1"/>
                <w:sz w:val="20"/>
              </w:rPr>
              <w:t xml:space="preserve"> </w:t>
            </w:r>
            <w:r w:rsidRPr="00CA103E">
              <w:rPr>
                <w:rFonts w:cs="Times New Roman"/>
                <w:color w:val="000000" w:themeColor="text1"/>
                <w:sz w:val="20"/>
              </w:rPr>
              <w:t>—</w:t>
            </w:r>
            <w:r w:rsidRPr="00CA103E">
              <w:rPr>
                <w:color w:val="000000" w:themeColor="text1"/>
                <w:sz w:val="20"/>
              </w:rPr>
              <w:t xml:space="preserve"> We are </w:t>
            </w:r>
            <w:r w:rsidRPr="00CA103E">
              <w:rPr>
                <w:sz w:val="20"/>
              </w:rPr>
              <w:t xml:space="preserve">in essential agreement with the reasons of Justice O’Ferrall.  </w:t>
            </w:r>
          </w:p>
          <w:p w:rsidR="00CA103E" w:rsidRPr="00CA103E" w:rsidRDefault="00CA103E" w:rsidP="00CA103E">
            <w:pPr>
              <w:jc w:val="both"/>
              <w:rPr>
                <w:sz w:val="20"/>
              </w:rPr>
            </w:pPr>
          </w:p>
          <w:p w:rsidR="00CA103E" w:rsidRPr="00CA103E" w:rsidRDefault="00CA103E" w:rsidP="00CA103E">
            <w:pPr>
              <w:jc w:val="both"/>
              <w:rPr>
                <w:sz w:val="20"/>
              </w:rPr>
            </w:pPr>
            <w:r w:rsidRPr="00CA103E">
              <w:rPr>
                <w:sz w:val="20"/>
              </w:rPr>
              <w:t xml:space="preserve">In particular, we agree that the learned trial judge conflated the </w:t>
            </w:r>
            <w:r w:rsidRPr="00CA103E">
              <w:rPr>
                <w:i/>
                <w:sz w:val="20"/>
              </w:rPr>
              <w:t>actus reus</w:t>
            </w:r>
            <w:r w:rsidRPr="00CA103E">
              <w:rPr>
                <w:sz w:val="20"/>
              </w:rPr>
              <w:t xml:space="preserve"> and </w:t>
            </w:r>
            <w:r w:rsidRPr="00CA103E">
              <w:rPr>
                <w:i/>
                <w:sz w:val="20"/>
              </w:rPr>
              <w:t>mens rea</w:t>
            </w:r>
            <w:r w:rsidRPr="00CA103E">
              <w:rPr>
                <w:sz w:val="20"/>
              </w:rPr>
              <w:t xml:space="preserve"> of the offence and did not sufficiently explain the concept of marked departure in a way that the jury could understand and apply it.</w:t>
            </w:r>
          </w:p>
          <w:p w:rsidR="00CA103E" w:rsidRPr="00CA103E" w:rsidRDefault="00CA103E" w:rsidP="00CA103E">
            <w:pPr>
              <w:jc w:val="both"/>
              <w:rPr>
                <w:sz w:val="20"/>
              </w:rPr>
            </w:pPr>
          </w:p>
          <w:p w:rsidR="00CA103E" w:rsidRPr="00CC4D84" w:rsidRDefault="00CA103E" w:rsidP="00CA103E">
            <w:pPr>
              <w:widowControl w:val="0"/>
              <w:jc w:val="both"/>
              <w:rPr>
                <w:b/>
                <w:sz w:val="20"/>
                <w:szCs w:val="20"/>
                <w:u w:val="single"/>
              </w:rPr>
            </w:pPr>
            <w:r w:rsidRPr="00CA103E">
              <w:rPr>
                <w:sz w:val="20"/>
              </w:rPr>
              <w:t>Accordingly, we would allow the appeal, quash the conviction and order a new trial.</w:t>
            </w:r>
          </w:p>
        </w:tc>
        <w:tc>
          <w:tcPr>
            <w:tcW w:w="720" w:type="dxa"/>
            <w:tcMar>
              <w:left w:w="0" w:type="dxa"/>
              <w:right w:w="0" w:type="dxa"/>
            </w:tcMar>
          </w:tcPr>
          <w:p w:rsidR="00CA103E" w:rsidRPr="00C1697B" w:rsidRDefault="00CA103E" w:rsidP="00F10242">
            <w:pPr>
              <w:widowControl w:val="0"/>
              <w:jc w:val="center"/>
              <w:rPr>
                <w:sz w:val="20"/>
                <w:szCs w:val="20"/>
              </w:rPr>
            </w:pPr>
          </w:p>
        </w:tc>
        <w:tc>
          <w:tcPr>
            <w:tcW w:w="4380" w:type="dxa"/>
            <w:tcMar>
              <w:left w:w="0" w:type="dxa"/>
              <w:right w:w="0" w:type="dxa"/>
            </w:tcMar>
          </w:tcPr>
          <w:p w:rsidR="00CA103E" w:rsidRDefault="00CA103E" w:rsidP="00F10242">
            <w:pPr>
              <w:widowControl w:val="0"/>
              <w:jc w:val="both"/>
              <w:rPr>
                <w:b/>
                <w:sz w:val="20"/>
                <w:szCs w:val="20"/>
                <w:u w:val="single"/>
                <w:lang w:val="fr-CA"/>
              </w:rPr>
            </w:pPr>
            <w:r>
              <w:rPr>
                <w:b/>
                <w:sz w:val="20"/>
                <w:szCs w:val="20"/>
                <w:u w:val="single"/>
                <w:lang w:val="fr-CA"/>
              </w:rPr>
              <w:t>Jugement :</w:t>
            </w:r>
          </w:p>
          <w:p w:rsidR="00CA103E" w:rsidRDefault="00CA103E" w:rsidP="00F10242">
            <w:pPr>
              <w:widowControl w:val="0"/>
              <w:jc w:val="both"/>
              <w:rPr>
                <w:b/>
                <w:sz w:val="20"/>
                <w:szCs w:val="20"/>
                <w:u w:val="single"/>
                <w:lang w:val="fr-CA"/>
              </w:rPr>
            </w:pPr>
          </w:p>
          <w:p w:rsidR="00CA103E" w:rsidRPr="00CA103E" w:rsidRDefault="00CA103E" w:rsidP="00CA103E">
            <w:pPr>
              <w:jc w:val="both"/>
              <w:rPr>
                <w:sz w:val="20"/>
                <w:lang w:val="fr-CA"/>
              </w:rPr>
            </w:pPr>
            <w:r w:rsidRPr="00CA103E">
              <w:rPr>
                <w:sz w:val="20"/>
                <w:lang w:val="fr-CA"/>
              </w:rPr>
              <w:t xml:space="preserve">L’appel interjeté contre l’arrêt de la </w:t>
            </w:r>
            <w:r w:rsidRPr="00CA103E">
              <w:rPr>
                <w:sz w:val="20"/>
                <w:lang w:val="fr-FR"/>
              </w:rPr>
              <w:t>Cour d’appel de l’Alberta (Calgary)</w:t>
            </w:r>
            <w:r w:rsidRPr="00CA103E">
              <w:rPr>
                <w:sz w:val="20"/>
                <w:lang w:val="fr-CA"/>
              </w:rPr>
              <w:t xml:space="preserve">, numéro </w:t>
            </w:r>
            <w:r w:rsidRPr="00CA103E">
              <w:rPr>
                <w:sz w:val="20"/>
                <w:lang w:val="fr-FR"/>
              </w:rPr>
              <w:t>1601-0171-A, 2017 ABCA 380</w:t>
            </w:r>
            <w:r w:rsidRPr="00CA103E">
              <w:rPr>
                <w:sz w:val="20"/>
                <w:lang w:val="fr-CA"/>
              </w:rPr>
              <w:t xml:space="preserve">, daté du </w:t>
            </w:r>
            <w:r w:rsidRPr="00CA103E">
              <w:rPr>
                <w:sz w:val="20"/>
                <w:lang w:val="fr-FR"/>
              </w:rPr>
              <w:t>15 novembre 2017</w:t>
            </w:r>
            <w:r w:rsidRPr="00CA103E">
              <w:rPr>
                <w:sz w:val="20"/>
                <w:lang w:val="fr-CA"/>
              </w:rPr>
              <w:t xml:space="preserve">, a été entendu le </w:t>
            </w:r>
            <w:r w:rsidRPr="00CA103E">
              <w:rPr>
                <w:sz w:val="20"/>
                <w:lang w:val="fr-FR"/>
              </w:rPr>
              <w:t>15 mai 2018</w:t>
            </w:r>
            <w:r w:rsidRPr="00CA103E">
              <w:rPr>
                <w:sz w:val="20"/>
                <w:lang w:val="fr-CA"/>
              </w:rPr>
              <w:t xml:space="preserve"> et la Cour a prononcé oralement le même jour le jugement suivant:</w:t>
            </w:r>
          </w:p>
          <w:p w:rsidR="00CA103E" w:rsidRPr="00CA103E" w:rsidRDefault="00CA103E" w:rsidP="00CA103E">
            <w:pPr>
              <w:jc w:val="both"/>
              <w:rPr>
                <w:sz w:val="20"/>
                <w:lang w:val="fr-CA"/>
              </w:rPr>
            </w:pPr>
          </w:p>
          <w:p w:rsidR="00CA103E" w:rsidRPr="00CA103E" w:rsidRDefault="00CA103E" w:rsidP="00CA103E">
            <w:pPr>
              <w:jc w:val="both"/>
              <w:rPr>
                <w:sz w:val="20"/>
                <w:lang w:val="fr-CA"/>
              </w:rPr>
            </w:pPr>
            <w:r w:rsidRPr="00CA103E">
              <w:rPr>
                <w:sz w:val="20"/>
                <w:lang w:val="fr-CA"/>
              </w:rPr>
              <w:t>[</w:t>
            </w:r>
            <w:r w:rsidRPr="00CA103E">
              <w:rPr>
                <w:smallCaps/>
                <w:sz w:val="20"/>
                <w:lang w:val="fr-CA"/>
              </w:rPr>
              <w:t>traduction</w:t>
            </w:r>
            <w:r w:rsidRPr="00CA103E">
              <w:rPr>
                <w:sz w:val="20"/>
                <w:lang w:val="fr-CA"/>
              </w:rPr>
              <w:t>]</w:t>
            </w:r>
          </w:p>
          <w:p w:rsidR="00CA103E" w:rsidRPr="00CA103E" w:rsidRDefault="00CA103E" w:rsidP="00CA103E">
            <w:pPr>
              <w:jc w:val="both"/>
              <w:rPr>
                <w:color w:val="000000" w:themeColor="text1"/>
                <w:sz w:val="20"/>
                <w:lang w:val="fr-CA"/>
              </w:rPr>
            </w:pPr>
            <w:r w:rsidRPr="00CA103E">
              <w:rPr>
                <w:smallCaps/>
                <w:color w:val="000000" w:themeColor="text1"/>
                <w:sz w:val="20"/>
                <w:lang w:val="fr-CA"/>
              </w:rPr>
              <w:t>Le juge Moldaver</w:t>
            </w:r>
            <w:r w:rsidRPr="00CA103E">
              <w:rPr>
                <w:color w:val="000000" w:themeColor="text1"/>
                <w:sz w:val="20"/>
                <w:lang w:val="fr-CA"/>
              </w:rPr>
              <w:t xml:space="preserve"> </w:t>
            </w:r>
            <w:r w:rsidRPr="00CA103E">
              <w:rPr>
                <w:rFonts w:cs="Times New Roman"/>
                <w:color w:val="000000" w:themeColor="text1"/>
                <w:sz w:val="20"/>
                <w:lang w:val="fr-CA"/>
              </w:rPr>
              <w:t>—</w:t>
            </w:r>
            <w:r w:rsidRPr="00CA103E">
              <w:rPr>
                <w:color w:val="000000" w:themeColor="text1"/>
                <w:sz w:val="20"/>
                <w:lang w:val="fr-CA"/>
              </w:rPr>
              <w:t xml:space="preserve"> Nous faisons nôtres, pour l’essentiel, les motifs du juge O’Ferrall.</w:t>
            </w:r>
          </w:p>
          <w:p w:rsidR="00CA103E" w:rsidRPr="00CA103E" w:rsidRDefault="00CA103E" w:rsidP="00CA103E">
            <w:pPr>
              <w:jc w:val="both"/>
              <w:rPr>
                <w:sz w:val="20"/>
                <w:lang w:val="fr-CA"/>
              </w:rPr>
            </w:pPr>
          </w:p>
          <w:p w:rsidR="00CA103E" w:rsidRPr="00CA103E" w:rsidRDefault="00CA103E" w:rsidP="00CA103E">
            <w:pPr>
              <w:jc w:val="both"/>
              <w:rPr>
                <w:sz w:val="20"/>
                <w:lang w:val="fr-CA"/>
              </w:rPr>
            </w:pPr>
            <w:r w:rsidRPr="00CA103E">
              <w:rPr>
                <w:sz w:val="20"/>
                <w:lang w:val="fr-CA"/>
              </w:rPr>
              <w:t>En particulier, tout comme lui nous estimons  que le savant juge du procès a fusionné l’</w:t>
            </w:r>
            <w:r w:rsidRPr="00CA103E">
              <w:rPr>
                <w:i/>
                <w:sz w:val="20"/>
                <w:lang w:val="fr-CA"/>
              </w:rPr>
              <w:t>actus reus</w:t>
            </w:r>
            <w:r w:rsidRPr="00CA103E">
              <w:rPr>
                <w:sz w:val="20"/>
                <w:lang w:val="fr-CA"/>
              </w:rPr>
              <w:t xml:space="preserve"> et la </w:t>
            </w:r>
            <w:r w:rsidRPr="00CA103E">
              <w:rPr>
                <w:i/>
                <w:sz w:val="20"/>
                <w:lang w:val="fr-CA"/>
              </w:rPr>
              <w:t>mens rea</w:t>
            </w:r>
            <w:r w:rsidRPr="00CA103E">
              <w:rPr>
                <w:sz w:val="20"/>
                <w:lang w:val="fr-CA"/>
              </w:rPr>
              <w:t xml:space="preserve"> de l’infraction et n’a pas expliqué le concept d’écart marqué d’une manière suffisante pour permettre au jury de le comprendre et l’appliquer.</w:t>
            </w:r>
          </w:p>
          <w:p w:rsidR="00CA103E" w:rsidRPr="00CA103E" w:rsidRDefault="00CA103E" w:rsidP="00CA103E">
            <w:pPr>
              <w:jc w:val="both"/>
              <w:rPr>
                <w:sz w:val="20"/>
                <w:lang w:val="fr-CA"/>
              </w:rPr>
            </w:pPr>
          </w:p>
          <w:p w:rsidR="00CA103E" w:rsidRDefault="00CA103E" w:rsidP="00CA103E">
            <w:pPr>
              <w:widowControl w:val="0"/>
              <w:jc w:val="both"/>
              <w:rPr>
                <w:sz w:val="20"/>
                <w:lang w:val="fr-CA"/>
              </w:rPr>
            </w:pPr>
            <w:r w:rsidRPr="00CA103E">
              <w:rPr>
                <w:sz w:val="20"/>
                <w:lang w:val="fr-CA"/>
              </w:rPr>
              <w:t>Par conséquent, nous sommes d’avis d’accueillir le pourvoi, d’annuler la déclaration de culpabilité et d’ordonner la tenue d’un nouveau procès.</w:t>
            </w:r>
          </w:p>
          <w:p w:rsidR="00CA103E" w:rsidRPr="00CC4D84" w:rsidRDefault="00CA103E" w:rsidP="00CA103E">
            <w:pPr>
              <w:widowControl w:val="0"/>
              <w:jc w:val="both"/>
              <w:rPr>
                <w:b/>
                <w:sz w:val="20"/>
                <w:szCs w:val="20"/>
                <w:u w:val="single"/>
                <w:lang w:val="fr-CA"/>
              </w:rPr>
            </w:pPr>
          </w:p>
        </w:tc>
      </w:tr>
      <w:tr w:rsidR="00F10242" w:rsidRPr="00C15495" w:rsidTr="00F10242">
        <w:tc>
          <w:tcPr>
            <w:tcW w:w="4380" w:type="dxa"/>
            <w:tcMar>
              <w:left w:w="0" w:type="dxa"/>
              <w:right w:w="0" w:type="dxa"/>
            </w:tcMar>
          </w:tcPr>
          <w:p w:rsidR="00F10242" w:rsidRPr="00CC4D84" w:rsidRDefault="00F10242" w:rsidP="00F10242">
            <w:pPr>
              <w:widowControl w:val="0"/>
              <w:jc w:val="both"/>
              <w:rPr>
                <w:b/>
                <w:sz w:val="20"/>
                <w:szCs w:val="20"/>
                <w:u w:val="single"/>
              </w:rPr>
            </w:pPr>
            <w:r w:rsidRPr="00CC4D84">
              <w:rPr>
                <w:b/>
                <w:sz w:val="20"/>
                <w:szCs w:val="20"/>
                <w:u w:val="single"/>
              </w:rPr>
              <w:t>Nature of the case:</w:t>
            </w:r>
          </w:p>
          <w:p w:rsidR="00F10242" w:rsidRPr="00C1697B" w:rsidRDefault="00F10242" w:rsidP="00F10242">
            <w:pPr>
              <w:widowControl w:val="0"/>
              <w:jc w:val="both"/>
              <w:rPr>
                <w:b/>
                <w:sz w:val="20"/>
                <w:szCs w:val="20"/>
              </w:rPr>
            </w:pPr>
          </w:p>
          <w:p w:rsidR="00F10242" w:rsidRPr="00C1697B" w:rsidRDefault="00F10242" w:rsidP="00F10242">
            <w:pPr>
              <w:widowControl w:val="0"/>
              <w:jc w:val="both"/>
              <w:rPr>
                <w:b/>
                <w:sz w:val="20"/>
                <w:szCs w:val="20"/>
              </w:rPr>
            </w:pPr>
            <w:r w:rsidRPr="00D97F7E">
              <w:rPr>
                <w:sz w:val="20"/>
                <w:szCs w:val="20"/>
                <w:lang w:val="en"/>
              </w:rPr>
              <w:t>Criminal law - Failing to provide necessaries of life - Elements of offence - Charge to jury - Whether trial judge’s instruction to jury with respect to elements of offence constituted reversible error</w:t>
            </w:r>
            <w:r>
              <w:rPr>
                <w:sz w:val="20"/>
                <w:szCs w:val="20"/>
                <w:lang w:val="en"/>
              </w:rPr>
              <w:t>.</w:t>
            </w:r>
          </w:p>
        </w:tc>
        <w:tc>
          <w:tcPr>
            <w:tcW w:w="720" w:type="dxa"/>
            <w:tcMar>
              <w:left w:w="0" w:type="dxa"/>
              <w:right w:w="0" w:type="dxa"/>
            </w:tcMar>
          </w:tcPr>
          <w:p w:rsidR="00F10242" w:rsidRPr="00C1697B" w:rsidRDefault="00F10242" w:rsidP="00F10242">
            <w:pPr>
              <w:widowControl w:val="0"/>
              <w:jc w:val="center"/>
              <w:rPr>
                <w:sz w:val="20"/>
                <w:szCs w:val="20"/>
              </w:rPr>
            </w:pPr>
          </w:p>
        </w:tc>
        <w:tc>
          <w:tcPr>
            <w:tcW w:w="4380" w:type="dxa"/>
            <w:tcMar>
              <w:left w:w="0" w:type="dxa"/>
              <w:right w:w="0" w:type="dxa"/>
            </w:tcMar>
          </w:tcPr>
          <w:p w:rsidR="00F10242" w:rsidRPr="00CC4D84" w:rsidRDefault="00F10242" w:rsidP="00F10242">
            <w:pPr>
              <w:widowControl w:val="0"/>
              <w:jc w:val="both"/>
              <w:rPr>
                <w:b/>
                <w:sz w:val="20"/>
                <w:szCs w:val="20"/>
                <w:u w:val="single"/>
                <w:lang w:val="fr-CA"/>
              </w:rPr>
            </w:pPr>
            <w:r w:rsidRPr="00CC4D84">
              <w:rPr>
                <w:b/>
                <w:sz w:val="20"/>
                <w:szCs w:val="20"/>
                <w:u w:val="single"/>
                <w:lang w:val="fr-CA"/>
              </w:rPr>
              <w:t>Nature de la cause :</w:t>
            </w:r>
          </w:p>
          <w:p w:rsidR="00F10242" w:rsidRPr="00C1697B" w:rsidRDefault="00F10242" w:rsidP="00F10242">
            <w:pPr>
              <w:widowControl w:val="0"/>
              <w:jc w:val="both"/>
              <w:rPr>
                <w:sz w:val="20"/>
                <w:szCs w:val="20"/>
                <w:lang w:val="fr-CA"/>
              </w:rPr>
            </w:pPr>
          </w:p>
          <w:p w:rsidR="00F10242" w:rsidRPr="00C1697B" w:rsidRDefault="00F10242" w:rsidP="00F10242">
            <w:pPr>
              <w:widowControl w:val="0"/>
              <w:jc w:val="both"/>
              <w:rPr>
                <w:sz w:val="20"/>
                <w:szCs w:val="20"/>
                <w:lang w:val="fr-CA"/>
              </w:rPr>
            </w:pPr>
            <w:r w:rsidRPr="00D97F7E">
              <w:rPr>
                <w:sz w:val="20"/>
                <w:szCs w:val="20"/>
                <w:lang w:val="fr-FR"/>
              </w:rPr>
              <w:t>Droit criminel - Omission de fournir les choses nécessaires à l’existence - Éléments de l’infraction - Exposé au jury - La directive du juge du procès à l’égard des éléments de l’infraction constituait-elle une erreu</w:t>
            </w:r>
            <w:r>
              <w:rPr>
                <w:sz w:val="20"/>
                <w:szCs w:val="20"/>
                <w:lang w:val="fr-FR"/>
              </w:rPr>
              <w:t>r donnant ouverture à révision?</w:t>
            </w:r>
          </w:p>
        </w:tc>
      </w:tr>
    </w:tbl>
    <w:p w:rsidR="00F10242" w:rsidRDefault="00F10242" w:rsidP="00F10242">
      <w:pPr>
        <w:widowControl w:val="0"/>
        <w:rPr>
          <w:sz w:val="20"/>
          <w:szCs w:val="20"/>
          <w:lang w:val="fr-CA"/>
        </w:rPr>
      </w:pPr>
    </w:p>
    <w:p w:rsidR="00F10242" w:rsidRDefault="00FE4582" w:rsidP="00F10242">
      <w:pPr>
        <w:widowControl w:val="0"/>
        <w:rPr>
          <w:sz w:val="20"/>
          <w:szCs w:val="20"/>
          <w:lang w:val="fr-CA"/>
        </w:rPr>
      </w:pPr>
      <w:r>
        <w:rPr>
          <w:sz w:val="20"/>
          <w:szCs w:val="20"/>
          <w:lang w:val="fr-CA"/>
        </w:rPr>
        <w:pict>
          <v:rect id="_x0000_i1063" style="width:2in;height:1pt" o:hrpct="0" o:hralign="center" o:hrstd="t" o:hrnoshade="t" o:hr="t" fillcolor="black [3213]" stroked="f"/>
        </w:pict>
      </w:r>
    </w:p>
    <w:p w:rsidR="00F10242" w:rsidRPr="00C1697B" w:rsidRDefault="00F10242" w:rsidP="00F10242">
      <w:pPr>
        <w:widowControl w:val="0"/>
        <w:rPr>
          <w:sz w:val="20"/>
          <w:szCs w:val="20"/>
          <w:lang w:val="fr-CA"/>
        </w:rPr>
      </w:pPr>
    </w:p>
    <w:p w:rsidR="00CA103E" w:rsidRDefault="00CA103E">
      <w:pPr>
        <w:rPr>
          <w:sz w:val="20"/>
          <w:szCs w:val="20"/>
        </w:rPr>
      </w:pPr>
      <w:r>
        <w:rPr>
          <w:sz w:val="20"/>
          <w:szCs w:val="20"/>
        </w:rPr>
        <w:br w:type="page"/>
      </w:r>
    </w:p>
    <w:p w:rsidR="00CA103E" w:rsidRPr="00C50A5C" w:rsidRDefault="00CA103E" w:rsidP="00CA103E">
      <w:pPr>
        <w:widowControl w:val="0"/>
        <w:rPr>
          <w:sz w:val="20"/>
          <w:szCs w:val="20"/>
        </w:rPr>
      </w:pPr>
      <w:r>
        <w:rPr>
          <w:sz w:val="20"/>
          <w:szCs w:val="20"/>
        </w:rPr>
        <w:lastRenderedPageBreak/>
        <w:t>15</w:t>
      </w:r>
      <w:r w:rsidRPr="00C50A5C">
        <w:rPr>
          <w:sz w:val="20"/>
          <w:szCs w:val="20"/>
        </w:rPr>
        <w:t>.0</w:t>
      </w:r>
      <w:r>
        <w:rPr>
          <w:sz w:val="20"/>
          <w:szCs w:val="20"/>
        </w:rPr>
        <w:t>5</w:t>
      </w:r>
      <w:r w:rsidRPr="00C50A5C">
        <w:rPr>
          <w:sz w:val="20"/>
          <w:szCs w:val="20"/>
        </w:rPr>
        <w:t>.201</w:t>
      </w:r>
      <w:r>
        <w:rPr>
          <w:sz w:val="20"/>
          <w:szCs w:val="20"/>
        </w:rPr>
        <w:t>7</w:t>
      </w:r>
    </w:p>
    <w:p w:rsidR="00CA103E" w:rsidRPr="00C50A5C" w:rsidRDefault="00CA103E" w:rsidP="00CA103E">
      <w:pPr>
        <w:widowControl w:val="0"/>
        <w:rPr>
          <w:sz w:val="20"/>
          <w:szCs w:val="20"/>
        </w:rPr>
      </w:pPr>
    </w:p>
    <w:p w:rsidR="00CA103E" w:rsidRDefault="00CA103E" w:rsidP="00CA103E">
      <w:pPr>
        <w:widowControl w:val="0"/>
        <w:ind w:left="720" w:hanging="720"/>
        <w:rPr>
          <w:sz w:val="20"/>
          <w:szCs w:val="20"/>
        </w:rPr>
      </w:pPr>
      <w:r w:rsidRPr="00C50A5C">
        <w:rPr>
          <w:sz w:val="20"/>
          <w:szCs w:val="20"/>
        </w:rPr>
        <w:t xml:space="preserve">Coram: </w:t>
      </w:r>
      <w:r w:rsidRPr="00C50A5C">
        <w:rPr>
          <w:sz w:val="20"/>
          <w:szCs w:val="20"/>
        </w:rPr>
        <w:tab/>
      </w:r>
      <w:r>
        <w:rPr>
          <w:sz w:val="20"/>
          <w:szCs w:val="20"/>
          <w:u w:val="single"/>
        </w:rPr>
        <w:t xml:space="preserve">Wagner C.J. and Abella, Moldaver, Karakatsanis, Gascon, Côté and Rowe </w:t>
      </w:r>
      <w:r w:rsidRPr="00C50A5C">
        <w:rPr>
          <w:sz w:val="20"/>
          <w:szCs w:val="20"/>
          <w:u w:val="single"/>
        </w:rPr>
        <w:t>JJ.</w:t>
      </w:r>
      <w:r w:rsidRPr="00C50A5C">
        <w:rPr>
          <w:sz w:val="20"/>
          <w:szCs w:val="20"/>
        </w:rPr>
        <w:t xml:space="preserve"> </w:t>
      </w:r>
    </w:p>
    <w:p w:rsidR="00CA103E" w:rsidRPr="00C50A5C" w:rsidRDefault="00CA103E" w:rsidP="00CA103E">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A103E" w:rsidRPr="00C50A5C" w:rsidTr="007674D4">
        <w:tc>
          <w:tcPr>
            <w:tcW w:w="4380" w:type="dxa"/>
            <w:tcMar>
              <w:left w:w="0" w:type="dxa"/>
              <w:right w:w="0" w:type="dxa"/>
            </w:tcMar>
          </w:tcPr>
          <w:p w:rsidR="00CA103E" w:rsidRPr="00C50A5C" w:rsidRDefault="00CA103E" w:rsidP="007674D4">
            <w:pPr>
              <w:widowControl w:val="0"/>
              <w:jc w:val="both"/>
              <w:rPr>
                <w:b/>
                <w:sz w:val="20"/>
                <w:szCs w:val="20"/>
              </w:rPr>
            </w:pPr>
            <w:r>
              <w:rPr>
                <w:b/>
                <w:sz w:val="20"/>
                <w:szCs w:val="20"/>
              </w:rPr>
              <w:t>David Robert Stephan</w:t>
            </w:r>
          </w:p>
          <w:p w:rsidR="00CA103E" w:rsidRPr="00C50A5C" w:rsidRDefault="00CA103E" w:rsidP="007674D4">
            <w:pPr>
              <w:widowControl w:val="0"/>
              <w:jc w:val="both"/>
              <w:rPr>
                <w:b/>
                <w:sz w:val="20"/>
                <w:szCs w:val="20"/>
              </w:rPr>
            </w:pPr>
          </w:p>
          <w:p w:rsidR="00CA103E" w:rsidRPr="00C50A5C" w:rsidRDefault="00CA103E" w:rsidP="007674D4">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59" w:history="1">
              <w:r>
                <w:rPr>
                  <w:rStyle w:val="Hyperlink"/>
                  <w:sz w:val="20"/>
                  <w:szCs w:val="20"/>
                </w:rPr>
                <w:t>37846</w:t>
              </w:r>
            </w:hyperlink>
            <w:r w:rsidRPr="00765D4A">
              <w:rPr>
                <w:sz w:val="20"/>
                <w:szCs w:val="20"/>
              </w:rPr>
              <w:t>)</w:t>
            </w:r>
          </w:p>
          <w:p w:rsidR="00CA103E" w:rsidRPr="00C50A5C" w:rsidRDefault="00CA103E" w:rsidP="007674D4">
            <w:pPr>
              <w:widowControl w:val="0"/>
              <w:jc w:val="both"/>
              <w:rPr>
                <w:b/>
                <w:sz w:val="20"/>
                <w:szCs w:val="20"/>
              </w:rPr>
            </w:pPr>
          </w:p>
          <w:p w:rsidR="00CA103E" w:rsidRPr="00D97F7E" w:rsidRDefault="00CA103E" w:rsidP="00CA103E">
            <w:pPr>
              <w:widowControl w:val="0"/>
              <w:jc w:val="both"/>
              <w:rPr>
                <w:sz w:val="20"/>
                <w:szCs w:val="20"/>
              </w:rPr>
            </w:pPr>
            <w:r>
              <w:rPr>
                <w:b/>
                <w:sz w:val="20"/>
                <w:szCs w:val="20"/>
              </w:rPr>
              <w:t>Her Majesty the Queen</w:t>
            </w:r>
            <w:r w:rsidRPr="00072C86">
              <w:rPr>
                <w:b/>
                <w:sz w:val="20"/>
                <w:szCs w:val="20"/>
              </w:rPr>
              <w:t xml:space="preserve"> (</w:t>
            </w:r>
            <w:r>
              <w:rPr>
                <w:b/>
                <w:sz w:val="20"/>
                <w:szCs w:val="20"/>
              </w:rPr>
              <w:t>Alta.</w:t>
            </w:r>
            <w:r w:rsidRPr="00072C86">
              <w:rPr>
                <w:b/>
                <w:sz w:val="20"/>
                <w:szCs w:val="20"/>
              </w:rPr>
              <w:t xml:space="preserve">) </w:t>
            </w:r>
            <w:r w:rsidRPr="00C50A5C">
              <w:rPr>
                <w:b/>
                <w:sz w:val="20"/>
                <w:szCs w:val="20"/>
              </w:rPr>
              <w:t>(C</w:t>
            </w:r>
            <w:r>
              <w:rPr>
                <w:b/>
                <w:sz w:val="20"/>
                <w:szCs w:val="20"/>
              </w:rPr>
              <w:t>r</w:t>
            </w:r>
            <w:r w:rsidRPr="00C50A5C">
              <w:rPr>
                <w:b/>
                <w:sz w:val="20"/>
                <w:szCs w:val="20"/>
              </w:rPr>
              <w:t>i</w:t>
            </w:r>
            <w:r>
              <w:rPr>
                <w:b/>
                <w:sz w:val="20"/>
                <w:szCs w:val="20"/>
              </w:rPr>
              <w:t>m</w:t>
            </w:r>
            <w:r w:rsidRPr="00C50A5C">
              <w:rPr>
                <w:b/>
                <w:sz w:val="20"/>
                <w:szCs w:val="20"/>
              </w:rPr>
              <w:t>i</w:t>
            </w:r>
            <w:r>
              <w:rPr>
                <w:b/>
                <w:sz w:val="20"/>
                <w:szCs w:val="20"/>
              </w:rPr>
              <w:t>na</w:t>
            </w:r>
            <w:r w:rsidRPr="00C50A5C">
              <w:rPr>
                <w:b/>
                <w:sz w:val="20"/>
                <w:szCs w:val="20"/>
              </w:rPr>
              <w:t>l) (</w:t>
            </w:r>
            <w:r>
              <w:rPr>
                <w:b/>
                <w:sz w:val="20"/>
                <w:szCs w:val="20"/>
              </w:rPr>
              <w:t>As of Right</w:t>
            </w:r>
            <w:r w:rsidRPr="00C50A5C">
              <w:rPr>
                <w:b/>
                <w:sz w:val="20"/>
                <w:szCs w:val="20"/>
              </w:rPr>
              <w:t>)</w:t>
            </w:r>
          </w:p>
        </w:tc>
        <w:tc>
          <w:tcPr>
            <w:tcW w:w="720" w:type="dxa"/>
            <w:tcMar>
              <w:left w:w="0" w:type="dxa"/>
              <w:right w:w="0" w:type="dxa"/>
            </w:tcMar>
          </w:tcPr>
          <w:p w:rsidR="00CA103E" w:rsidRPr="00893C7B" w:rsidRDefault="00CA103E" w:rsidP="007674D4">
            <w:pPr>
              <w:widowControl w:val="0"/>
              <w:jc w:val="center"/>
              <w:rPr>
                <w:sz w:val="20"/>
                <w:szCs w:val="20"/>
              </w:rPr>
            </w:pPr>
          </w:p>
        </w:tc>
        <w:tc>
          <w:tcPr>
            <w:tcW w:w="4380" w:type="dxa"/>
            <w:tcMar>
              <w:left w:w="0" w:type="dxa"/>
              <w:right w:w="0" w:type="dxa"/>
            </w:tcMar>
          </w:tcPr>
          <w:p w:rsidR="00CA103E" w:rsidRPr="00D97F7E" w:rsidRDefault="00CA103E" w:rsidP="007674D4">
            <w:pPr>
              <w:widowControl w:val="0"/>
              <w:jc w:val="both"/>
              <w:rPr>
                <w:sz w:val="20"/>
                <w:szCs w:val="20"/>
              </w:rPr>
            </w:pPr>
            <w:r w:rsidRPr="00D97F7E">
              <w:rPr>
                <w:sz w:val="20"/>
                <w:szCs w:val="20"/>
              </w:rPr>
              <w:t>Karen B. Molle,</w:t>
            </w:r>
            <w:r w:rsidRPr="00D97F7E">
              <w:rPr>
                <w:sz w:val="20"/>
                <w:szCs w:val="20"/>
                <w:lang w:val="en-US"/>
              </w:rPr>
              <w:t xml:space="preserve"> Kelsey Sitar, Heather Ferg</w:t>
            </w:r>
            <w:r w:rsidRPr="00D97F7E">
              <w:rPr>
                <w:sz w:val="20"/>
                <w:szCs w:val="20"/>
              </w:rPr>
              <w:t xml:space="preserve"> and Ian McKay f</w:t>
            </w:r>
            <w:r>
              <w:rPr>
                <w:sz w:val="20"/>
                <w:szCs w:val="20"/>
                <w:lang w:val="en-US"/>
              </w:rPr>
              <w:t>or the Appellant David Robert Stephan.</w:t>
            </w:r>
          </w:p>
          <w:p w:rsidR="00CA103E" w:rsidRPr="00D97F7E" w:rsidRDefault="00CA103E" w:rsidP="007674D4">
            <w:pPr>
              <w:widowControl w:val="0"/>
              <w:jc w:val="both"/>
              <w:rPr>
                <w:sz w:val="20"/>
                <w:szCs w:val="20"/>
              </w:rPr>
            </w:pPr>
          </w:p>
          <w:p w:rsidR="00CA103E" w:rsidRPr="00D97F7E" w:rsidRDefault="00CA103E" w:rsidP="00CA103E">
            <w:pPr>
              <w:widowControl w:val="0"/>
              <w:jc w:val="both"/>
              <w:rPr>
                <w:sz w:val="20"/>
                <w:szCs w:val="20"/>
              </w:rPr>
            </w:pPr>
            <w:r w:rsidRPr="00D97F7E">
              <w:rPr>
                <w:sz w:val="20"/>
                <w:szCs w:val="20"/>
                <w:lang w:val="en-US"/>
              </w:rPr>
              <w:t xml:space="preserve">Julie Morgan and </w:t>
            </w:r>
            <w:r w:rsidRPr="00D97F7E">
              <w:rPr>
                <w:sz w:val="20"/>
                <w:szCs w:val="20"/>
              </w:rPr>
              <w:t>Colin Schulhauser f</w:t>
            </w:r>
            <w:r>
              <w:rPr>
                <w:sz w:val="20"/>
                <w:szCs w:val="20"/>
                <w:lang w:val="en-US"/>
              </w:rPr>
              <w:t xml:space="preserve">or the Respondent </w:t>
            </w:r>
            <w:r w:rsidRPr="00D97F7E">
              <w:rPr>
                <w:sz w:val="20"/>
                <w:szCs w:val="20"/>
              </w:rPr>
              <w:t>Her Majesty the Queen.</w:t>
            </w:r>
          </w:p>
        </w:tc>
      </w:tr>
    </w:tbl>
    <w:p w:rsidR="00CA103E" w:rsidRDefault="00CA103E" w:rsidP="00CA103E">
      <w:pPr>
        <w:widowControl w:val="0"/>
      </w:pPr>
    </w:p>
    <w:p w:rsidR="00CA103E" w:rsidRPr="00106CD9" w:rsidRDefault="00CA103E" w:rsidP="00CA103E">
      <w:pPr>
        <w:rPr>
          <w:rFonts w:eastAsia="Calibri" w:cs="Times New Roman"/>
          <w:b/>
          <w:bCs/>
          <w:sz w:val="20"/>
          <w:szCs w:val="20"/>
          <w:lang w:val="en-US"/>
        </w:rPr>
      </w:pPr>
      <w:r w:rsidRPr="00106CD9">
        <w:rPr>
          <w:rFonts w:eastAsia="Calibri" w:cs="Times New Roman"/>
          <w:b/>
          <w:bCs/>
          <w:sz w:val="20"/>
          <w:szCs w:val="20"/>
          <w:lang w:val="en-US"/>
        </w:rPr>
        <w:t xml:space="preserve">2018 </w:t>
      </w:r>
      <w:r w:rsidRPr="00E829A1">
        <w:rPr>
          <w:rFonts w:eastAsia="Calibri" w:cs="Times New Roman"/>
          <w:b/>
          <w:bCs/>
          <w:sz w:val="20"/>
          <w:szCs w:val="20"/>
        </w:rPr>
        <w:t xml:space="preserve">SCC </w:t>
      </w:r>
      <w:r>
        <w:rPr>
          <w:rFonts w:eastAsia="Calibri" w:cs="Times New Roman"/>
          <w:b/>
          <w:bCs/>
          <w:sz w:val="20"/>
          <w:szCs w:val="20"/>
        </w:rPr>
        <w:t>21</w:t>
      </w:r>
      <w:r>
        <w:rPr>
          <w:rFonts w:eastAsia="Calibri" w:cs="Times New Roman"/>
          <w:b/>
          <w:bCs/>
          <w:sz w:val="20"/>
          <w:szCs w:val="20"/>
          <w:lang w:val="en-US"/>
        </w:rPr>
        <w:t xml:space="preserve"> / 2018 CSC 21</w:t>
      </w:r>
    </w:p>
    <w:p w:rsidR="00CA103E" w:rsidRPr="005E31A3" w:rsidRDefault="00CA103E" w:rsidP="00CA103E">
      <w:pPr>
        <w:widowControl w:val="0"/>
        <w:rPr>
          <w:sz w:val="20"/>
          <w:szCs w:val="20"/>
        </w:rPr>
      </w:pPr>
    </w:p>
    <w:p w:rsidR="00CA103E" w:rsidRDefault="00CA103E" w:rsidP="00CA103E">
      <w:pPr>
        <w:widowControl w:val="0"/>
        <w:rPr>
          <w:b/>
          <w:sz w:val="20"/>
          <w:szCs w:val="20"/>
        </w:rPr>
      </w:pPr>
      <w:r>
        <w:rPr>
          <w:b/>
          <w:sz w:val="20"/>
          <w:szCs w:val="20"/>
        </w:rPr>
        <w:t xml:space="preserve">ALLOWED </w:t>
      </w:r>
      <w:r w:rsidRPr="0085476B">
        <w:rPr>
          <w:b/>
          <w:sz w:val="20"/>
          <w:szCs w:val="20"/>
        </w:rPr>
        <w:t>/</w:t>
      </w:r>
      <w:r>
        <w:rPr>
          <w:b/>
          <w:sz w:val="20"/>
          <w:szCs w:val="20"/>
        </w:rPr>
        <w:t xml:space="preserve"> ACCEUILLIE</w:t>
      </w:r>
    </w:p>
    <w:p w:rsidR="00CA103E" w:rsidRPr="005E31A3" w:rsidRDefault="00CA103E" w:rsidP="00CA103E">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A103E" w:rsidRPr="00C15495" w:rsidTr="007674D4">
        <w:tc>
          <w:tcPr>
            <w:tcW w:w="4380" w:type="dxa"/>
            <w:tcMar>
              <w:left w:w="0" w:type="dxa"/>
              <w:right w:w="0" w:type="dxa"/>
            </w:tcMar>
          </w:tcPr>
          <w:p w:rsidR="00CA103E" w:rsidRDefault="00CA103E" w:rsidP="007674D4">
            <w:pPr>
              <w:widowControl w:val="0"/>
              <w:jc w:val="both"/>
              <w:rPr>
                <w:b/>
                <w:sz w:val="20"/>
                <w:szCs w:val="20"/>
                <w:u w:val="single"/>
              </w:rPr>
            </w:pPr>
            <w:r>
              <w:rPr>
                <w:b/>
                <w:sz w:val="20"/>
                <w:szCs w:val="20"/>
                <w:u w:val="single"/>
              </w:rPr>
              <w:t>Judgment:</w:t>
            </w:r>
          </w:p>
          <w:p w:rsidR="00CA103E" w:rsidRDefault="00CA103E" w:rsidP="007674D4">
            <w:pPr>
              <w:widowControl w:val="0"/>
              <w:jc w:val="both"/>
              <w:rPr>
                <w:b/>
                <w:sz w:val="20"/>
                <w:szCs w:val="20"/>
                <w:u w:val="single"/>
              </w:rPr>
            </w:pPr>
          </w:p>
          <w:p w:rsidR="00CA103E" w:rsidRPr="00CA103E" w:rsidRDefault="00CA103E" w:rsidP="007674D4">
            <w:pPr>
              <w:jc w:val="both"/>
              <w:rPr>
                <w:sz w:val="20"/>
              </w:rPr>
            </w:pPr>
            <w:r w:rsidRPr="00CA103E">
              <w:rPr>
                <w:sz w:val="20"/>
              </w:rPr>
              <w:t xml:space="preserve">The appeal from the judgment of the Court of Appeal of Alberta (Calgary), Number 1601-0171-A, 2017 ABCA 380, dated November 15, 2017, was heard on May 15, 2018, and the Court on that day delivered the following judgment orally: </w:t>
            </w:r>
          </w:p>
          <w:p w:rsidR="00CA103E" w:rsidRPr="00CA103E" w:rsidRDefault="00CA103E" w:rsidP="007674D4">
            <w:pPr>
              <w:jc w:val="both"/>
              <w:rPr>
                <w:sz w:val="20"/>
              </w:rPr>
            </w:pPr>
            <w:r w:rsidRPr="00CA103E">
              <w:rPr>
                <w:sz w:val="20"/>
              </w:rPr>
              <w:tab/>
            </w:r>
          </w:p>
          <w:p w:rsidR="00CA103E" w:rsidRPr="00CA103E" w:rsidRDefault="00CA103E" w:rsidP="007674D4">
            <w:pPr>
              <w:jc w:val="both"/>
              <w:rPr>
                <w:smallCaps/>
                <w:color w:val="000000" w:themeColor="text1"/>
                <w:sz w:val="20"/>
              </w:rPr>
            </w:pPr>
          </w:p>
          <w:p w:rsidR="00CA103E" w:rsidRPr="00CA103E" w:rsidRDefault="00CA103E" w:rsidP="007674D4">
            <w:pPr>
              <w:jc w:val="both"/>
              <w:rPr>
                <w:sz w:val="20"/>
              </w:rPr>
            </w:pPr>
            <w:r w:rsidRPr="00CA103E">
              <w:rPr>
                <w:smallCaps/>
                <w:color w:val="000000" w:themeColor="text1"/>
                <w:sz w:val="20"/>
              </w:rPr>
              <w:t>Moldaver J.</w:t>
            </w:r>
            <w:r w:rsidRPr="00CA103E">
              <w:rPr>
                <w:color w:val="000000" w:themeColor="text1"/>
                <w:sz w:val="20"/>
              </w:rPr>
              <w:t xml:space="preserve"> </w:t>
            </w:r>
            <w:r w:rsidRPr="00CA103E">
              <w:rPr>
                <w:rFonts w:cs="Times New Roman"/>
                <w:color w:val="000000" w:themeColor="text1"/>
                <w:sz w:val="20"/>
              </w:rPr>
              <w:t>—</w:t>
            </w:r>
            <w:r w:rsidRPr="00CA103E">
              <w:rPr>
                <w:color w:val="000000" w:themeColor="text1"/>
                <w:sz w:val="20"/>
              </w:rPr>
              <w:t xml:space="preserve"> We are </w:t>
            </w:r>
            <w:r w:rsidRPr="00CA103E">
              <w:rPr>
                <w:sz w:val="20"/>
              </w:rPr>
              <w:t xml:space="preserve">in essential agreement with the reasons of Justice O’Ferrall.  </w:t>
            </w:r>
          </w:p>
          <w:p w:rsidR="00CA103E" w:rsidRPr="00CA103E" w:rsidRDefault="00CA103E" w:rsidP="007674D4">
            <w:pPr>
              <w:jc w:val="both"/>
              <w:rPr>
                <w:sz w:val="20"/>
              </w:rPr>
            </w:pPr>
          </w:p>
          <w:p w:rsidR="00CA103E" w:rsidRPr="00CA103E" w:rsidRDefault="00CA103E" w:rsidP="007674D4">
            <w:pPr>
              <w:jc w:val="both"/>
              <w:rPr>
                <w:sz w:val="20"/>
              </w:rPr>
            </w:pPr>
            <w:r w:rsidRPr="00CA103E">
              <w:rPr>
                <w:sz w:val="20"/>
              </w:rPr>
              <w:t xml:space="preserve">In particular, we agree that the learned trial judge conflated the </w:t>
            </w:r>
            <w:r w:rsidRPr="00CA103E">
              <w:rPr>
                <w:i/>
                <w:sz w:val="20"/>
              </w:rPr>
              <w:t>actus reus</w:t>
            </w:r>
            <w:r w:rsidRPr="00CA103E">
              <w:rPr>
                <w:sz w:val="20"/>
              </w:rPr>
              <w:t xml:space="preserve"> and </w:t>
            </w:r>
            <w:r w:rsidRPr="00CA103E">
              <w:rPr>
                <w:i/>
                <w:sz w:val="20"/>
              </w:rPr>
              <w:t>mens rea</w:t>
            </w:r>
            <w:r w:rsidRPr="00CA103E">
              <w:rPr>
                <w:sz w:val="20"/>
              </w:rPr>
              <w:t xml:space="preserve"> of the offence and did not sufficiently explain the concept of marked departure in a way that the jury could understand and apply it.</w:t>
            </w:r>
          </w:p>
          <w:p w:rsidR="00CA103E" w:rsidRPr="00CA103E" w:rsidRDefault="00CA103E" w:rsidP="007674D4">
            <w:pPr>
              <w:jc w:val="both"/>
              <w:rPr>
                <w:sz w:val="20"/>
              </w:rPr>
            </w:pPr>
          </w:p>
          <w:p w:rsidR="00CA103E" w:rsidRPr="00CC4D84" w:rsidRDefault="00CA103E" w:rsidP="007674D4">
            <w:pPr>
              <w:widowControl w:val="0"/>
              <w:jc w:val="both"/>
              <w:rPr>
                <w:b/>
                <w:sz w:val="20"/>
                <w:szCs w:val="20"/>
                <w:u w:val="single"/>
              </w:rPr>
            </w:pPr>
            <w:r w:rsidRPr="00CA103E">
              <w:rPr>
                <w:sz w:val="20"/>
              </w:rPr>
              <w:t>Accordingly, we would allow the appeal, quash the conviction and order a new trial.</w:t>
            </w:r>
          </w:p>
        </w:tc>
        <w:tc>
          <w:tcPr>
            <w:tcW w:w="720" w:type="dxa"/>
            <w:tcMar>
              <w:left w:w="0" w:type="dxa"/>
              <w:right w:w="0" w:type="dxa"/>
            </w:tcMar>
          </w:tcPr>
          <w:p w:rsidR="00CA103E" w:rsidRPr="00C1697B" w:rsidRDefault="00CA103E" w:rsidP="007674D4">
            <w:pPr>
              <w:widowControl w:val="0"/>
              <w:jc w:val="center"/>
              <w:rPr>
                <w:sz w:val="20"/>
                <w:szCs w:val="20"/>
              </w:rPr>
            </w:pPr>
          </w:p>
        </w:tc>
        <w:tc>
          <w:tcPr>
            <w:tcW w:w="4380" w:type="dxa"/>
            <w:tcMar>
              <w:left w:w="0" w:type="dxa"/>
              <w:right w:w="0" w:type="dxa"/>
            </w:tcMar>
          </w:tcPr>
          <w:p w:rsidR="00CA103E" w:rsidRDefault="00CA103E" w:rsidP="007674D4">
            <w:pPr>
              <w:widowControl w:val="0"/>
              <w:jc w:val="both"/>
              <w:rPr>
                <w:b/>
                <w:sz w:val="20"/>
                <w:szCs w:val="20"/>
                <w:u w:val="single"/>
                <w:lang w:val="fr-CA"/>
              </w:rPr>
            </w:pPr>
            <w:r>
              <w:rPr>
                <w:b/>
                <w:sz w:val="20"/>
                <w:szCs w:val="20"/>
                <w:u w:val="single"/>
                <w:lang w:val="fr-CA"/>
              </w:rPr>
              <w:t>Jugement :</w:t>
            </w:r>
          </w:p>
          <w:p w:rsidR="00CA103E" w:rsidRDefault="00CA103E" w:rsidP="007674D4">
            <w:pPr>
              <w:widowControl w:val="0"/>
              <w:jc w:val="both"/>
              <w:rPr>
                <w:b/>
                <w:sz w:val="20"/>
                <w:szCs w:val="20"/>
                <w:u w:val="single"/>
                <w:lang w:val="fr-CA"/>
              </w:rPr>
            </w:pPr>
          </w:p>
          <w:p w:rsidR="00CA103E" w:rsidRPr="00CA103E" w:rsidRDefault="00CA103E" w:rsidP="007674D4">
            <w:pPr>
              <w:jc w:val="both"/>
              <w:rPr>
                <w:sz w:val="20"/>
                <w:lang w:val="fr-CA"/>
              </w:rPr>
            </w:pPr>
            <w:r w:rsidRPr="00CA103E">
              <w:rPr>
                <w:sz w:val="20"/>
                <w:lang w:val="fr-CA"/>
              </w:rPr>
              <w:t xml:space="preserve">L’appel interjeté contre l’arrêt de la </w:t>
            </w:r>
            <w:r w:rsidRPr="00CA103E">
              <w:rPr>
                <w:sz w:val="20"/>
                <w:lang w:val="fr-FR"/>
              </w:rPr>
              <w:t>Cour d’appel de l’Alberta (Calgary)</w:t>
            </w:r>
            <w:r w:rsidRPr="00CA103E">
              <w:rPr>
                <w:sz w:val="20"/>
                <w:lang w:val="fr-CA"/>
              </w:rPr>
              <w:t xml:space="preserve">, numéro </w:t>
            </w:r>
            <w:r w:rsidRPr="00CA103E">
              <w:rPr>
                <w:sz w:val="20"/>
                <w:lang w:val="fr-FR"/>
              </w:rPr>
              <w:t>1601-0171-A, 2017 ABCA 380</w:t>
            </w:r>
            <w:r w:rsidRPr="00CA103E">
              <w:rPr>
                <w:sz w:val="20"/>
                <w:lang w:val="fr-CA"/>
              </w:rPr>
              <w:t xml:space="preserve">, daté du </w:t>
            </w:r>
            <w:r w:rsidRPr="00CA103E">
              <w:rPr>
                <w:sz w:val="20"/>
                <w:lang w:val="fr-FR"/>
              </w:rPr>
              <w:t>15 novembre 2017</w:t>
            </w:r>
            <w:r w:rsidRPr="00CA103E">
              <w:rPr>
                <w:sz w:val="20"/>
                <w:lang w:val="fr-CA"/>
              </w:rPr>
              <w:t xml:space="preserve">, a été entendu le </w:t>
            </w:r>
            <w:r w:rsidRPr="00CA103E">
              <w:rPr>
                <w:sz w:val="20"/>
                <w:lang w:val="fr-FR"/>
              </w:rPr>
              <w:t>15 mai 2018</w:t>
            </w:r>
            <w:r w:rsidRPr="00CA103E">
              <w:rPr>
                <w:sz w:val="20"/>
                <w:lang w:val="fr-CA"/>
              </w:rPr>
              <w:t xml:space="preserve"> et la Cour a prononcé oralement le même jour le jugement suivant:</w:t>
            </w:r>
          </w:p>
          <w:p w:rsidR="00CA103E" w:rsidRPr="00CA103E" w:rsidRDefault="00CA103E" w:rsidP="007674D4">
            <w:pPr>
              <w:jc w:val="both"/>
              <w:rPr>
                <w:sz w:val="20"/>
                <w:lang w:val="fr-CA"/>
              </w:rPr>
            </w:pPr>
          </w:p>
          <w:p w:rsidR="00CA103E" w:rsidRPr="00CA103E" w:rsidRDefault="00CA103E" w:rsidP="007674D4">
            <w:pPr>
              <w:jc w:val="both"/>
              <w:rPr>
                <w:sz w:val="20"/>
                <w:lang w:val="fr-CA"/>
              </w:rPr>
            </w:pPr>
            <w:r w:rsidRPr="00CA103E">
              <w:rPr>
                <w:sz w:val="20"/>
                <w:lang w:val="fr-CA"/>
              </w:rPr>
              <w:t>[</w:t>
            </w:r>
            <w:r w:rsidRPr="00CA103E">
              <w:rPr>
                <w:smallCaps/>
                <w:sz w:val="20"/>
                <w:lang w:val="fr-CA"/>
              </w:rPr>
              <w:t>traduction</w:t>
            </w:r>
            <w:r w:rsidRPr="00CA103E">
              <w:rPr>
                <w:sz w:val="20"/>
                <w:lang w:val="fr-CA"/>
              </w:rPr>
              <w:t>]</w:t>
            </w:r>
          </w:p>
          <w:p w:rsidR="00CA103E" w:rsidRPr="00CA103E" w:rsidRDefault="00CA103E" w:rsidP="007674D4">
            <w:pPr>
              <w:jc w:val="both"/>
              <w:rPr>
                <w:color w:val="000000" w:themeColor="text1"/>
                <w:sz w:val="20"/>
                <w:lang w:val="fr-CA"/>
              </w:rPr>
            </w:pPr>
            <w:r w:rsidRPr="00CA103E">
              <w:rPr>
                <w:smallCaps/>
                <w:color w:val="000000" w:themeColor="text1"/>
                <w:sz w:val="20"/>
                <w:lang w:val="fr-CA"/>
              </w:rPr>
              <w:t>Le juge Moldaver</w:t>
            </w:r>
            <w:r w:rsidRPr="00CA103E">
              <w:rPr>
                <w:color w:val="000000" w:themeColor="text1"/>
                <w:sz w:val="20"/>
                <w:lang w:val="fr-CA"/>
              </w:rPr>
              <w:t xml:space="preserve"> </w:t>
            </w:r>
            <w:r w:rsidRPr="00CA103E">
              <w:rPr>
                <w:rFonts w:cs="Times New Roman"/>
                <w:color w:val="000000" w:themeColor="text1"/>
                <w:sz w:val="20"/>
                <w:lang w:val="fr-CA"/>
              </w:rPr>
              <w:t>—</w:t>
            </w:r>
            <w:r w:rsidRPr="00CA103E">
              <w:rPr>
                <w:color w:val="000000" w:themeColor="text1"/>
                <w:sz w:val="20"/>
                <w:lang w:val="fr-CA"/>
              </w:rPr>
              <w:t xml:space="preserve"> Nous faisons nôtres, pour l’essentiel, les motifs du juge O’Ferrall.</w:t>
            </w:r>
          </w:p>
          <w:p w:rsidR="00CA103E" w:rsidRPr="00CA103E" w:rsidRDefault="00CA103E" w:rsidP="007674D4">
            <w:pPr>
              <w:jc w:val="both"/>
              <w:rPr>
                <w:sz w:val="20"/>
                <w:lang w:val="fr-CA"/>
              </w:rPr>
            </w:pPr>
          </w:p>
          <w:p w:rsidR="00CA103E" w:rsidRPr="00CA103E" w:rsidRDefault="00CA103E" w:rsidP="007674D4">
            <w:pPr>
              <w:jc w:val="both"/>
              <w:rPr>
                <w:sz w:val="20"/>
                <w:lang w:val="fr-CA"/>
              </w:rPr>
            </w:pPr>
          </w:p>
          <w:p w:rsidR="00CA103E" w:rsidRPr="00CA103E" w:rsidRDefault="00CA103E" w:rsidP="007674D4">
            <w:pPr>
              <w:jc w:val="both"/>
              <w:rPr>
                <w:sz w:val="20"/>
                <w:lang w:val="fr-CA"/>
              </w:rPr>
            </w:pPr>
            <w:r w:rsidRPr="00CA103E">
              <w:rPr>
                <w:sz w:val="20"/>
                <w:lang w:val="fr-CA"/>
              </w:rPr>
              <w:t>En particulier, tout comme lui nous estimons  que le savant juge du procès a fusionné l’</w:t>
            </w:r>
            <w:r w:rsidRPr="00CA103E">
              <w:rPr>
                <w:i/>
                <w:sz w:val="20"/>
                <w:lang w:val="fr-CA"/>
              </w:rPr>
              <w:t>actus reus</w:t>
            </w:r>
            <w:r w:rsidRPr="00CA103E">
              <w:rPr>
                <w:sz w:val="20"/>
                <w:lang w:val="fr-CA"/>
              </w:rPr>
              <w:t xml:space="preserve"> et la </w:t>
            </w:r>
            <w:r w:rsidRPr="00CA103E">
              <w:rPr>
                <w:i/>
                <w:sz w:val="20"/>
                <w:lang w:val="fr-CA"/>
              </w:rPr>
              <w:t>mens rea</w:t>
            </w:r>
            <w:r w:rsidRPr="00CA103E">
              <w:rPr>
                <w:sz w:val="20"/>
                <w:lang w:val="fr-CA"/>
              </w:rPr>
              <w:t xml:space="preserve"> de l’infraction et n’a pas expliqué le concept d’écart marqué d’une manière suffisante pour permettre au jury de le comprendre et l’appliquer.</w:t>
            </w:r>
          </w:p>
          <w:p w:rsidR="00CA103E" w:rsidRPr="00CA103E" w:rsidRDefault="00CA103E" w:rsidP="007674D4">
            <w:pPr>
              <w:jc w:val="both"/>
              <w:rPr>
                <w:sz w:val="20"/>
                <w:lang w:val="fr-CA"/>
              </w:rPr>
            </w:pPr>
          </w:p>
          <w:p w:rsidR="00CA103E" w:rsidRDefault="00CA103E" w:rsidP="007674D4">
            <w:pPr>
              <w:widowControl w:val="0"/>
              <w:jc w:val="both"/>
              <w:rPr>
                <w:sz w:val="20"/>
                <w:lang w:val="fr-CA"/>
              </w:rPr>
            </w:pPr>
            <w:r w:rsidRPr="00CA103E">
              <w:rPr>
                <w:sz w:val="20"/>
                <w:lang w:val="fr-CA"/>
              </w:rPr>
              <w:t>Par conséquent, nous sommes d’avis d’accueillir le pourvoi, d’annuler la déclaration de culpabilité et d’ordonner la tenue d’un nouveau procès.</w:t>
            </w:r>
          </w:p>
          <w:p w:rsidR="00CA103E" w:rsidRPr="00CC4D84" w:rsidRDefault="00CA103E" w:rsidP="007674D4">
            <w:pPr>
              <w:widowControl w:val="0"/>
              <w:jc w:val="both"/>
              <w:rPr>
                <w:b/>
                <w:sz w:val="20"/>
                <w:szCs w:val="20"/>
                <w:u w:val="single"/>
                <w:lang w:val="fr-CA"/>
              </w:rPr>
            </w:pPr>
          </w:p>
        </w:tc>
      </w:tr>
      <w:tr w:rsidR="00CA103E" w:rsidRPr="00C15495" w:rsidTr="007674D4">
        <w:tc>
          <w:tcPr>
            <w:tcW w:w="4380" w:type="dxa"/>
            <w:tcMar>
              <w:left w:w="0" w:type="dxa"/>
              <w:right w:w="0" w:type="dxa"/>
            </w:tcMar>
          </w:tcPr>
          <w:p w:rsidR="00CA103E" w:rsidRPr="00CC4D84" w:rsidRDefault="00CA103E" w:rsidP="007674D4">
            <w:pPr>
              <w:widowControl w:val="0"/>
              <w:jc w:val="both"/>
              <w:rPr>
                <w:b/>
                <w:sz w:val="20"/>
                <w:szCs w:val="20"/>
                <w:u w:val="single"/>
              </w:rPr>
            </w:pPr>
            <w:r w:rsidRPr="00CC4D84">
              <w:rPr>
                <w:b/>
                <w:sz w:val="20"/>
                <w:szCs w:val="20"/>
                <w:u w:val="single"/>
              </w:rPr>
              <w:t>Nature of the case:</w:t>
            </w:r>
          </w:p>
          <w:p w:rsidR="00CA103E" w:rsidRPr="00C1697B" w:rsidRDefault="00CA103E" w:rsidP="007674D4">
            <w:pPr>
              <w:widowControl w:val="0"/>
              <w:jc w:val="both"/>
              <w:rPr>
                <w:b/>
                <w:sz w:val="20"/>
                <w:szCs w:val="20"/>
              </w:rPr>
            </w:pPr>
          </w:p>
          <w:p w:rsidR="00CA103E" w:rsidRPr="00C1697B" w:rsidRDefault="00CA103E" w:rsidP="007674D4">
            <w:pPr>
              <w:widowControl w:val="0"/>
              <w:jc w:val="both"/>
              <w:rPr>
                <w:b/>
                <w:sz w:val="20"/>
                <w:szCs w:val="20"/>
              </w:rPr>
            </w:pPr>
            <w:r w:rsidRPr="00D97F7E">
              <w:rPr>
                <w:sz w:val="20"/>
                <w:szCs w:val="20"/>
                <w:lang w:val="en"/>
              </w:rPr>
              <w:t>Criminal law - Failing to provide necessaries of life - Elements of offence - Charge to jury - Whether trial judge’s instruction to jury with respect to elements of offence constituted reversible error</w:t>
            </w:r>
            <w:r>
              <w:rPr>
                <w:sz w:val="20"/>
                <w:szCs w:val="20"/>
                <w:lang w:val="en"/>
              </w:rPr>
              <w:t>.</w:t>
            </w:r>
          </w:p>
        </w:tc>
        <w:tc>
          <w:tcPr>
            <w:tcW w:w="720" w:type="dxa"/>
            <w:tcMar>
              <w:left w:w="0" w:type="dxa"/>
              <w:right w:w="0" w:type="dxa"/>
            </w:tcMar>
          </w:tcPr>
          <w:p w:rsidR="00CA103E" w:rsidRPr="00C1697B" w:rsidRDefault="00CA103E" w:rsidP="007674D4">
            <w:pPr>
              <w:widowControl w:val="0"/>
              <w:jc w:val="center"/>
              <w:rPr>
                <w:sz w:val="20"/>
                <w:szCs w:val="20"/>
              </w:rPr>
            </w:pPr>
          </w:p>
        </w:tc>
        <w:tc>
          <w:tcPr>
            <w:tcW w:w="4380" w:type="dxa"/>
            <w:tcMar>
              <w:left w:w="0" w:type="dxa"/>
              <w:right w:w="0" w:type="dxa"/>
            </w:tcMar>
          </w:tcPr>
          <w:p w:rsidR="00CA103E" w:rsidRPr="00CC4D84" w:rsidRDefault="00CA103E" w:rsidP="007674D4">
            <w:pPr>
              <w:widowControl w:val="0"/>
              <w:jc w:val="both"/>
              <w:rPr>
                <w:b/>
                <w:sz w:val="20"/>
                <w:szCs w:val="20"/>
                <w:u w:val="single"/>
                <w:lang w:val="fr-CA"/>
              </w:rPr>
            </w:pPr>
            <w:r w:rsidRPr="00CC4D84">
              <w:rPr>
                <w:b/>
                <w:sz w:val="20"/>
                <w:szCs w:val="20"/>
                <w:u w:val="single"/>
                <w:lang w:val="fr-CA"/>
              </w:rPr>
              <w:t>Nature de la cause :</w:t>
            </w:r>
          </w:p>
          <w:p w:rsidR="00CA103E" w:rsidRPr="00C1697B" w:rsidRDefault="00CA103E" w:rsidP="007674D4">
            <w:pPr>
              <w:widowControl w:val="0"/>
              <w:jc w:val="both"/>
              <w:rPr>
                <w:sz w:val="20"/>
                <w:szCs w:val="20"/>
                <w:lang w:val="fr-CA"/>
              </w:rPr>
            </w:pPr>
          </w:p>
          <w:p w:rsidR="00CA103E" w:rsidRPr="00C1697B" w:rsidRDefault="00CA103E" w:rsidP="007674D4">
            <w:pPr>
              <w:widowControl w:val="0"/>
              <w:jc w:val="both"/>
              <w:rPr>
                <w:sz w:val="20"/>
                <w:szCs w:val="20"/>
                <w:lang w:val="fr-CA"/>
              </w:rPr>
            </w:pPr>
            <w:r w:rsidRPr="00D97F7E">
              <w:rPr>
                <w:sz w:val="20"/>
                <w:szCs w:val="20"/>
                <w:lang w:val="fr-FR"/>
              </w:rPr>
              <w:t>Droit criminel - Omission de fournir les choses nécessaires à l’existence - Éléments de l’infraction - Exposé au jury - La directive du juge du procès à l’égard des éléments de l’infraction constituait-elle une erreu</w:t>
            </w:r>
            <w:r>
              <w:rPr>
                <w:sz w:val="20"/>
                <w:szCs w:val="20"/>
                <w:lang w:val="fr-FR"/>
              </w:rPr>
              <w:t>r donnant ouverture à révision?</w:t>
            </w:r>
          </w:p>
        </w:tc>
      </w:tr>
    </w:tbl>
    <w:p w:rsidR="00CA103E" w:rsidRDefault="00CA103E" w:rsidP="00CA103E">
      <w:pPr>
        <w:widowControl w:val="0"/>
        <w:rPr>
          <w:sz w:val="20"/>
          <w:szCs w:val="20"/>
          <w:lang w:val="fr-CA"/>
        </w:rPr>
      </w:pPr>
    </w:p>
    <w:p w:rsidR="0056248C" w:rsidRPr="00C1697B" w:rsidRDefault="0056248C" w:rsidP="00732DB7">
      <w:pPr>
        <w:widowControl w:val="0"/>
        <w:rPr>
          <w:sz w:val="20"/>
          <w:szCs w:val="20"/>
          <w:lang w:val="fr-CA"/>
        </w:rPr>
      </w:pPr>
    </w:p>
    <w:p w:rsidR="00732DB7" w:rsidRPr="00C1697B" w:rsidRDefault="00732DB7" w:rsidP="00732DB7">
      <w:pPr>
        <w:widowControl w:val="0"/>
        <w:rPr>
          <w:sz w:val="20"/>
          <w:szCs w:val="20"/>
          <w:lang w:val="fr-CA"/>
        </w:rPr>
      </w:pPr>
    </w:p>
    <w:p w:rsidR="00CA45F5" w:rsidRPr="00CA103E" w:rsidRDefault="00CA45F5" w:rsidP="00CA45F5">
      <w:pPr>
        <w:widowControl w:val="0"/>
        <w:rPr>
          <w:sz w:val="20"/>
          <w:szCs w:val="20"/>
          <w:lang w:val="fr-CA"/>
        </w:rPr>
      </w:pPr>
      <w:r w:rsidRPr="00CA103E">
        <w:rPr>
          <w:sz w:val="20"/>
          <w:szCs w:val="20"/>
          <w:lang w:val="fr-CA"/>
        </w:rPr>
        <w:br w:type="page"/>
      </w:r>
    </w:p>
    <w:p w:rsidR="00CA45F5" w:rsidRPr="00C50A5C" w:rsidRDefault="00CA45F5" w:rsidP="00CA45F5">
      <w:pPr>
        <w:widowControl w:val="0"/>
        <w:rPr>
          <w:sz w:val="20"/>
          <w:szCs w:val="20"/>
        </w:rPr>
      </w:pPr>
      <w:r>
        <w:rPr>
          <w:sz w:val="20"/>
          <w:szCs w:val="20"/>
        </w:rPr>
        <w:lastRenderedPageBreak/>
        <w:t>16</w:t>
      </w:r>
      <w:r w:rsidRPr="00C50A5C">
        <w:rPr>
          <w:sz w:val="20"/>
          <w:szCs w:val="20"/>
        </w:rPr>
        <w:t>.0</w:t>
      </w:r>
      <w:r>
        <w:rPr>
          <w:sz w:val="20"/>
          <w:szCs w:val="20"/>
        </w:rPr>
        <w:t>5</w:t>
      </w:r>
      <w:r w:rsidRPr="00C50A5C">
        <w:rPr>
          <w:sz w:val="20"/>
          <w:szCs w:val="20"/>
        </w:rPr>
        <w:t>.201</w:t>
      </w:r>
      <w:r>
        <w:rPr>
          <w:sz w:val="20"/>
          <w:szCs w:val="20"/>
        </w:rPr>
        <w:t>7</w:t>
      </w:r>
    </w:p>
    <w:p w:rsidR="00CA45F5" w:rsidRPr="00C50A5C" w:rsidRDefault="00CA45F5" w:rsidP="00CA45F5">
      <w:pPr>
        <w:widowControl w:val="0"/>
        <w:rPr>
          <w:sz w:val="20"/>
          <w:szCs w:val="20"/>
        </w:rPr>
      </w:pPr>
    </w:p>
    <w:p w:rsidR="00CA45F5" w:rsidRDefault="00CA45F5" w:rsidP="00CA45F5">
      <w:pPr>
        <w:widowControl w:val="0"/>
        <w:ind w:left="720" w:hanging="720"/>
        <w:rPr>
          <w:sz w:val="20"/>
          <w:szCs w:val="20"/>
        </w:rPr>
      </w:pPr>
      <w:r w:rsidRPr="00C50A5C">
        <w:rPr>
          <w:sz w:val="20"/>
          <w:szCs w:val="20"/>
        </w:rPr>
        <w:t xml:space="preserve">Coram: </w:t>
      </w:r>
      <w:r w:rsidRPr="00C50A5C">
        <w:rPr>
          <w:sz w:val="20"/>
          <w:szCs w:val="20"/>
        </w:rPr>
        <w:tab/>
      </w:r>
      <w:r>
        <w:rPr>
          <w:sz w:val="20"/>
          <w:szCs w:val="20"/>
          <w:u w:val="single"/>
        </w:rPr>
        <w:t xml:space="preserve">Wagner C.J. and Abella, Moldaver, Karakatsanis, Gascon, Côté, Brown, Rowe and Martin </w:t>
      </w:r>
      <w:r w:rsidRPr="00C50A5C">
        <w:rPr>
          <w:sz w:val="20"/>
          <w:szCs w:val="20"/>
          <w:u w:val="single"/>
        </w:rPr>
        <w:t>JJ.</w:t>
      </w:r>
      <w:r w:rsidRPr="00C50A5C">
        <w:rPr>
          <w:sz w:val="20"/>
          <w:szCs w:val="20"/>
        </w:rPr>
        <w:t xml:space="preserve"> </w:t>
      </w:r>
    </w:p>
    <w:p w:rsidR="00CA45F5" w:rsidRPr="00C50A5C" w:rsidRDefault="00CA45F5" w:rsidP="00CA45F5">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A45F5" w:rsidRPr="00C15495" w:rsidTr="00C74F2E">
        <w:tc>
          <w:tcPr>
            <w:tcW w:w="4380" w:type="dxa"/>
            <w:tcMar>
              <w:left w:w="0" w:type="dxa"/>
              <w:right w:w="0" w:type="dxa"/>
            </w:tcMar>
          </w:tcPr>
          <w:p w:rsidR="00CA45F5" w:rsidRPr="00C50A5C" w:rsidRDefault="00CA45F5" w:rsidP="00C74F2E">
            <w:pPr>
              <w:widowControl w:val="0"/>
              <w:jc w:val="both"/>
              <w:rPr>
                <w:b/>
                <w:sz w:val="20"/>
                <w:szCs w:val="20"/>
              </w:rPr>
            </w:pPr>
            <w:r>
              <w:rPr>
                <w:b/>
                <w:sz w:val="20"/>
                <w:szCs w:val="20"/>
              </w:rPr>
              <w:t>Kassem Mazraani</w:t>
            </w:r>
          </w:p>
          <w:p w:rsidR="00CA45F5" w:rsidRPr="00C50A5C" w:rsidRDefault="00CA45F5" w:rsidP="00C74F2E">
            <w:pPr>
              <w:widowControl w:val="0"/>
              <w:jc w:val="both"/>
              <w:rPr>
                <w:b/>
                <w:sz w:val="20"/>
                <w:szCs w:val="20"/>
              </w:rPr>
            </w:pPr>
          </w:p>
          <w:p w:rsidR="00CA45F5" w:rsidRPr="00C50A5C" w:rsidRDefault="00CA45F5" w:rsidP="00C74F2E">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60" w:history="1">
              <w:r>
                <w:rPr>
                  <w:rStyle w:val="Hyperlink"/>
                  <w:sz w:val="20"/>
                  <w:szCs w:val="20"/>
                </w:rPr>
                <w:t>37642</w:t>
              </w:r>
            </w:hyperlink>
            <w:r w:rsidRPr="00765D4A">
              <w:rPr>
                <w:sz w:val="20"/>
                <w:szCs w:val="20"/>
              </w:rPr>
              <w:t>)</w:t>
            </w:r>
          </w:p>
          <w:p w:rsidR="00CA45F5" w:rsidRPr="00C50A5C" w:rsidRDefault="00CA45F5" w:rsidP="00C74F2E">
            <w:pPr>
              <w:widowControl w:val="0"/>
              <w:jc w:val="both"/>
              <w:rPr>
                <w:b/>
                <w:sz w:val="20"/>
                <w:szCs w:val="20"/>
              </w:rPr>
            </w:pPr>
          </w:p>
          <w:p w:rsidR="00CA45F5" w:rsidRPr="00F10242" w:rsidRDefault="00CA45F5" w:rsidP="00C74F2E">
            <w:pPr>
              <w:widowControl w:val="0"/>
              <w:jc w:val="both"/>
              <w:rPr>
                <w:b/>
                <w:sz w:val="20"/>
                <w:szCs w:val="20"/>
              </w:rPr>
            </w:pPr>
            <w:r>
              <w:rPr>
                <w:b/>
                <w:sz w:val="20"/>
                <w:szCs w:val="20"/>
              </w:rPr>
              <w:t>Industrial Alliance Insurance and Financial Services Inc. et al.</w:t>
            </w:r>
            <w:r w:rsidRPr="00072C86">
              <w:rPr>
                <w:b/>
                <w:sz w:val="20"/>
                <w:szCs w:val="20"/>
              </w:rPr>
              <w:t xml:space="preserve"> (</w:t>
            </w:r>
            <w:r>
              <w:rPr>
                <w:b/>
                <w:sz w:val="20"/>
                <w:szCs w:val="20"/>
              </w:rPr>
              <w:t>F.C.</w:t>
            </w:r>
            <w:r w:rsidRPr="00072C86">
              <w:rPr>
                <w:b/>
                <w:sz w:val="20"/>
                <w:szCs w:val="20"/>
              </w:rPr>
              <w:t xml:space="preserve">) </w:t>
            </w:r>
            <w:r w:rsidRPr="00C50A5C">
              <w:rPr>
                <w:b/>
                <w:sz w:val="20"/>
                <w:szCs w:val="20"/>
              </w:rPr>
              <w:t>(</w:t>
            </w:r>
            <w:r>
              <w:rPr>
                <w:b/>
                <w:sz w:val="20"/>
                <w:szCs w:val="20"/>
              </w:rPr>
              <w:t>Civil</w:t>
            </w:r>
            <w:r w:rsidRPr="00C50A5C">
              <w:rPr>
                <w:b/>
                <w:sz w:val="20"/>
                <w:szCs w:val="20"/>
              </w:rPr>
              <w:t>) (</w:t>
            </w:r>
            <w:r>
              <w:rPr>
                <w:b/>
                <w:sz w:val="20"/>
                <w:szCs w:val="20"/>
              </w:rPr>
              <w:t>By Leave</w:t>
            </w:r>
            <w:r w:rsidRPr="00C50A5C">
              <w:rPr>
                <w:b/>
                <w:sz w:val="20"/>
                <w:szCs w:val="20"/>
              </w:rPr>
              <w:t>)</w:t>
            </w:r>
          </w:p>
        </w:tc>
        <w:tc>
          <w:tcPr>
            <w:tcW w:w="720" w:type="dxa"/>
            <w:tcMar>
              <w:left w:w="0" w:type="dxa"/>
              <w:right w:w="0" w:type="dxa"/>
            </w:tcMar>
          </w:tcPr>
          <w:p w:rsidR="00CA45F5" w:rsidRPr="00F10242" w:rsidRDefault="00CA45F5" w:rsidP="00C74F2E">
            <w:pPr>
              <w:widowControl w:val="0"/>
              <w:jc w:val="center"/>
              <w:rPr>
                <w:sz w:val="20"/>
                <w:szCs w:val="20"/>
              </w:rPr>
            </w:pPr>
          </w:p>
        </w:tc>
        <w:tc>
          <w:tcPr>
            <w:tcW w:w="4380" w:type="dxa"/>
            <w:tcMar>
              <w:left w:w="0" w:type="dxa"/>
              <w:right w:w="0" w:type="dxa"/>
            </w:tcMar>
          </w:tcPr>
          <w:p w:rsidR="00CA45F5" w:rsidRPr="00F10242" w:rsidRDefault="00CA45F5" w:rsidP="00C74F2E">
            <w:pPr>
              <w:widowControl w:val="0"/>
              <w:jc w:val="both"/>
              <w:rPr>
                <w:sz w:val="20"/>
                <w:szCs w:val="20"/>
                <w:lang w:val="en-US"/>
              </w:rPr>
            </w:pPr>
            <w:r w:rsidRPr="00F10242">
              <w:rPr>
                <w:sz w:val="20"/>
                <w:szCs w:val="20"/>
                <w:lang w:val="en-US"/>
              </w:rPr>
              <w:t>Cameron Fiske, David Milosevic, Caroline Garrod and David Cassin for the Appellant Kassem Mazraani.</w:t>
            </w:r>
          </w:p>
          <w:p w:rsidR="00CA45F5" w:rsidRPr="00F10242" w:rsidRDefault="00CA45F5" w:rsidP="00C74F2E">
            <w:pPr>
              <w:widowControl w:val="0"/>
              <w:jc w:val="both"/>
              <w:rPr>
                <w:sz w:val="20"/>
                <w:szCs w:val="20"/>
                <w:lang w:val="en-US"/>
              </w:rPr>
            </w:pPr>
          </w:p>
          <w:p w:rsidR="00CA45F5" w:rsidRPr="00F10242" w:rsidRDefault="00CA45F5" w:rsidP="00C74F2E">
            <w:pPr>
              <w:widowControl w:val="0"/>
              <w:jc w:val="both"/>
              <w:rPr>
                <w:sz w:val="20"/>
                <w:szCs w:val="20"/>
                <w:lang w:val="fr-CA"/>
              </w:rPr>
            </w:pPr>
            <w:r w:rsidRPr="00F10242">
              <w:rPr>
                <w:sz w:val="20"/>
                <w:szCs w:val="20"/>
                <w:lang w:val="fr-CA"/>
              </w:rPr>
              <w:t xml:space="preserve">Michael Shortt,  Yves Turgeon et Paul Côté-Lépine pour l’intimée Industrielle Alliance, Assurance et  services financiers inc. </w:t>
            </w:r>
          </w:p>
          <w:p w:rsidR="00CA45F5" w:rsidRPr="00F10242" w:rsidRDefault="00CA45F5" w:rsidP="00C74F2E">
            <w:pPr>
              <w:widowControl w:val="0"/>
              <w:jc w:val="both"/>
              <w:rPr>
                <w:sz w:val="20"/>
                <w:szCs w:val="20"/>
                <w:lang w:val="fr-CA"/>
              </w:rPr>
            </w:pPr>
          </w:p>
          <w:p w:rsidR="00CA45F5" w:rsidRPr="00F10242" w:rsidRDefault="00CA45F5" w:rsidP="00C74F2E">
            <w:pPr>
              <w:widowControl w:val="0"/>
              <w:jc w:val="both"/>
              <w:rPr>
                <w:sz w:val="20"/>
                <w:szCs w:val="20"/>
                <w:lang w:val="en-US"/>
              </w:rPr>
            </w:pPr>
            <w:r w:rsidRPr="00F10242">
              <w:rPr>
                <w:sz w:val="20"/>
                <w:szCs w:val="20"/>
                <w:lang w:val="en-US"/>
              </w:rPr>
              <w:t>Marc Ribeiro for the Respondent Minister of National Revenue.</w:t>
            </w:r>
          </w:p>
          <w:p w:rsidR="00CA45F5" w:rsidRPr="00F10242" w:rsidRDefault="00CA45F5" w:rsidP="00C74F2E">
            <w:pPr>
              <w:widowControl w:val="0"/>
              <w:jc w:val="both"/>
              <w:rPr>
                <w:sz w:val="20"/>
                <w:szCs w:val="20"/>
                <w:lang w:val="en-US"/>
              </w:rPr>
            </w:pPr>
          </w:p>
          <w:p w:rsidR="00CA45F5" w:rsidRPr="00F10242" w:rsidRDefault="00CA45F5" w:rsidP="00C74F2E">
            <w:pPr>
              <w:widowControl w:val="0"/>
              <w:jc w:val="both"/>
              <w:rPr>
                <w:sz w:val="20"/>
                <w:szCs w:val="20"/>
                <w:lang w:val="fr-CA"/>
              </w:rPr>
            </w:pPr>
            <w:r w:rsidRPr="00F10242">
              <w:rPr>
                <w:sz w:val="20"/>
                <w:szCs w:val="20"/>
                <w:lang w:val="fr-CA"/>
              </w:rPr>
              <w:t>Sylvie Champagne pour l’intervenant Barreau du Québec.</w:t>
            </w:r>
          </w:p>
          <w:p w:rsidR="00CA45F5" w:rsidRPr="00F10242" w:rsidRDefault="00CA45F5" w:rsidP="00C74F2E">
            <w:pPr>
              <w:widowControl w:val="0"/>
              <w:jc w:val="both"/>
              <w:rPr>
                <w:sz w:val="20"/>
                <w:szCs w:val="20"/>
                <w:lang w:val="fr-CA"/>
              </w:rPr>
            </w:pPr>
          </w:p>
          <w:p w:rsidR="00CA45F5" w:rsidRPr="00F10242" w:rsidRDefault="00CA45F5" w:rsidP="00C74F2E">
            <w:pPr>
              <w:widowControl w:val="0"/>
              <w:jc w:val="both"/>
              <w:rPr>
                <w:sz w:val="20"/>
                <w:szCs w:val="20"/>
                <w:lang w:val="fr-CA"/>
              </w:rPr>
            </w:pPr>
            <w:r w:rsidRPr="00F10242">
              <w:rPr>
                <w:sz w:val="20"/>
                <w:szCs w:val="20"/>
                <w:lang w:val="fr-CA"/>
              </w:rPr>
              <w:t>François Larocque et Sara-Marie Scott pour l’intervenante Association des juristes d’expression  française de l’Ontario.</w:t>
            </w:r>
          </w:p>
          <w:p w:rsidR="00CA45F5" w:rsidRPr="00F10242" w:rsidRDefault="00CA45F5" w:rsidP="00C74F2E">
            <w:pPr>
              <w:widowControl w:val="0"/>
              <w:jc w:val="both"/>
              <w:rPr>
                <w:sz w:val="20"/>
                <w:szCs w:val="20"/>
                <w:lang w:val="fr-CA"/>
              </w:rPr>
            </w:pPr>
          </w:p>
          <w:p w:rsidR="00CA45F5" w:rsidRPr="00F10242" w:rsidRDefault="00CA45F5" w:rsidP="00C74F2E">
            <w:pPr>
              <w:widowControl w:val="0"/>
              <w:jc w:val="both"/>
              <w:rPr>
                <w:sz w:val="20"/>
                <w:szCs w:val="20"/>
                <w:lang w:val="en-US"/>
              </w:rPr>
            </w:pPr>
            <w:r w:rsidRPr="00F10242">
              <w:rPr>
                <w:sz w:val="20"/>
                <w:szCs w:val="20"/>
                <w:lang w:val="en-US"/>
              </w:rPr>
              <w:t>Nicolas M. Rouleau for the Intervener Canadian Bar Association.</w:t>
            </w:r>
          </w:p>
          <w:p w:rsidR="00CA45F5" w:rsidRPr="00F10242" w:rsidRDefault="00CA45F5" w:rsidP="00C74F2E">
            <w:pPr>
              <w:widowControl w:val="0"/>
              <w:jc w:val="both"/>
              <w:rPr>
                <w:sz w:val="20"/>
                <w:szCs w:val="20"/>
                <w:lang w:val="en-US"/>
              </w:rPr>
            </w:pPr>
          </w:p>
          <w:p w:rsidR="00CA45F5" w:rsidRPr="00F10242" w:rsidRDefault="00CA45F5" w:rsidP="00C74F2E">
            <w:pPr>
              <w:widowControl w:val="0"/>
              <w:jc w:val="both"/>
              <w:rPr>
                <w:sz w:val="20"/>
                <w:szCs w:val="20"/>
                <w:lang w:val="fr-CA"/>
              </w:rPr>
            </w:pPr>
            <w:r w:rsidRPr="00F10242">
              <w:rPr>
                <w:sz w:val="20"/>
                <w:szCs w:val="20"/>
                <w:lang w:val="fr-CA"/>
              </w:rPr>
              <w:t>Élie Ducharme et Christine Ruest Norrena pour l’intervenant Commissaire aux langues officielles du Canada.</w:t>
            </w:r>
          </w:p>
        </w:tc>
      </w:tr>
    </w:tbl>
    <w:p w:rsidR="00CA45F5" w:rsidRPr="00F10242" w:rsidRDefault="00CA45F5" w:rsidP="00CA45F5">
      <w:pPr>
        <w:widowControl w:val="0"/>
        <w:rPr>
          <w:lang w:val="fr-CA"/>
        </w:rPr>
      </w:pPr>
    </w:p>
    <w:p w:rsidR="00CA45F5" w:rsidRPr="0085476B" w:rsidRDefault="00CA45F5" w:rsidP="00CA45F5">
      <w:pPr>
        <w:widowControl w:val="0"/>
        <w:rPr>
          <w:sz w:val="20"/>
          <w:szCs w:val="20"/>
        </w:rPr>
      </w:pPr>
      <w:r>
        <w:rPr>
          <w:b/>
          <w:sz w:val="20"/>
          <w:szCs w:val="20"/>
        </w:rPr>
        <w:t>RESERV</w:t>
      </w:r>
      <w:r w:rsidRPr="0085476B">
        <w:rPr>
          <w:b/>
          <w:sz w:val="20"/>
          <w:szCs w:val="20"/>
        </w:rPr>
        <w:t xml:space="preserve">ED / </w:t>
      </w:r>
      <w:r w:rsidRPr="006856D3">
        <w:rPr>
          <w:b/>
          <w:sz w:val="20"/>
          <w:szCs w:val="20"/>
          <w:lang w:val="en-US"/>
        </w:rPr>
        <w:t>EN DÉLIBÉRÉ</w:t>
      </w:r>
    </w:p>
    <w:p w:rsidR="00CA45F5" w:rsidRPr="005E31A3" w:rsidRDefault="00CA45F5" w:rsidP="00CA45F5">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A103E" w:rsidRPr="00CA103E" w:rsidTr="00C74F2E">
        <w:tc>
          <w:tcPr>
            <w:tcW w:w="4380" w:type="dxa"/>
            <w:tcMar>
              <w:left w:w="0" w:type="dxa"/>
              <w:right w:w="0" w:type="dxa"/>
            </w:tcMar>
          </w:tcPr>
          <w:p w:rsidR="00CA103E" w:rsidRDefault="00CA103E" w:rsidP="00C74F2E">
            <w:pPr>
              <w:widowControl w:val="0"/>
              <w:jc w:val="both"/>
              <w:rPr>
                <w:b/>
                <w:sz w:val="20"/>
                <w:szCs w:val="20"/>
                <w:u w:val="single"/>
              </w:rPr>
            </w:pPr>
            <w:r>
              <w:rPr>
                <w:b/>
                <w:sz w:val="20"/>
                <w:szCs w:val="20"/>
                <w:u w:val="single"/>
              </w:rPr>
              <w:t>Judgment:</w:t>
            </w:r>
          </w:p>
          <w:p w:rsidR="00CA103E" w:rsidRPr="00CA103E" w:rsidRDefault="00CA103E" w:rsidP="00C74F2E">
            <w:pPr>
              <w:widowControl w:val="0"/>
              <w:jc w:val="both"/>
              <w:rPr>
                <w:b/>
                <w:sz w:val="16"/>
                <w:szCs w:val="20"/>
                <w:u w:val="single"/>
              </w:rPr>
            </w:pPr>
          </w:p>
          <w:p w:rsidR="00CA103E" w:rsidRPr="00CA103E" w:rsidRDefault="00CA103E" w:rsidP="00CA103E">
            <w:pPr>
              <w:jc w:val="both"/>
              <w:rPr>
                <w:sz w:val="20"/>
              </w:rPr>
            </w:pPr>
            <w:r w:rsidRPr="00CA103E">
              <w:rPr>
                <w:sz w:val="20"/>
              </w:rPr>
              <w:t xml:space="preserve">The appeal from the judgment of the Court of Appeal of Alberta (Calgary), Number 1601-0172-A, 2017 ABCA 380, dated November 15, 2017, was heard on May 15, 2018, and the Court on that day delivered the following judgment orally: </w:t>
            </w:r>
          </w:p>
          <w:p w:rsidR="00CA103E" w:rsidRPr="00CA103E" w:rsidRDefault="00CA103E" w:rsidP="00CA103E">
            <w:pPr>
              <w:jc w:val="both"/>
              <w:rPr>
                <w:sz w:val="20"/>
              </w:rPr>
            </w:pPr>
          </w:p>
          <w:p w:rsidR="00CA103E" w:rsidRPr="00CA103E" w:rsidRDefault="00CA103E" w:rsidP="00CA103E">
            <w:pPr>
              <w:jc w:val="both"/>
              <w:rPr>
                <w:sz w:val="20"/>
              </w:rPr>
            </w:pPr>
          </w:p>
          <w:p w:rsidR="00CA103E" w:rsidRPr="00CA103E" w:rsidRDefault="00CA103E" w:rsidP="00CA103E">
            <w:pPr>
              <w:jc w:val="both"/>
              <w:rPr>
                <w:sz w:val="20"/>
              </w:rPr>
            </w:pPr>
            <w:r w:rsidRPr="00CA103E">
              <w:rPr>
                <w:smallCaps/>
                <w:color w:val="000000" w:themeColor="text1"/>
                <w:sz w:val="20"/>
              </w:rPr>
              <w:t>Moldaver J</w:t>
            </w:r>
            <w:r w:rsidRPr="00CA103E">
              <w:rPr>
                <w:color w:val="000000" w:themeColor="text1"/>
                <w:sz w:val="20"/>
              </w:rPr>
              <w:t xml:space="preserve">. </w:t>
            </w:r>
            <w:r w:rsidRPr="00CA103E">
              <w:rPr>
                <w:rFonts w:cs="Times New Roman"/>
                <w:color w:val="000000" w:themeColor="text1"/>
                <w:sz w:val="20"/>
              </w:rPr>
              <w:t>—</w:t>
            </w:r>
            <w:r w:rsidRPr="00CA103E">
              <w:rPr>
                <w:color w:val="000000" w:themeColor="text1"/>
                <w:sz w:val="20"/>
              </w:rPr>
              <w:t xml:space="preserve"> We are </w:t>
            </w:r>
            <w:r w:rsidRPr="00CA103E">
              <w:rPr>
                <w:sz w:val="20"/>
              </w:rPr>
              <w:t xml:space="preserve">in essential agreement with the reasons of Justice O’Ferrall.  </w:t>
            </w:r>
          </w:p>
          <w:p w:rsidR="00CA103E" w:rsidRPr="00CA103E" w:rsidRDefault="00CA103E" w:rsidP="00CA103E">
            <w:pPr>
              <w:jc w:val="both"/>
              <w:rPr>
                <w:sz w:val="20"/>
              </w:rPr>
            </w:pPr>
          </w:p>
          <w:p w:rsidR="00CA103E" w:rsidRPr="00CA103E" w:rsidRDefault="00CA103E" w:rsidP="00CA103E">
            <w:pPr>
              <w:jc w:val="both"/>
              <w:rPr>
                <w:sz w:val="20"/>
              </w:rPr>
            </w:pPr>
            <w:r w:rsidRPr="00CA103E">
              <w:rPr>
                <w:sz w:val="20"/>
              </w:rPr>
              <w:t xml:space="preserve">In particular, we agree that the learned trial judge conflated the </w:t>
            </w:r>
            <w:r w:rsidRPr="00CA103E">
              <w:rPr>
                <w:i/>
                <w:sz w:val="20"/>
              </w:rPr>
              <w:t>actus reus</w:t>
            </w:r>
            <w:r w:rsidRPr="00CA103E">
              <w:rPr>
                <w:sz w:val="20"/>
              </w:rPr>
              <w:t xml:space="preserve"> and </w:t>
            </w:r>
            <w:r w:rsidRPr="00CA103E">
              <w:rPr>
                <w:i/>
                <w:sz w:val="20"/>
              </w:rPr>
              <w:t>mens rea</w:t>
            </w:r>
            <w:r w:rsidRPr="00CA103E">
              <w:rPr>
                <w:sz w:val="20"/>
              </w:rPr>
              <w:t xml:space="preserve"> of the offence and did not sufficiently explain the concept of marked departure in a way that the jury could understand and apply it.</w:t>
            </w:r>
          </w:p>
          <w:p w:rsidR="00CA103E" w:rsidRPr="00CA103E" w:rsidRDefault="00CA103E" w:rsidP="00CA103E">
            <w:pPr>
              <w:jc w:val="both"/>
              <w:rPr>
                <w:sz w:val="20"/>
              </w:rPr>
            </w:pPr>
          </w:p>
          <w:p w:rsidR="00CA103E" w:rsidRPr="00CC4D84" w:rsidRDefault="00CA103E" w:rsidP="00CA103E">
            <w:pPr>
              <w:widowControl w:val="0"/>
              <w:jc w:val="both"/>
              <w:rPr>
                <w:b/>
                <w:sz w:val="20"/>
                <w:szCs w:val="20"/>
                <w:u w:val="single"/>
              </w:rPr>
            </w:pPr>
            <w:r w:rsidRPr="00CA103E">
              <w:rPr>
                <w:sz w:val="20"/>
              </w:rPr>
              <w:t>Accordingly, we would allow the appeal, quash the conviction and order a new trial.</w:t>
            </w:r>
          </w:p>
        </w:tc>
        <w:tc>
          <w:tcPr>
            <w:tcW w:w="720" w:type="dxa"/>
            <w:tcMar>
              <w:left w:w="0" w:type="dxa"/>
              <w:right w:w="0" w:type="dxa"/>
            </w:tcMar>
          </w:tcPr>
          <w:p w:rsidR="00CA103E" w:rsidRPr="00C1697B" w:rsidRDefault="00CA103E" w:rsidP="00C74F2E">
            <w:pPr>
              <w:widowControl w:val="0"/>
              <w:jc w:val="center"/>
              <w:rPr>
                <w:sz w:val="20"/>
                <w:szCs w:val="20"/>
              </w:rPr>
            </w:pPr>
          </w:p>
        </w:tc>
        <w:tc>
          <w:tcPr>
            <w:tcW w:w="4380" w:type="dxa"/>
            <w:tcMar>
              <w:left w:w="0" w:type="dxa"/>
              <w:right w:w="0" w:type="dxa"/>
            </w:tcMar>
          </w:tcPr>
          <w:p w:rsidR="00CA103E" w:rsidRDefault="00CA103E" w:rsidP="00C74F2E">
            <w:pPr>
              <w:widowControl w:val="0"/>
              <w:jc w:val="both"/>
              <w:rPr>
                <w:b/>
                <w:sz w:val="20"/>
                <w:szCs w:val="20"/>
                <w:u w:val="single"/>
                <w:lang w:val="en-US"/>
              </w:rPr>
            </w:pPr>
            <w:r>
              <w:rPr>
                <w:b/>
                <w:sz w:val="20"/>
                <w:szCs w:val="20"/>
                <w:u w:val="single"/>
                <w:lang w:val="en-US"/>
              </w:rPr>
              <w:t>Jugement:</w:t>
            </w:r>
          </w:p>
          <w:p w:rsidR="00CA103E" w:rsidRDefault="00CA103E" w:rsidP="00C74F2E">
            <w:pPr>
              <w:widowControl w:val="0"/>
              <w:jc w:val="both"/>
              <w:rPr>
                <w:b/>
                <w:sz w:val="20"/>
                <w:szCs w:val="20"/>
                <w:u w:val="single"/>
                <w:lang w:val="en-US"/>
              </w:rPr>
            </w:pPr>
          </w:p>
          <w:p w:rsidR="00CA103E" w:rsidRPr="00CA103E" w:rsidRDefault="00CA103E" w:rsidP="00CA103E">
            <w:pPr>
              <w:jc w:val="both"/>
              <w:rPr>
                <w:sz w:val="20"/>
                <w:lang w:val="fr-CA"/>
              </w:rPr>
            </w:pPr>
            <w:r w:rsidRPr="00CA103E">
              <w:rPr>
                <w:sz w:val="20"/>
                <w:lang w:val="fr-CA"/>
              </w:rPr>
              <w:t xml:space="preserve">L’appel interjeté contre l’arrêt de la </w:t>
            </w:r>
            <w:r w:rsidRPr="00CA103E">
              <w:rPr>
                <w:sz w:val="20"/>
                <w:lang w:val="fr-FR"/>
              </w:rPr>
              <w:t>Cour d’appel de l’Alberta (Calgary)</w:t>
            </w:r>
            <w:r w:rsidRPr="00CA103E">
              <w:rPr>
                <w:sz w:val="20"/>
                <w:lang w:val="fr-CA"/>
              </w:rPr>
              <w:t xml:space="preserve">, numéro </w:t>
            </w:r>
            <w:r w:rsidRPr="00CA103E">
              <w:rPr>
                <w:sz w:val="20"/>
                <w:lang w:val="fr-FR"/>
              </w:rPr>
              <w:t>1601-0172-A, 2017 ABCA 380</w:t>
            </w:r>
            <w:r w:rsidRPr="00CA103E">
              <w:rPr>
                <w:sz w:val="20"/>
                <w:lang w:val="fr-CA"/>
              </w:rPr>
              <w:t xml:space="preserve">, daté du </w:t>
            </w:r>
            <w:r w:rsidRPr="00CA103E">
              <w:rPr>
                <w:sz w:val="20"/>
                <w:lang w:val="fr-FR"/>
              </w:rPr>
              <w:t>15 novembre 2017</w:t>
            </w:r>
            <w:r w:rsidRPr="00CA103E">
              <w:rPr>
                <w:sz w:val="20"/>
                <w:lang w:val="fr-CA"/>
              </w:rPr>
              <w:t xml:space="preserve">, a été entendu le </w:t>
            </w:r>
            <w:r w:rsidRPr="00CA103E">
              <w:rPr>
                <w:sz w:val="20"/>
                <w:lang w:val="fr-FR"/>
              </w:rPr>
              <w:t>15 mai 2018</w:t>
            </w:r>
            <w:r w:rsidRPr="00CA103E">
              <w:rPr>
                <w:sz w:val="20"/>
                <w:lang w:val="fr-CA"/>
              </w:rPr>
              <w:t xml:space="preserve"> et la Cour a prononcé oralement le même jour le jugement suivant:</w:t>
            </w:r>
          </w:p>
          <w:p w:rsidR="00CA103E" w:rsidRPr="00CA103E" w:rsidRDefault="00CA103E" w:rsidP="00CA103E">
            <w:pPr>
              <w:jc w:val="both"/>
              <w:rPr>
                <w:sz w:val="20"/>
                <w:lang w:val="fr-CA"/>
              </w:rPr>
            </w:pPr>
            <w:r w:rsidRPr="00CA103E">
              <w:rPr>
                <w:sz w:val="20"/>
                <w:lang w:val="fr-CA"/>
              </w:rPr>
              <w:tab/>
            </w:r>
          </w:p>
          <w:p w:rsidR="00CA103E" w:rsidRPr="00CA103E" w:rsidRDefault="00CA103E" w:rsidP="00CA103E">
            <w:pPr>
              <w:jc w:val="both"/>
              <w:rPr>
                <w:sz w:val="20"/>
                <w:lang w:val="fr-CA"/>
              </w:rPr>
            </w:pPr>
            <w:r w:rsidRPr="00CA103E">
              <w:rPr>
                <w:sz w:val="20"/>
                <w:lang w:val="fr-CA"/>
              </w:rPr>
              <w:t>[</w:t>
            </w:r>
            <w:r w:rsidRPr="00CA103E">
              <w:rPr>
                <w:smallCaps/>
                <w:sz w:val="20"/>
                <w:lang w:val="fr-CA"/>
              </w:rPr>
              <w:t>traduction</w:t>
            </w:r>
            <w:r w:rsidRPr="00CA103E">
              <w:rPr>
                <w:sz w:val="20"/>
                <w:lang w:val="fr-CA"/>
              </w:rPr>
              <w:t>]</w:t>
            </w:r>
          </w:p>
          <w:p w:rsidR="00CA103E" w:rsidRPr="00CA103E" w:rsidRDefault="00CA103E" w:rsidP="00CA103E">
            <w:pPr>
              <w:jc w:val="both"/>
              <w:rPr>
                <w:color w:val="000000" w:themeColor="text1"/>
                <w:sz w:val="20"/>
                <w:lang w:val="fr-CA"/>
              </w:rPr>
            </w:pPr>
            <w:r w:rsidRPr="00CA103E">
              <w:rPr>
                <w:smallCaps/>
                <w:color w:val="000000" w:themeColor="text1"/>
                <w:sz w:val="20"/>
                <w:lang w:val="fr-CA"/>
              </w:rPr>
              <w:t>Le juge Moldaver</w:t>
            </w:r>
            <w:r w:rsidRPr="00CA103E">
              <w:rPr>
                <w:color w:val="000000" w:themeColor="text1"/>
                <w:sz w:val="20"/>
                <w:lang w:val="fr-CA"/>
              </w:rPr>
              <w:t xml:space="preserve"> </w:t>
            </w:r>
            <w:r w:rsidRPr="00CA103E">
              <w:rPr>
                <w:rFonts w:cs="Times New Roman"/>
                <w:color w:val="000000" w:themeColor="text1"/>
                <w:sz w:val="20"/>
                <w:lang w:val="fr-CA"/>
              </w:rPr>
              <w:t>—</w:t>
            </w:r>
            <w:r w:rsidRPr="00CA103E">
              <w:rPr>
                <w:color w:val="000000" w:themeColor="text1"/>
                <w:sz w:val="20"/>
                <w:lang w:val="fr-CA"/>
              </w:rPr>
              <w:t xml:space="preserve"> Nous faisons nôtres, pour l’essentiel, les motifs du juge O’Ferrall.</w:t>
            </w:r>
          </w:p>
          <w:p w:rsidR="00CA103E" w:rsidRPr="00CA103E" w:rsidRDefault="00CA103E" w:rsidP="00CA103E">
            <w:pPr>
              <w:jc w:val="both"/>
              <w:rPr>
                <w:sz w:val="20"/>
                <w:lang w:val="fr-CA"/>
              </w:rPr>
            </w:pPr>
          </w:p>
          <w:p w:rsidR="00CA103E" w:rsidRPr="00CA103E" w:rsidRDefault="00CA103E" w:rsidP="00CA103E">
            <w:pPr>
              <w:jc w:val="both"/>
              <w:rPr>
                <w:sz w:val="20"/>
                <w:lang w:val="fr-CA"/>
              </w:rPr>
            </w:pPr>
            <w:r w:rsidRPr="00CA103E">
              <w:rPr>
                <w:sz w:val="20"/>
                <w:lang w:val="fr-CA"/>
              </w:rPr>
              <w:t>En particulier, tout comme lui nous estimons que le savant juge du procès a fusionné l’</w:t>
            </w:r>
            <w:r w:rsidRPr="00CA103E">
              <w:rPr>
                <w:i/>
                <w:sz w:val="20"/>
                <w:lang w:val="fr-CA"/>
              </w:rPr>
              <w:t>actus reus</w:t>
            </w:r>
            <w:r w:rsidRPr="00CA103E">
              <w:rPr>
                <w:sz w:val="20"/>
                <w:lang w:val="fr-CA"/>
              </w:rPr>
              <w:t xml:space="preserve"> et la </w:t>
            </w:r>
            <w:r w:rsidRPr="00CA103E">
              <w:rPr>
                <w:i/>
                <w:sz w:val="20"/>
                <w:lang w:val="fr-CA"/>
              </w:rPr>
              <w:t>mens rea</w:t>
            </w:r>
            <w:r w:rsidRPr="00CA103E">
              <w:rPr>
                <w:sz w:val="20"/>
                <w:lang w:val="fr-CA"/>
              </w:rPr>
              <w:t xml:space="preserve"> de l’infraction et n’a pas expliqué le concept d’écart marqué d’une manière suffisante pour permettre au jury de le comprendre et l’appliquer.</w:t>
            </w:r>
          </w:p>
          <w:p w:rsidR="00CA103E" w:rsidRPr="00CA103E" w:rsidRDefault="00CA103E" w:rsidP="00CA103E">
            <w:pPr>
              <w:jc w:val="both"/>
              <w:rPr>
                <w:sz w:val="20"/>
                <w:lang w:val="fr-CA"/>
              </w:rPr>
            </w:pPr>
          </w:p>
          <w:p w:rsidR="00CA103E" w:rsidRPr="00CA103E" w:rsidRDefault="00CA103E" w:rsidP="00CA103E">
            <w:pPr>
              <w:widowControl w:val="0"/>
              <w:jc w:val="both"/>
              <w:rPr>
                <w:b/>
                <w:sz w:val="20"/>
                <w:szCs w:val="20"/>
                <w:u w:val="single"/>
                <w:lang w:val="fr-CA"/>
              </w:rPr>
            </w:pPr>
            <w:r w:rsidRPr="00CA103E">
              <w:rPr>
                <w:sz w:val="20"/>
                <w:lang w:val="fr-CA"/>
              </w:rPr>
              <w:t>Par conséquent, nous sommes d’avis d’accueillir le pourvoi, d’annuler la déclaration de culpabilité et d’ordonner la tenue d’un nouveau procès</w:t>
            </w:r>
            <w:r>
              <w:rPr>
                <w:lang w:val="fr-CA"/>
              </w:rPr>
              <w:t>.</w:t>
            </w:r>
          </w:p>
        </w:tc>
      </w:tr>
    </w:tbl>
    <w:p w:rsidR="0069282D" w:rsidRDefault="0069282D">
      <w:r>
        <w:br w:type="page"/>
      </w: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A45F5" w:rsidRPr="00FE4582" w:rsidTr="00C74F2E">
        <w:tc>
          <w:tcPr>
            <w:tcW w:w="4380" w:type="dxa"/>
            <w:tcMar>
              <w:left w:w="0" w:type="dxa"/>
              <w:right w:w="0" w:type="dxa"/>
            </w:tcMar>
          </w:tcPr>
          <w:p w:rsidR="00CA45F5" w:rsidRPr="00CC4D84" w:rsidRDefault="00CA45F5" w:rsidP="00C74F2E">
            <w:pPr>
              <w:widowControl w:val="0"/>
              <w:jc w:val="both"/>
              <w:rPr>
                <w:b/>
                <w:sz w:val="20"/>
                <w:szCs w:val="20"/>
                <w:u w:val="single"/>
              </w:rPr>
            </w:pPr>
            <w:r w:rsidRPr="00CC4D84">
              <w:rPr>
                <w:b/>
                <w:sz w:val="20"/>
                <w:szCs w:val="20"/>
                <w:u w:val="single"/>
              </w:rPr>
              <w:lastRenderedPageBreak/>
              <w:t>Nature of the case:</w:t>
            </w:r>
          </w:p>
          <w:p w:rsidR="00CA45F5" w:rsidRPr="00C1697B" w:rsidRDefault="00CA45F5" w:rsidP="00C74F2E">
            <w:pPr>
              <w:widowControl w:val="0"/>
              <w:jc w:val="both"/>
              <w:rPr>
                <w:b/>
                <w:sz w:val="20"/>
                <w:szCs w:val="20"/>
              </w:rPr>
            </w:pPr>
          </w:p>
          <w:p w:rsidR="00CA45F5" w:rsidRPr="00C1697B" w:rsidRDefault="00CA45F5" w:rsidP="00C74F2E">
            <w:pPr>
              <w:widowControl w:val="0"/>
              <w:jc w:val="both"/>
              <w:rPr>
                <w:b/>
                <w:sz w:val="20"/>
                <w:szCs w:val="20"/>
              </w:rPr>
            </w:pPr>
            <w:r w:rsidRPr="00F10242">
              <w:rPr>
                <w:sz w:val="20"/>
                <w:szCs w:val="20"/>
              </w:rPr>
              <w:t>Official languages - Federal court - Official Languages - Federal Courts - Language rights of witnesses and counsels - Whether the Federal Court of Appeal erred in holding that language rights had been violated - Was the Tax Court obligated to adjourn the proceedings for translators under s. 15 of the Official Languages Act the moment that any witness or counsel for the respondent expressed some unease with the use of the English language - Official Languages Act, R.S.C. 1985, c. 31, ss. 14 and 15.</w:t>
            </w:r>
          </w:p>
        </w:tc>
        <w:tc>
          <w:tcPr>
            <w:tcW w:w="720" w:type="dxa"/>
            <w:tcMar>
              <w:left w:w="0" w:type="dxa"/>
              <w:right w:w="0" w:type="dxa"/>
            </w:tcMar>
          </w:tcPr>
          <w:p w:rsidR="00CA45F5" w:rsidRPr="00C1697B" w:rsidRDefault="00CA45F5" w:rsidP="00C74F2E">
            <w:pPr>
              <w:widowControl w:val="0"/>
              <w:jc w:val="center"/>
              <w:rPr>
                <w:sz w:val="20"/>
                <w:szCs w:val="20"/>
              </w:rPr>
            </w:pPr>
          </w:p>
        </w:tc>
        <w:tc>
          <w:tcPr>
            <w:tcW w:w="4380" w:type="dxa"/>
            <w:tcMar>
              <w:left w:w="0" w:type="dxa"/>
              <w:right w:w="0" w:type="dxa"/>
            </w:tcMar>
          </w:tcPr>
          <w:p w:rsidR="00CA45F5" w:rsidRPr="00CC4D84" w:rsidRDefault="00CA45F5" w:rsidP="00C74F2E">
            <w:pPr>
              <w:widowControl w:val="0"/>
              <w:jc w:val="both"/>
              <w:rPr>
                <w:b/>
                <w:sz w:val="20"/>
                <w:szCs w:val="20"/>
                <w:u w:val="single"/>
                <w:lang w:val="fr-CA"/>
              </w:rPr>
            </w:pPr>
            <w:r w:rsidRPr="00CC4D84">
              <w:rPr>
                <w:b/>
                <w:sz w:val="20"/>
                <w:szCs w:val="20"/>
                <w:u w:val="single"/>
                <w:lang w:val="fr-CA"/>
              </w:rPr>
              <w:t>Nature de la cause :</w:t>
            </w:r>
          </w:p>
          <w:p w:rsidR="00CA45F5" w:rsidRPr="00C1697B" w:rsidRDefault="00CA45F5" w:rsidP="00C74F2E">
            <w:pPr>
              <w:widowControl w:val="0"/>
              <w:jc w:val="both"/>
              <w:rPr>
                <w:sz w:val="20"/>
                <w:szCs w:val="20"/>
                <w:lang w:val="fr-CA"/>
              </w:rPr>
            </w:pPr>
          </w:p>
          <w:p w:rsidR="00CA45F5" w:rsidRPr="00F10242" w:rsidRDefault="00CA45F5" w:rsidP="00C74F2E">
            <w:pPr>
              <w:widowControl w:val="0"/>
              <w:jc w:val="both"/>
              <w:rPr>
                <w:sz w:val="20"/>
                <w:szCs w:val="20"/>
                <w:lang w:val="fr-CA"/>
              </w:rPr>
            </w:pPr>
            <w:r w:rsidRPr="00F10242">
              <w:rPr>
                <w:sz w:val="20"/>
                <w:szCs w:val="20"/>
                <w:lang w:val="fr-CA"/>
              </w:rPr>
              <w:t>Langues officielles - Cour fédérale - Langues officielles - Cours fédérales - Droits linguistiques des témoins et des avocats - La Cour d’appel fédérale a-t-elle fait erreur en concluant qu’il y avait eu violation des droits linguistiques? - La Cour de l’impôt était-elle tenue d’ajourner l’audience pour recourir aux services d’un interprète conformément à l’art. 15 de la Loi sur les langues officielles dès qu’un témoin ou l’avocat de l’intimée dit avoir un peu de difficulté à s’exprimer en anglais? - Loi sur les langues officielles, L.R.C. 1985, c. 31, art. 14 et 15.</w:t>
            </w:r>
          </w:p>
        </w:tc>
      </w:tr>
    </w:tbl>
    <w:p w:rsidR="00CA45F5" w:rsidRDefault="00CA45F5" w:rsidP="00CA45F5">
      <w:pPr>
        <w:widowControl w:val="0"/>
        <w:rPr>
          <w:sz w:val="20"/>
          <w:szCs w:val="20"/>
          <w:lang w:val="fr-CA"/>
        </w:rPr>
      </w:pPr>
    </w:p>
    <w:p w:rsidR="00CA45F5" w:rsidRDefault="00FE4582" w:rsidP="00CA45F5">
      <w:pPr>
        <w:widowControl w:val="0"/>
        <w:rPr>
          <w:sz w:val="20"/>
          <w:szCs w:val="20"/>
          <w:lang w:val="fr-CA"/>
        </w:rPr>
      </w:pPr>
      <w:r>
        <w:rPr>
          <w:sz w:val="20"/>
          <w:szCs w:val="20"/>
          <w:lang w:val="fr-CA"/>
        </w:rPr>
        <w:pict>
          <v:rect id="_x0000_i1064" style="width:2in;height:1pt" o:hrpct="0" o:hralign="center" o:hrstd="t" o:hrnoshade="t" o:hr="t" fillcolor="black [3213]" stroked="f"/>
        </w:pict>
      </w:r>
    </w:p>
    <w:p w:rsidR="002317B9" w:rsidRDefault="00CA45F5">
      <w:pPr>
        <w:rPr>
          <w:sz w:val="20"/>
          <w:szCs w:val="20"/>
          <w:lang w:val="fr-CA"/>
        </w:rPr>
      </w:pPr>
      <w:r>
        <w:rPr>
          <w:sz w:val="20"/>
          <w:szCs w:val="20"/>
          <w:lang w:val="fr-CA"/>
        </w:rPr>
        <w:br w:type="page"/>
      </w:r>
    </w:p>
    <w:p w:rsidR="002317B9" w:rsidRPr="00C50A5C" w:rsidRDefault="002317B9" w:rsidP="002317B9">
      <w:pPr>
        <w:widowControl w:val="0"/>
        <w:rPr>
          <w:sz w:val="20"/>
          <w:szCs w:val="20"/>
        </w:rPr>
      </w:pPr>
      <w:r>
        <w:rPr>
          <w:sz w:val="20"/>
          <w:szCs w:val="20"/>
        </w:rPr>
        <w:lastRenderedPageBreak/>
        <w:t>17</w:t>
      </w:r>
      <w:r w:rsidRPr="00C50A5C">
        <w:rPr>
          <w:sz w:val="20"/>
          <w:szCs w:val="20"/>
        </w:rPr>
        <w:t>.0</w:t>
      </w:r>
      <w:r>
        <w:rPr>
          <w:sz w:val="20"/>
          <w:szCs w:val="20"/>
        </w:rPr>
        <w:t>5</w:t>
      </w:r>
      <w:r w:rsidRPr="00C50A5C">
        <w:rPr>
          <w:sz w:val="20"/>
          <w:szCs w:val="20"/>
        </w:rPr>
        <w:t>.201</w:t>
      </w:r>
      <w:r>
        <w:rPr>
          <w:sz w:val="20"/>
          <w:szCs w:val="20"/>
        </w:rPr>
        <w:t>7</w:t>
      </w:r>
    </w:p>
    <w:p w:rsidR="002317B9" w:rsidRPr="00C50A5C" w:rsidRDefault="002317B9" w:rsidP="002317B9">
      <w:pPr>
        <w:widowControl w:val="0"/>
        <w:rPr>
          <w:sz w:val="20"/>
          <w:szCs w:val="20"/>
        </w:rPr>
      </w:pPr>
    </w:p>
    <w:p w:rsidR="002317B9" w:rsidRDefault="002317B9" w:rsidP="002317B9">
      <w:pPr>
        <w:widowControl w:val="0"/>
        <w:ind w:left="720" w:hanging="720"/>
        <w:rPr>
          <w:sz w:val="20"/>
          <w:szCs w:val="20"/>
        </w:rPr>
      </w:pPr>
      <w:r w:rsidRPr="00C50A5C">
        <w:rPr>
          <w:sz w:val="20"/>
          <w:szCs w:val="20"/>
        </w:rPr>
        <w:t xml:space="preserve">Coram: </w:t>
      </w:r>
      <w:r w:rsidRPr="00C50A5C">
        <w:rPr>
          <w:sz w:val="20"/>
          <w:szCs w:val="20"/>
        </w:rPr>
        <w:tab/>
      </w:r>
      <w:r>
        <w:rPr>
          <w:sz w:val="20"/>
          <w:szCs w:val="20"/>
          <w:u w:val="single"/>
        </w:rPr>
        <w:t xml:space="preserve">Wagner C.J. and Abella, Moldaver, Karakatsanis, Gascon, Côté, Brown, Rowe and Martin </w:t>
      </w:r>
      <w:r w:rsidRPr="00C50A5C">
        <w:rPr>
          <w:sz w:val="20"/>
          <w:szCs w:val="20"/>
          <w:u w:val="single"/>
        </w:rPr>
        <w:t>JJ.</w:t>
      </w:r>
      <w:r w:rsidRPr="00C50A5C">
        <w:rPr>
          <w:sz w:val="20"/>
          <w:szCs w:val="20"/>
        </w:rPr>
        <w:t xml:space="preserve"> </w:t>
      </w:r>
    </w:p>
    <w:p w:rsidR="002317B9" w:rsidRPr="00C50A5C" w:rsidRDefault="002317B9" w:rsidP="002317B9">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317B9" w:rsidRPr="002317B9" w:rsidTr="00C74F2E">
        <w:tc>
          <w:tcPr>
            <w:tcW w:w="4380" w:type="dxa"/>
            <w:tcMar>
              <w:left w:w="0" w:type="dxa"/>
              <w:right w:w="0" w:type="dxa"/>
            </w:tcMar>
          </w:tcPr>
          <w:p w:rsidR="002317B9" w:rsidRPr="00C50A5C" w:rsidRDefault="002317B9" w:rsidP="00C74F2E">
            <w:pPr>
              <w:widowControl w:val="0"/>
              <w:jc w:val="both"/>
              <w:rPr>
                <w:b/>
                <w:sz w:val="20"/>
                <w:szCs w:val="20"/>
              </w:rPr>
            </w:pPr>
            <w:r>
              <w:rPr>
                <w:b/>
                <w:sz w:val="20"/>
                <w:szCs w:val="20"/>
              </w:rPr>
              <w:t>Thomas Reeves</w:t>
            </w:r>
          </w:p>
          <w:p w:rsidR="002317B9" w:rsidRPr="00C50A5C" w:rsidRDefault="002317B9" w:rsidP="00C74F2E">
            <w:pPr>
              <w:widowControl w:val="0"/>
              <w:jc w:val="both"/>
              <w:rPr>
                <w:b/>
                <w:sz w:val="20"/>
                <w:szCs w:val="20"/>
              </w:rPr>
            </w:pPr>
          </w:p>
          <w:p w:rsidR="002317B9" w:rsidRPr="00C50A5C" w:rsidRDefault="002317B9" w:rsidP="00C74F2E">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61" w:history="1">
              <w:r>
                <w:rPr>
                  <w:rStyle w:val="Hyperlink"/>
                  <w:sz w:val="20"/>
                  <w:szCs w:val="20"/>
                </w:rPr>
                <w:t>37676</w:t>
              </w:r>
            </w:hyperlink>
            <w:r w:rsidRPr="00765D4A">
              <w:rPr>
                <w:sz w:val="20"/>
                <w:szCs w:val="20"/>
              </w:rPr>
              <w:t>)</w:t>
            </w:r>
          </w:p>
          <w:p w:rsidR="002317B9" w:rsidRPr="00C50A5C" w:rsidRDefault="002317B9" w:rsidP="00C74F2E">
            <w:pPr>
              <w:widowControl w:val="0"/>
              <w:jc w:val="both"/>
              <w:rPr>
                <w:b/>
                <w:sz w:val="20"/>
                <w:szCs w:val="20"/>
              </w:rPr>
            </w:pPr>
          </w:p>
          <w:p w:rsidR="002317B9" w:rsidRPr="00F10242" w:rsidRDefault="002317B9" w:rsidP="002317B9">
            <w:pPr>
              <w:widowControl w:val="0"/>
              <w:jc w:val="both"/>
              <w:rPr>
                <w:b/>
                <w:sz w:val="20"/>
                <w:szCs w:val="20"/>
              </w:rPr>
            </w:pPr>
            <w:r>
              <w:rPr>
                <w:b/>
                <w:sz w:val="20"/>
                <w:szCs w:val="20"/>
              </w:rPr>
              <w:t>Her Majesty the Queen</w:t>
            </w:r>
            <w:r w:rsidRPr="00072C86">
              <w:rPr>
                <w:b/>
                <w:sz w:val="20"/>
                <w:szCs w:val="20"/>
              </w:rPr>
              <w:t xml:space="preserve"> (</w:t>
            </w:r>
            <w:r>
              <w:rPr>
                <w:b/>
                <w:sz w:val="20"/>
                <w:szCs w:val="20"/>
              </w:rPr>
              <w:t>Ont.</w:t>
            </w:r>
            <w:r w:rsidRPr="00072C86">
              <w:rPr>
                <w:b/>
                <w:sz w:val="20"/>
                <w:szCs w:val="20"/>
              </w:rPr>
              <w:t xml:space="preserve">) </w:t>
            </w:r>
            <w:r w:rsidRPr="00C50A5C">
              <w:rPr>
                <w:b/>
                <w:sz w:val="20"/>
                <w:szCs w:val="20"/>
              </w:rPr>
              <w:t>(</w:t>
            </w:r>
            <w:r>
              <w:rPr>
                <w:b/>
                <w:sz w:val="20"/>
                <w:szCs w:val="20"/>
              </w:rPr>
              <w:t>Criminal)</w:t>
            </w:r>
            <w:r w:rsidRPr="00C50A5C">
              <w:rPr>
                <w:b/>
                <w:sz w:val="20"/>
                <w:szCs w:val="20"/>
              </w:rPr>
              <w:t xml:space="preserve"> (</w:t>
            </w:r>
            <w:r>
              <w:rPr>
                <w:b/>
                <w:sz w:val="20"/>
                <w:szCs w:val="20"/>
              </w:rPr>
              <w:t>By Leave</w:t>
            </w:r>
            <w:r w:rsidRPr="00C50A5C">
              <w:rPr>
                <w:b/>
                <w:sz w:val="20"/>
                <w:szCs w:val="20"/>
              </w:rPr>
              <w:t>)</w:t>
            </w:r>
          </w:p>
        </w:tc>
        <w:tc>
          <w:tcPr>
            <w:tcW w:w="720" w:type="dxa"/>
            <w:tcMar>
              <w:left w:w="0" w:type="dxa"/>
              <w:right w:w="0" w:type="dxa"/>
            </w:tcMar>
          </w:tcPr>
          <w:p w:rsidR="002317B9" w:rsidRPr="00F10242" w:rsidRDefault="002317B9" w:rsidP="00C74F2E">
            <w:pPr>
              <w:widowControl w:val="0"/>
              <w:jc w:val="center"/>
              <w:rPr>
                <w:sz w:val="20"/>
                <w:szCs w:val="20"/>
              </w:rPr>
            </w:pPr>
          </w:p>
        </w:tc>
        <w:tc>
          <w:tcPr>
            <w:tcW w:w="4380" w:type="dxa"/>
            <w:tcMar>
              <w:left w:w="0" w:type="dxa"/>
              <w:right w:w="0" w:type="dxa"/>
            </w:tcMar>
          </w:tcPr>
          <w:p w:rsidR="002317B9" w:rsidRPr="002317B9" w:rsidRDefault="002317B9" w:rsidP="002317B9">
            <w:pPr>
              <w:widowControl w:val="0"/>
              <w:jc w:val="both"/>
              <w:rPr>
                <w:sz w:val="20"/>
                <w:szCs w:val="20"/>
                <w:lang w:val="en-US"/>
              </w:rPr>
            </w:pPr>
            <w:r w:rsidRPr="002317B9">
              <w:rPr>
                <w:sz w:val="20"/>
                <w:szCs w:val="20"/>
                <w:lang w:val="en-US"/>
              </w:rPr>
              <w:t>Brad Greenshields and Julianna Greenspan for the Appellant Thomas Reeves</w:t>
            </w:r>
          </w:p>
          <w:p w:rsidR="002317B9" w:rsidRPr="002317B9" w:rsidRDefault="002317B9" w:rsidP="002317B9">
            <w:pPr>
              <w:widowControl w:val="0"/>
              <w:jc w:val="both"/>
              <w:rPr>
                <w:sz w:val="20"/>
                <w:szCs w:val="20"/>
                <w:lang w:val="en-US"/>
              </w:rPr>
            </w:pPr>
          </w:p>
          <w:p w:rsidR="002317B9" w:rsidRPr="002317B9" w:rsidRDefault="002317B9" w:rsidP="002317B9">
            <w:pPr>
              <w:widowControl w:val="0"/>
              <w:jc w:val="both"/>
              <w:rPr>
                <w:sz w:val="20"/>
                <w:szCs w:val="20"/>
                <w:lang w:val="en-US"/>
              </w:rPr>
            </w:pPr>
            <w:r w:rsidRPr="002317B9">
              <w:rPr>
                <w:sz w:val="20"/>
                <w:szCs w:val="20"/>
                <w:lang w:val="en-US"/>
              </w:rPr>
              <w:t>Michael Lacy and Bryan Badali for the Intervener Criminal Lawyers’ Association (Ontario).</w:t>
            </w:r>
          </w:p>
          <w:p w:rsidR="002317B9" w:rsidRPr="002317B9" w:rsidRDefault="002317B9" w:rsidP="002317B9">
            <w:pPr>
              <w:widowControl w:val="0"/>
              <w:ind w:firstLine="720"/>
              <w:jc w:val="both"/>
              <w:rPr>
                <w:sz w:val="20"/>
                <w:szCs w:val="20"/>
                <w:lang w:val="en-US"/>
              </w:rPr>
            </w:pPr>
          </w:p>
          <w:p w:rsidR="002317B9" w:rsidRPr="002317B9" w:rsidRDefault="002317B9" w:rsidP="002317B9">
            <w:pPr>
              <w:widowControl w:val="0"/>
              <w:jc w:val="both"/>
              <w:rPr>
                <w:sz w:val="20"/>
                <w:szCs w:val="20"/>
                <w:lang w:val="en-US"/>
              </w:rPr>
            </w:pPr>
            <w:r w:rsidRPr="002317B9">
              <w:rPr>
                <w:sz w:val="20"/>
                <w:szCs w:val="20"/>
                <w:lang w:val="en-US"/>
              </w:rPr>
              <w:t>Jill R. Presser and Kate Robertson for the Intervener Samuelson-Glushko Canadian Internet Policy and Public Interest Clinic.</w:t>
            </w:r>
          </w:p>
          <w:p w:rsidR="002317B9" w:rsidRPr="002317B9" w:rsidRDefault="002317B9" w:rsidP="002317B9">
            <w:pPr>
              <w:widowControl w:val="0"/>
              <w:jc w:val="both"/>
              <w:rPr>
                <w:sz w:val="20"/>
                <w:szCs w:val="20"/>
                <w:lang w:val="en-US"/>
              </w:rPr>
            </w:pPr>
          </w:p>
          <w:p w:rsidR="002317B9" w:rsidRPr="002317B9" w:rsidRDefault="002317B9" w:rsidP="002317B9">
            <w:pPr>
              <w:widowControl w:val="0"/>
              <w:jc w:val="both"/>
              <w:rPr>
                <w:sz w:val="20"/>
                <w:szCs w:val="20"/>
                <w:lang w:val="en-US"/>
              </w:rPr>
            </w:pPr>
            <w:r w:rsidRPr="002317B9">
              <w:rPr>
                <w:sz w:val="20"/>
                <w:szCs w:val="20"/>
                <w:lang w:val="en-US"/>
              </w:rPr>
              <w:t>Frank Au, Michelle Campbell and Randy Schwartz for the Respondent Her Majesty the Queen.</w:t>
            </w:r>
          </w:p>
          <w:p w:rsidR="002317B9" w:rsidRPr="002317B9" w:rsidRDefault="002317B9" w:rsidP="002317B9">
            <w:pPr>
              <w:widowControl w:val="0"/>
              <w:jc w:val="both"/>
              <w:rPr>
                <w:sz w:val="20"/>
                <w:szCs w:val="20"/>
                <w:lang w:val="en-US"/>
              </w:rPr>
            </w:pPr>
          </w:p>
          <w:p w:rsidR="002317B9" w:rsidRPr="002317B9" w:rsidRDefault="002317B9" w:rsidP="002317B9">
            <w:pPr>
              <w:widowControl w:val="0"/>
              <w:jc w:val="both"/>
              <w:rPr>
                <w:sz w:val="20"/>
                <w:szCs w:val="20"/>
                <w:lang w:val="en-US"/>
              </w:rPr>
            </w:pPr>
            <w:r w:rsidRPr="002317B9">
              <w:rPr>
                <w:sz w:val="20"/>
                <w:szCs w:val="20"/>
                <w:lang w:val="en-US"/>
              </w:rPr>
              <w:t>James C. Martin</w:t>
            </w:r>
            <w:r w:rsidRPr="002317B9">
              <w:rPr>
                <w:sz w:val="20"/>
                <w:szCs w:val="20"/>
                <w:lang w:val="en-US"/>
              </w:rPr>
              <w:tab/>
              <w:t xml:space="preserve"> and Eric Marcoux for the Intervener Director of Public Prosecutions of Canada.</w:t>
            </w:r>
          </w:p>
          <w:p w:rsidR="002317B9" w:rsidRPr="002317B9" w:rsidRDefault="002317B9" w:rsidP="002317B9">
            <w:pPr>
              <w:widowControl w:val="0"/>
              <w:jc w:val="both"/>
              <w:rPr>
                <w:sz w:val="20"/>
                <w:szCs w:val="20"/>
                <w:lang w:val="en-US"/>
              </w:rPr>
            </w:pPr>
          </w:p>
          <w:p w:rsidR="002317B9" w:rsidRPr="002317B9" w:rsidRDefault="002317B9" w:rsidP="002317B9">
            <w:pPr>
              <w:widowControl w:val="0"/>
              <w:jc w:val="both"/>
              <w:rPr>
                <w:sz w:val="20"/>
                <w:szCs w:val="20"/>
                <w:lang w:val="fr-CA"/>
              </w:rPr>
            </w:pPr>
            <w:r w:rsidRPr="002317B9">
              <w:rPr>
                <w:sz w:val="20"/>
                <w:szCs w:val="20"/>
                <w:lang w:val="fr-CA"/>
              </w:rPr>
              <w:t>Ann Ellefsen-Tremblay et Nicolas Abran pour l’intervenant Directeur des poursuites criminelles et pénales.</w:t>
            </w:r>
          </w:p>
          <w:p w:rsidR="002317B9" w:rsidRPr="002317B9" w:rsidRDefault="002317B9" w:rsidP="002317B9">
            <w:pPr>
              <w:widowControl w:val="0"/>
              <w:jc w:val="both"/>
              <w:rPr>
                <w:sz w:val="20"/>
                <w:szCs w:val="20"/>
                <w:lang w:val="fr-CA"/>
              </w:rPr>
            </w:pPr>
          </w:p>
          <w:p w:rsidR="002317B9" w:rsidRPr="002317B9" w:rsidRDefault="002317B9" w:rsidP="002317B9">
            <w:pPr>
              <w:widowControl w:val="0"/>
              <w:jc w:val="both"/>
              <w:rPr>
                <w:sz w:val="20"/>
                <w:szCs w:val="20"/>
                <w:lang w:val="en-US"/>
              </w:rPr>
            </w:pPr>
            <w:r w:rsidRPr="002317B9">
              <w:rPr>
                <w:sz w:val="20"/>
                <w:szCs w:val="20"/>
                <w:lang w:val="en-US"/>
              </w:rPr>
              <w:t>Daniel M. Scanlan for the Intervener Attorney General of British Columbia.</w:t>
            </w:r>
          </w:p>
        </w:tc>
      </w:tr>
    </w:tbl>
    <w:p w:rsidR="002317B9" w:rsidRPr="002317B9" w:rsidRDefault="002317B9" w:rsidP="002317B9">
      <w:pPr>
        <w:widowControl w:val="0"/>
        <w:rPr>
          <w:lang w:val="en-US"/>
        </w:rPr>
      </w:pPr>
    </w:p>
    <w:p w:rsidR="002317B9" w:rsidRPr="0085476B" w:rsidRDefault="002317B9" w:rsidP="002317B9">
      <w:pPr>
        <w:widowControl w:val="0"/>
        <w:rPr>
          <w:sz w:val="20"/>
          <w:szCs w:val="20"/>
        </w:rPr>
      </w:pPr>
      <w:r>
        <w:rPr>
          <w:b/>
          <w:sz w:val="20"/>
          <w:szCs w:val="20"/>
        </w:rPr>
        <w:t>RESERV</w:t>
      </w:r>
      <w:r w:rsidRPr="0085476B">
        <w:rPr>
          <w:b/>
          <w:sz w:val="20"/>
          <w:szCs w:val="20"/>
        </w:rPr>
        <w:t xml:space="preserve">ED / </w:t>
      </w:r>
      <w:r w:rsidRPr="006856D3">
        <w:rPr>
          <w:b/>
          <w:sz w:val="20"/>
          <w:szCs w:val="20"/>
          <w:lang w:val="en-US"/>
        </w:rPr>
        <w:t>EN DÉLIBÉRÉ</w:t>
      </w:r>
    </w:p>
    <w:p w:rsidR="002317B9" w:rsidRPr="005E31A3" w:rsidRDefault="002317B9" w:rsidP="002317B9">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2317B9" w:rsidRPr="00C15495" w:rsidTr="00C74F2E">
        <w:tc>
          <w:tcPr>
            <w:tcW w:w="4380" w:type="dxa"/>
            <w:tcMar>
              <w:left w:w="0" w:type="dxa"/>
              <w:right w:w="0" w:type="dxa"/>
            </w:tcMar>
          </w:tcPr>
          <w:p w:rsidR="002317B9" w:rsidRPr="00CC4D84" w:rsidRDefault="002317B9" w:rsidP="00C74F2E">
            <w:pPr>
              <w:widowControl w:val="0"/>
              <w:jc w:val="both"/>
              <w:rPr>
                <w:b/>
                <w:sz w:val="20"/>
                <w:szCs w:val="20"/>
                <w:u w:val="single"/>
              </w:rPr>
            </w:pPr>
            <w:r w:rsidRPr="00CC4D84">
              <w:rPr>
                <w:b/>
                <w:sz w:val="20"/>
                <w:szCs w:val="20"/>
                <w:u w:val="single"/>
              </w:rPr>
              <w:t>Nature of the case:</w:t>
            </w:r>
          </w:p>
          <w:p w:rsidR="002317B9" w:rsidRPr="00C1697B" w:rsidRDefault="002317B9" w:rsidP="00C74F2E">
            <w:pPr>
              <w:widowControl w:val="0"/>
              <w:jc w:val="both"/>
              <w:rPr>
                <w:b/>
                <w:sz w:val="20"/>
                <w:szCs w:val="20"/>
              </w:rPr>
            </w:pPr>
          </w:p>
          <w:p w:rsidR="002317B9" w:rsidRPr="00C1697B" w:rsidRDefault="002317B9" w:rsidP="00C74F2E">
            <w:pPr>
              <w:widowControl w:val="0"/>
              <w:jc w:val="both"/>
              <w:rPr>
                <w:b/>
                <w:sz w:val="20"/>
                <w:szCs w:val="20"/>
              </w:rPr>
            </w:pPr>
            <w:r w:rsidRPr="002317B9">
              <w:rPr>
                <w:sz w:val="20"/>
                <w:szCs w:val="20"/>
              </w:rPr>
              <w:t>Canadian charter (Criminal) - Criminal law, Search and seizure (s. 8) - Charter of Rights – Criminal law – Search and seizure – Consent – Where a person shares a home and its contents with others, can the state rely upon the consent of a third-party co-resident to justify a warrantless search and seizure under s. 8 of the Charter as against the person whose consent has not been obtained – Whether a person’s reasonable expectation of privacy under s. 8 of the Charter includes a “risk analysis” of whether the person should reasonably expect that a third party with whom he or she shares a home may become adverse to his or her interests and consent to police entry to seize property from the home, and that it would be open to agents of the state to do so without prior judicial authorization, or any other legal authority – Canadian Charter of Rights and Freedoms, s. 8.</w:t>
            </w:r>
          </w:p>
        </w:tc>
        <w:tc>
          <w:tcPr>
            <w:tcW w:w="720" w:type="dxa"/>
            <w:tcMar>
              <w:left w:w="0" w:type="dxa"/>
              <w:right w:w="0" w:type="dxa"/>
            </w:tcMar>
          </w:tcPr>
          <w:p w:rsidR="002317B9" w:rsidRPr="00C1697B" w:rsidRDefault="002317B9" w:rsidP="00C74F2E">
            <w:pPr>
              <w:widowControl w:val="0"/>
              <w:jc w:val="center"/>
              <w:rPr>
                <w:sz w:val="20"/>
                <w:szCs w:val="20"/>
              </w:rPr>
            </w:pPr>
          </w:p>
        </w:tc>
        <w:tc>
          <w:tcPr>
            <w:tcW w:w="4380" w:type="dxa"/>
            <w:tcMar>
              <w:left w:w="0" w:type="dxa"/>
              <w:right w:w="0" w:type="dxa"/>
            </w:tcMar>
          </w:tcPr>
          <w:p w:rsidR="002317B9" w:rsidRPr="00CC4D84" w:rsidRDefault="002317B9" w:rsidP="00C74F2E">
            <w:pPr>
              <w:widowControl w:val="0"/>
              <w:jc w:val="both"/>
              <w:rPr>
                <w:b/>
                <w:sz w:val="20"/>
                <w:szCs w:val="20"/>
                <w:u w:val="single"/>
                <w:lang w:val="fr-CA"/>
              </w:rPr>
            </w:pPr>
            <w:r w:rsidRPr="00CC4D84">
              <w:rPr>
                <w:b/>
                <w:sz w:val="20"/>
                <w:szCs w:val="20"/>
                <w:u w:val="single"/>
                <w:lang w:val="fr-CA"/>
              </w:rPr>
              <w:t>Nature de la cause :</w:t>
            </w:r>
          </w:p>
          <w:p w:rsidR="002317B9" w:rsidRPr="00C1697B" w:rsidRDefault="002317B9" w:rsidP="00C74F2E">
            <w:pPr>
              <w:widowControl w:val="0"/>
              <w:jc w:val="both"/>
              <w:rPr>
                <w:sz w:val="20"/>
                <w:szCs w:val="20"/>
                <w:lang w:val="fr-CA"/>
              </w:rPr>
            </w:pPr>
          </w:p>
          <w:p w:rsidR="002317B9" w:rsidRPr="00F10242" w:rsidRDefault="002317B9" w:rsidP="00F82568">
            <w:pPr>
              <w:widowControl w:val="0"/>
              <w:jc w:val="both"/>
              <w:rPr>
                <w:sz w:val="20"/>
                <w:szCs w:val="20"/>
                <w:lang w:val="fr-CA"/>
              </w:rPr>
            </w:pPr>
            <w:r w:rsidRPr="002317B9">
              <w:rPr>
                <w:sz w:val="20"/>
                <w:szCs w:val="20"/>
                <w:lang w:val="fr-CA"/>
              </w:rPr>
              <w:t>Charte canadienne (Criminel) - Droit criminel, Fouilles, perquisitions et saisies (art. 8) - Charte des droits – Droit criminel – Fouilles, perquisitions et saisies – Consentement – Lorsqu’une personne partage une demeure et son contenu avec d’autres, l’État peut-il s’appuyer sur le consentement d’un co-résident tiers pour justifier une perquisition et une fouille sans mandat au regard de l’art. 8 de la Charte à l’encontre de la personne dont le consentement n’a pas été obtenu? – L’attente raisonnable d’une personne en matière de protection de la vie privée au regard de l’art. 8 de la Charte comprend-elle une « analyse fondée sur risque » de la question de savoir si la personne doit raisonnablement s’attendre à ce qu’un tiers avec qui elle partage une demeure peut avoir des intérêts contraires aux siens et consentir à ce que des policiers entrent dans la demeure pour y saisir des biens et qu’il serait loisible à des mandataires de l’État de le faire sans autorisation judiciaire préalable ou quelque autre pouvoir légal que ce soit? – Charte canadienne des droits et libertés, art. 8.</w:t>
            </w:r>
          </w:p>
        </w:tc>
      </w:tr>
    </w:tbl>
    <w:p w:rsidR="002317B9" w:rsidRDefault="002317B9" w:rsidP="002317B9">
      <w:pPr>
        <w:widowControl w:val="0"/>
        <w:rPr>
          <w:sz w:val="20"/>
          <w:szCs w:val="20"/>
          <w:lang w:val="fr-CA"/>
        </w:rPr>
      </w:pPr>
    </w:p>
    <w:p w:rsidR="00032109" w:rsidRDefault="00032109">
      <w:pPr>
        <w:rPr>
          <w:sz w:val="20"/>
          <w:szCs w:val="20"/>
          <w:lang w:val="fr-CA"/>
        </w:rPr>
      </w:pPr>
      <w:r>
        <w:rPr>
          <w:sz w:val="20"/>
          <w:szCs w:val="20"/>
          <w:lang w:val="fr-CA"/>
        </w:rPr>
        <w:br w:type="page"/>
      </w:r>
    </w:p>
    <w:p w:rsidR="00032109" w:rsidRPr="00C50A5C" w:rsidRDefault="00032109" w:rsidP="00032109">
      <w:pPr>
        <w:widowControl w:val="0"/>
        <w:rPr>
          <w:sz w:val="20"/>
          <w:szCs w:val="20"/>
        </w:rPr>
      </w:pPr>
      <w:r>
        <w:rPr>
          <w:sz w:val="20"/>
          <w:szCs w:val="20"/>
        </w:rPr>
        <w:lastRenderedPageBreak/>
        <w:t>18</w:t>
      </w:r>
      <w:r w:rsidRPr="00C50A5C">
        <w:rPr>
          <w:sz w:val="20"/>
          <w:szCs w:val="20"/>
        </w:rPr>
        <w:t>.0</w:t>
      </w:r>
      <w:r>
        <w:rPr>
          <w:sz w:val="20"/>
          <w:szCs w:val="20"/>
        </w:rPr>
        <w:t>5</w:t>
      </w:r>
      <w:r w:rsidRPr="00C50A5C">
        <w:rPr>
          <w:sz w:val="20"/>
          <w:szCs w:val="20"/>
        </w:rPr>
        <w:t>.201</w:t>
      </w:r>
      <w:r>
        <w:rPr>
          <w:sz w:val="20"/>
          <w:szCs w:val="20"/>
        </w:rPr>
        <w:t>7</w:t>
      </w:r>
    </w:p>
    <w:p w:rsidR="00032109" w:rsidRPr="00C50A5C" w:rsidRDefault="00032109" w:rsidP="00032109">
      <w:pPr>
        <w:widowControl w:val="0"/>
        <w:rPr>
          <w:sz w:val="20"/>
          <w:szCs w:val="20"/>
        </w:rPr>
      </w:pPr>
    </w:p>
    <w:p w:rsidR="00032109" w:rsidRDefault="00032109" w:rsidP="00032109">
      <w:pPr>
        <w:widowControl w:val="0"/>
        <w:ind w:left="720" w:hanging="720"/>
        <w:rPr>
          <w:sz w:val="20"/>
          <w:szCs w:val="20"/>
        </w:rPr>
      </w:pPr>
      <w:r w:rsidRPr="00C50A5C">
        <w:rPr>
          <w:sz w:val="20"/>
          <w:szCs w:val="20"/>
        </w:rPr>
        <w:t xml:space="preserve">Coram: </w:t>
      </w:r>
      <w:r w:rsidRPr="00C50A5C">
        <w:rPr>
          <w:sz w:val="20"/>
          <w:szCs w:val="20"/>
        </w:rPr>
        <w:tab/>
      </w:r>
      <w:r>
        <w:rPr>
          <w:sz w:val="20"/>
          <w:szCs w:val="20"/>
          <w:u w:val="single"/>
        </w:rPr>
        <w:t xml:space="preserve">Abella, Moldaver, Gascon, Brown and Rowe </w:t>
      </w:r>
      <w:r w:rsidRPr="00C50A5C">
        <w:rPr>
          <w:sz w:val="20"/>
          <w:szCs w:val="20"/>
          <w:u w:val="single"/>
        </w:rPr>
        <w:t>JJ.</w:t>
      </w:r>
      <w:r w:rsidRPr="00C50A5C">
        <w:rPr>
          <w:sz w:val="20"/>
          <w:szCs w:val="20"/>
        </w:rPr>
        <w:t xml:space="preserve"> </w:t>
      </w:r>
    </w:p>
    <w:p w:rsidR="00032109" w:rsidRPr="00C50A5C" w:rsidRDefault="00032109" w:rsidP="00032109">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32109" w:rsidRPr="002317B9" w:rsidTr="007674D4">
        <w:tc>
          <w:tcPr>
            <w:tcW w:w="4380" w:type="dxa"/>
            <w:tcMar>
              <w:left w:w="0" w:type="dxa"/>
              <w:right w:w="0" w:type="dxa"/>
            </w:tcMar>
          </w:tcPr>
          <w:p w:rsidR="00032109" w:rsidRPr="00C50A5C" w:rsidRDefault="00032109" w:rsidP="007674D4">
            <w:pPr>
              <w:widowControl w:val="0"/>
              <w:jc w:val="both"/>
              <w:rPr>
                <w:b/>
                <w:sz w:val="20"/>
                <w:szCs w:val="20"/>
              </w:rPr>
            </w:pPr>
            <w:r>
              <w:rPr>
                <w:b/>
                <w:sz w:val="20"/>
                <w:szCs w:val="20"/>
              </w:rPr>
              <w:t>Jason Colling</w:t>
            </w:r>
          </w:p>
          <w:p w:rsidR="00032109" w:rsidRPr="00C50A5C" w:rsidRDefault="00032109" w:rsidP="007674D4">
            <w:pPr>
              <w:widowControl w:val="0"/>
              <w:jc w:val="both"/>
              <w:rPr>
                <w:b/>
                <w:sz w:val="20"/>
                <w:szCs w:val="20"/>
              </w:rPr>
            </w:pPr>
          </w:p>
          <w:p w:rsidR="00032109" w:rsidRPr="00C50A5C" w:rsidRDefault="00032109" w:rsidP="007674D4">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62" w:history="1">
              <w:r>
                <w:rPr>
                  <w:rStyle w:val="Hyperlink"/>
                  <w:sz w:val="20"/>
                  <w:szCs w:val="20"/>
                </w:rPr>
                <w:t>37905</w:t>
              </w:r>
            </w:hyperlink>
            <w:r w:rsidRPr="00765D4A">
              <w:rPr>
                <w:sz w:val="20"/>
                <w:szCs w:val="20"/>
              </w:rPr>
              <w:t>)</w:t>
            </w:r>
          </w:p>
          <w:p w:rsidR="00032109" w:rsidRPr="00C50A5C" w:rsidRDefault="00032109" w:rsidP="007674D4">
            <w:pPr>
              <w:widowControl w:val="0"/>
              <w:jc w:val="both"/>
              <w:rPr>
                <w:b/>
                <w:sz w:val="20"/>
                <w:szCs w:val="20"/>
              </w:rPr>
            </w:pPr>
          </w:p>
          <w:p w:rsidR="00032109" w:rsidRPr="00F10242" w:rsidRDefault="00032109" w:rsidP="00032109">
            <w:pPr>
              <w:widowControl w:val="0"/>
              <w:jc w:val="both"/>
              <w:rPr>
                <w:b/>
                <w:sz w:val="20"/>
                <w:szCs w:val="20"/>
              </w:rPr>
            </w:pPr>
            <w:r>
              <w:rPr>
                <w:b/>
                <w:sz w:val="20"/>
                <w:szCs w:val="20"/>
              </w:rPr>
              <w:t>Her Majesty the Queen</w:t>
            </w:r>
            <w:r w:rsidRPr="00072C86">
              <w:rPr>
                <w:b/>
                <w:sz w:val="20"/>
                <w:szCs w:val="20"/>
              </w:rPr>
              <w:t xml:space="preserve"> (</w:t>
            </w:r>
            <w:r>
              <w:rPr>
                <w:b/>
                <w:sz w:val="20"/>
                <w:szCs w:val="20"/>
              </w:rPr>
              <w:t>Alta.</w:t>
            </w:r>
            <w:r w:rsidRPr="00072C86">
              <w:rPr>
                <w:b/>
                <w:sz w:val="20"/>
                <w:szCs w:val="20"/>
              </w:rPr>
              <w:t xml:space="preserve">) </w:t>
            </w:r>
            <w:r w:rsidRPr="00C50A5C">
              <w:rPr>
                <w:b/>
                <w:sz w:val="20"/>
                <w:szCs w:val="20"/>
              </w:rPr>
              <w:t>(</w:t>
            </w:r>
            <w:r>
              <w:rPr>
                <w:b/>
                <w:sz w:val="20"/>
                <w:szCs w:val="20"/>
              </w:rPr>
              <w:t>Criminal)</w:t>
            </w:r>
            <w:r w:rsidRPr="00C50A5C">
              <w:rPr>
                <w:b/>
                <w:sz w:val="20"/>
                <w:szCs w:val="20"/>
              </w:rPr>
              <w:t xml:space="preserve"> (</w:t>
            </w:r>
            <w:r>
              <w:rPr>
                <w:b/>
                <w:sz w:val="20"/>
                <w:szCs w:val="20"/>
              </w:rPr>
              <w:t>By Leave</w:t>
            </w:r>
            <w:r w:rsidRPr="00C50A5C">
              <w:rPr>
                <w:b/>
                <w:sz w:val="20"/>
                <w:szCs w:val="20"/>
              </w:rPr>
              <w:t>)</w:t>
            </w:r>
          </w:p>
        </w:tc>
        <w:tc>
          <w:tcPr>
            <w:tcW w:w="720" w:type="dxa"/>
            <w:tcMar>
              <w:left w:w="0" w:type="dxa"/>
              <w:right w:w="0" w:type="dxa"/>
            </w:tcMar>
          </w:tcPr>
          <w:p w:rsidR="00032109" w:rsidRPr="00F10242" w:rsidRDefault="00032109" w:rsidP="007674D4">
            <w:pPr>
              <w:widowControl w:val="0"/>
              <w:jc w:val="center"/>
              <w:rPr>
                <w:sz w:val="20"/>
                <w:szCs w:val="20"/>
              </w:rPr>
            </w:pPr>
          </w:p>
        </w:tc>
        <w:tc>
          <w:tcPr>
            <w:tcW w:w="4380" w:type="dxa"/>
            <w:tcMar>
              <w:left w:w="0" w:type="dxa"/>
              <w:right w:w="0" w:type="dxa"/>
            </w:tcMar>
          </w:tcPr>
          <w:p w:rsidR="00032109" w:rsidRPr="00032109" w:rsidRDefault="00032109" w:rsidP="00032109">
            <w:pPr>
              <w:widowControl w:val="0"/>
              <w:jc w:val="both"/>
              <w:rPr>
                <w:sz w:val="20"/>
                <w:szCs w:val="20"/>
                <w:lang w:val="en-US"/>
              </w:rPr>
            </w:pPr>
            <w:r w:rsidRPr="00032109">
              <w:rPr>
                <w:sz w:val="20"/>
                <w:szCs w:val="20"/>
              </w:rPr>
              <w:t xml:space="preserve">Michael Bates and </w:t>
            </w:r>
            <w:r w:rsidRPr="00032109">
              <w:rPr>
                <w:sz w:val="20"/>
                <w:szCs w:val="20"/>
                <w:lang w:val="en-US"/>
              </w:rPr>
              <w:t>Nicole Rodych</w:t>
            </w:r>
            <w:r w:rsidRPr="00032109">
              <w:rPr>
                <w:sz w:val="20"/>
                <w:szCs w:val="20"/>
              </w:rPr>
              <w:t xml:space="preserve"> </w:t>
            </w:r>
            <w:r w:rsidRPr="00032109">
              <w:rPr>
                <w:sz w:val="20"/>
                <w:szCs w:val="20"/>
                <w:lang w:val="en-US"/>
              </w:rPr>
              <w:t>for the Appellant Jason Colling.</w:t>
            </w:r>
          </w:p>
          <w:p w:rsidR="00032109" w:rsidRPr="00032109" w:rsidRDefault="00032109" w:rsidP="00032109">
            <w:pPr>
              <w:widowControl w:val="0"/>
              <w:jc w:val="both"/>
              <w:rPr>
                <w:sz w:val="20"/>
                <w:szCs w:val="20"/>
                <w:lang w:val="en-US"/>
              </w:rPr>
            </w:pPr>
          </w:p>
          <w:p w:rsidR="00032109" w:rsidRPr="00032109" w:rsidRDefault="00032109" w:rsidP="00032109">
            <w:pPr>
              <w:widowControl w:val="0"/>
              <w:jc w:val="both"/>
              <w:rPr>
                <w:sz w:val="20"/>
                <w:szCs w:val="20"/>
              </w:rPr>
            </w:pPr>
            <w:r w:rsidRPr="00032109">
              <w:rPr>
                <w:sz w:val="20"/>
                <w:szCs w:val="20"/>
                <w:lang w:val="en-US"/>
              </w:rPr>
              <w:t xml:space="preserve">Iwona Kuklicz for the Respondent </w:t>
            </w:r>
            <w:r w:rsidRPr="00032109">
              <w:rPr>
                <w:sz w:val="20"/>
                <w:szCs w:val="20"/>
              </w:rPr>
              <w:t>Her Majesty the Queen.</w:t>
            </w:r>
          </w:p>
          <w:p w:rsidR="00032109" w:rsidRPr="00032109" w:rsidRDefault="00032109" w:rsidP="00032109">
            <w:pPr>
              <w:widowControl w:val="0"/>
              <w:jc w:val="both"/>
              <w:rPr>
                <w:sz w:val="20"/>
                <w:szCs w:val="20"/>
              </w:rPr>
            </w:pPr>
          </w:p>
          <w:p w:rsidR="00032109" w:rsidRPr="002317B9" w:rsidRDefault="00032109" w:rsidP="007674D4">
            <w:pPr>
              <w:widowControl w:val="0"/>
              <w:jc w:val="both"/>
              <w:rPr>
                <w:sz w:val="20"/>
                <w:szCs w:val="20"/>
                <w:lang w:val="en-US"/>
              </w:rPr>
            </w:pPr>
          </w:p>
        </w:tc>
      </w:tr>
    </w:tbl>
    <w:p w:rsidR="00032109" w:rsidRDefault="00032109" w:rsidP="00032109">
      <w:pPr>
        <w:widowControl w:val="0"/>
        <w:rPr>
          <w:lang w:val="en-US"/>
        </w:rPr>
      </w:pPr>
    </w:p>
    <w:p w:rsidR="00281514" w:rsidRPr="00106CD9" w:rsidRDefault="00281514" w:rsidP="00281514">
      <w:pPr>
        <w:rPr>
          <w:rFonts w:eastAsia="Calibri" w:cs="Times New Roman"/>
          <w:b/>
          <w:bCs/>
          <w:sz w:val="20"/>
          <w:szCs w:val="20"/>
          <w:lang w:val="en-US"/>
        </w:rPr>
      </w:pPr>
      <w:r w:rsidRPr="00106CD9">
        <w:rPr>
          <w:rFonts w:eastAsia="Calibri" w:cs="Times New Roman"/>
          <w:b/>
          <w:bCs/>
          <w:sz w:val="20"/>
          <w:szCs w:val="20"/>
          <w:lang w:val="en-US"/>
        </w:rPr>
        <w:t xml:space="preserve">2018 </w:t>
      </w:r>
      <w:r w:rsidRPr="00E829A1">
        <w:rPr>
          <w:rFonts w:eastAsia="Calibri" w:cs="Times New Roman"/>
          <w:b/>
          <w:bCs/>
          <w:sz w:val="20"/>
          <w:szCs w:val="20"/>
        </w:rPr>
        <w:t xml:space="preserve">SCC </w:t>
      </w:r>
      <w:r>
        <w:rPr>
          <w:rFonts w:eastAsia="Calibri" w:cs="Times New Roman"/>
          <w:b/>
          <w:bCs/>
          <w:sz w:val="20"/>
          <w:szCs w:val="20"/>
        </w:rPr>
        <w:t>23</w:t>
      </w:r>
      <w:r>
        <w:rPr>
          <w:rFonts w:eastAsia="Calibri" w:cs="Times New Roman"/>
          <w:b/>
          <w:bCs/>
          <w:sz w:val="20"/>
          <w:szCs w:val="20"/>
          <w:lang w:val="en-US"/>
        </w:rPr>
        <w:t xml:space="preserve"> / 2018 CSC 23</w:t>
      </w:r>
    </w:p>
    <w:p w:rsidR="00281514" w:rsidRPr="002317B9" w:rsidRDefault="00281514" w:rsidP="00032109">
      <w:pPr>
        <w:widowControl w:val="0"/>
        <w:rPr>
          <w:lang w:val="en-US"/>
        </w:rPr>
      </w:pPr>
    </w:p>
    <w:p w:rsidR="00032109" w:rsidRPr="0085476B" w:rsidRDefault="00032109" w:rsidP="00032109">
      <w:pPr>
        <w:widowControl w:val="0"/>
        <w:rPr>
          <w:sz w:val="20"/>
          <w:szCs w:val="20"/>
        </w:rPr>
      </w:pPr>
      <w:r>
        <w:rPr>
          <w:b/>
          <w:sz w:val="20"/>
          <w:szCs w:val="20"/>
        </w:rPr>
        <w:t>DISMISSED</w:t>
      </w:r>
      <w:r w:rsidRPr="0085476B">
        <w:rPr>
          <w:b/>
          <w:sz w:val="20"/>
          <w:szCs w:val="20"/>
        </w:rPr>
        <w:t xml:space="preserve"> / </w:t>
      </w:r>
      <w:r>
        <w:rPr>
          <w:b/>
          <w:sz w:val="20"/>
          <w:szCs w:val="20"/>
          <w:lang w:val="en-US"/>
        </w:rPr>
        <w:t>REJETÉ</w:t>
      </w:r>
    </w:p>
    <w:p w:rsidR="00032109" w:rsidRPr="005E31A3" w:rsidRDefault="00032109" w:rsidP="00032109">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032109" w:rsidRPr="00C15495" w:rsidTr="007674D4">
        <w:tc>
          <w:tcPr>
            <w:tcW w:w="4380" w:type="dxa"/>
            <w:tcMar>
              <w:left w:w="0" w:type="dxa"/>
              <w:right w:w="0" w:type="dxa"/>
            </w:tcMar>
          </w:tcPr>
          <w:p w:rsidR="00032109" w:rsidRPr="00CC4D84" w:rsidRDefault="00032109" w:rsidP="007674D4">
            <w:pPr>
              <w:widowControl w:val="0"/>
              <w:jc w:val="both"/>
              <w:rPr>
                <w:b/>
                <w:sz w:val="20"/>
                <w:szCs w:val="20"/>
                <w:u w:val="single"/>
              </w:rPr>
            </w:pPr>
            <w:r w:rsidRPr="00CC4D84">
              <w:rPr>
                <w:b/>
                <w:sz w:val="20"/>
                <w:szCs w:val="20"/>
                <w:u w:val="single"/>
              </w:rPr>
              <w:t>Nature of the case:</w:t>
            </w:r>
          </w:p>
          <w:p w:rsidR="00032109" w:rsidRDefault="00032109" w:rsidP="007674D4">
            <w:pPr>
              <w:widowControl w:val="0"/>
              <w:jc w:val="both"/>
              <w:rPr>
                <w:b/>
                <w:sz w:val="20"/>
                <w:szCs w:val="20"/>
              </w:rPr>
            </w:pPr>
          </w:p>
          <w:p w:rsidR="00032109" w:rsidRPr="00032109" w:rsidRDefault="00032109" w:rsidP="007674D4">
            <w:pPr>
              <w:widowControl w:val="0"/>
              <w:jc w:val="both"/>
              <w:rPr>
                <w:sz w:val="20"/>
                <w:szCs w:val="20"/>
              </w:rPr>
            </w:pPr>
            <w:r w:rsidRPr="00032109">
              <w:rPr>
                <w:sz w:val="20"/>
                <w:szCs w:val="20"/>
              </w:rPr>
              <w:t>Criminal law - Trial - Defences - Whether intervention of trial judge during cross-examination of complainant rendered trial unfair - Whether interventions of trial judge caused appearance of trial fairness to be so lacking that result is miscarriage of justice - Whether dismissing defence of honest but mistaken belief in consent without hearing argument on issue resulted in unfair trial.</w:t>
            </w:r>
          </w:p>
          <w:p w:rsidR="00032109" w:rsidRPr="00C1697B" w:rsidRDefault="00032109" w:rsidP="007674D4">
            <w:pPr>
              <w:widowControl w:val="0"/>
              <w:jc w:val="both"/>
              <w:rPr>
                <w:b/>
                <w:sz w:val="20"/>
                <w:szCs w:val="20"/>
              </w:rPr>
            </w:pPr>
          </w:p>
        </w:tc>
        <w:tc>
          <w:tcPr>
            <w:tcW w:w="720" w:type="dxa"/>
            <w:tcMar>
              <w:left w:w="0" w:type="dxa"/>
              <w:right w:w="0" w:type="dxa"/>
            </w:tcMar>
          </w:tcPr>
          <w:p w:rsidR="00032109" w:rsidRPr="00C1697B" w:rsidRDefault="00032109" w:rsidP="007674D4">
            <w:pPr>
              <w:widowControl w:val="0"/>
              <w:jc w:val="center"/>
              <w:rPr>
                <w:sz w:val="20"/>
                <w:szCs w:val="20"/>
              </w:rPr>
            </w:pPr>
          </w:p>
        </w:tc>
        <w:tc>
          <w:tcPr>
            <w:tcW w:w="4380" w:type="dxa"/>
            <w:tcMar>
              <w:left w:w="0" w:type="dxa"/>
              <w:right w:w="0" w:type="dxa"/>
            </w:tcMar>
          </w:tcPr>
          <w:p w:rsidR="00032109" w:rsidRPr="00CC4D84" w:rsidRDefault="00032109" w:rsidP="007674D4">
            <w:pPr>
              <w:widowControl w:val="0"/>
              <w:jc w:val="both"/>
              <w:rPr>
                <w:b/>
                <w:sz w:val="20"/>
                <w:szCs w:val="20"/>
                <w:u w:val="single"/>
                <w:lang w:val="fr-CA"/>
              </w:rPr>
            </w:pPr>
            <w:r w:rsidRPr="00CC4D84">
              <w:rPr>
                <w:b/>
                <w:sz w:val="20"/>
                <w:szCs w:val="20"/>
                <w:u w:val="single"/>
                <w:lang w:val="fr-CA"/>
              </w:rPr>
              <w:t>Nature de la cause :</w:t>
            </w:r>
          </w:p>
          <w:p w:rsidR="00032109" w:rsidRPr="00C1697B" w:rsidRDefault="00032109" w:rsidP="007674D4">
            <w:pPr>
              <w:widowControl w:val="0"/>
              <w:jc w:val="both"/>
              <w:rPr>
                <w:sz w:val="20"/>
                <w:szCs w:val="20"/>
                <w:lang w:val="fr-CA"/>
              </w:rPr>
            </w:pPr>
          </w:p>
          <w:p w:rsidR="00032109" w:rsidRPr="00032109" w:rsidRDefault="00032109" w:rsidP="007674D4">
            <w:pPr>
              <w:widowControl w:val="0"/>
              <w:jc w:val="both"/>
              <w:rPr>
                <w:sz w:val="20"/>
                <w:szCs w:val="20"/>
                <w:lang w:val="fr-CA"/>
              </w:rPr>
            </w:pPr>
            <w:r w:rsidRPr="00032109">
              <w:rPr>
                <w:sz w:val="20"/>
                <w:szCs w:val="20"/>
                <w:lang w:val="fr-CA"/>
              </w:rPr>
              <w:t>Droit criminel - Procès - Moyens de défense - L’intervention du juge du procès pendant le contre-interrogatoire de la plaignante a-t-elle rendu le procès inéquitable? - Les interventions du juge du procès ont-elles donné l’impression que le procès était à ce point inique qu’il en a résulté une erreur judiciaire? - Le procès est-il devenu inéquitable en raison du rejet de la défense de croyance sincère mais erronée au consentement sans pl</w:t>
            </w:r>
            <w:r>
              <w:rPr>
                <w:sz w:val="20"/>
                <w:szCs w:val="20"/>
                <w:lang w:val="fr-CA"/>
              </w:rPr>
              <w:t>aidoirie orale sur la question?</w:t>
            </w:r>
          </w:p>
        </w:tc>
      </w:tr>
    </w:tbl>
    <w:p w:rsidR="00032109" w:rsidRDefault="00032109" w:rsidP="00032109">
      <w:pPr>
        <w:widowControl w:val="0"/>
        <w:rPr>
          <w:sz w:val="20"/>
          <w:szCs w:val="20"/>
          <w:lang w:val="fr-CA"/>
        </w:rPr>
      </w:pPr>
    </w:p>
    <w:p w:rsidR="00C3738C" w:rsidRDefault="00FE4582" w:rsidP="00032109">
      <w:pPr>
        <w:rPr>
          <w:sz w:val="20"/>
          <w:szCs w:val="20"/>
          <w:lang w:val="fr-CA"/>
        </w:rPr>
      </w:pPr>
      <w:r>
        <w:rPr>
          <w:sz w:val="20"/>
          <w:szCs w:val="20"/>
          <w:lang w:val="fr-CA"/>
        </w:rPr>
        <w:pict>
          <v:rect id="_x0000_i1065" style="width:2in;height:1pt" o:hrpct="0" o:hralign="center" o:hrstd="t" o:hrnoshade="t" o:hr="t" fillcolor="black [3213]" stroked="f"/>
        </w:pict>
      </w:r>
    </w:p>
    <w:p w:rsidR="00C3738C" w:rsidRDefault="00C3738C">
      <w:pPr>
        <w:rPr>
          <w:sz w:val="20"/>
          <w:szCs w:val="20"/>
          <w:lang w:val="fr-CA"/>
        </w:rPr>
      </w:pPr>
      <w:r>
        <w:rPr>
          <w:sz w:val="20"/>
          <w:szCs w:val="20"/>
          <w:lang w:val="fr-CA"/>
        </w:rPr>
        <w:br w:type="page"/>
      </w:r>
    </w:p>
    <w:p w:rsidR="00C3738C" w:rsidRPr="00C50A5C" w:rsidRDefault="00C3738C" w:rsidP="00C3738C">
      <w:pPr>
        <w:widowControl w:val="0"/>
        <w:rPr>
          <w:sz w:val="20"/>
          <w:szCs w:val="20"/>
        </w:rPr>
      </w:pPr>
      <w:r>
        <w:rPr>
          <w:sz w:val="20"/>
          <w:szCs w:val="20"/>
        </w:rPr>
        <w:lastRenderedPageBreak/>
        <w:t>18</w:t>
      </w:r>
      <w:r w:rsidRPr="00C50A5C">
        <w:rPr>
          <w:sz w:val="20"/>
          <w:szCs w:val="20"/>
        </w:rPr>
        <w:t>.0</w:t>
      </w:r>
      <w:r>
        <w:rPr>
          <w:sz w:val="20"/>
          <w:szCs w:val="20"/>
        </w:rPr>
        <w:t>5</w:t>
      </w:r>
      <w:r w:rsidRPr="00C50A5C">
        <w:rPr>
          <w:sz w:val="20"/>
          <w:szCs w:val="20"/>
        </w:rPr>
        <w:t>.201</w:t>
      </w:r>
      <w:r>
        <w:rPr>
          <w:sz w:val="20"/>
          <w:szCs w:val="20"/>
        </w:rPr>
        <w:t>7</w:t>
      </w:r>
    </w:p>
    <w:p w:rsidR="00C3738C" w:rsidRPr="00C50A5C" w:rsidRDefault="00C3738C" w:rsidP="00C3738C">
      <w:pPr>
        <w:widowControl w:val="0"/>
        <w:rPr>
          <w:sz w:val="20"/>
          <w:szCs w:val="20"/>
        </w:rPr>
      </w:pPr>
    </w:p>
    <w:p w:rsidR="00C3738C" w:rsidRDefault="00C3738C" w:rsidP="00C3738C">
      <w:pPr>
        <w:widowControl w:val="0"/>
        <w:ind w:left="720" w:hanging="720"/>
        <w:rPr>
          <w:sz w:val="20"/>
          <w:szCs w:val="20"/>
        </w:rPr>
      </w:pPr>
      <w:r w:rsidRPr="00C50A5C">
        <w:rPr>
          <w:sz w:val="20"/>
          <w:szCs w:val="20"/>
        </w:rPr>
        <w:t xml:space="preserve">Coram: </w:t>
      </w:r>
      <w:r w:rsidRPr="00C50A5C">
        <w:rPr>
          <w:sz w:val="20"/>
          <w:szCs w:val="20"/>
        </w:rPr>
        <w:tab/>
      </w:r>
      <w:r>
        <w:rPr>
          <w:sz w:val="20"/>
          <w:szCs w:val="20"/>
          <w:u w:val="single"/>
        </w:rPr>
        <w:t xml:space="preserve">Abella, Moldaver, Gascon, Brown and Rowe </w:t>
      </w:r>
      <w:r w:rsidRPr="00C50A5C">
        <w:rPr>
          <w:sz w:val="20"/>
          <w:szCs w:val="20"/>
          <w:u w:val="single"/>
        </w:rPr>
        <w:t>JJ.</w:t>
      </w:r>
      <w:r w:rsidRPr="00C50A5C">
        <w:rPr>
          <w:sz w:val="20"/>
          <w:szCs w:val="20"/>
        </w:rPr>
        <w:t xml:space="preserve"> </w:t>
      </w:r>
    </w:p>
    <w:p w:rsidR="00C3738C" w:rsidRPr="00C50A5C" w:rsidRDefault="00C3738C" w:rsidP="00C3738C">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3738C" w:rsidRPr="002317B9" w:rsidTr="007674D4">
        <w:tc>
          <w:tcPr>
            <w:tcW w:w="4380" w:type="dxa"/>
            <w:tcMar>
              <w:left w:w="0" w:type="dxa"/>
              <w:right w:w="0" w:type="dxa"/>
            </w:tcMar>
          </w:tcPr>
          <w:p w:rsidR="00C3738C" w:rsidRPr="00C50A5C" w:rsidRDefault="00C3738C" w:rsidP="007674D4">
            <w:pPr>
              <w:widowControl w:val="0"/>
              <w:jc w:val="both"/>
              <w:rPr>
                <w:b/>
                <w:sz w:val="20"/>
                <w:szCs w:val="20"/>
              </w:rPr>
            </w:pPr>
            <w:r>
              <w:rPr>
                <w:b/>
                <w:sz w:val="20"/>
                <w:szCs w:val="20"/>
              </w:rPr>
              <w:t>Andrew Donald Gulliver</w:t>
            </w:r>
          </w:p>
          <w:p w:rsidR="00C3738C" w:rsidRPr="00C50A5C" w:rsidRDefault="00C3738C" w:rsidP="007674D4">
            <w:pPr>
              <w:widowControl w:val="0"/>
              <w:jc w:val="both"/>
              <w:rPr>
                <w:b/>
                <w:sz w:val="20"/>
                <w:szCs w:val="20"/>
              </w:rPr>
            </w:pPr>
          </w:p>
          <w:p w:rsidR="00C3738C" w:rsidRPr="00C50A5C" w:rsidRDefault="00C3738C" w:rsidP="007674D4">
            <w:pPr>
              <w:widowControl w:val="0"/>
              <w:tabs>
                <w:tab w:val="left" w:pos="736"/>
              </w:tabs>
              <w:jc w:val="both"/>
              <w:rPr>
                <w:b/>
                <w:sz w:val="20"/>
                <w:szCs w:val="20"/>
              </w:rPr>
            </w:pPr>
            <w:r w:rsidRPr="00C50A5C">
              <w:rPr>
                <w:b/>
                <w:sz w:val="20"/>
                <w:szCs w:val="20"/>
              </w:rPr>
              <w:tab/>
              <w:t xml:space="preserve">v. </w:t>
            </w:r>
            <w:r w:rsidRPr="00765D4A">
              <w:rPr>
                <w:sz w:val="20"/>
                <w:szCs w:val="20"/>
              </w:rPr>
              <w:t>(</w:t>
            </w:r>
            <w:hyperlink r:id="rId63" w:history="1">
              <w:r>
                <w:rPr>
                  <w:rStyle w:val="Hyperlink"/>
                  <w:sz w:val="20"/>
                  <w:szCs w:val="20"/>
                </w:rPr>
                <w:t>37917</w:t>
              </w:r>
            </w:hyperlink>
            <w:r w:rsidRPr="00765D4A">
              <w:rPr>
                <w:sz w:val="20"/>
                <w:szCs w:val="20"/>
              </w:rPr>
              <w:t>)</w:t>
            </w:r>
          </w:p>
          <w:p w:rsidR="00C3738C" w:rsidRPr="00C50A5C" w:rsidRDefault="00C3738C" w:rsidP="007674D4">
            <w:pPr>
              <w:widowControl w:val="0"/>
              <w:jc w:val="both"/>
              <w:rPr>
                <w:b/>
                <w:sz w:val="20"/>
                <w:szCs w:val="20"/>
              </w:rPr>
            </w:pPr>
          </w:p>
          <w:p w:rsidR="00C3738C" w:rsidRPr="00F10242" w:rsidRDefault="00C3738C" w:rsidP="007674D4">
            <w:pPr>
              <w:widowControl w:val="0"/>
              <w:jc w:val="both"/>
              <w:rPr>
                <w:b/>
                <w:sz w:val="20"/>
                <w:szCs w:val="20"/>
              </w:rPr>
            </w:pPr>
            <w:r>
              <w:rPr>
                <w:b/>
                <w:sz w:val="20"/>
                <w:szCs w:val="20"/>
              </w:rPr>
              <w:t>Her Majesty the Queen</w:t>
            </w:r>
            <w:r w:rsidRPr="00072C86">
              <w:rPr>
                <w:b/>
                <w:sz w:val="20"/>
                <w:szCs w:val="20"/>
              </w:rPr>
              <w:t xml:space="preserve"> (</w:t>
            </w:r>
            <w:r>
              <w:rPr>
                <w:b/>
                <w:sz w:val="20"/>
                <w:szCs w:val="20"/>
              </w:rPr>
              <w:t>Alta.</w:t>
            </w:r>
            <w:r w:rsidRPr="00072C86">
              <w:rPr>
                <w:b/>
                <w:sz w:val="20"/>
                <w:szCs w:val="20"/>
              </w:rPr>
              <w:t xml:space="preserve">) </w:t>
            </w:r>
            <w:r w:rsidRPr="00C50A5C">
              <w:rPr>
                <w:b/>
                <w:sz w:val="20"/>
                <w:szCs w:val="20"/>
              </w:rPr>
              <w:t>(</w:t>
            </w:r>
            <w:r>
              <w:rPr>
                <w:b/>
                <w:sz w:val="20"/>
                <w:szCs w:val="20"/>
              </w:rPr>
              <w:t>Criminal)</w:t>
            </w:r>
            <w:r w:rsidRPr="00C50A5C">
              <w:rPr>
                <w:b/>
                <w:sz w:val="20"/>
                <w:szCs w:val="20"/>
              </w:rPr>
              <w:t xml:space="preserve"> (</w:t>
            </w:r>
            <w:r>
              <w:rPr>
                <w:b/>
                <w:sz w:val="20"/>
                <w:szCs w:val="20"/>
              </w:rPr>
              <w:t>By Leave</w:t>
            </w:r>
            <w:r w:rsidRPr="00C50A5C">
              <w:rPr>
                <w:b/>
                <w:sz w:val="20"/>
                <w:szCs w:val="20"/>
              </w:rPr>
              <w:t>)</w:t>
            </w:r>
          </w:p>
        </w:tc>
        <w:tc>
          <w:tcPr>
            <w:tcW w:w="720" w:type="dxa"/>
            <w:tcMar>
              <w:left w:w="0" w:type="dxa"/>
              <w:right w:w="0" w:type="dxa"/>
            </w:tcMar>
          </w:tcPr>
          <w:p w:rsidR="00C3738C" w:rsidRPr="00F10242" w:rsidRDefault="00C3738C" w:rsidP="007674D4">
            <w:pPr>
              <w:widowControl w:val="0"/>
              <w:jc w:val="center"/>
              <w:rPr>
                <w:sz w:val="20"/>
                <w:szCs w:val="20"/>
              </w:rPr>
            </w:pPr>
          </w:p>
        </w:tc>
        <w:tc>
          <w:tcPr>
            <w:tcW w:w="4380" w:type="dxa"/>
            <w:tcMar>
              <w:left w:w="0" w:type="dxa"/>
              <w:right w:w="0" w:type="dxa"/>
            </w:tcMar>
          </w:tcPr>
          <w:p w:rsidR="00C3738C" w:rsidRPr="00C3738C" w:rsidRDefault="00C3738C" w:rsidP="00C3738C">
            <w:pPr>
              <w:widowControl w:val="0"/>
              <w:jc w:val="both"/>
              <w:rPr>
                <w:sz w:val="20"/>
                <w:szCs w:val="20"/>
                <w:lang w:val="en-US"/>
              </w:rPr>
            </w:pPr>
            <w:r w:rsidRPr="00C3738C">
              <w:rPr>
                <w:sz w:val="20"/>
                <w:szCs w:val="20"/>
              </w:rPr>
              <w:t xml:space="preserve">Peter J. Royal, Q.C. and </w:t>
            </w:r>
            <w:r w:rsidRPr="00C3738C">
              <w:rPr>
                <w:sz w:val="20"/>
                <w:szCs w:val="20"/>
                <w:lang w:val="en-US"/>
              </w:rPr>
              <w:t>David N.B. Sims for the Appellant Andrew Donald Gulliver.</w:t>
            </w:r>
          </w:p>
          <w:p w:rsidR="00C3738C" w:rsidRPr="00C3738C" w:rsidRDefault="00C3738C" w:rsidP="00C3738C">
            <w:pPr>
              <w:widowControl w:val="0"/>
              <w:jc w:val="both"/>
              <w:rPr>
                <w:sz w:val="20"/>
                <w:szCs w:val="20"/>
                <w:lang w:val="en-US"/>
              </w:rPr>
            </w:pPr>
          </w:p>
          <w:p w:rsidR="00C3738C" w:rsidRPr="00C3738C" w:rsidRDefault="00C3738C" w:rsidP="00C3738C">
            <w:pPr>
              <w:widowControl w:val="0"/>
              <w:jc w:val="both"/>
              <w:rPr>
                <w:sz w:val="20"/>
                <w:szCs w:val="20"/>
              </w:rPr>
            </w:pPr>
            <w:r w:rsidRPr="00C3738C">
              <w:rPr>
                <w:sz w:val="20"/>
                <w:szCs w:val="20"/>
                <w:lang w:val="en-US"/>
              </w:rPr>
              <w:t>Troy Couillard for the Respondent</w:t>
            </w:r>
            <w:r w:rsidRPr="00C3738C">
              <w:rPr>
                <w:sz w:val="20"/>
                <w:szCs w:val="20"/>
                <w:lang w:val="en-US"/>
              </w:rPr>
              <w:tab/>
              <w:t xml:space="preserve"> </w:t>
            </w:r>
            <w:r w:rsidRPr="00C3738C">
              <w:rPr>
                <w:sz w:val="20"/>
                <w:szCs w:val="20"/>
              </w:rPr>
              <w:t>Her Majesty the Queen.</w:t>
            </w:r>
          </w:p>
          <w:p w:rsidR="00C3738C" w:rsidRPr="002317B9" w:rsidRDefault="00C3738C" w:rsidP="007674D4">
            <w:pPr>
              <w:widowControl w:val="0"/>
              <w:jc w:val="both"/>
              <w:rPr>
                <w:sz w:val="20"/>
                <w:szCs w:val="20"/>
                <w:lang w:val="en-US"/>
              </w:rPr>
            </w:pPr>
          </w:p>
        </w:tc>
      </w:tr>
    </w:tbl>
    <w:p w:rsidR="00C3738C" w:rsidRDefault="00C3738C" w:rsidP="00C3738C">
      <w:pPr>
        <w:widowControl w:val="0"/>
        <w:rPr>
          <w:lang w:val="en-US"/>
        </w:rPr>
      </w:pPr>
    </w:p>
    <w:p w:rsidR="00C3738C" w:rsidRPr="00106CD9" w:rsidRDefault="00C3738C" w:rsidP="00C3738C">
      <w:pPr>
        <w:rPr>
          <w:rFonts w:eastAsia="Calibri" w:cs="Times New Roman"/>
          <w:b/>
          <w:bCs/>
          <w:sz w:val="20"/>
          <w:szCs w:val="20"/>
          <w:lang w:val="en-US"/>
        </w:rPr>
      </w:pPr>
      <w:r w:rsidRPr="00106CD9">
        <w:rPr>
          <w:rFonts w:eastAsia="Calibri" w:cs="Times New Roman"/>
          <w:b/>
          <w:bCs/>
          <w:sz w:val="20"/>
          <w:szCs w:val="20"/>
          <w:lang w:val="en-US"/>
        </w:rPr>
        <w:t xml:space="preserve">2018 </w:t>
      </w:r>
      <w:r w:rsidRPr="00E829A1">
        <w:rPr>
          <w:rFonts w:eastAsia="Calibri" w:cs="Times New Roman"/>
          <w:b/>
          <w:bCs/>
          <w:sz w:val="20"/>
          <w:szCs w:val="20"/>
        </w:rPr>
        <w:t xml:space="preserve">SCC </w:t>
      </w:r>
      <w:r>
        <w:rPr>
          <w:rFonts w:eastAsia="Calibri" w:cs="Times New Roman"/>
          <w:b/>
          <w:bCs/>
          <w:sz w:val="20"/>
          <w:szCs w:val="20"/>
        </w:rPr>
        <w:t>24</w:t>
      </w:r>
      <w:r>
        <w:rPr>
          <w:rFonts w:eastAsia="Calibri" w:cs="Times New Roman"/>
          <w:b/>
          <w:bCs/>
          <w:sz w:val="20"/>
          <w:szCs w:val="20"/>
          <w:lang w:val="en-US"/>
        </w:rPr>
        <w:t xml:space="preserve"> / 2018 CSC 24</w:t>
      </w:r>
    </w:p>
    <w:p w:rsidR="00C3738C" w:rsidRPr="002317B9" w:rsidRDefault="00C3738C" w:rsidP="00C3738C">
      <w:pPr>
        <w:widowControl w:val="0"/>
        <w:rPr>
          <w:lang w:val="en-US"/>
        </w:rPr>
      </w:pPr>
    </w:p>
    <w:p w:rsidR="00C3738C" w:rsidRPr="0085476B" w:rsidRDefault="00C3738C" w:rsidP="00C3738C">
      <w:pPr>
        <w:widowControl w:val="0"/>
        <w:rPr>
          <w:sz w:val="20"/>
          <w:szCs w:val="20"/>
        </w:rPr>
      </w:pPr>
      <w:r>
        <w:rPr>
          <w:b/>
          <w:sz w:val="20"/>
          <w:szCs w:val="20"/>
        </w:rPr>
        <w:t>DISMISSED</w:t>
      </w:r>
      <w:r w:rsidRPr="0085476B">
        <w:rPr>
          <w:b/>
          <w:sz w:val="20"/>
          <w:szCs w:val="20"/>
        </w:rPr>
        <w:t xml:space="preserve"> / </w:t>
      </w:r>
      <w:r>
        <w:rPr>
          <w:b/>
          <w:sz w:val="20"/>
          <w:szCs w:val="20"/>
          <w:lang w:val="en-US"/>
        </w:rPr>
        <w:t>REJETÉ</w:t>
      </w:r>
    </w:p>
    <w:p w:rsidR="00C3738C" w:rsidRPr="005E31A3" w:rsidRDefault="00C3738C" w:rsidP="00C3738C">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C3738C" w:rsidRPr="00C15495" w:rsidTr="007674D4">
        <w:tc>
          <w:tcPr>
            <w:tcW w:w="4380" w:type="dxa"/>
            <w:tcMar>
              <w:left w:w="0" w:type="dxa"/>
              <w:right w:w="0" w:type="dxa"/>
            </w:tcMar>
          </w:tcPr>
          <w:p w:rsidR="00C3738C" w:rsidRPr="00CC4D84" w:rsidRDefault="00C3738C" w:rsidP="007674D4">
            <w:pPr>
              <w:widowControl w:val="0"/>
              <w:jc w:val="both"/>
              <w:rPr>
                <w:b/>
                <w:sz w:val="20"/>
                <w:szCs w:val="20"/>
                <w:u w:val="single"/>
              </w:rPr>
            </w:pPr>
            <w:r w:rsidRPr="00CC4D84">
              <w:rPr>
                <w:b/>
                <w:sz w:val="20"/>
                <w:szCs w:val="20"/>
                <w:u w:val="single"/>
              </w:rPr>
              <w:t>Nature of the case:</w:t>
            </w:r>
          </w:p>
          <w:p w:rsidR="00C3738C" w:rsidRDefault="00C3738C" w:rsidP="007674D4">
            <w:pPr>
              <w:widowControl w:val="0"/>
              <w:jc w:val="both"/>
              <w:rPr>
                <w:b/>
                <w:sz w:val="20"/>
                <w:szCs w:val="20"/>
              </w:rPr>
            </w:pPr>
          </w:p>
          <w:p w:rsidR="00C3738C" w:rsidRPr="00C1697B" w:rsidRDefault="00C3738C" w:rsidP="007674D4">
            <w:pPr>
              <w:widowControl w:val="0"/>
              <w:jc w:val="both"/>
              <w:rPr>
                <w:b/>
                <w:sz w:val="20"/>
                <w:szCs w:val="20"/>
              </w:rPr>
            </w:pPr>
            <w:r w:rsidRPr="00C3738C">
              <w:rPr>
                <w:sz w:val="20"/>
                <w:szCs w:val="20"/>
              </w:rPr>
              <w:t>Criminal law – Trial – Judgments – Reasons for judgment – Sufficiency of reasons – Evidence – Disclosure – Whether the trial judge failed to provide sufficient reasons to explain his decision, particularly with regard to the credibility of the complainant and the accused – Whether the trial judge erred by drawing an adverse inference in relation to the purported late disclosure of alibi evidence.</w:t>
            </w:r>
          </w:p>
        </w:tc>
        <w:tc>
          <w:tcPr>
            <w:tcW w:w="720" w:type="dxa"/>
            <w:tcMar>
              <w:left w:w="0" w:type="dxa"/>
              <w:right w:w="0" w:type="dxa"/>
            </w:tcMar>
          </w:tcPr>
          <w:p w:rsidR="00C3738C" w:rsidRPr="00C1697B" w:rsidRDefault="00C3738C" w:rsidP="007674D4">
            <w:pPr>
              <w:widowControl w:val="0"/>
              <w:jc w:val="center"/>
              <w:rPr>
                <w:sz w:val="20"/>
                <w:szCs w:val="20"/>
              </w:rPr>
            </w:pPr>
          </w:p>
        </w:tc>
        <w:tc>
          <w:tcPr>
            <w:tcW w:w="4380" w:type="dxa"/>
            <w:tcMar>
              <w:left w:w="0" w:type="dxa"/>
              <w:right w:w="0" w:type="dxa"/>
            </w:tcMar>
          </w:tcPr>
          <w:p w:rsidR="00C3738C" w:rsidRPr="00CC4D84" w:rsidRDefault="00C3738C" w:rsidP="007674D4">
            <w:pPr>
              <w:widowControl w:val="0"/>
              <w:jc w:val="both"/>
              <w:rPr>
                <w:b/>
                <w:sz w:val="20"/>
                <w:szCs w:val="20"/>
                <w:u w:val="single"/>
                <w:lang w:val="fr-CA"/>
              </w:rPr>
            </w:pPr>
            <w:r w:rsidRPr="00CC4D84">
              <w:rPr>
                <w:b/>
                <w:sz w:val="20"/>
                <w:szCs w:val="20"/>
                <w:u w:val="single"/>
                <w:lang w:val="fr-CA"/>
              </w:rPr>
              <w:t>Nature de la cause :</w:t>
            </w:r>
          </w:p>
          <w:p w:rsidR="00C3738C" w:rsidRPr="00C1697B" w:rsidRDefault="00C3738C" w:rsidP="007674D4">
            <w:pPr>
              <w:widowControl w:val="0"/>
              <w:jc w:val="both"/>
              <w:rPr>
                <w:sz w:val="20"/>
                <w:szCs w:val="20"/>
                <w:lang w:val="fr-CA"/>
              </w:rPr>
            </w:pPr>
          </w:p>
          <w:p w:rsidR="00C3738C" w:rsidRPr="00C3738C" w:rsidRDefault="00C3738C" w:rsidP="007674D4">
            <w:pPr>
              <w:widowControl w:val="0"/>
              <w:jc w:val="both"/>
              <w:rPr>
                <w:sz w:val="20"/>
                <w:szCs w:val="20"/>
                <w:lang w:val="fr-CA"/>
              </w:rPr>
            </w:pPr>
            <w:r w:rsidRPr="00C3738C">
              <w:rPr>
                <w:sz w:val="20"/>
                <w:szCs w:val="20"/>
                <w:lang w:val="fr-CA"/>
              </w:rPr>
              <w:t>Droit criminel - Procès - Jugements - Motifs de jugement - Caractère suffisant des motifs - Preuve - Communication de la preuve - Le juge du procès a-t-il insuffisamment motivé sa décision, surtout en ce qui concerne la crédibilité de la plaignante et celle de l’accusé? -Le juge du procès a-t-il fait erreur en tirant une conclusion défavorable au sujet de la prétendue communication tardive d’une pr</w:t>
            </w:r>
            <w:r>
              <w:rPr>
                <w:sz w:val="20"/>
                <w:szCs w:val="20"/>
                <w:lang w:val="fr-CA"/>
              </w:rPr>
              <w:t>euve d’alibi?</w:t>
            </w:r>
          </w:p>
        </w:tc>
      </w:tr>
    </w:tbl>
    <w:p w:rsidR="00C3738C" w:rsidRDefault="00C3738C" w:rsidP="00C3738C">
      <w:pPr>
        <w:widowControl w:val="0"/>
        <w:rPr>
          <w:sz w:val="20"/>
          <w:szCs w:val="20"/>
          <w:lang w:val="fr-CA"/>
        </w:rPr>
      </w:pPr>
    </w:p>
    <w:p w:rsidR="00C3738C" w:rsidRDefault="00FE4582" w:rsidP="00C3738C">
      <w:pPr>
        <w:rPr>
          <w:sz w:val="20"/>
          <w:szCs w:val="20"/>
          <w:lang w:val="fr-CA"/>
        </w:rPr>
      </w:pPr>
      <w:r>
        <w:rPr>
          <w:sz w:val="20"/>
          <w:szCs w:val="20"/>
          <w:lang w:val="fr-CA"/>
        </w:rPr>
        <w:pict>
          <v:rect id="_x0000_i1066" style="width:2in;height:1pt" o:hrpct="0" o:hralign="center" o:hrstd="t" o:hrnoshade="t" o:hr="t" fillcolor="black [3213]" stroked="f"/>
        </w:pict>
      </w:r>
    </w:p>
    <w:p w:rsidR="00C3738C" w:rsidRPr="00C1697B" w:rsidRDefault="00C3738C" w:rsidP="00C3738C">
      <w:pPr>
        <w:rPr>
          <w:sz w:val="20"/>
          <w:szCs w:val="20"/>
          <w:lang w:val="fr-CA"/>
        </w:rPr>
        <w:sectPr w:rsidR="00C3738C" w:rsidRPr="00C1697B" w:rsidSect="00732DB7">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0" w:gutter="0"/>
          <w:cols w:space="720"/>
          <w:titlePg/>
          <w:docGrid w:linePitch="326"/>
        </w:sectPr>
      </w:pPr>
    </w:p>
    <w:p w:rsidR="00032109" w:rsidRDefault="00032109" w:rsidP="00032109">
      <w:pPr>
        <w:rPr>
          <w:sz w:val="20"/>
          <w:szCs w:val="20"/>
          <w:lang w:val="fr-CA"/>
        </w:r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C15495"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040D9" w:rsidRDefault="005C438E" w:rsidP="0052229C">
      <w:pPr>
        <w:rPr>
          <w:b/>
          <w:sz w:val="20"/>
          <w:szCs w:val="20"/>
          <w:lang w:val="en-US"/>
        </w:rPr>
      </w:pPr>
      <w:r w:rsidRPr="00C040D9">
        <w:rPr>
          <w:b/>
          <w:sz w:val="20"/>
          <w:szCs w:val="20"/>
          <w:lang w:val="en-US"/>
        </w:rPr>
        <w:t>MAY 18</w:t>
      </w:r>
      <w:r w:rsidR="0052229C" w:rsidRPr="00C040D9">
        <w:rPr>
          <w:b/>
          <w:sz w:val="20"/>
          <w:szCs w:val="20"/>
          <w:lang w:val="en-US"/>
        </w:rPr>
        <w:t>, 201</w:t>
      </w:r>
      <w:r w:rsidR="00C406CA" w:rsidRPr="00C040D9">
        <w:rPr>
          <w:b/>
          <w:sz w:val="20"/>
          <w:szCs w:val="20"/>
          <w:lang w:val="en-US"/>
        </w:rPr>
        <w:t>8</w:t>
      </w:r>
      <w:r w:rsidR="0052229C" w:rsidRPr="00C040D9">
        <w:rPr>
          <w:b/>
          <w:sz w:val="20"/>
          <w:szCs w:val="20"/>
          <w:lang w:val="en-US"/>
        </w:rPr>
        <w:t xml:space="preserve"> / LE </w:t>
      </w:r>
      <w:r w:rsidRPr="00C040D9">
        <w:rPr>
          <w:b/>
          <w:sz w:val="20"/>
          <w:szCs w:val="20"/>
          <w:lang w:val="en-US"/>
        </w:rPr>
        <w:t>18 MAI</w:t>
      </w:r>
      <w:r w:rsidR="0052229C" w:rsidRPr="00C040D9">
        <w:rPr>
          <w:b/>
          <w:sz w:val="20"/>
          <w:szCs w:val="20"/>
          <w:lang w:val="en-US"/>
        </w:rPr>
        <w:t xml:space="preserve"> 201</w:t>
      </w:r>
      <w:r w:rsidR="00C406CA" w:rsidRPr="00C040D9">
        <w:rPr>
          <w:b/>
          <w:sz w:val="20"/>
          <w:szCs w:val="20"/>
          <w:lang w:val="en-US"/>
        </w:rPr>
        <w:t>8</w:t>
      </w:r>
    </w:p>
    <w:p w:rsidR="0052229C" w:rsidRPr="00C040D9" w:rsidRDefault="0052229C" w:rsidP="0052229C">
      <w:pPr>
        <w:rPr>
          <w:sz w:val="20"/>
          <w:szCs w:val="20"/>
          <w:lang w:val="en-US"/>
        </w:rPr>
      </w:pPr>
    </w:p>
    <w:p w:rsidR="0052229C" w:rsidRPr="00C040D9" w:rsidRDefault="000E27A5" w:rsidP="0052229C">
      <w:pPr>
        <w:ind w:left="1440" w:hanging="1440"/>
        <w:jc w:val="both"/>
        <w:rPr>
          <w:sz w:val="20"/>
          <w:lang w:val="en-US"/>
        </w:rPr>
      </w:pPr>
      <w:r w:rsidRPr="00202C5F">
        <w:rPr>
          <w:b/>
          <w:sz w:val="20"/>
        </w:rPr>
        <w:fldChar w:fldCharType="begin"/>
      </w:r>
      <w:r w:rsidR="0052229C" w:rsidRPr="00C040D9">
        <w:rPr>
          <w:b/>
          <w:sz w:val="20"/>
          <w:lang w:val="en-US"/>
        </w:rPr>
        <w:instrText xml:space="preserve"> SEQ CHAPTER \h \r 1</w:instrText>
      </w:r>
      <w:r w:rsidRPr="00202C5F">
        <w:rPr>
          <w:b/>
          <w:sz w:val="20"/>
        </w:rPr>
        <w:fldChar w:fldCharType="end"/>
      </w:r>
      <w:r w:rsidR="005C438E" w:rsidRPr="00C040D9">
        <w:rPr>
          <w:b/>
          <w:sz w:val="20"/>
          <w:lang w:val="en-US"/>
        </w:rPr>
        <w:t>37423</w:t>
      </w:r>
      <w:r w:rsidR="0052229C" w:rsidRPr="00C040D9">
        <w:rPr>
          <w:sz w:val="20"/>
          <w:lang w:val="en-US"/>
        </w:rPr>
        <w:tab/>
      </w:r>
      <w:r w:rsidR="005C438E" w:rsidRPr="00C040D9">
        <w:rPr>
          <w:b/>
          <w:sz w:val="20"/>
          <w:u w:val="single"/>
          <w:lang w:val="en-US"/>
        </w:rPr>
        <w:t>West Fraser Mills Ltd. v. Workers’ Compensation Appeal Tribunal et al.</w:t>
      </w:r>
      <w:r w:rsidR="0052229C" w:rsidRPr="00C040D9">
        <w:rPr>
          <w:b/>
          <w:sz w:val="20"/>
          <w:lang w:val="en-US"/>
        </w:rPr>
        <w:t xml:space="preserve"> </w:t>
      </w:r>
      <w:r w:rsidR="0052229C" w:rsidRPr="00C040D9">
        <w:rPr>
          <w:iCs/>
          <w:sz w:val="20"/>
          <w:lang w:val="en-US"/>
        </w:rPr>
        <w:t>(</w:t>
      </w:r>
      <w:r w:rsidR="005C438E" w:rsidRPr="00C040D9">
        <w:rPr>
          <w:iCs/>
          <w:sz w:val="20"/>
          <w:lang w:val="en-US"/>
        </w:rPr>
        <w:t>B.C.</w:t>
      </w:r>
      <w:r w:rsidR="0052229C" w:rsidRPr="00C040D9">
        <w:rPr>
          <w:iCs/>
          <w:sz w:val="20"/>
          <w:lang w:val="en-US"/>
        </w:rPr>
        <w:t>)</w:t>
      </w:r>
    </w:p>
    <w:p w:rsidR="0052229C" w:rsidRPr="00C040D9"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F33CF4">
        <w:rPr>
          <w:b/>
          <w:sz w:val="20"/>
          <w:lang w:val="en-US"/>
        </w:rPr>
        <w:t>201</w:t>
      </w:r>
      <w:r w:rsidR="00F33CF4" w:rsidRPr="00F33CF4">
        <w:rPr>
          <w:b/>
          <w:sz w:val="20"/>
          <w:lang w:val="en-US"/>
        </w:rPr>
        <w:t>8</w:t>
      </w:r>
      <w:r w:rsidRPr="00F33CF4">
        <w:rPr>
          <w:b/>
          <w:sz w:val="20"/>
          <w:lang w:val="en-US"/>
        </w:rPr>
        <w:t xml:space="preserve"> SCC </w:t>
      </w:r>
      <w:r w:rsidR="00F33CF4" w:rsidRPr="00F33CF4">
        <w:rPr>
          <w:b/>
          <w:sz w:val="20"/>
          <w:lang w:val="en-US"/>
        </w:rPr>
        <w:t>22</w:t>
      </w:r>
      <w:r w:rsidRPr="00F33CF4">
        <w:rPr>
          <w:b/>
          <w:sz w:val="20"/>
          <w:lang w:val="en-US"/>
        </w:rPr>
        <w:t xml:space="preserve"> / 201</w:t>
      </w:r>
      <w:r w:rsidR="00F33CF4" w:rsidRPr="00F33CF4">
        <w:rPr>
          <w:b/>
          <w:sz w:val="20"/>
          <w:lang w:val="en-US"/>
        </w:rPr>
        <w:t>8</w:t>
      </w:r>
      <w:r w:rsidRPr="00F33CF4">
        <w:rPr>
          <w:b/>
          <w:sz w:val="20"/>
          <w:lang w:val="en-US"/>
        </w:rPr>
        <w:t xml:space="preserve"> CSC </w:t>
      </w:r>
      <w:r w:rsidR="00F33CF4" w:rsidRPr="00F33CF4">
        <w:rPr>
          <w:b/>
          <w:sz w:val="20"/>
          <w:lang w:val="en-US"/>
        </w:rPr>
        <w:t>22</w:t>
      </w:r>
    </w:p>
    <w:p w:rsidR="0052229C" w:rsidRPr="00C040D9"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5C438E" w:rsidRDefault="0052229C" w:rsidP="0056248C">
      <w:pPr>
        <w:widowControl w:val="0"/>
        <w:ind w:left="720" w:hanging="720"/>
        <w:rPr>
          <w:sz w:val="20"/>
          <w:szCs w:val="20"/>
          <w:u w:val="single"/>
          <w:lang w:val="en-US"/>
        </w:rPr>
      </w:pPr>
      <w:r w:rsidRPr="005C438E">
        <w:rPr>
          <w:sz w:val="20"/>
          <w:lang w:val="en-US"/>
        </w:rPr>
        <w:t>Coram:</w:t>
      </w:r>
      <w:r w:rsidRPr="005C438E">
        <w:rPr>
          <w:sz w:val="20"/>
          <w:lang w:val="en-US"/>
        </w:rPr>
        <w:tab/>
      </w:r>
      <w:r w:rsidR="0056248C" w:rsidRPr="005C438E">
        <w:rPr>
          <w:sz w:val="20"/>
          <w:szCs w:val="20"/>
          <w:u w:val="single"/>
          <w:lang w:val="en-US"/>
        </w:rPr>
        <w:t xml:space="preserve">McLachlin </w:t>
      </w:r>
      <w:r w:rsidR="005C438E" w:rsidRPr="005C438E">
        <w:rPr>
          <w:sz w:val="20"/>
          <w:szCs w:val="20"/>
          <w:u w:val="single"/>
          <w:lang w:val="en-US"/>
        </w:rPr>
        <w:t xml:space="preserve">CJ and </w:t>
      </w:r>
      <w:r w:rsidR="0056248C" w:rsidRPr="005C438E">
        <w:rPr>
          <w:sz w:val="20"/>
          <w:szCs w:val="20"/>
          <w:u w:val="single"/>
          <w:lang w:val="en-US"/>
        </w:rPr>
        <w:t>Abella, Moldaver, Karakatsanis, Wagner, Gascon, Côté, Brown</w:t>
      </w:r>
      <w:r w:rsidR="005C438E" w:rsidRPr="005C438E">
        <w:rPr>
          <w:sz w:val="20"/>
          <w:szCs w:val="20"/>
          <w:u w:val="single"/>
          <w:lang w:val="en-US"/>
        </w:rPr>
        <w:t xml:space="preserve"> and Rowe JJ.</w:t>
      </w:r>
    </w:p>
    <w:p w:rsidR="0052229C" w:rsidRPr="005C438E" w:rsidRDefault="0052229C" w:rsidP="0052229C">
      <w:pPr>
        <w:ind w:left="1440" w:hanging="1440"/>
        <w:rPr>
          <w:sz w:val="16"/>
          <w:u w:val="single"/>
          <w:lang w:val="en-US"/>
        </w:rPr>
      </w:pPr>
    </w:p>
    <w:p w:rsidR="00D004FC" w:rsidRPr="00C15495" w:rsidRDefault="00F82568" w:rsidP="00D004FC">
      <w:pPr>
        <w:jc w:val="both"/>
        <w:rPr>
          <w:rFonts w:cs="Times New Roman"/>
          <w:sz w:val="20"/>
          <w:szCs w:val="20"/>
          <w:lang w:val="fr-CA"/>
        </w:rPr>
      </w:pPr>
      <w:r w:rsidRPr="00F82568">
        <w:rPr>
          <w:rFonts w:cs="Times New Roman"/>
          <w:sz w:val="20"/>
          <w:szCs w:val="20"/>
        </w:rPr>
        <w:t xml:space="preserve">The appeal from the judgment of the Court of Appeal for British Columbia (Vancouver), Number CA42920, 2016 BCCA 473, dated November 28, 2016, heard on December 4, 2017, is dismissed and the decision of the Workers’ Compensation Appeal Tribunal is confirmed with costs in this Court and below to the Workers’ Compensation Board of British Columbia. </w:t>
      </w:r>
      <w:r w:rsidRPr="00C15495">
        <w:rPr>
          <w:rFonts w:cs="Times New Roman"/>
          <w:sz w:val="20"/>
          <w:szCs w:val="20"/>
          <w:lang w:val="fr-CA"/>
        </w:rPr>
        <w:t>Côté, Brown and Rowe JJ. dissent.</w:t>
      </w:r>
    </w:p>
    <w:p w:rsidR="00D004FC" w:rsidRPr="00C15495"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F82568" w:rsidRPr="00C040D9" w:rsidRDefault="00F82568"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en-US"/>
        </w:rPr>
      </w:pPr>
      <w:r w:rsidRPr="00F82568">
        <w:rPr>
          <w:rFonts w:cs="Times New Roman"/>
          <w:sz w:val="20"/>
          <w:szCs w:val="20"/>
          <w:lang w:val="fr-CA"/>
        </w:rPr>
        <w:t>L’appel interjeté contre l’arrêt de la Cour d’appel de la Colombie-Britannique (Vancouver), numéro CA42920, 2016 BCCA 473, daté du 28 novembre 2016, entendu le 4 décembre 2017, est rejeté et la décision du Workers’ Compensation Appeal Tribunal est confirmée avec dépens devant la Cour et les juridictions inférieures en faveur de la Workers’ Compensation Board of British Columbia. Les juges Côté, Brown et Rowe sont dissidents.</w:t>
      </w: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C15495" w:rsidRDefault="005C438E" w:rsidP="0052229C">
      <w:pPr>
        <w:ind w:left="1440" w:hanging="1440"/>
        <w:jc w:val="both"/>
        <w:rPr>
          <w:sz w:val="20"/>
          <w:szCs w:val="20"/>
        </w:rPr>
      </w:pPr>
      <w:r w:rsidRPr="00C15495">
        <w:rPr>
          <w:rFonts w:eastAsia="Calibri"/>
          <w:i/>
          <w:sz w:val="20"/>
          <w:szCs w:val="20"/>
        </w:rPr>
        <w:t xml:space="preserve">West Fraser Mills Ltd. </w:t>
      </w:r>
      <w:r w:rsidRPr="00C15495">
        <w:rPr>
          <w:rFonts w:eastAsia="Calibri"/>
          <w:i/>
          <w:sz w:val="20"/>
          <w:szCs w:val="20"/>
          <w:lang w:val="en-US"/>
        </w:rPr>
        <w:t>v</w:t>
      </w:r>
      <w:r w:rsidRPr="00C15495">
        <w:rPr>
          <w:rFonts w:eastAsia="Calibri"/>
          <w:i/>
          <w:sz w:val="20"/>
          <w:szCs w:val="20"/>
        </w:rPr>
        <w:t xml:space="preserve">. Workers’ Compensation Appeal Tribunal et al. </w:t>
      </w:r>
      <w:r w:rsidR="0052229C" w:rsidRPr="00C15495">
        <w:rPr>
          <w:sz w:val="20"/>
          <w:szCs w:val="20"/>
        </w:rPr>
        <w:t>(</w:t>
      </w:r>
      <w:r w:rsidRPr="00C15495">
        <w:rPr>
          <w:sz w:val="20"/>
          <w:szCs w:val="20"/>
        </w:rPr>
        <w:t>B.C.)</w:t>
      </w:r>
      <w:r w:rsidR="0052229C" w:rsidRPr="00C15495">
        <w:rPr>
          <w:sz w:val="20"/>
          <w:szCs w:val="20"/>
        </w:rPr>
        <w:t xml:space="preserve"> (</w:t>
      </w:r>
      <w:hyperlink r:id="rId76" w:history="1">
        <w:r w:rsidRPr="00C15495">
          <w:rPr>
            <w:rStyle w:val="Hyperlink"/>
            <w:sz w:val="20"/>
            <w:szCs w:val="20"/>
          </w:rPr>
          <w:t>37423</w:t>
        </w:r>
      </w:hyperlink>
      <w:r w:rsidR="0052229C" w:rsidRPr="00C15495">
        <w:rPr>
          <w:sz w:val="20"/>
          <w:szCs w:val="20"/>
        </w:rPr>
        <w:t>)</w:t>
      </w:r>
    </w:p>
    <w:p w:rsidR="0052229C" w:rsidRPr="00C15495" w:rsidRDefault="00C15495" w:rsidP="0052229C">
      <w:pPr>
        <w:jc w:val="both"/>
        <w:rPr>
          <w:rFonts w:cs="Times New Roman"/>
          <w:b/>
          <w:sz w:val="20"/>
          <w:szCs w:val="20"/>
          <w:lang w:val="en-US" w:eastAsia="en-CA"/>
        </w:rPr>
      </w:pPr>
      <w:r>
        <w:rPr>
          <w:b/>
          <w:sz w:val="20"/>
          <w:szCs w:val="20"/>
        </w:rPr>
        <w:t xml:space="preserve">Indexed as: </w:t>
      </w:r>
      <w:r w:rsidRPr="00C15495">
        <w:rPr>
          <w:rFonts w:cs="Times New Roman"/>
          <w:b/>
          <w:sz w:val="20"/>
          <w:szCs w:val="20"/>
          <w:lang w:eastAsia="en-CA"/>
        </w:rPr>
        <w:t xml:space="preserve">West Fraser Mills Ltd. </w:t>
      </w:r>
      <w:r w:rsidRPr="00C15495">
        <w:rPr>
          <w:rFonts w:cs="Times New Roman"/>
          <w:b/>
          <w:i/>
          <w:sz w:val="20"/>
          <w:szCs w:val="20"/>
          <w:lang w:eastAsia="en-CA"/>
        </w:rPr>
        <w:t>v.</w:t>
      </w:r>
      <w:r w:rsidRPr="00C15495">
        <w:rPr>
          <w:rFonts w:cs="Times New Roman"/>
          <w:b/>
          <w:sz w:val="20"/>
          <w:szCs w:val="20"/>
          <w:lang w:eastAsia="en-CA"/>
        </w:rPr>
        <w:t xml:space="preserve"> British Columbia (Workers’ Compensation Appeal Tribunal) </w:t>
      </w:r>
      <w:r w:rsidR="0052229C" w:rsidRPr="00C15495">
        <w:rPr>
          <w:rStyle w:val="SCCRespondentForIndexChar"/>
          <w:rFonts w:eastAsiaTheme="minorHAnsi"/>
          <w:sz w:val="20"/>
          <w:lang w:val="en-US"/>
        </w:rPr>
        <w:t>/</w:t>
      </w:r>
      <w:r w:rsidRPr="00C15495">
        <w:rPr>
          <w:rStyle w:val="SCCRespondentForIndexChar"/>
          <w:rFonts w:eastAsiaTheme="minorHAnsi"/>
          <w:sz w:val="20"/>
          <w:lang w:val="en-US"/>
        </w:rPr>
        <w:t xml:space="preserve"> </w:t>
      </w:r>
      <w:r w:rsidRPr="00C15495">
        <w:rPr>
          <w:b/>
          <w:sz w:val="20"/>
          <w:szCs w:val="20"/>
          <w:lang w:val="en-US"/>
        </w:rPr>
        <w:t>Répertorié</w:t>
      </w:r>
      <w:r w:rsidR="0052229C" w:rsidRPr="00C15495">
        <w:rPr>
          <w:b/>
          <w:sz w:val="20"/>
          <w:szCs w:val="20"/>
          <w:lang w:val="en-US"/>
        </w:rPr>
        <w:t>: </w:t>
      </w:r>
      <w:r w:rsidRPr="00C15495">
        <w:rPr>
          <w:rFonts w:cs="Times New Roman"/>
          <w:b/>
          <w:sz w:val="20"/>
          <w:szCs w:val="20"/>
          <w:lang w:val="en-US" w:eastAsia="en-CA"/>
        </w:rPr>
        <w:t xml:space="preserve">West Fraser Mills Ltd. </w:t>
      </w:r>
      <w:r w:rsidRPr="00C15495">
        <w:rPr>
          <w:rFonts w:cs="Times New Roman"/>
          <w:b/>
          <w:i/>
          <w:sz w:val="20"/>
          <w:szCs w:val="20"/>
          <w:lang w:val="en-US" w:eastAsia="en-CA"/>
        </w:rPr>
        <w:t>c.</w:t>
      </w:r>
      <w:r w:rsidRPr="00C15495">
        <w:rPr>
          <w:rFonts w:cs="Times New Roman"/>
          <w:b/>
          <w:sz w:val="20"/>
          <w:szCs w:val="20"/>
          <w:lang w:val="en-US" w:eastAsia="en-CA"/>
        </w:rPr>
        <w:t xml:space="preserve"> Colombie</w:t>
      </w:r>
      <w:r w:rsidRPr="00C15495">
        <w:rPr>
          <w:rFonts w:cs="Times New Roman"/>
          <w:b/>
          <w:sz w:val="20"/>
          <w:szCs w:val="20"/>
          <w:lang w:val="en-US" w:eastAsia="en-CA"/>
        </w:rPr>
        <w:noBreakHyphen/>
        <w:t>Britannique (Workers’ Compensation Appeal Tribunal)</w:t>
      </w:r>
    </w:p>
    <w:p w:rsidR="0052229C" w:rsidRPr="00C15495" w:rsidRDefault="00C15495" w:rsidP="0052229C">
      <w:pPr>
        <w:pStyle w:val="SCCSystemYear"/>
        <w:jc w:val="both"/>
        <w:rPr>
          <w:sz w:val="20"/>
        </w:rPr>
      </w:pPr>
      <w:r w:rsidRPr="00C15495">
        <w:rPr>
          <w:sz w:val="20"/>
        </w:rPr>
        <w:t>Neutral citation:</w:t>
      </w:r>
      <w:r w:rsidR="0052229C" w:rsidRPr="00C15495">
        <w:rPr>
          <w:sz w:val="20"/>
        </w:rPr>
        <w:t xml:space="preserve"> </w:t>
      </w:r>
      <w:r w:rsidR="0030050B" w:rsidRPr="00C15495">
        <w:rPr>
          <w:sz w:val="20"/>
        </w:rPr>
        <w:t>201</w:t>
      </w:r>
      <w:r w:rsidRPr="00C15495">
        <w:rPr>
          <w:sz w:val="20"/>
        </w:rPr>
        <w:t>8 SCC 22</w:t>
      </w:r>
      <w:r w:rsidR="0052229C" w:rsidRPr="00C15495">
        <w:rPr>
          <w:sz w:val="20"/>
        </w:rPr>
        <w:t xml:space="preserve"> / Référence neutre : </w:t>
      </w:r>
      <w:r w:rsidR="0030050B" w:rsidRPr="00C15495">
        <w:rPr>
          <w:sz w:val="20"/>
        </w:rPr>
        <w:t>201</w:t>
      </w:r>
      <w:r w:rsidRPr="00C15495">
        <w:rPr>
          <w:sz w:val="20"/>
        </w:rPr>
        <w:t>8</w:t>
      </w:r>
      <w:r w:rsidR="0052229C" w:rsidRPr="00C15495">
        <w:rPr>
          <w:sz w:val="20"/>
        </w:rPr>
        <w:t xml:space="preserve"> CSC </w:t>
      </w:r>
      <w:r w:rsidRPr="00C15495">
        <w:rPr>
          <w:sz w:val="20"/>
        </w:rPr>
        <w:t>22</w:t>
      </w:r>
    </w:p>
    <w:p w:rsidR="0052229C" w:rsidRPr="00C15495" w:rsidRDefault="00C15495" w:rsidP="0052229C">
      <w:pPr>
        <w:rPr>
          <w:rFonts w:cs="Times New Roman"/>
          <w:sz w:val="20"/>
          <w:szCs w:val="20"/>
          <w:lang w:val="fr-CA"/>
        </w:rPr>
      </w:pPr>
      <w:r w:rsidRPr="00C15495">
        <w:rPr>
          <w:rFonts w:cs="Times New Roman"/>
          <w:sz w:val="20"/>
          <w:szCs w:val="20"/>
          <w:lang w:val="fr-CA"/>
        </w:rPr>
        <w:t xml:space="preserve">Hearing: December 4, </w:t>
      </w:r>
      <w:r w:rsidR="0052229C" w:rsidRPr="00C15495">
        <w:rPr>
          <w:rFonts w:cs="Times New Roman"/>
          <w:sz w:val="20"/>
          <w:szCs w:val="20"/>
          <w:lang w:val="fr-CA"/>
        </w:rPr>
        <w:t>201</w:t>
      </w:r>
      <w:r w:rsidRPr="00C15495">
        <w:rPr>
          <w:rFonts w:cs="Times New Roman"/>
          <w:sz w:val="20"/>
          <w:szCs w:val="20"/>
          <w:lang w:val="fr-CA"/>
        </w:rPr>
        <w:t>7 / Judgment: May 18, 2018</w:t>
      </w:r>
    </w:p>
    <w:p w:rsidR="0052229C" w:rsidRPr="00C15495" w:rsidRDefault="0052229C" w:rsidP="0052229C">
      <w:pPr>
        <w:rPr>
          <w:rFonts w:cs="Times New Roman"/>
          <w:sz w:val="20"/>
          <w:szCs w:val="20"/>
          <w:lang w:val="fr-CA"/>
        </w:rPr>
      </w:pPr>
      <w:r w:rsidRPr="00C15495">
        <w:rPr>
          <w:rFonts w:cs="Times New Roman"/>
          <w:sz w:val="20"/>
          <w:szCs w:val="20"/>
          <w:lang w:val="fr-CA"/>
        </w:rPr>
        <w:t xml:space="preserve">Audition : Le </w:t>
      </w:r>
      <w:r w:rsidR="00C15495" w:rsidRPr="00C15495">
        <w:rPr>
          <w:rFonts w:cs="Times New Roman"/>
          <w:sz w:val="20"/>
          <w:szCs w:val="20"/>
          <w:lang w:val="fr-CA"/>
        </w:rPr>
        <w:t>4 décembre 2017 / Jugement : Le 18 mai 2018</w:t>
      </w:r>
    </w:p>
    <w:p w:rsidR="005C6840" w:rsidRPr="005C438E" w:rsidRDefault="00FE4582" w:rsidP="005C6840">
      <w:pPr>
        <w:rPr>
          <w:rFonts w:cs="Times New Roman"/>
          <w:sz w:val="20"/>
          <w:szCs w:val="20"/>
        </w:rPr>
      </w:pPr>
      <w:r>
        <w:rPr>
          <w:rFonts w:cs="Times New Roman"/>
          <w:i/>
          <w:sz w:val="20"/>
          <w:szCs w:val="20"/>
        </w:rPr>
        <w:pict>
          <v:rect id="_x0000_i1071" style="width:480.95pt;height:1pt" o:hralign="center" o:hrstd="t" o:hrnoshade="t" o:hr="t" fillcolor="black [3213]" stroked="f"/>
        </w:pict>
      </w:r>
    </w:p>
    <w:p w:rsidR="005C6840" w:rsidRPr="005C438E" w:rsidRDefault="005C6840" w:rsidP="005C6840">
      <w:pPr>
        <w:rPr>
          <w:rFonts w:cs="Times New Roman"/>
          <w:sz w:val="20"/>
          <w:szCs w:val="20"/>
        </w:rPr>
      </w:pPr>
    </w:p>
    <w:p w:rsidR="0052229C" w:rsidRPr="005A1E5C" w:rsidRDefault="0052229C" w:rsidP="0052229C">
      <w:pPr>
        <w:jc w:val="both"/>
        <w:rPr>
          <w:sz w:val="20"/>
          <w:szCs w:val="20"/>
        </w:rPr>
      </w:pPr>
      <w:r w:rsidRPr="005A1E5C">
        <w:rPr>
          <w:sz w:val="20"/>
          <w:szCs w:val="20"/>
        </w:rPr>
        <w:t xml:space="preserve">Present:  </w:t>
      </w:r>
      <w:r w:rsidR="0056248C" w:rsidRPr="0056248C">
        <w:rPr>
          <w:sz w:val="20"/>
          <w:szCs w:val="20"/>
        </w:rPr>
        <w:t>McLachlin</w:t>
      </w:r>
      <w:r w:rsidR="00616561">
        <w:rPr>
          <w:sz w:val="20"/>
          <w:szCs w:val="20"/>
        </w:rPr>
        <w:t xml:space="preserve"> C.J.</w:t>
      </w:r>
      <w:r w:rsidR="0056248C" w:rsidRPr="0056248C">
        <w:rPr>
          <w:sz w:val="20"/>
          <w:szCs w:val="20"/>
        </w:rPr>
        <w:t xml:space="preserve"> and Abella, Moldaver, Karakatsanis, Wagner, Gascon, Côté, Brown and Rowe JJ.</w:t>
      </w:r>
    </w:p>
    <w:p w:rsidR="0052229C" w:rsidRDefault="0052229C" w:rsidP="0052229C">
      <w:pPr>
        <w:pStyle w:val="SCCLowerCourtNameLowercase"/>
        <w:spacing w:line="240" w:lineRule="auto"/>
        <w:rPr>
          <w:sz w:val="20"/>
        </w:rPr>
      </w:pPr>
    </w:p>
    <w:p w:rsidR="00C15495" w:rsidRDefault="00C15495" w:rsidP="005C438E">
      <w:pPr>
        <w:pStyle w:val="SCCNormalDoubleSpacing"/>
        <w:spacing w:line="240" w:lineRule="auto"/>
        <w:rPr>
          <w:sz w:val="20"/>
        </w:rPr>
      </w:pPr>
    </w:p>
    <w:p w:rsidR="00C15495" w:rsidRPr="00C15495" w:rsidRDefault="00C15495" w:rsidP="00C15495">
      <w:pPr>
        <w:pStyle w:val="SCCNormalDoubleSpacing"/>
        <w:spacing w:after="240" w:line="240" w:lineRule="auto"/>
        <w:ind w:firstLine="720"/>
        <w:rPr>
          <w:i/>
          <w:sz w:val="20"/>
        </w:rPr>
      </w:pPr>
      <w:r w:rsidRPr="00C15495">
        <w:rPr>
          <w:i/>
          <w:sz w:val="20"/>
        </w:rPr>
        <w:t>Administrative law — Boards and tribunals — Jurisdiction — Workers’ Compensation Board of British Columbia — Regulation adopted by Board imposing duty on owners of forestry operation to ensure that their operations are planned and conducted in accordance with safe work practices — Whether regulation ultra vires — Applicable standard of review to exercise of Board’s delegated regulatory authority — Workers Compensation Act, R.S.B.C. 1992, c. 492, s. 225 — Occupational Health and Safety Regulation, B.C. Reg. 296/97, s. 26.2(1).</w:t>
      </w:r>
    </w:p>
    <w:p w:rsidR="00C15495" w:rsidRPr="00C15495" w:rsidRDefault="00C15495" w:rsidP="00C15495">
      <w:pPr>
        <w:pStyle w:val="SCCNormalDoubleSpacing"/>
        <w:spacing w:after="240" w:line="240" w:lineRule="auto"/>
        <w:rPr>
          <w:i/>
          <w:sz w:val="20"/>
        </w:rPr>
      </w:pPr>
      <w:r w:rsidRPr="00C15495">
        <w:rPr>
          <w:i/>
          <w:sz w:val="20"/>
        </w:rPr>
        <w:tab/>
        <w:t>Workers’ compensation — Forestry operation — Offences and enforcement — Administrative penalty — Interpretation — Owner — Employer — Tree faller fatally struck by rotting tree while working within forestry operation — Owner of forestry operation employed site supervisor — Tree faller employed by independent contractor — Workers’ Compensation Board found that owner had failed to ensure that all forestry operations were planned and conducted consistent with Occupational Health and Safety Regulation — Workers Compensation Act permitting Board to penalize “an employer” — Board imposed administrative penalty on owner — Decision confirmed by Workers’ Compensation Appeal Tribunal — Whether Tribunal’s interpretation of administrative penalty provision to enable penalty against “owner” was patently unreasonable — Workers Compensation Act, R.S.B.C. 1992, c. 492, s. 196(1) — Occupational Health and Safety Regulation, B.C. Reg. 296/97, s. 26.2(1).</w:t>
      </w:r>
    </w:p>
    <w:p w:rsidR="00C15495" w:rsidRPr="00C15495" w:rsidRDefault="00C15495" w:rsidP="00C15495">
      <w:pPr>
        <w:pStyle w:val="SCCNormalDoubleSpacing"/>
        <w:spacing w:after="240" w:line="240" w:lineRule="auto"/>
        <w:rPr>
          <w:sz w:val="20"/>
        </w:rPr>
      </w:pPr>
      <w:r w:rsidRPr="00C15495">
        <w:rPr>
          <w:sz w:val="20"/>
        </w:rPr>
        <w:tab/>
        <w:t xml:space="preserve">A tree faller was fatally struck by a rotting tree while working within the area of a forest license held by West Fraser Mills Ltd. The faller was employed by an independent contractor. As the license holder, West Fraser Mills was the “owner” of the workplace, as defined in Part 3 of the </w:t>
      </w:r>
      <w:r w:rsidRPr="00C15495">
        <w:rPr>
          <w:i/>
          <w:sz w:val="20"/>
        </w:rPr>
        <w:t>Workers Compensation Act</w:t>
      </w:r>
      <w:r w:rsidRPr="00C15495">
        <w:rPr>
          <w:sz w:val="20"/>
        </w:rPr>
        <w:t>.</w:t>
      </w:r>
    </w:p>
    <w:p w:rsidR="00C15495" w:rsidRPr="00C15495" w:rsidRDefault="00C15495" w:rsidP="00C15495">
      <w:pPr>
        <w:pStyle w:val="SCCNormalDoubleSpacing"/>
        <w:spacing w:after="240" w:line="240" w:lineRule="auto"/>
        <w:rPr>
          <w:sz w:val="20"/>
          <w:u w:val="single"/>
        </w:rPr>
      </w:pPr>
      <w:r w:rsidRPr="00C15495">
        <w:rPr>
          <w:sz w:val="20"/>
        </w:rPr>
        <w:tab/>
        <w:t xml:space="preserve">The Workers’ Compensation Board investigated the accident and concluded that West Fraser Mills had failed to ensure that all activities of the forestry operation were planned and conducted in a manner consistent with s. 26.2(1) of the </w:t>
      </w:r>
      <w:r w:rsidRPr="00C15495">
        <w:rPr>
          <w:i/>
          <w:sz w:val="20"/>
        </w:rPr>
        <w:t>Occupational Health and Safety Regulation</w:t>
      </w:r>
      <w:r w:rsidRPr="00C15495">
        <w:rPr>
          <w:sz w:val="20"/>
        </w:rPr>
        <w:t>, which had been adopted by the Board pursuant to s. 225 of the Act. The Board also imposed an administrative penalty on West Fraser Mills pursuant to s. 196(1) of the Act, which permits the Board to penalize an “employer”. These aspects of its decision were confirmed by the review division. The Workers’ Compensation Appeal Tribunal dismissed West Fraser Mills’ appeal, but reduced the administrative penalty. The British Columbia Supreme Court and the Court of Appeal upheld the Tribunal’s order.</w:t>
      </w:r>
    </w:p>
    <w:p w:rsidR="00C15495" w:rsidRPr="00C15495" w:rsidRDefault="00C15495" w:rsidP="00C15495">
      <w:pPr>
        <w:pStyle w:val="SCCNormalDoubleSpacing"/>
        <w:spacing w:after="240" w:line="240" w:lineRule="auto"/>
        <w:rPr>
          <w:sz w:val="20"/>
        </w:rPr>
      </w:pPr>
      <w:r w:rsidRPr="00C15495">
        <w:rPr>
          <w:sz w:val="20"/>
        </w:rPr>
        <w:tab/>
      </w:r>
      <w:r w:rsidRPr="00C15495">
        <w:rPr>
          <w:i/>
          <w:sz w:val="20"/>
        </w:rPr>
        <w:t>Held</w:t>
      </w:r>
      <w:r w:rsidRPr="00C15495">
        <w:rPr>
          <w:sz w:val="20"/>
        </w:rPr>
        <w:t xml:space="preserve"> (Côté, Brown and Rowe JJ. dissenting): The appeal should be dismissed.</w:t>
      </w:r>
    </w:p>
    <w:p w:rsidR="00C15495" w:rsidRPr="00C15495" w:rsidRDefault="00C15495" w:rsidP="00C15495">
      <w:pPr>
        <w:pStyle w:val="SCCNormalDoubleSpacing"/>
        <w:spacing w:after="240" w:line="240" w:lineRule="auto"/>
        <w:rPr>
          <w:sz w:val="20"/>
        </w:rPr>
      </w:pPr>
      <w:r w:rsidRPr="00C15495">
        <w:rPr>
          <w:sz w:val="20"/>
        </w:rPr>
        <w:tab/>
      </w:r>
      <w:r w:rsidRPr="00C15495">
        <w:rPr>
          <w:i/>
          <w:sz w:val="20"/>
        </w:rPr>
        <w:t>Per</w:t>
      </w:r>
      <w:r w:rsidRPr="00C15495">
        <w:rPr>
          <w:sz w:val="20"/>
        </w:rPr>
        <w:t xml:space="preserve"> </w:t>
      </w:r>
      <w:r w:rsidRPr="00C15495">
        <w:rPr>
          <w:b/>
          <w:sz w:val="20"/>
        </w:rPr>
        <w:t>McLachlin</w:t>
      </w:r>
      <w:r w:rsidRPr="00C15495">
        <w:rPr>
          <w:sz w:val="20"/>
        </w:rPr>
        <w:t xml:space="preserve"> C.J. and Abella, Moldaver, Karakatsanis, Wagner and Gascon JJ.: Section 225 of the Act empowers the Board to “make regulations [it] considers necessary or advisable in relation to occupational health and safety and occupational environment”. Where the statute confers such a broad power on a board to determine what regulations are necessary or advisable to accomplish the statute’s goals, the question the court must answer is not one of </w:t>
      </w:r>
      <w:r w:rsidRPr="00C15495">
        <w:rPr>
          <w:i/>
          <w:sz w:val="20"/>
        </w:rPr>
        <w:t>vires</w:t>
      </w:r>
      <w:r w:rsidRPr="00C15495">
        <w:rPr>
          <w:sz w:val="20"/>
        </w:rPr>
        <w:t xml:space="preserve"> in the traditional sense, but whether the regulation at issue represents a reasonable exercise of the delegated power, having regard to the statute’s goal. Section </w:t>
      </w:r>
      <w:r w:rsidRPr="00C15495">
        <w:rPr>
          <w:sz w:val="20"/>
          <w:lang w:val="en-US"/>
        </w:rPr>
        <w:t>26.2(1) is clearly linked to workplace safety and meets this requirement.</w:t>
      </w:r>
      <w:r w:rsidRPr="00C15495">
        <w:rPr>
          <w:sz w:val="20"/>
        </w:rPr>
        <w:t xml:space="preserve"> It also fits with other provisions of the statute, which allow the Board to make regulations that apply to any persons working in or contributing to the production of an industry and in support of the promotion of occupational health and safety in the workplace in broad terms. Finally, two external contextual factors, both within the expertise and capacity of the Board, are relevant. First, the Board adopted s. 26.2(1) in its present form in response to a concern </w:t>
      </w:r>
      <w:r w:rsidRPr="00C15495">
        <w:rPr>
          <w:sz w:val="20"/>
        </w:rPr>
        <w:lastRenderedPageBreak/>
        <w:t>about the growing rate of workplace fatalities in the forestry sector, a concern that is plainly one of “occupational health and safety and occupational environment”, the focus of s. 225 of the Act. Second, s. 26.2(1) is a natural extension of an owner’s duty to maintain the worksite. To fulfill that duty, the owner must ensure that the work is planned and conducted safely.</w:t>
      </w:r>
    </w:p>
    <w:p w:rsidR="00C15495" w:rsidRPr="00C15495" w:rsidRDefault="00C15495" w:rsidP="00C15495">
      <w:pPr>
        <w:pStyle w:val="SCCNormalDoubleSpacing"/>
        <w:spacing w:after="240" w:line="240" w:lineRule="auto"/>
        <w:rPr>
          <w:sz w:val="20"/>
        </w:rPr>
      </w:pPr>
      <w:r w:rsidRPr="00C15495">
        <w:rPr>
          <w:sz w:val="20"/>
        </w:rPr>
        <w:tab/>
        <w:t>With respect to the administrative penalty provision, the Tribunal’s interpretation of s. 196(1) was not patently unreasonable. Courts reviewing administrative decisions are obliged to consider, not only the text of the law and how its internal provisions fit together, but also the consequences of interpreting a provision one way or the other and the reality of how the statutory scheme operates on the ground, particularly where the standard of review is patent unreasonableness.</w:t>
      </w:r>
    </w:p>
    <w:p w:rsidR="00C15495" w:rsidRPr="00C15495" w:rsidRDefault="00C15495" w:rsidP="00C15495">
      <w:pPr>
        <w:pStyle w:val="SCCNormalDoubleSpacing"/>
        <w:spacing w:after="240" w:line="240" w:lineRule="auto"/>
        <w:rPr>
          <w:sz w:val="20"/>
        </w:rPr>
      </w:pPr>
      <w:r w:rsidRPr="00C15495">
        <w:rPr>
          <w:sz w:val="20"/>
          <w:lang w:val="en-US"/>
        </w:rPr>
        <w:tab/>
        <w:t>The Tribunal had before it two competing plausible interpretations of s. 196(1). One was a narrow approach that would undermine the goals of the statute. The other was a broad approach, which both recognized the complexity of overlapping and interacting roles on the actual worksite and would further the goals of the statute and the scheme built upon it. The Tribunal’s choice of the second approach was not openly, clearly and evidently unreasonable so as to border on the absurd</w:t>
      </w:r>
      <w:r w:rsidRPr="00C15495">
        <w:rPr>
          <w:sz w:val="20"/>
        </w:rPr>
        <w:t xml:space="preserve">. </w:t>
      </w:r>
      <w:r w:rsidRPr="00C15495">
        <w:rPr>
          <w:sz w:val="20"/>
          <w:lang w:val="en-US"/>
        </w:rPr>
        <w:t xml:space="preserve">In this case, the respective consequences of the competing interpretations and the intended operation of the scheme mitigate against finding that the interpretation chosen by the Tribunal is patently unreasonable. </w:t>
      </w:r>
      <w:r w:rsidRPr="00C15495">
        <w:rPr>
          <w:sz w:val="20"/>
        </w:rPr>
        <w:t>West Fraser Mills’ obligation to ensure the health and safety of workers at the worksite was not limited to the health and safety of its own employees.</w:t>
      </w:r>
      <w:r w:rsidRPr="00C15495">
        <w:rPr>
          <w:sz w:val="20"/>
          <w:lang w:val="en-US"/>
        </w:rPr>
        <w:t xml:space="preserve"> </w:t>
      </w:r>
      <w:r w:rsidRPr="00C15495">
        <w:rPr>
          <w:sz w:val="20"/>
        </w:rPr>
        <w:t>A broad interpretation of s. 196(1) to include employers under the Act whose conduct can constitute a breach of their obligations as owners will best further the statutory goal of promoting workplace health and safety and deterring future accidents. This interpretation is also responsive to the reality that maintaining workplace safety is a complex exercise involving shared responsibilities of all concerned. Finally, while s. 196(1) can be engaged on the basis of an employer’s failure to comply with specific obligations provided in the Act, the provision is not limited to such circumstances.</w:t>
      </w:r>
    </w:p>
    <w:p w:rsidR="00C15495" w:rsidRPr="00C15495" w:rsidRDefault="00C15495" w:rsidP="00C15495">
      <w:pPr>
        <w:pStyle w:val="SCCNormalDoubleSpacing"/>
        <w:spacing w:after="240" w:line="240" w:lineRule="auto"/>
        <w:rPr>
          <w:sz w:val="20"/>
        </w:rPr>
      </w:pPr>
      <w:r w:rsidRPr="00C15495">
        <w:rPr>
          <w:i/>
          <w:sz w:val="20"/>
        </w:rPr>
        <w:tab/>
        <w:t>Per</w:t>
      </w:r>
      <w:r w:rsidRPr="00C15495">
        <w:rPr>
          <w:sz w:val="20"/>
        </w:rPr>
        <w:t xml:space="preserve"> </w:t>
      </w:r>
      <w:r w:rsidRPr="00C15495">
        <w:rPr>
          <w:b/>
          <w:sz w:val="20"/>
        </w:rPr>
        <w:t>Côté</w:t>
      </w:r>
      <w:r w:rsidRPr="00C15495">
        <w:rPr>
          <w:sz w:val="20"/>
        </w:rPr>
        <w:t xml:space="preserve"> J. (dissenting): Section 26.2(1) of the Regulation is </w:t>
      </w:r>
      <w:r w:rsidRPr="00C15495">
        <w:rPr>
          <w:i/>
          <w:sz w:val="20"/>
        </w:rPr>
        <w:t>ultra vires</w:t>
      </w:r>
      <w:r w:rsidRPr="00C15495">
        <w:rPr>
          <w:sz w:val="20"/>
        </w:rPr>
        <w:t xml:space="preserve"> on the correctness standard of review, but even if this were not the case, it was patently unreasonable to </w:t>
      </w:r>
      <w:r w:rsidRPr="00C15495">
        <w:rPr>
          <w:sz w:val="20"/>
          <w:lang w:val="en-US"/>
        </w:rPr>
        <w:t>impose</w:t>
      </w:r>
      <w:r w:rsidRPr="00C15495">
        <w:rPr>
          <w:sz w:val="20"/>
        </w:rPr>
        <w:t xml:space="preserve"> an administrative penalty — applicable only to breaches committed when acting in the capacity of an employer — on the basis that West Fraser Mills was found guilty of breaching its obligations as an owner under s. 26.2(1).</w:t>
      </w:r>
    </w:p>
    <w:p w:rsidR="00C15495" w:rsidRPr="00C15495" w:rsidRDefault="00C15495" w:rsidP="00C15495">
      <w:pPr>
        <w:pStyle w:val="SCCNormalDoubleSpacing"/>
        <w:spacing w:after="240" w:line="240" w:lineRule="auto"/>
        <w:rPr>
          <w:sz w:val="20"/>
        </w:rPr>
      </w:pPr>
      <w:r w:rsidRPr="00C15495">
        <w:rPr>
          <w:sz w:val="20"/>
        </w:rPr>
        <w:tab/>
        <w:t>When a regulator acts in an adjudicative capacity, it may bring technical expertise to bear or exercise discretion in accordance with policy preferences. In this context, there may exist a range of reasonable conclusions. However, when a regulator acts in a legislative capacity, the court must determine whether the impugned regulation falls within that grant of authority. In that situation, there is no reasonable range of outcomes, so correctness is the appropriate standard of review. Here, the Board concedes that it was engaged in an exercise of legislative power when it enacted s. 26.2(1), so it is not entitled to any deference as to its own conclusion that it had the authority to enact the impugned regulation.</w:t>
      </w:r>
    </w:p>
    <w:p w:rsidR="00C15495" w:rsidRPr="00C15495" w:rsidRDefault="00C15495" w:rsidP="00C15495">
      <w:pPr>
        <w:pStyle w:val="SCCNormalDoubleSpacing"/>
        <w:spacing w:after="240" w:line="240" w:lineRule="auto"/>
        <w:rPr>
          <w:sz w:val="20"/>
        </w:rPr>
      </w:pPr>
      <w:r w:rsidRPr="00C15495">
        <w:rPr>
          <w:sz w:val="20"/>
        </w:rPr>
        <w:tab/>
        <w:t>A regulation may not undermine the operation of the statute as a whole by assigning duties to owners that are clearly not contemplated by the Act. In enacting s. 26.2(1), the Board exceeded its mandate and the scope of its delegated legislative powers by impermissibly conflating the duties of owners and employers in the context of a statutory scheme that sets out separate and defined obligations for those workplace entities. The legislative scheme defines “employer” and “owner” as separate entities and expressly differentiates their duties in ss. 115 to 121. Read together, ss. 115 and 119, which set out the general duties of employers and owners, respectively, create separate silos of responsibility, whereby the duties ascribed to employers and owners are tethered to their unique roles and capacities to ensure workplace safety. Employers are in the best position to ensure that workers are informed of known or reasonably foreseeable safety hazards because of their direct supervisory relationship with their employees; owners are in the best position to assume macro</w:t>
      </w:r>
      <w:r w:rsidRPr="00C15495">
        <w:rPr>
          <w:sz w:val="20"/>
        </w:rPr>
        <w:noBreakHyphen/>
        <w:t xml:space="preserve">level responsibilities pertaining to the workplace more generally. </w:t>
      </w:r>
    </w:p>
    <w:p w:rsidR="00C15495" w:rsidRPr="00C15495" w:rsidRDefault="00C15495" w:rsidP="00C15495">
      <w:pPr>
        <w:pStyle w:val="SCCNormalDoubleSpacing"/>
        <w:spacing w:after="240" w:line="240" w:lineRule="auto"/>
        <w:rPr>
          <w:sz w:val="20"/>
        </w:rPr>
      </w:pPr>
      <w:r w:rsidRPr="00C15495">
        <w:rPr>
          <w:sz w:val="20"/>
        </w:rPr>
        <w:tab/>
        <w:t>This structural reading of the statute is bolstered by s. 107(2)(e) of the Act. Section 107(2)(e) states that one of the purposes of Part 3 of the Act</w:t>
      </w:r>
      <w:r w:rsidRPr="00C15495">
        <w:rPr>
          <w:i/>
          <w:sz w:val="20"/>
        </w:rPr>
        <w:t xml:space="preserve"> </w:t>
      </w:r>
      <w:r w:rsidRPr="00C15495">
        <w:rPr>
          <w:sz w:val="20"/>
        </w:rPr>
        <w:t xml:space="preserve">is to ensure that employers, workers and others who are in a position to affect the occupational health and safety of workers share that responsibility to the extent of each party’s authority and ability to </w:t>
      </w:r>
      <w:r w:rsidRPr="00C15495">
        <w:rPr>
          <w:sz w:val="20"/>
        </w:rPr>
        <w:lastRenderedPageBreak/>
        <w:t>do so. Section 107(2)(e) also makes it clear that the Act aims to impose obligations on parties only to the extent of their authority and ability, which aligns with the manner in which duties are assigned to employers and owners under ss. 115 and 119 of the Act. Further, it expressly limits the extent to which and the means by which the legislature pursues that purpose. Section 26.2(1) does not respect these silos of responsibility. It requires owners to assume responsibility for the manner in which activities are planned and conducted. This micro</w:t>
      </w:r>
      <w:r w:rsidRPr="00C15495">
        <w:rPr>
          <w:sz w:val="20"/>
        </w:rPr>
        <w:noBreakHyphen/>
        <w:t>level obligation is categorically different from the macro</w:t>
      </w:r>
      <w:r w:rsidRPr="00C15495">
        <w:rPr>
          <w:sz w:val="20"/>
        </w:rPr>
        <w:noBreakHyphen/>
        <w:t>level duties related to workplace conditions that are assigned to owners under s. 119. By imposing upon owners a type of obligation that the Act</w:t>
      </w:r>
      <w:r w:rsidRPr="00C15495">
        <w:rPr>
          <w:i/>
          <w:sz w:val="20"/>
        </w:rPr>
        <w:t xml:space="preserve"> </w:t>
      </w:r>
      <w:r w:rsidRPr="00C15495">
        <w:rPr>
          <w:sz w:val="20"/>
        </w:rPr>
        <w:t>reserves to employers, the Board contravened the clear structure of divided responsibility that the Act creates. The external contextual factors that the majority outlines are neither persuasive nor appropriate considerations — they do not permit the Board to undermine the legislature’s statutory scheme for addressing workplace health and safety.</w:t>
      </w:r>
    </w:p>
    <w:p w:rsidR="00C15495" w:rsidRPr="00C15495" w:rsidRDefault="00C15495" w:rsidP="00C15495">
      <w:pPr>
        <w:pStyle w:val="SCCNormalDoubleSpacing"/>
        <w:spacing w:after="240" w:line="240" w:lineRule="auto"/>
        <w:rPr>
          <w:sz w:val="20"/>
          <w:u w:val="single"/>
        </w:rPr>
      </w:pPr>
      <w:r w:rsidRPr="00C15495">
        <w:rPr>
          <w:sz w:val="20"/>
        </w:rPr>
        <w:tab/>
        <w:t xml:space="preserve">Even assuming that the impugned regulation is </w:t>
      </w:r>
      <w:r w:rsidRPr="00C15495">
        <w:rPr>
          <w:i/>
          <w:sz w:val="20"/>
        </w:rPr>
        <w:t>intra vires</w:t>
      </w:r>
      <w:r w:rsidRPr="00C15495">
        <w:rPr>
          <w:sz w:val="20"/>
        </w:rPr>
        <w:t xml:space="preserve">, there is no nexus between the </w:t>
      </w:r>
      <w:r w:rsidRPr="00C15495">
        <w:rPr>
          <w:sz w:val="20"/>
          <w:lang w:val="en-US"/>
        </w:rPr>
        <w:t>underlying</w:t>
      </w:r>
      <w:r w:rsidRPr="00C15495">
        <w:rPr>
          <w:sz w:val="20"/>
        </w:rPr>
        <w:t xml:space="preserve"> violation and the imposition of an administrative penalty. West Fraser Mills was charged with violating its obligations as an owner under s. 26.2(1) of the Regulation. Yet, it was subjected to an administrative penalty under s. 196(1) of the Act, which only authorizes the Board to impose such a penalty on an entity acting in the capacity of an employer. That decision was patently unreasonable.</w:t>
      </w:r>
    </w:p>
    <w:p w:rsidR="00C15495" w:rsidRPr="00C15495" w:rsidRDefault="00C15495" w:rsidP="00C15495">
      <w:pPr>
        <w:pStyle w:val="SCCNormalDoubleSpacing"/>
        <w:spacing w:after="240" w:line="240" w:lineRule="auto"/>
        <w:rPr>
          <w:sz w:val="20"/>
        </w:rPr>
      </w:pPr>
      <w:r w:rsidRPr="00C15495">
        <w:rPr>
          <w:sz w:val="20"/>
        </w:rPr>
        <w:tab/>
        <w:t xml:space="preserve">Reading s. 196(1) to apply to an owner, so long as that owner is also an employer at the workplace, was erroneous for several reasons. First, the category of “employer” does </w:t>
      </w:r>
      <w:r w:rsidRPr="00C15495">
        <w:rPr>
          <w:sz w:val="20"/>
          <w:lang w:val="en-US"/>
        </w:rPr>
        <w:t>not</w:t>
      </w:r>
      <w:r w:rsidRPr="00C15495">
        <w:rPr>
          <w:sz w:val="20"/>
        </w:rPr>
        <w:t xml:space="preserve"> encompass “owner”. Second, s. 196(1) specifies that an administrative penalty may be imposed on an employer, which suggests that it cannot be imposed on other categories of persons. Third, the legislature used the word “person” or “persons” where it intended to encompass multiple entities or entities acting simultaneously in multiple roles. Fourth, the use of the term “employer” in s. 196(1) was no accident, as none of its other subsections uses the term “person” or “owner” rather than “employer”. Finally, it is consistent with the statutory scheme as a whole for certain remedial measures to be reserved for breaches of certain types of obligations.</w:t>
      </w:r>
    </w:p>
    <w:p w:rsidR="00C15495" w:rsidRPr="00C15495" w:rsidRDefault="00C15495" w:rsidP="00C15495">
      <w:pPr>
        <w:pStyle w:val="SCCNormalDoubleSpacing"/>
        <w:spacing w:after="240" w:line="240" w:lineRule="auto"/>
        <w:rPr>
          <w:sz w:val="20"/>
        </w:rPr>
      </w:pPr>
      <w:r w:rsidRPr="00C15495">
        <w:rPr>
          <w:sz w:val="20"/>
        </w:rPr>
        <w:tab/>
      </w:r>
      <w:r w:rsidRPr="00C15495">
        <w:rPr>
          <w:i/>
          <w:sz w:val="20"/>
        </w:rPr>
        <w:t>Per</w:t>
      </w:r>
      <w:r w:rsidRPr="00C15495">
        <w:rPr>
          <w:sz w:val="20"/>
        </w:rPr>
        <w:t xml:space="preserve"> </w:t>
      </w:r>
      <w:r w:rsidRPr="00C15495">
        <w:rPr>
          <w:b/>
          <w:sz w:val="20"/>
        </w:rPr>
        <w:t>Brown </w:t>
      </w:r>
      <w:r w:rsidRPr="00C15495">
        <w:rPr>
          <w:sz w:val="20"/>
        </w:rPr>
        <w:t xml:space="preserve">J. (dissenting): There is agreement with the majority that s. 225 of the Act is sufficiently broad to support the conclusion that the Board’s adoption of s. 26.2(1) of </w:t>
      </w:r>
      <w:r w:rsidRPr="00C15495">
        <w:rPr>
          <w:sz w:val="20"/>
          <w:lang w:val="en-US"/>
        </w:rPr>
        <w:t>the</w:t>
      </w:r>
      <w:r w:rsidRPr="00C15495">
        <w:rPr>
          <w:sz w:val="20"/>
        </w:rPr>
        <w:t xml:space="preserve"> Regulation</w:t>
      </w:r>
      <w:r w:rsidRPr="00C15495">
        <w:rPr>
          <w:i/>
          <w:sz w:val="20"/>
        </w:rPr>
        <w:t xml:space="preserve"> </w:t>
      </w:r>
      <w:r w:rsidRPr="00C15495">
        <w:rPr>
          <w:sz w:val="20"/>
        </w:rPr>
        <w:t xml:space="preserve">is </w:t>
      </w:r>
      <w:r w:rsidRPr="00C15495">
        <w:rPr>
          <w:i/>
          <w:sz w:val="20"/>
        </w:rPr>
        <w:t>intra vires</w:t>
      </w:r>
      <w:r w:rsidRPr="00C15495">
        <w:rPr>
          <w:sz w:val="20"/>
        </w:rPr>
        <w:t xml:space="preserve">, although for different reasons. Administrative bodies must be correct in their determinations of true questions of jurisdiction or </w:t>
      </w:r>
      <w:r w:rsidRPr="00C15495">
        <w:rPr>
          <w:i/>
          <w:iCs/>
          <w:sz w:val="20"/>
        </w:rPr>
        <w:t>vires</w:t>
      </w:r>
      <w:r w:rsidRPr="00C15495">
        <w:rPr>
          <w:sz w:val="20"/>
        </w:rPr>
        <w:t xml:space="preserve">. The Board’s authority to adopt s. 26.2(1) is an issue of </w:t>
      </w:r>
      <w:r w:rsidRPr="00C15495">
        <w:rPr>
          <w:i/>
          <w:sz w:val="20"/>
        </w:rPr>
        <w:t>vires</w:t>
      </w:r>
      <w:r w:rsidRPr="00C15495">
        <w:rPr>
          <w:sz w:val="20"/>
        </w:rPr>
        <w:t xml:space="preserve"> relating to subordinate legislation, and is therefore manifestly jurisdictional. Questions of jurisdiction are always to be reviewed for correctness. However, as long as the statutory delegate operates within the bounds of its grant of authority, the overall reasonableness of how the delegate has chosen to exercise its lawful authority is not the proper subject of judicial attention. The majority’s sidestepping the jurisdictional inquiry in favour of a review of various contextual factors which are said to support reasonableness review ought to be rejected. If the Board’s adoption of s. 26.2(1) presents a jurisdictional question, such contextual factors are irrelevant.</w:t>
      </w:r>
    </w:p>
    <w:p w:rsidR="00C15495" w:rsidRPr="00C15495" w:rsidRDefault="00C15495" w:rsidP="00C15495">
      <w:pPr>
        <w:pStyle w:val="SCCNormalDoubleSpacing"/>
        <w:spacing w:after="240" w:line="240" w:lineRule="auto"/>
        <w:rPr>
          <w:sz w:val="20"/>
        </w:rPr>
      </w:pPr>
      <w:r w:rsidRPr="00C15495">
        <w:rPr>
          <w:sz w:val="20"/>
        </w:rPr>
        <w:tab/>
        <w:t>On the question of the penalty, there is agreement with Côté J. that the Board’s decision to impose a penalty upon West Fraser Mills under s. 196(1) of the Act for a breach of s. 26.2(1) of the Regulation was patently unreasonable.</w:t>
      </w:r>
    </w:p>
    <w:p w:rsidR="00C15495" w:rsidRPr="00C15495" w:rsidRDefault="00C15495" w:rsidP="00C15495">
      <w:pPr>
        <w:pStyle w:val="SCCNormalDoubleSpacing"/>
        <w:spacing w:after="240" w:line="240" w:lineRule="auto"/>
        <w:rPr>
          <w:sz w:val="20"/>
        </w:rPr>
      </w:pPr>
      <w:r w:rsidRPr="00C15495">
        <w:rPr>
          <w:sz w:val="20"/>
        </w:rPr>
        <w:tab/>
      </w:r>
      <w:r w:rsidRPr="00C15495">
        <w:rPr>
          <w:i/>
          <w:sz w:val="20"/>
        </w:rPr>
        <w:t>Per</w:t>
      </w:r>
      <w:r w:rsidRPr="00C15495">
        <w:rPr>
          <w:sz w:val="20"/>
        </w:rPr>
        <w:t xml:space="preserve"> </w:t>
      </w:r>
      <w:r w:rsidRPr="00C15495">
        <w:rPr>
          <w:b/>
          <w:sz w:val="20"/>
        </w:rPr>
        <w:t>Rowe </w:t>
      </w:r>
      <w:r w:rsidRPr="00C15495">
        <w:rPr>
          <w:sz w:val="20"/>
        </w:rPr>
        <w:t xml:space="preserve">J. (dissenting): Judicial review of the validity of a regulation has two steps. The first relates to jurisdiction, and the second is a substantive inquiry into the </w:t>
      </w:r>
      <w:r w:rsidRPr="00C15495">
        <w:rPr>
          <w:sz w:val="20"/>
          <w:lang w:val="en-US"/>
        </w:rPr>
        <w:t>exercise</w:t>
      </w:r>
      <w:r w:rsidRPr="00C15495">
        <w:rPr>
          <w:sz w:val="20"/>
        </w:rPr>
        <w:t xml:space="preserve"> of the grant of authority. There is agreement with the majority that s. 26.2(1) of the Regulation is </w:t>
      </w:r>
      <w:r w:rsidRPr="00C15495">
        <w:rPr>
          <w:i/>
          <w:sz w:val="20"/>
        </w:rPr>
        <w:t>intra vires</w:t>
      </w:r>
      <w:r w:rsidRPr="00C15495">
        <w:rPr>
          <w:sz w:val="20"/>
        </w:rPr>
        <w:t>, with the caveat that working day to day with an administrative scheme does not give greater insight into statutory interpretation, including the scope of jurisdiction. That is a matter of legal analysis.</w:t>
      </w:r>
    </w:p>
    <w:p w:rsidR="00C15495" w:rsidRDefault="00C15495" w:rsidP="00C15495">
      <w:pPr>
        <w:pStyle w:val="SCCNormalDoubleSpacing"/>
        <w:spacing w:after="240" w:line="240" w:lineRule="auto"/>
        <w:rPr>
          <w:sz w:val="20"/>
        </w:rPr>
      </w:pPr>
      <w:r w:rsidRPr="00C15495">
        <w:rPr>
          <w:sz w:val="20"/>
        </w:rPr>
        <w:tab/>
        <w:t xml:space="preserve">Concerning the monetary penalty, there is agreement with Côté J. that the Tribunal’s </w:t>
      </w:r>
      <w:r w:rsidRPr="00C15495">
        <w:rPr>
          <w:sz w:val="20"/>
          <w:lang w:val="en-US"/>
        </w:rPr>
        <w:t>decision</w:t>
      </w:r>
      <w:r w:rsidRPr="00C15495">
        <w:rPr>
          <w:sz w:val="20"/>
        </w:rPr>
        <w:t xml:space="preserve"> was patently unreasonable and runs directly contrary to the clear wording of s. 196(1) of the Act.</w:t>
      </w:r>
    </w:p>
    <w:p w:rsidR="001B3430" w:rsidRPr="001B3430" w:rsidRDefault="001B3430" w:rsidP="001B3430">
      <w:pPr>
        <w:pStyle w:val="SCCNormalDoubleSpacing"/>
        <w:spacing w:after="240" w:line="240" w:lineRule="auto"/>
        <w:ind w:firstLine="720"/>
        <w:rPr>
          <w:sz w:val="20"/>
          <w:lang w:val="en-US"/>
        </w:rPr>
      </w:pPr>
      <w:r w:rsidRPr="001B3430">
        <w:rPr>
          <w:sz w:val="20"/>
        </w:rPr>
        <w:t xml:space="preserve">APPEAL from a judgment of the British Columbia Court of Appeal (Newbury, Tysoe and Groberman JJ.A.), 2016 BCCA 473, 405 D.L.R. (4th) 621, 12 Admin. L.R. (6th) 189, [2016] B.C.J. No. 2486 (QL), 2016 CarswellBC </w:t>
      </w:r>
      <w:r w:rsidRPr="001B3430">
        <w:rPr>
          <w:sz w:val="20"/>
        </w:rPr>
        <w:lastRenderedPageBreak/>
        <w:t>3290 (WL Can.), affirming a decision of MacKenzie J., 2015 BCSC 1098, 2 Admin. L.R. (6th) 148, [2015] B.C.J. No. 1362 (QL), 2015 CarswellBC 1780 (WL Can.),</w:t>
      </w:r>
      <w:r w:rsidRPr="001B3430">
        <w:rPr>
          <w:sz w:val="20"/>
          <w:lang w:val="en-US"/>
        </w:rPr>
        <w:t xml:space="preserve"> dismissing an application for judicial review of a decision of the Workers’ Compensation Appeal Tribunal, 2013 CanLII 79509. Appeal dismissed, Côté, Brown and Rowe JJ. dissenting. </w:t>
      </w:r>
    </w:p>
    <w:p w:rsidR="001B3430" w:rsidRPr="001B3430" w:rsidRDefault="001B3430" w:rsidP="001B3430">
      <w:pPr>
        <w:pStyle w:val="SCCNormalDoubleSpacing"/>
        <w:spacing w:after="240" w:line="240" w:lineRule="auto"/>
        <w:rPr>
          <w:sz w:val="20"/>
        </w:rPr>
      </w:pPr>
      <w:r w:rsidRPr="001B3430">
        <w:rPr>
          <w:i/>
          <w:sz w:val="20"/>
        </w:rPr>
        <w:tab/>
        <w:t>Donald J. Jordan</w:t>
      </w:r>
      <w:r w:rsidRPr="001B3430">
        <w:rPr>
          <w:sz w:val="20"/>
        </w:rPr>
        <w:t>,</w:t>
      </w:r>
      <w:r w:rsidRPr="001B3430">
        <w:rPr>
          <w:i/>
          <w:sz w:val="20"/>
        </w:rPr>
        <w:t xml:space="preserve"> Q.C.</w:t>
      </w:r>
      <w:r w:rsidRPr="001B3430">
        <w:rPr>
          <w:sz w:val="20"/>
        </w:rPr>
        <w:t>,</w:t>
      </w:r>
      <w:r w:rsidRPr="001B3430">
        <w:rPr>
          <w:i/>
          <w:sz w:val="20"/>
        </w:rPr>
        <w:t xml:space="preserve"> </w:t>
      </w:r>
      <w:r w:rsidRPr="001B3430">
        <w:rPr>
          <w:sz w:val="20"/>
        </w:rPr>
        <w:t xml:space="preserve">and </w:t>
      </w:r>
      <w:r w:rsidRPr="001B3430">
        <w:rPr>
          <w:i/>
          <w:sz w:val="20"/>
        </w:rPr>
        <w:t>Paul Fairweather</w:t>
      </w:r>
      <w:r w:rsidRPr="001B3430">
        <w:rPr>
          <w:sz w:val="20"/>
        </w:rPr>
        <w:t>, for the appellant.</w:t>
      </w:r>
    </w:p>
    <w:p w:rsidR="001B3430" w:rsidRPr="001B3430" w:rsidRDefault="001B3430" w:rsidP="001B3430">
      <w:pPr>
        <w:pStyle w:val="SCCNormalDoubleSpacing"/>
        <w:spacing w:after="240" w:line="240" w:lineRule="auto"/>
        <w:rPr>
          <w:sz w:val="20"/>
        </w:rPr>
      </w:pPr>
      <w:r w:rsidRPr="001B3430">
        <w:rPr>
          <w:i/>
          <w:sz w:val="20"/>
        </w:rPr>
        <w:tab/>
        <w:t>Jeremy Thomas Lovell</w:t>
      </w:r>
      <w:r w:rsidRPr="001B3430">
        <w:rPr>
          <w:sz w:val="20"/>
        </w:rPr>
        <w:t>, for the respondent Workers’ Compensation Appeal Tribunal. </w:t>
      </w:r>
    </w:p>
    <w:p w:rsidR="001B3430" w:rsidRPr="001B3430" w:rsidRDefault="001B3430" w:rsidP="001B3430">
      <w:pPr>
        <w:pStyle w:val="SCCNormalDoubleSpacing"/>
        <w:spacing w:after="240" w:line="240" w:lineRule="auto"/>
        <w:rPr>
          <w:sz w:val="20"/>
        </w:rPr>
      </w:pPr>
      <w:r w:rsidRPr="001B3430">
        <w:rPr>
          <w:i/>
          <w:sz w:val="20"/>
        </w:rPr>
        <w:tab/>
        <w:t>Ben Parkin</w:t>
      </w:r>
      <w:r w:rsidRPr="001B3430">
        <w:rPr>
          <w:sz w:val="20"/>
        </w:rPr>
        <w:t xml:space="preserve">, </w:t>
      </w:r>
      <w:r w:rsidRPr="001B3430">
        <w:rPr>
          <w:i/>
          <w:sz w:val="20"/>
        </w:rPr>
        <w:t xml:space="preserve">Ian R. H. Shaw </w:t>
      </w:r>
      <w:r w:rsidRPr="001B3430">
        <w:rPr>
          <w:sz w:val="20"/>
        </w:rPr>
        <w:t xml:space="preserve">and </w:t>
      </w:r>
      <w:r w:rsidRPr="001B3430">
        <w:rPr>
          <w:i/>
          <w:sz w:val="20"/>
        </w:rPr>
        <w:t>Nicolas J. Bower</w:t>
      </w:r>
      <w:r w:rsidRPr="001B3430">
        <w:rPr>
          <w:sz w:val="20"/>
        </w:rPr>
        <w:t>, for the respondent Workers’ Compensation Board of British Columbia.</w:t>
      </w:r>
    </w:p>
    <w:p w:rsidR="001B3430" w:rsidRPr="001B3430" w:rsidRDefault="001B3430" w:rsidP="001B3430">
      <w:pPr>
        <w:pStyle w:val="SCCNormalDoubleSpacing"/>
        <w:spacing w:after="240" w:line="240" w:lineRule="auto"/>
        <w:rPr>
          <w:sz w:val="20"/>
        </w:rPr>
      </w:pPr>
      <w:r w:rsidRPr="001B3430">
        <w:rPr>
          <w:i/>
          <w:sz w:val="20"/>
        </w:rPr>
        <w:tab/>
        <w:t>Jason J. J. Bodnar</w:t>
      </w:r>
      <w:r w:rsidRPr="001B3430">
        <w:rPr>
          <w:sz w:val="20"/>
        </w:rPr>
        <w:t>, for the intervener Workers’ Compensation Board of Alberta.</w:t>
      </w:r>
    </w:p>
    <w:p w:rsidR="001B3430" w:rsidRPr="001B3430" w:rsidRDefault="001B3430" w:rsidP="001B3430">
      <w:pPr>
        <w:pStyle w:val="SCCNormalDoubleSpacing"/>
        <w:spacing w:after="240" w:line="240" w:lineRule="auto"/>
        <w:rPr>
          <w:sz w:val="20"/>
        </w:rPr>
      </w:pPr>
      <w:r w:rsidRPr="001B3430">
        <w:rPr>
          <w:sz w:val="20"/>
        </w:rPr>
        <w:tab/>
      </w:r>
      <w:r w:rsidRPr="001B3430">
        <w:rPr>
          <w:i/>
          <w:sz w:val="20"/>
        </w:rPr>
        <w:t>Appeal</w:t>
      </w:r>
      <w:r w:rsidRPr="001B3430">
        <w:rPr>
          <w:sz w:val="20"/>
        </w:rPr>
        <w:t xml:space="preserve"> </w:t>
      </w:r>
      <w:r w:rsidRPr="001B3430">
        <w:rPr>
          <w:i/>
          <w:sz w:val="20"/>
        </w:rPr>
        <w:t xml:space="preserve">dismissed with costs to the Workers’ Compensation Board of British Columbia, </w:t>
      </w:r>
      <w:r w:rsidRPr="001B3430">
        <w:rPr>
          <w:sz w:val="20"/>
          <w:lang w:val="en-US"/>
        </w:rPr>
        <w:t>Côté</w:t>
      </w:r>
      <w:r w:rsidRPr="001B3430">
        <w:rPr>
          <w:i/>
          <w:sz w:val="20"/>
          <w:lang w:val="en-US"/>
        </w:rPr>
        <w:t>,</w:t>
      </w:r>
      <w:r w:rsidRPr="001B3430">
        <w:rPr>
          <w:sz w:val="20"/>
          <w:lang w:val="en-US"/>
        </w:rPr>
        <w:t xml:space="preserve"> Brown</w:t>
      </w:r>
      <w:r w:rsidRPr="001B3430">
        <w:rPr>
          <w:i/>
          <w:sz w:val="20"/>
          <w:lang w:val="en-US"/>
        </w:rPr>
        <w:t xml:space="preserve"> and </w:t>
      </w:r>
      <w:r w:rsidRPr="001B3430">
        <w:rPr>
          <w:sz w:val="20"/>
          <w:lang w:val="en-US"/>
        </w:rPr>
        <w:t>Rowe JJ</w:t>
      </w:r>
      <w:r w:rsidRPr="001B3430">
        <w:rPr>
          <w:sz w:val="20"/>
        </w:rPr>
        <w:t>.</w:t>
      </w:r>
      <w:r w:rsidRPr="001B3430">
        <w:rPr>
          <w:i/>
          <w:sz w:val="20"/>
        </w:rPr>
        <w:t xml:space="preserve"> dissenting.</w:t>
      </w:r>
    </w:p>
    <w:p w:rsidR="001B3430" w:rsidRPr="001B3430" w:rsidRDefault="001B3430" w:rsidP="001B3430">
      <w:pPr>
        <w:pStyle w:val="SCCNormalDoubleSpacing"/>
        <w:spacing w:after="240" w:line="240" w:lineRule="auto"/>
        <w:rPr>
          <w:i/>
          <w:sz w:val="20"/>
        </w:rPr>
      </w:pPr>
      <w:r w:rsidRPr="001B3430">
        <w:rPr>
          <w:i/>
          <w:sz w:val="20"/>
        </w:rPr>
        <w:tab/>
        <w:t>Solicitors for the appellant: Harris &amp; Company, Vancouver.</w:t>
      </w:r>
    </w:p>
    <w:p w:rsidR="001B3430" w:rsidRPr="001B3430" w:rsidRDefault="001B3430" w:rsidP="001B3430">
      <w:pPr>
        <w:pStyle w:val="SCCNormalDoubleSpacing"/>
        <w:spacing w:after="240" w:line="240" w:lineRule="auto"/>
        <w:rPr>
          <w:i/>
          <w:sz w:val="20"/>
        </w:rPr>
      </w:pPr>
      <w:r w:rsidRPr="001B3430">
        <w:rPr>
          <w:i/>
          <w:sz w:val="20"/>
        </w:rPr>
        <w:tab/>
        <w:t>Solicitor for the respondent the Workers’ Compensation Appeal Tribunal: Workers’ Compensation Appeal Tribunal, Richmond.</w:t>
      </w:r>
    </w:p>
    <w:p w:rsidR="001B3430" w:rsidRPr="001B3430" w:rsidRDefault="001B3430" w:rsidP="001B3430">
      <w:pPr>
        <w:pStyle w:val="SCCNormalDoubleSpacing"/>
        <w:spacing w:after="240" w:line="240" w:lineRule="auto"/>
        <w:rPr>
          <w:i/>
          <w:sz w:val="20"/>
        </w:rPr>
      </w:pPr>
      <w:r w:rsidRPr="001B3430">
        <w:rPr>
          <w:i/>
          <w:sz w:val="20"/>
        </w:rPr>
        <w:tab/>
        <w:t>Solicitor for the respondent the Workers’ Compensation Board of British Columbia: Workers’ Compensation Board of British Columbia, Richmond.</w:t>
      </w:r>
    </w:p>
    <w:p w:rsidR="001B3430" w:rsidRPr="001B3430" w:rsidRDefault="001B3430" w:rsidP="001B3430">
      <w:pPr>
        <w:pStyle w:val="SCCNormalDoubleSpacing"/>
        <w:spacing w:after="240" w:line="240" w:lineRule="auto"/>
        <w:rPr>
          <w:i/>
          <w:sz w:val="20"/>
          <w:lang w:val="en-US"/>
        </w:rPr>
      </w:pPr>
      <w:r w:rsidRPr="001B3430">
        <w:rPr>
          <w:i/>
          <w:sz w:val="20"/>
        </w:rPr>
        <w:tab/>
        <w:t>Solicitor for the intervener the Workers’ Compensation Board of Alberta: Workers’ Compensation Board of Alberta, Edmonton.</w:t>
      </w:r>
    </w:p>
    <w:p w:rsidR="00902E51" w:rsidRPr="001B3430" w:rsidRDefault="00FE4582" w:rsidP="00C15495">
      <w:pPr>
        <w:pStyle w:val="SCCNormalDoubleSpacing"/>
        <w:spacing w:after="240" w:line="240" w:lineRule="auto"/>
        <w:rPr>
          <w:sz w:val="20"/>
          <w:lang w:val="en-US"/>
        </w:rPr>
      </w:pPr>
      <w:r>
        <w:rPr>
          <w:sz w:val="20"/>
          <w:lang w:val="fr-CA"/>
        </w:rPr>
        <w:pict>
          <v:rect id="_x0000_i1072" style="width:144.3pt;height:1pt" o:hrpct="300" o:hralign="center" o:hrstd="t" o:hrnoshade="t" o:hr="t" fillcolor="black [3213]" stroked="f"/>
        </w:pict>
      </w:r>
    </w:p>
    <w:p w:rsidR="00C15495" w:rsidRDefault="00C15495">
      <w:pPr>
        <w:rPr>
          <w:sz w:val="20"/>
          <w:szCs w:val="20"/>
        </w:rPr>
      </w:pPr>
      <w:r>
        <w:rPr>
          <w:sz w:val="20"/>
          <w:szCs w:val="20"/>
        </w:rPr>
        <w:br w:type="page"/>
      </w:r>
    </w:p>
    <w:p w:rsidR="00C15495" w:rsidRPr="00C15495" w:rsidRDefault="00C15495" w:rsidP="00C15495">
      <w:pPr>
        <w:spacing w:after="240"/>
        <w:jc w:val="both"/>
        <w:rPr>
          <w:sz w:val="20"/>
          <w:szCs w:val="20"/>
          <w:lang w:val="fr-CA"/>
        </w:rPr>
      </w:pPr>
      <w:r w:rsidRPr="00C15495">
        <w:rPr>
          <w:sz w:val="20"/>
          <w:szCs w:val="20"/>
          <w:lang w:val="fr-CA"/>
        </w:rPr>
        <w:lastRenderedPageBreak/>
        <w:t>Présents : La juge en chef McLachlin et les juges Abella, Moldaver, Karakatsanis, Wagner, Gascon, Côté, Brown et Rowe.</w:t>
      </w:r>
    </w:p>
    <w:p w:rsidR="00C15495" w:rsidRPr="00C15495" w:rsidRDefault="00C15495" w:rsidP="00C15495">
      <w:pPr>
        <w:spacing w:after="240"/>
        <w:ind w:firstLine="720"/>
        <w:jc w:val="both"/>
        <w:rPr>
          <w:i/>
          <w:sz w:val="20"/>
          <w:szCs w:val="20"/>
          <w:lang w:val="fr-CA"/>
        </w:rPr>
      </w:pPr>
      <w:r w:rsidRPr="00C15495">
        <w:rPr>
          <w:i/>
          <w:sz w:val="20"/>
          <w:szCs w:val="20"/>
          <w:lang w:val="fr-CA"/>
        </w:rPr>
        <w:t>Droit administratif — Organismes et tribunaux administratifs — Compétence — Workers’ Compensation Board de la Colombie</w:t>
      </w:r>
      <w:r w:rsidRPr="00C15495">
        <w:rPr>
          <w:i/>
          <w:sz w:val="20"/>
          <w:szCs w:val="20"/>
          <w:lang w:val="fr-CA"/>
        </w:rPr>
        <w:noBreakHyphen/>
        <w:t>Britannique — Adoption par cette Commission d’un règlement obligeant les propriétaires d’entreprises d’exploitation forestière à faire en sorte que leurs activités soient planifiées et exercées conformément aux pratiques de travail sécuritaires — Le règlement était</w:t>
      </w:r>
      <w:r w:rsidRPr="00C15495">
        <w:rPr>
          <w:i/>
          <w:sz w:val="20"/>
          <w:szCs w:val="20"/>
          <w:lang w:val="fr-CA"/>
        </w:rPr>
        <w:noBreakHyphen/>
        <w:t>il ultra vires? — Norme de contrôle applicable à l’exercice du pouvoir de règlementation délégué à la Commission — Workers Compensation Act, R.S.B.C. 1992, c. 492, art. 225 — Occupational Health and Safety Regulation, B.C. Reg. 296/97, art. 26.2(1).</w:t>
      </w:r>
    </w:p>
    <w:p w:rsidR="00C15495" w:rsidRPr="00C15495" w:rsidRDefault="00C15495" w:rsidP="00C15495">
      <w:pPr>
        <w:spacing w:after="240"/>
        <w:jc w:val="both"/>
        <w:rPr>
          <w:i/>
          <w:sz w:val="20"/>
          <w:szCs w:val="20"/>
          <w:lang w:val="fr-CA"/>
        </w:rPr>
      </w:pPr>
      <w:r w:rsidRPr="00C15495">
        <w:rPr>
          <w:sz w:val="20"/>
          <w:szCs w:val="20"/>
          <w:lang w:val="fr-CA"/>
        </w:rPr>
        <w:tab/>
      </w:r>
      <w:r w:rsidRPr="00C15495">
        <w:rPr>
          <w:i/>
          <w:sz w:val="20"/>
          <w:szCs w:val="20"/>
          <w:lang w:val="fr-CA"/>
        </w:rPr>
        <w:t>Accidents du travail — Exploitation forestière — Infractions et exécution — Sanction administrative — Interprétation — Propriétaire  — Employeur — Abatteur frappé mortellement par un arbre en décomposition pendant qu’il travaillait dans une exploitation forestière — Embauche d’un surveillant des lieux par le propriétaire de l’entreprise d’exploitation forestière — Embauche de l’abatteur par un entrepreneur indépendant — Conclusion de la Workers’ Compensation Board selon laquelle le propriétaire avait omis de faire en sorte que toutes les activités d’exploitation forestière soient planifiées et exercées conformément au Occupational Health and Safety Regulation — Organisme autorisé par la Workers Compensation Act à sanctionner « un employeur » — Infliction par l’organisme d’une sanction administrative au propriétaire — Confirmation de la décision par le Workers’ Compensation Appeal Tribunal — L’interprétation de ce Tribunal selon laquelle la disposition relative aux sanctions administratives permettait d’infliger une sanction à un « propriétaire » était</w:t>
      </w:r>
      <w:r w:rsidRPr="00C15495">
        <w:rPr>
          <w:i/>
          <w:sz w:val="20"/>
          <w:szCs w:val="20"/>
          <w:lang w:val="fr-CA"/>
        </w:rPr>
        <w:noBreakHyphen/>
        <w:t>elle manifestement déraisonnable? — Workers Compensation Act, R.S.B.C. 1992, c. 492, art. 196(1) — Occupational Health and Safety Regulation, B.C. Reg. 296/97, art. 26.2(1).</w:t>
      </w:r>
    </w:p>
    <w:p w:rsidR="00C15495" w:rsidRPr="00C15495" w:rsidRDefault="00C15495" w:rsidP="00C15495">
      <w:pPr>
        <w:spacing w:after="240"/>
        <w:jc w:val="both"/>
        <w:rPr>
          <w:sz w:val="20"/>
          <w:szCs w:val="20"/>
          <w:lang w:val="fr-CA"/>
        </w:rPr>
      </w:pPr>
      <w:r w:rsidRPr="00C15495">
        <w:rPr>
          <w:sz w:val="20"/>
          <w:szCs w:val="20"/>
          <w:lang w:val="fr-CA"/>
        </w:rPr>
        <w:tab/>
        <w:t xml:space="preserve">Un abatteur a été frappé mortellement par un arbre en décomposition pendant qu’il travaillait dans un secteur pour lequel West Fraser Mills Ltd. détenait un permis d’exploitation forestière. L’abatteur travaillait pour un entrepreneur indépendant. Aux termes de son permis, West Fraser Mills était « propriétaire » du lieu de travail au sens de la partie 3 de la </w:t>
      </w:r>
      <w:r w:rsidRPr="00C15495">
        <w:rPr>
          <w:i/>
          <w:sz w:val="20"/>
          <w:szCs w:val="20"/>
          <w:lang w:val="fr-CA"/>
        </w:rPr>
        <w:t xml:space="preserve">Workers Compensation Act </w:t>
      </w:r>
      <w:r w:rsidRPr="00C15495">
        <w:rPr>
          <w:sz w:val="20"/>
          <w:szCs w:val="20"/>
          <w:lang w:val="fr-CA"/>
        </w:rPr>
        <w:t>(« Loi »).</w:t>
      </w:r>
    </w:p>
    <w:p w:rsidR="00C15495" w:rsidRPr="00C15495" w:rsidRDefault="00C15495" w:rsidP="00C15495">
      <w:pPr>
        <w:spacing w:after="240"/>
        <w:jc w:val="both"/>
        <w:rPr>
          <w:sz w:val="20"/>
          <w:szCs w:val="20"/>
          <w:lang w:val="fr-CA"/>
        </w:rPr>
      </w:pPr>
      <w:r w:rsidRPr="00C15495">
        <w:rPr>
          <w:sz w:val="20"/>
          <w:szCs w:val="20"/>
          <w:lang w:val="fr-CA"/>
        </w:rPr>
        <w:tab/>
        <w:t xml:space="preserve">À l’issue de son enquête sur l’accident, la Workers’ Compensation Board (« Commission ») a conclu que West Fraser Mills avait omis de faire en sorte que toutes les activités d’exploitation forestière soient planifiées et exercées conformément au par. 26.2(1) du </w:t>
      </w:r>
      <w:r w:rsidRPr="00C15495">
        <w:rPr>
          <w:i/>
          <w:sz w:val="20"/>
          <w:szCs w:val="20"/>
          <w:lang w:val="fr-CA"/>
        </w:rPr>
        <w:t>Occupational Health and Safety Regulation</w:t>
      </w:r>
      <w:r w:rsidRPr="00C15495">
        <w:rPr>
          <w:sz w:val="20"/>
          <w:szCs w:val="20"/>
          <w:lang w:val="fr-CA"/>
        </w:rPr>
        <w:t xml:space="preserve"> (« Règlement »), que la Commission avait pris en vertu de l’art. 225 de la Loi. La Commission a par ailleurs infligé une sanction administrative à West Fraser Mills en application du par. 196(1) de la Loi, lequel lui permettait de sanctionner un « employeur ». Ces volets de sa décision ont été confirmés par la section de révision. Le </w:t>
      </w:r>
      <w:r w:rsidRPr="00C15495">
        <w:rPr>
          <w:i/>
          <w:sz w:val="20"/>
          <w:szCs w:val="20"/>
          <w:lang w:val="fr-CA"/>
        </w:rPr>
        <w:t>Workers’ Compensation Appeal Tribunal</w:t>
      </w:r>
      <w:r w:rsidRPr="00C15495">
        <w:rPr>
          <w:sz w:val="20"/>
          <w:szCs w:val="20"/>
          <w:lang w:val="fr-CA"/>
        </w:rPr>
        <w:t xml:space="preserve"> (« Tribunal »)</w:t>
      </w:r>
      <w:r w:rsidRPr="00C15495">
        <w:rPr>
          <w:i/>
          <w:sz w:val="20"/>
          <w:szCs w:val="20"/>
          <w:lang w:val="fr-CA"/>
        </w:rPr>
        <w:t xml:space="preserve"> </w:t>
      </w:r>
      <w:r w:rsidRPr="00C15495">
        <w:rPr>
          <w:sz w:val="20"/>
          <w:szCs w:val="20"/>
          <w:lang w:val="fr-CA"/>
        </w:rPr>
        <w:t>a rejeté l’appel de West Fraser Mills, mais a réduit le montant de la sanction administrative. La Cour suprême et la Cour d’appel de la Colombie</w:t>
      </w:r>
      <w:r w:rsidRPr="00C15495">
        <w:rPr>
          <w:sz w:val="20"/>
          <w:szCs w:val="20"/>
          <w:lang w:val="fr-CA"/>
        </w:rPr>
        <w:noBreakHyphen/>
        <w:t>Britannique ont confirmé l’ordonnance du Tribunal.</w:t>
      </w:r>
    </w:p>
    <w:p w:rsidR="00C15495" w:rsidRPr="00C15495" w:rsidRDefault="00C15495" w:rsidP="00C15495">
      <w:pPr>
        <w:spacing w:after="240"/>
        <w:jc w:val="both"/>
        <w:rPr>
          <w:sz w:val="20"/>
          <w:szCs w:val="20"/>
          <w:lang w:val="fr-CA"/>
        </w:rPr>
      </w:pPr>
      <w:r w:rsidRPr="00C15495">
        <w:rPr>
          <w:sz w:val="20"/>
          <w:szCs w:val="20"/>
          <w:lang w:val="fr-CA"/>
        </w:rPr>
        <w:tab/>
      </w:r>
      <w:r w:rsidRPr="00C15495">
        <w:rPr>
          <w:i/>
          <w:sz w:val="20"/>
          <w:szCs w:val="20"/>
          <w:lang w:val="fr-CA"/>
        </w:rPr>
        <w:t>Arrêt</w:t>
      </w:r>
      <w:r w:rsidRPr="00C15495">
        <w:rPr>
          <w:sz w:val="20"/>
          <w:szCs w:val="20"/>
          <w:lang w:val="fr-CA"/>
        </w:rPr>
        <w:t xml:space="preserve"> (les juges Côté, Brown et Rowe sont dissidents) : Le pourvoi est rejeté.</w:t>
      </w:r>
    </w:p>
    <w:p w:rsidR="00C15495" w:rsidRPr="00C15495" w:rsidRDefault="00C15495" w:rsidP="00C15495">
      <w:pPr>
        <w:spacing w:after="240"/>
        <w:jc w:val="both"/>
        <w:rPr>
          <w:sz w:val="20"/>
          <w:szCs w:val="20"/>
          <w:lang w:val="fr-CA"/>
        </w:rPr>
      </w:pPr>
      <w:r w:rsidRPr="00C15495">
        <w:rPr>
          <w:sz w:val="20"/>
          <w:szCs w:val="20"/>
          <w:lang w:val="fr-CA"/>
        </w:rPr>
        <w:tab/>
      </w:r>
      <w:r w:rsidRPr="00C15495">
        <w:rPr>
          <w:i/>
          <w:sz w:val="20"/>
          <w:szCs w:val="20"/>
          <w:lang w:val="fr-CA"/>
        </w:rPr>
        <w:t>La</w:t>
      </w:r>
      <w:r w:rsidRPr="00C15495">
        <w:rPr>
          <w:sz w:val="20"/>
          <w:szCs w:val="20"/>
          <w:lang w:val="fr-CA"/>
        </w:rPr>
        <w:t xml:space="preserve"> juge en chef </w:t>
      </w:r>
      <w:r w:rsidRPr="00C15495">
        <w:rPr>
          <w:b/>
          <w:sz w:val="20"/>
          <w:szCs w:val="20"/>
          <w:lang w:val="fr-CA"/>
        </w:rPr>
        <w:t>McLachlin</w:t>
      </w:r>
      <w:r w:rsidRPr="00C15495">
        <w:rPr>
          <w:sz w:val="20"/>
          <w:szCs w:val="20"/>
          <w:lang w:val="fr-CA"/>
        </w:rPr>
        <w:t xml:space="preserve"> et les juges Abella, Moldaver, Karakatsanis, Wagner et Gascon : L’art. 225 de la Loi confère à la Commission le pouvoir de [traduction] « prendre les règlements qu’elle juge nécessaires ou souhaitables relativement à la santé et à la sécurité au travail et à l’environnement de travail ». Lorsque la loi confère à un tel organisme un large pouvoir de décider des règlements qui sont nécessaires ou souhaitables pour la réalisation des objectifs législatifs, la question que la cour doit trancher n’a pas trait à la compétence au sens traditionnel, mais au fait que le règlement en cause résulte ou non d’un exercice raisonnable du pouvoir délégué, eu égard à ces objectifs. Le paragraphe 26.2(1) se rapporte nettement à la sécurité au travail et satisfait à cette exigence. En outre, il cadre bien avec les autres dispositions de la Loi qui permettent à la Commission de réglementer à l’égard de toute personne participant ou contribuant à la production dans un secteur d’activité, ainsi que pour favoriser la santé et la sécurité au travail en général. Enfin, deux éléments contextuels externes </w:t>
      </w:r>
      <w:r w:rsidRPr="00C15495">
        <w:rPr>
          <w:i/>
          <w:sz w:val="20"/>
          <w:szCs w:val="20"/>
          <w:lang w:val="fr-CA"/>
        </w:rPr>
        <w:t>—</w:t>
      </w:r>
      <w:r w:rsidRPr="00C15495">
        <w:rPr>
          <w:sz w:val="20"/>
          <w:szCs w:val="20"/>
          <w:lang w:val="fr-CA"/>
        </w:rPr>
        <w:t xml:space="preserve"> qui relèvent tous deux de l’expertise et des compétences de la Commission </w:t>
      </w:r>
      <w:r w:rsidRPr="00C15495">
        <w:rPr>
          <w:i/>
          <w:sz w:val="20"/>
          <w:szCs w:val="20"/>
          <w:lang w:val="fr-CA"/>
        </w:rPr>
        <w:t>—</w:t>
      </w:r>
      <w:r w:rsidRPr="00C15495">
        <w:rPr>
          <w:sz w:val="20"/>
          <w:szCs w:val="20"/>
          <w:lang w:val="fr-CA"/>
        </w:rPr>
        <w:t xml:space="preserve"> doivent être pris en compte. D’abord, la Commission a adopté le par. 26.2(1) dans sa version actuelle par suite de l’inquiétude suscitée par l’augmentation du nombre de décès au travail dans le secteur forestier, une inquiétude clairement liée à l’objet principal de l’art. 225 de la Loi, soit « la santé et [. . .] la sécurité au </w:t>
      </w:r>
      <w:r w:rsidRPr="00C15495">
        <w:rPr>
          <w:sz w:val="20"/>
          <w:szCs w:val="20"/>
          <w:lang w:val="fr-CA"/>
        </w:rPr>
        <w:lastRenderedPageBreak/>
        <w:t>travail et [. . .] l’environnement de travail ». Ensuite, le par. 26.2(1) est le prolongement naturel de l’obligation du propriétaire de veiller à l’entretien du lieu de travail. Pour s’acquitter de cette obligation, le propriétaire doit faire en sorte que les activités soient planifiées et exercées de façon sécuritaire.</w:t>
      </w:r>
    </w:p>
    <w:p w:rsidR="00C15495" w:rsidRPr="00C15495" w:rsidRDefault="00C15495" w:rsidP="00C15495">
      <w:pPr>
        <w:spacing w:after="240"/>
        <w:jc w:val="both"/>
        <w:rPr>
          <w:sz w:val="20"/>
          <w:szCs w:val="20"/>
          <w:lang w:val="fr-CA"/>
        </w:rPr>
      </w:pPr>
      <w:r w:rsidRPr="00C15495">
        <w:rPr>
          <w:sz w:val="20"/>
          <w:szCs w:val="20"/>
          <w:lang w:val="fr-CA"/>
        </w:rPr>
        <w:tab/>
        <w:t>En ce qui a trait à la disposition relative à la sanction administrative, l’interprétation du par. 196(1) par le Tribunal n’était pas manifestement déraisonnable. La cour de justice qui contrôle une décision administrative est tenue de prendre en considération non seulement le texte de la loi et l’interaction de ses dispositions, mais aussi les conséquences du choix d’interpréter une disposition d’une manière plutôt que d’une autre et la façon dont le régime législatif fonctionne concrètement, surtout lorsque la norme de contrôle applicable est celle de la décision manifestement déraisonnable.</w:t>
      </w:r>
    </w:p>
    <w:p w:rsidR="00C15495" w:rsidRPr="00C15495" w:rsidRDefault="00C15495" w:rsidP="00C15495">
      <w:pPr>
        <w:spacing w:after="240"/>
        <w:jc w:val="both"/>
        <w:rPr>
          <w:sz w:val="20"/>
          <w:szCs w:val="20"/>
          <w:lang w:val="fr-CA"/>
        </w:rPr>
      </w:pPr>
      <w:r w:rsidRPr="00C15495">
        <w:rPr>
          <w:sz w:val="20"/>
          <w:szCs w:val="20"/>
          <w:lang w:val="fr-CA"/>
        </w:rPr>
        <w:tab/>
        <w:t>Le Tribunal était aux prises avec deux interprétations plausibles mais opposées du par. 196(1). L’une était étroite et était de nature à miner les objectifs de la loi. L’autre était large et reconnaissait à la fois la complexité du chevauchement et de l’interaction des fonctions sur le lieu de travail et elle était de nature à favoriser la réalisation des objectifs de la loi et du régime établi par celle</w:t>
      </w:r>
      <w:r w:rsidRPr="00C15495">
        <w:rPr>
          <w:sz w:val="20"/>
          <w:szCs w:val="20"/>
          <w:lang w:val="fr-CA"/>
        </w:rPr>
        <w:noBreakHyphen/>
        <w:t>ci. Le choix de la seconde approche par le Tribunal ne revêtait pas un caractère déraisonnable que l’on ne peut contester, qui est tout à fait évident, au point de frôler l’absurde. Dans la présente affaire, les conséquences respectives des interprétations concurrentes et la manière concrète dont le régime législatif est censé fonctionner militent contre la conclusion selon laquelle l’interprétation retenue par le Tribunal est manifestement déraisonnable. West Fraser Mills n’était pas seulement tenue d’assurer la santé et la sécurité de ses propres employés pour s’acquitter de son obligation d’assurer la santé et la sécurité des travailleurs dans le lieu de travail. L’interprétation large du par. 196(1) qui inclut dans son champ d’application l’employeur au sens de la Loi dont les actes sont susceptibles de constituer un manquement à ses obligations à titre de propriétaire est celle qui permet le plus la réalisation de l’objectif de la loi de favoriser la santé et la sécurité au travail et de prévenir de futurs accidents. Cette interprétation tient également compte du fait qu’assurer la sécurité du lieu de travail est complexe et fait intervenir des obligations dont l’exécution incombe à tous les intéressés. Enfin, même s’il est vrai que le par. 196(1) peut s’appliquer dès lors que l’employeur omet de s’acquitter d’obligations précises prévues dans la Loi, cette disposition ne vaut pas que dans ces cas.</w:t>
      </w:r>
    </w:p>
    <w:p w:rsidR="00C15495" w:rsidRPr="00C15495" w:rsidRDefault="00C15495" w:rsidP="00C15495">
      <w:pPr>
        <w:spacing w:after="240"/>
        <w:jc w:val="both"/>
        <w:rPr>
          <w:sz w:val="20"/>
          <w:szCs w:val="20"/>
          <w:lang w:val="fr-CA"/>
        </w:rPr>
      </w:pPr>
      <w:r w:rsidRPr="00C15495">
        <w:rPr>
          <w:i/>
          <w:sz w:val="20"/>
          <w:szCs w:val="20"/>
          <w:lang w:val="fr-CA"/>
        </w:rPr>
        <w:tab/>
        <w:t>La</w:t>
      </w:r>
      <w:r w:rsidRPr="00C15495">
        <w:rPr>
          <w:sz w:val="20"/>
          <w:szCs w:val="20"/>
          <w:lang w:val="fr-CA"/>
        </w:rPr>
        <w:t xml:space="preserve"> juge </w:t>
      </w:r>
      <w:r w:rsidRPr="00C15495">
        <w:rPr>
          <w:b/>
          <w:sz w:val="20"/>
          <w:szCs w:val="20"/>
          <w:lang w:val="fr-CA"/>
        </w:rPr>
        <w:t>Côté</w:t>
      </w:r>
      <w:r w:rsidRPr="00C15495">
        <w:rPr>
          <w:sz w:val="20"/>
          <w:szCs w:val="20"/>
          <w:lang w:val="fr-CA"/>
        </w:rPr>
        <w:t xml:space="preserve"> (dissidente) : Le par. 26.2(1) du Règlement est </w:t>
      </w:r>
      <w:r w:rsidRPr="00C15495">
        <w:rPr>
          <w:i/>
          <w:sz w:val="20"/>
          <w:szCs w:val="20"/>
          <w:lang w:val="fr-CA"/>
        </w:rPr>
        <w:t>ultra vires</w:t>
      </w:r>
      <w:r w:rsidRPr="00C15495">
        <w:rPr>
          <w:sz w:val="20"/>
          <w:szCs w:val="20"/>
          <w:lang w:val="fr-CA"/>
        </w:rPr>
        <w:t xml:space="preserve"> au regard de la norme de la décision correcte, mais à supposer même que la disposition ne soit pas invalide, il était manifestement déraisonnable d’imposer à West Fraser Mills, pour le manquement à ses obligations à titre de propriétaire suivant le par. 26.2(1), une sanction administrative qui ne visait que les infractions commises à titre d’employeur.</w:t>
      </w:r>
    </w:p>
    <w:p w:rsidR="00C15495" w:rsidRPr="00C15495" w:rsidRDefault="00C15495" w:rsidP="00C15495">
      <w:pPr>
        <w:spacing w:after="240"/>
        <w:jc w:val="both"/>
        <w:rPr>
          <w:sz w:val="20"/>
          <w:szCs w:val="20"/>
          <w:lang w:val="fr-CA"/>
        </w:rPr>
      </w:pPr>
      <w:r w:rsidRPr="00C15495">
        <w:rPr>
          <w:sz w:val="20"/>
          <w:szCs w:val="20"/>
          <w:lang w:val="fr-CA"/>
        </w:rPr>
        <w:tab/>
        <w:t>L’organisme de réglementation qui agit dans l’exercice de sa fonction décisionnelle peut faire appel à son expertise technique ou exercer son pouvoir discrétionnaire en fonction de ses préférences sur le plan des principes. Dans ce contexte, de multiples conclusions peuvent être raisonnables. Cependant, lorsque l’organisme agit dans l’exercice de son pouvoir réglementaire, la cour doit décider si le règlement contesté relève ou non de ce pouvoir. Il n’y a alors pas plusieurs issues raisonnables possibles, de sorte que la norme de la décision correcte est la norme de contrôle applicable. En l’espèce, et comme elle l’a reconnu elle</w:t>
      </w:r>
      <w:r w:rsidRPr="00C15495">
        <w:rPr>
          <w:sz w:val="20"/>
          <w:szCs w:val="20"/>
          <w:lang w:val="fr-CA"/>
        </w:rPr>
        <w:noBreakHyphen/>
        <w:t>même, la Commission a agi dans l’exercice de son pouvoir de réglementation en adoptant le par. 26.2(1), si bien qu’il n’y a pas lieu de déférer à sa conclusion selon laquelle elle avait le pouvoir d’adopter le règlement.</w:t>
      </w:r>
    </w:p>
    <w:p w:rsidR="00C15495" w:rsidRPr="00C15495" w:rsidRDefault="00C15495" w:rsidP="00C15495">
      <w:pPr>
        <w:spacing w:after="240"/>
        <w:jc w:val="both"/>
        <w:rPr>
          <w:sz w:val="20"/>
          <w:szCs w:val="20"/>
          <w:lang w:val="fr-CA"/>
        </w:rPr>
      </w:pPr>
      <w:r w:rsidRPr="00C15495">
        <w:rPr>
          <w:sz w:val="20"/>
          <w:szCs w:val="20"/>
          <w:lang w:val="fr-CA"/>
        </w:rPr>
        <w:t xml:space="preserve"> </w:t>
      </w:r>
      <w:r w:rsidRPr="00C15495">
        <w:rPr>
          <w:sz w:val="20"/>
          <w:szCs w:val="20"/>
          <w:lang w:val="fr-CA"/>
        </w:rPr>
        <w:tab/>
        <w:t xml:space="preserve">Un règlement ne saurait miner l’application de la loi dans son ensemble en rendant le propriétaire débiteur d’obligations que la Loi ne prévoit clairement pas. Par l’adoption du par. 26.2(1), la Commission a outrepassé son mandat et débordé le cadre de son pouvoir délégué en confondant indûment les obligations du propriétaire et celles de l’employeur, alors que le régime législatif impose à l’un et à l’autre des obligations distinctes et définies à l’égard du lieu de travail. Le régime législatif définit « employeur » et « propriétaire » comme étant des entités séparées et il distingue expressément leurs obligations aux art. 115 à 121. Lus ensemble, les art. 115 et 119, qui énoncent les obligations générales respectives de l’employeur et du propriétaire, créent des catégories distinctes d’obligations, les obligations de l’employeur et celles du propriétaire étant liées à la fonction et à la capacité particulières de chacun d’eux d’assurer la sécurité du lieu de travail. Du fait de la surveillance qu’il exerce directement sur eux, l’employeur est le mieux placé pour faire en sorte que les travailleurs soient informés des risques connus ou raisonnablement </w:t>
      </w:r>
      <w:r w:rsidRPr="00C15495">
        <w:rPr>
          <w:sz w:val="20"/>
          <w:szCs w:val="20"/>
          <w:lang w:val="fr-CA"/>
        </w:rPr>
        <w:lastRenderedPageBreak/>
        <w:t>prévisibles pour leur sécurité. Le propriétaire est le mieux placé pour s’acquitter au niveau macro d’obligations liées au lieu de travail plus généralement.</w:t>
      </w:r>
    </w:p>
    <w:p w:rsidR="00C15495" w:rsidRPr="00C15495" w:rsidRDefault="00C15495" w:rsidP="00C15495">
      <w:pPr>
        <w:spacing w:after="240"/>
        <w:jc w:val="both"/>
        <w:rPr>
          <w:sz w:val="20"/>
          <w:szCs w:val="20"/>
          <w:lang w:val="fr-CA"/>
        </w:rPr>
      </w:pPr>
      <w:r w:rsidRPr="00C15495">
        <w:rPr>
          <w:sz w:val="20"/>
          <w:szCs w:val="20"/>
          <w:lang w:val="fr-CA"/>
        </w:rPr>
        <w:tab/>
        <w:t>Cette interprétation fondée sur la structure du texte législatif est étayée par l’al. 107(2)e) de la Loi, selon lequel l’un des objectifs de la partie 3 de la Loi est de faire en sorte qu’employeurs, travailleurs et autres personnes susceptibles d’influer sur la santé et la sécurité des travailleurs partagent cette obligation dans la mesure où ils ont le pouvoir et la capacité que cela requiert. Qui plus est, l’al. 107(2)e) précise que la Loi n’impose des obligations aux personnes visées que dans la mesure où elles ont le pouvoir et la capacité de s’en acquitter, ce qui s’accorde avec la manière dont les obligations sont attribuées à l’employeur et au propriétaire aux art. 115 et 119 de la Loi. De plus, il limite expressément la mesure dans laquelle le législateur poursuit cet objectif et les moyens avec lesquels il le fait. Le par. 26.2(1) ne respecte pas cette répartition des obligations. Il oblige le propriétaire à faire en sorte que les activités soient planifiées et exercées d’une certaine manière. Cette obligation au niveau micro se distingue nettement des obligations au niveau macro relatives à l’état du lieu de travail qui incombent au propriétaire suivant l’art. 119. En imposant au propriétaire une obligation que la Loi réserve à l’employeur, la Commission a contrevenu à la structure claire de la division des obligations dans la Loi. Les facteurs contextuels externes dont font mention les juges majoritaires ne sont ni convaincants ni pertinents; ils ne permettent pas à la Commission de miner le régime établi par le législateur pour assurer la santé et la sécurité au travail.</w:t>
      </w:r>
    </w:p>
    <w:p w:rsidR="00C15495" w:rsidRPr="00C15495" w:rsidRDefault="00C15495" w:rsidP="00C15495">
      <w:pPr>
        <w:spacing w:after="240"/>
        <w:jc w:val="both"/>
        <w:rPr>
          <w:sz w:val="20"/>
          <w:szCs w:val="20"/>
          <w:lang w:val="fr-CA"/>
        </w:rPr>
      </w:pPr>
      <w:r w:rsidRPr="00C15495">
        <w:rPr>
          <w:sz w:val="20"/>
          <w:szCs w:val="20"/>
          <w:lang w:val="fr-CA"/>
        </w:rPr>
        <w:tab/>
        <w:t xml:space="preserve">À supposer même que la disposition réglementaire contestée soit </w:t>
      </w:r>
      <w:r w:rsidRPr="00C15495">
        <w:rPr>
          <w:i/>
          <w:sz w:val="20"/>
          <w:szCs w:val="20"/>
          <w:lang w:val="fr-CA"/>
        </w:rPr>
        <w:t>intra vires</w:t>
      </w:r>
      <w:r w:rsidRPr="00C15495">
        <w:rPr>
          <w:sz w:val="20"/>
          <w:szCs w:val="20"/>
          <w:lang w:val="fr-CA"/>
        </w:rPr>
        <w:t>, il n’existe aucun lien entre l’infraction sous</w:t>
      </w:r>
      <w:r w:rsidRPr="00C15495">
        <w:rPr>
          <w:sz w:val="20"/>
          <w:szCs w:val="20"/>
          <w:lang w:val="fr-CA"/>
        </w:rPr>
        <w:noBreakHyphen/>
        <w:t>jacente et l’imposition de la sanction administrative. West Fraser Mills a été accusée d’avoir violé ses obligations à titre de propriétaire suivant le par. 26.2(1) du Règlement. Elle a cependant fait l’objet, par application du par. 196(1) de la Loi, d’une sanction administrative que la Commission ne peut imposer qu’à une entité agissant à titre d’employeur. La décision était manifestement déraisonnable.</w:t>
      </w:r>
    </w:p>
    <w:p w:rsidR="00C15495" w:rsidRPr="00C15495" w:rsidRDefault="00C15495" w:rsidP="00C15495">
      <w:pPr>
        <w:spacing w:after="240"/>
        <w:jc w:val="both"/>
        <w:rPr>
          <w:sz w:val="20"/>
          <w:szCs w:val="20"/>
          <w:lang w:val="fr-CA"/>
        </w:rPr>
      </w:pPr>
      <w:r w:rsidRPr="00C15495">
        <w:rPr>
          <w:sz w:val="20"/>
          <w:szCs w:val="20"/>
          <w:lang w:val="fr-CA"/>
        </w:rPr>
        <w:tab/>
        <w:t xml:space="preserve">Conclure que le par. 196(1) s’applique au propriétaire qui est également employeur dans le lieu de travail était erroné pour plusieurs raisons. Premièrement, le terme « employeur » n’englobe pas le « propriétaire ». Deuxièmement, le par. 196(1) précise qu’une sanction administrative peut être imposée à un employeur, ce qui indique qu’elle ne peut pas l’être aux autres catégories de personnes. Troisièmement, le législateur emploie le terme « personne » au singulier ou au pluriel afin d’englober des entités multiples ou des entités agissant simultanément à plusieurs titres. Quatrièmement, au par. 196(1), le terme « employeur » n’est pas employé fortuitement puisqu’il est repris dans chacun de ses alinéas au lieu des termes « personne » ou « propriétaire ». Enfin, cet emploi se concilie avec le régime législatif dans sa globalité en ce qui a trait à certaines mesures réparatrices qui ne s’appliquent qu’au manquement à certaines obligations. </w:t>
      </w:r>
    </w:p>
    <w:p w:rsidR="00C15495" w:rsidRPr="00C15495" w:rsidRDefault="00C15495" w:rsidP="00C15495">
      <w:pPr>
        <w:spacing w:after="240"/>
        <w:jc w:val="both"/>
        <w:rPr>
          <w:sz w:val="20"/>
          <w:szCs w:val="20"/>
          <w:lang w:val="fr-CA"/>
        </w:rPr>
      </w:pPr>
      <w:r w:rsidRPr="00C15495">
        <w:rPr>
          <w:i/>
          <w:sz w:val="20"/>
          <w:szCs w:val="20"/>
          <w:lang w:val="fr-CA"/>
        </w:rPr>
        <w:tab/>
        <w:t>Le</w:t>
      </w:r>
      <w:r w:rsidRPr="00C15495">
        <w:rPr>
          <w:sz w:val="20"/>
          <w:szCs w:val="20"/>
          <w:lang w:val="fr-CA"/>
        </w:rPr>
        <w:t xml:space="preserve"> juge </w:t>
      </w:r>
      <w:r w:rsidRPr="00C15495">
        <w:rPr>
          <w:b/>
          <w:sz w:val="20"/>
          <w:szCs w:val="20"/>
          <w:lang w:val="fr-CA"/>
        </w:rPr>
        <w:t>Brown</w:t>
      </w:r>
      <w:r w:rsidRPr="00C15495">
        <w:rPr>
          <w:sz w:val="20"/>
          <w:szCs w:val="20"/>
          <w:lang w:val="fr-CA"/>
        </w:rPr>
        <w:t xml:space="preserve"> (dissident) : Il y a accord avec les juges majoritaires, mais pour des raisons différentes de celles qu’ils invoquent, lorsqu’ils affirment que le libellé de l’art. 225 de la Loi est suffisamment large pour étayer la conclusion selon laquelle l’adoption par la Commission du par. 26.2(1) du Règlement est </w:t>
      </w:r>
      <w:r w:rsidRPr="00C15495">
        <w:rPr>
          <w:i/>
          <w:sz w:val="20"/>
          <w:szCs w:val="20"/>
          <w:lang w:val="fr-CA"/>
        </w:rPr>
        <w:t>intra vires</w:t>
      </w:r>
      <w:r w:rsidRPr="00C15495">
        <w:rPr>
          <w:sz w:val="20"/>
          <w:szCs w:val="20"/>
          <w:lang w:val="fr-CA"/>
        </w:rPr>
        <w:t>. Un organisme administratif doit statuer correctement sur une question touchant véritablement à la compétence. La question du pouvoir de la Commission d’adopter le par. 26.2(1) constitue une question touchant à la validité de la législation déléguée et il s’agit donc manifestement d’une question de compétence. Les questions de compétence appellent toujours l’application de la norme de la décision correcte. Toutefois, tant que le délégataire agit dans les limites des pouvoirs qui lui sont conférés, ce n’est pas sur le caractère raisonnable global de la manière dont il choisit d’exercer son pouvoir légitime que la cour de révision doit diriger son attention. Les juges majoritaires ont tort de mettre à l’écart l’examen de la compétence au profit de la prise en compte de divers facteurs contextuels censés appuyer un contrôle selon la norme de la décision raisonnable. Si l’adoption du par. 26.2(1) par la Commission soulève une question de compétence, de tels facteurs contextuels ne sont pas pertinents.</w:t>
      </w:r>
    </w:p>
    <w:p w:rsidR="00C15495" w:rsidRPr="00C15495" w:rsidRDefault="00C15495" w:rsidP="00C15495">
      <w:pPr>
        <w:spacing w:after="240"/>
        <w:jc w:val="both"/>
        <w:rPr>
          <w:sz w:val="20"/>
          <w:szCs w:val="20"/>
          <w:lang w:val="fr-CA"/>
        </w:rPr>
      </w:pPr>
      <w:r w:rsidRPr="00C15495">
        <w:rPr>
          <w:sz w:val="20"/>
          <w:szCs w:val="20"/>
          <w:lang w:val="fr-CA"/>
        </w:rPr>
        <w:tab/>
        <w:t>En ce qui concerne la sanction, la juge Côté conclut à bon droit que la décision de la Commission d’en infliger une à West Fraser Mills en application du par. 196(1) de la Loi pour une infraction au par. 26.2(1) du Règlement était manifestement déraisonnable.</w:t>
      </w:r>
    </w:p>
    <w:p w:rsidR="00C15495" w:rsidRPr="00C15495" w:rsidRDefault="00C15495" w:rsidP="001B3430">
      <w:pPr>
        <w:spacing w:after="240"/>
        <w:jc w:val="both"/>
        <w:rPr>
          <w:sz w:val="20"/>
          <w:szCs w:val="20"/>
          <w:lang w:val="fr-CA"/>
        </w:rPr>
      </w:pPr>
      <w:r w:rsidRPr="00C15495">
        <w:rPr>
          <w:i/>
          <w:sz w:val="20"/>
          <w:szCs w:val="20"/>
          <w:lang w:val="fr-CA"/>
        </w:rPr>
        <w:lastRenderedPageBreak/>
        <w:tab/>
        <w:t>Le</w:t>
      </w:r>
      <w:r w:rsidRPr="00C15495">
        <w:rPr>
          <w:sz w:val="20"/>
          <w:szCs w:val="20"/>
          <w:lang w:val="fr-CA"/>
        </w:rPr>
        <w:t xml:space="preserve"> juge </w:t>
      </w:r>
      <w:r w:rsidRPr="00C15495">
        <w:rPr>
          <w:b/>
          <w:sz w:val="20"/>
          <w:szCs w:val="20"/>
          <w:lang w:val="fr-CA"/>
        </w:rPr>
        <w:t>Rowe</w:t>
      </w:r>
      <w:r w:rsidRPr="00C15495">
        <w:rPr>
          <w:sz w:val="20"/>
          <w:szCs w:val="20"/>
          <w:lang w:val="fr-CA"/>
        </w:rPr>
        <w:t xml:space="preserve"> (dissident) : Le contrôle judiciaire relatif à la validité d’un règlement comporte deux étapes. La première s’intéresse à la compétence. La seconde s’intéresse à la teneur de la disposition et vise l’exercice du pouvoir conféré. C’est à raison que les juges majoritaires concluent que le par. 26.2(1) du Règlement est </w:t>
      </w:r>
      <w:r w:rsidRPr="00C15495">
        <w:rPr>
          <w:i/>
          <w:sz w:val="20"/>
          <w:szCs w:val="20"/>
          <w:lang w:val="fr-CA"/>
        </w:rPr>
        <w:t>intra vires</w:t>
      </w:r>
      <w:r w:rsidRPr="00C15495">
        <w:rPr>
          <w:sz w:val="20"/>
          <w:szCs w:val="20"/>
          <w:lang w:val="fr-CA"/>
        </w:rPr>
        <w:t>, si ce n’est que l’application quotidienne d’un régime administratif ne rend pas plus apte à interpréter une loi, notamment pour déterminer l’étendue de la compétence, ce qui relève de l’analyse juridique.</w:t>
      </w:r>
    </w:p>
    <w:p w:rsidR="00C15495" w:rsidRPr="00C15495" w:rsidRDefault="00C15495" w:rsidP="001B3430">
      <w:pPr>
        <w:spacing w:after="240"/>
        <w:jc w:val="both"/>
        <w:rPr>
          <w:sz w:val="20"/>
          <w:szCs w:val="20"/>
          <w:lang w:val="fr-CA"/>
        </w:rPr>
      </w:pPr>
      <w:r w:rsidRPr="00C15495">
        <w:rPr>
          <w:sz w:val="20"/>
          <w:szCs w:val="20"/>
          <w:lang w:val="fr-CA"/>
        </w:rPr>
        <w:tab/>
        <w:t>En ce qui concerne la peine pécuniaire, la juge Côté conclut à raison que la décision du Tribunal est manifestement déraisonnable et va directement à l’encontre du texte clair du par. 196(1) de la Loi.</w:t>
      </w:r>
    </w:p>
    <w:p w:rsidR="001B3430" w:rsidRPr="001B3430" w:rsidRDefault="001B3430" w:rsidP="001B3430">
      <w:pPr>
        <w:spacing w:after="240"/>
        <w:ind w:firstLine="720"/>
        <w:jc w:val="both"/>
        <w:rPr>
          <w:sz w:val="20"/>
          <w:szCs w:val="20"/>
          <w:lang w:val="fr-CA"/>
        </w:rPr>
      </w:pPr>
      <w:r w:rsidRPr="001B3430">
        <w:rPr>
          <w:sz w:val="20"/>
          <w:szCs w:val="20"/>
          <w:lang w:val="fr-CA"/>
        </w:rPr>
        <w:t>POURVOI contre un arrêt de la Cour d’appel de la Colombie</w:t>
      </w:r>
      <w:r w:rsidRPr="001B3430">
        <w:rPr>
          <w:sz w:val="20"/>
          <w:szCs w:val="20"/>
          <w:lang w:val="fr-CA"/>
        </w:rPr>
        <w:noBreakHyphen/>
        <w:t xml:space="preserve">Britannique (les juges Newbury, Tysoe et Groberman), 2016 BCCA 473, 405 D.L.R. (4th) 621, 12 Admin. L.R. (6th) 189, [2016] B.C.J. No. 2486 (QL), 2016 CarswellBC 3290 (WL Can.), qui a confirmé une décision du juge MacKenzie, 2015 BCSC 1098, 2 Admin. L.R. (6th) 148, [2015] B.C.J. No. 1362 (QL), 2015 CarswellBC 1780 (WL Can.), qui avait rejeté une demande de contrôle judiciaire visant une décision du Workers’ Compensation Appeal Tribunal, 2013 CanLII 79509. Pourvoi rejeté, les juges Côté, Brown et Rowe sont dissidents. </w:t>
      </w:r>
    </w:p>
    <w:p w:rsidR="001B3430" w:rsidRPr="001B3430" w:rsidRDefault="001B3430" w:rsidP="001B3430">
      <w:pPr>
        <w:spacing w:after="240"/>
        <w:jc w:val="both"/>
        <w:rPr>
          <w:sz w:val="20"/>
          <w:szCs w:val="20"/>
          <w:lang w:val="fr-CA"/>
        </w:rPr>
      </w:pPr>
      <w:r w:rsidRPr="001B3430">
        <w:rPr>
          <w:i/>
          <w:sz w:val="20"/>
          <w:szCs w:val="20"/>
          <w:lang w:val="fr-CA"/>
        </w:rPr>
        <w:tab/>
        <w:t>Donald J. Jordan</w:t>
      </w:r>
      <w:r w:rsidRPr="001B3430">
        <w:rPr>
          <w:sz w:val="20"/>
          <w:szCs w:val="20"/>
          <w:lang w:val="fr-CA"/>
        </w:rPr>
        <w:t>,</w:t>
      </w:r>
      <w:r w:rsidRPr="001B3430">
        <w:rPr>
          <w:i/>
          <w:sz w:val="20"/>
          <w:szCs w:val="20"/>
          <w:lang w:val="fr-CA"/>
        </w:rPr>
        <w:t xml:space="preserve"> c.r.</w:t>
      </w:r>
      <w:r w:rsidRPr="001B3430">
        <w:rPr>
          <w:sz w:val="20"/>
          <w:szCs w:val="20"/>
          <w:lang w:val="fr-CA"/>
        </w:rPr>
        <w:t xml:space="preserve">, et </w:t>
      </w:r>
      <w:r w:rsidRPr="001B3430">
        <w:rPr>
          <w:i/>
          <w:sz w:val="20"/>
          <w:szCs w:val="20"/>
          <w:lang w:val="fr-CA"/>
        </w:rPr>
        <w:t>Paul Fairweather</w:t>
      </w:r>
      <w:r w:rsidRPr="001B3430">
        <w:rPr>
          <w:sz w:val="20"/>
          <w:szCs w:val="20"/>
          <w:lang w:val="fr-CA"/>
        </w:rPr>
        <w:t>, pour l’appelante.</w:t>
      </w:r>
    </w:p>
    <w:p w:rsidR="001B3430" w:rsidRPr="001B3430" w:rsidRDefault="001B3430" w:rsidP="001B3430">
      <w:pPr>
        <w:spacing w:after="240"/>
        <w:jc w:val="both"/>
        <w:rPr>
          <w:sz w:val="20"/>
          <w:szCs w:val="20"/>
          <w:lang w:val="en-US"/>
        </w:rPr>
      </w:pPr>
      <w:r w:rsidRPr="001B3430">
        <w:rPr>
          <w:i/>
          <w:sz w:val="20"/>
          <w:szCs w:val="20"/>
          <w:lang w:val="fr-CA"/>
        </w:rPr>
        <w:tab/>
      </w:r>
      <w:r w:rsidRPr="001B3430">
        <w:rPr>
          <w:i/>
          <w:sz w:val="20"/>
          <w:szCs w:val="20"/>
          <w:lang w:val="en-US"/>
        </w:rPr>
        <w:t>Jeremy Thomas Lovell</w:t>
      </w:r>
      <w:r w:rsidRPr="001B3430">
        <w:rPr>
          <w:sz w:val="20"/>
          <w:szCs w:val="20"/>
          <w:lang w:val="en-US"/>
        </w:rPr>
        <w:t>, pour l’intimé Workers’ Compensation Appeal Tribunal.</w:t>
      </w:r>
    </w:p>
    <w:p w:rsidR="001B3430" w:rsidRPr="001B3430" w:rsidRDefault="001B3430" w:rsidP="001B3430">
      <w:pPr>
        <w:spacing w:after="240"/>
        <w:jc w:val="both"/>
        <w:rPr>
          <w:sz w:val="20"/>
          <w:szCs w:val="20"/>
          <w:lang w:val="en-US"/>
        </w:rPr>
      </w:pPr>
      <w:r w:rsidRPr="001B3430">
        <w:rPr>
          <w:i/>
          <w:sz w:val="20"/>
          <w:szCs w:val="20"/>
          <w:lang w:val="en-US"/>
        </w:rPr>
        <w:tab/>
        <w:t>Ben Parkin</w:t>
      </w:r>
      <w:r w:rsidRPr="001B3430">
        <w:rPr>
          <w:sz w:val="20"/>
          <w:szCs w:val="20"/>
          <w:lang w:val="en-US"/>
        </w:rPr>
        <w:t xml:space="preserve">, </w:t>
      </w:r>
      <w:r w:rsidRPr="001B3430">
        <w:rPr>
          <w:i/>
          <w:sz w:val="20"/>
          <w:szCs w:val="20"/>
          <w:lang w:val="en-US"/>
        </w:rPr>
        <w:t xml:space="preserve">Ian R. H. Shaw </w:t>
      </w:r>
      <w:r w:rsidRPr="001B3430">
        <w:rPr>
          <w:sz w:val="20"/>
          <w:szCs w:val="20"/>
          <w:lang w:val="en-US"/>
        </w:rPr>
        <w:t xml:space="preserve">et </w:t>
      </w:r>
      <w:r w:rsidRPr="001B3430">
        <w:rPr>
          <w:i/>
          <w:sz w:val="20"/>
          <w:szCs w:val="20"/>
          <w:lang w:val="en-US"/>
        </w:rPr>
        <w:t>Nicolas J. Bower</w:t>
      </w:r>
      <w:r w:rsidRPr="001B3430">
        <w:rPr>
          <w:sz w:val="20"/>
          <w:szCs w:val="20"/>
          <w:lang w:val="en-US"/>
        </w:rPr>
        <w:t>, pour l’intimée Workers’ Compensation Board of British Columbia</w:t>
      </w:r>
    </w:p>
    <w:p w:rsidR="001B3430" w:rsidRPr="001B3430" w:rsidRDefault="001B3430" w:rsidP="001B3430">
      <w:pPr>
        <w:spacing w:after="240"/>
        <w:jc w:val="both"/>
        <w:rPr>
          <w:sz w:val="20"/>
          <w:szCs w:val="20"/>
          <w:lang w:val="en-US"/>
        </w:rPr>
      </w:pPr>
      <w:r w:rsidRPr="001B3430">
        <w:rPr>
          <w:i/>
          <w:sz w:val="20"/>
          <w:szCs w:val="20"/>
          <w:lang w:val="en-US"/>
        </w:rPr>
        <w:tab/>
        <w:t>Jason J. J. Bodnar</w:t>
      </w:r>
      <w:r w:rsidRPr="001B3430">
        <w:rPr>
          <w:sz w:val="20"/>
          <w:szCs w:val="20"/>
          <w:lang w:val="en-US"/>
        </w:rPr>
        <w:t>, pour l’intervenante Workers’ Compensation Board of Alberta.</w:t>
      </w:r>
    </w:p>
    <w:p w:rsidR="001B3430" w:rsidRPr="001B3430" w:rsidRDefault="001B3430" w:rsidP="001B3430">
      <w:pPr>
        <w:spacing w:after="240"/>
        <w:jc w:val="both"/>
        <w:rPr>
          <w:sz w:val="20"/>
          <w:szCs w:val="20"/>
          <w:lang w:val="fr-CA"/>
        </w:rPr>
      </w:pPr>
      <w:r w:rsidRPr="001B3430">
        <w:rPr>
          <w:sz w:val="20"/>
          <w:szCs w:val="20"/>
          <w:lang w:val="en-US"/>
        </w:rPr>
        <w:tab/>
      </w:r>
      <w:r w:rsidRPr="001B3430">
        <w:rPr>
          <w:i/>
          <w:sz w:val="20"/>
          <w:szCs w:val="20"/>
          <w:lang w:val="fr-CA"/>
        </w:rPr>
        <w:t xml:space="preserve">Pourvoi rejeté avec dépens en faveur de la Workers’ Compensation Board of British Columbia, les juges </w:t>
      </w:r>
      <w:r w:rsidRPr="001B3430">
        <w:rPr>
          <w:sz w:val="20"/>
          <w:szCs w:val="20"/>
          <w:lang w:val="fr-CA"/>
        </w:rPr>
        <w:t>Côté</w:t>
      </w:r>
      <w:r w:rsidRPr="001B3430">
        <w:rPr>
          <w:i/>
          <w:sz w:val="20"/>
          <w:szCs w:val="20"/>
          <w:lang w:val="fr-CA"/>
        </w:rPr>
        <w:t>,</w:t>
      </w:r>
      <w:r w:rsidRPr="001B3430">
        <w:rPr>
          <w:sz w:val="20"/>
          <w:szCs w:val="20"/>
          <w:lang w:val="fr-CA"/>
        </w:rPr>
        <w:t xml:space="preserve"> Brown</w:t>
      </w:r>
      <w:r w:rsidRPr="001B3430">
        <w:rPr>
          <w:i/>
          <w:sz w:val="20"/>
          <w:szCs w:val="20"/>
          <w:lang w:val="fr-CA"/>
        </w:rPr>
        <w:t xml:space="preserve"> et </w:t>
      </w:r>
      <w:r w:rsidRPr="001B3430">
        <w:rPr>
          <w:sz w:val="20"/>
          <w:szCs w:val="20"/>
          <w:lang w:val="fr-CA"/>
        </w:rPr>
        <w:t>Rowe</w:t>
      </w:r>
      <w:r w:rsidRPr="001B3430">
        <w:rPr>
          <w:i/>
          <w:sz w:val="20"/>
          <w:szCs w:val="20"/>
          <w:lang w:val="fr-CA"/>
        </w:rPr>
        <w:t xml:space="preserve"> sont dissidents.</w:t>
      </w:r>
    </w:p>
    <w:p w:rsidR="001B3430" w:rsidRPr="001B3430" w:rsidRDefault="001B3430" w:rsidP="001B3430">
      <w:pPr>
        <w:spacing w:after="240"/>
        <w:jc w:val="both"/>
        <w:rPr>
          <w:i/>
          <w:sz w:val="20"/>
          <w:szCs w:val="20"/>
          <w:lang w:val="fr-CA"/>
        </w:rPr>
      </w:pPr>
      <w:r w:rsidRPr="001B3430">
        <w:rPr>
          <w:i/>
          <w:sz w:val="20"/>
          <w:szCs w:val="20"/>
          <w:lang w:val="fr-CA"/>
        </w:rPr>
        <w:tab/>
        <w:t>Procureurs de l’appelante : Harris &amp; Company, Vancouver.</w:t>
      </w:r>
    </w:p>
    <w:p w:rsidR="001B3430" w:rsidRPr="001B3430" w:rsidRDefault="001B3430" w:rsidP="001B3430">
      <w:pPr>
        <w:spacing w:after="240"/>
        <w:jc w:val="both"/>
        <w:rPr>
          <w:i/>
          <w:sz w:val="20"/>
          <w:szCs w:val="20"/>
          <w:lang w:val="en-US"/>
        </w:rPr>
      </w:pPr>
      <w:r w:rsidRPr="001B3430">
        <w:rPr>
          <w:i/>
          <w:sz w:val="20"/>
          <w:szCs w:val="20"/>
          <w:lang w:val="fr-CA"/>
        </w:rPr>
        <w:tab/>
      </w:r>
      <w:r w:rsidRPr="001B3430">
        <w:rPr>
          <w:i/>
          <w:sz w:val="20"/>
          <w:szCs w:val="20"/>
          <w:lang w:val="en-US"/>
        </w:rPr>
        <w:t>Procureur de l’intimé Workers’ Compensation Appeal Tribunal : Workers’ Compensation Appeal Tribunal, Richmond.</w:t>
      </w:r>
    </w:p>
    <w:p w:rsidR="001B3430" w:rsidRPr="001B3430" w:rsidRDefault="001B3430" w:rsidP="001B3430">
      <w:pPr>
        <w:spacing w:after="240"/>
        <w:jc w:val="both"/>
        <w:rPr>
          <w:i/>
          <w:sz w:val="20"/>
          <w:szCs w:val="20"/>
          <w:lang w:val="en-US"/>
        </w:rPr>
      </w:pPr>
      <w:r w:rsidRPr="001B3430">
        <w:rPr>
          <w:i/>
          <w:sz w:val="20"/>
          <w:szCs w:val="20"/>
          <w:lang w:val="en-US"/>
        </w:rPr>
        <w:tab/>
        <w:t>Procureur de l’intimée Workers’ Compensation Board of British Columbia : Workers’ Compensation Board of British Columbia, Richmond.</w:t>
      </w:r>
    </w:p>
    <w:p w:rsidR="001B3430" w:rsidRPr="001B3430" w:rsidRDefault="001B3430" w:rsidP="001B3430">
      <w:pPr>
        <w:spacing w:after="240"/>
        <w:jc w:val="both"/>
        <w:rPr>
          <w:i/>
          <w:sz w:val="20"/>
          <w:szCs w:val="20"/>
          <w:lang w:val="en-US"/>
        </w:rPr>
      </w:pPr>
      <w:r w:rsidRPr="001B3430">
        <w:rPr>
          <w:i/>
          <w:sz w:val="20"/>
          <w:szCs w:val="20"/>
          <w:lang w:val="en-US"/>
        </w:rPr>
        <w:tab/>
        <w:t>Procureur de l’intervenante Workers’ Compensation Board of Alberta : Workers’ Compensation Board of Alberta, Edmonton.</w:t>
      </w:r>
    </w:p>
    <w:p w:rsidR="00C15495" w:rsidRPr="001B3430" w:rsidRDefault="00C15495" w:rsidP="005C6840">
      <w:pPr>
        <w:jc w:val="both"/>
        <w:rPr>
          <w:sz w:val="20"/>
          <w:szCs w:val="20"/>
          <w:lang w:val="en-US"/>
        </w:rPr>
      </w:pPr>
    </w:p>
    <w:p w:rsidR="0056248C" w:rsidRPr="001B3430" w:rsidRDefault="00FE4582" w:rsidP="005C6840">
      <w:pPr>
        <w:jc w:val="both"/>
        <w:rPr>
          <w:sz w:val="20"/>
          <w:szCs w:val="20"/>
          <w:lang w:val="en-US"/>
        </w:rPr>
      </w:pPr>
      <w:r>
        <w:rPr>
          <w:rFonts w:cs="Times New Roman"/>
          <w:sz w:val="20"/>
          <w:szCs w:val="20"/>
          <w:lang w:val="fr-CA"/>
        </w:rPr>
        <w:pict>
          <v:rect id="_x0000_i1073" style="width:144.3pt;height:1pt" o:hrpct="300" o:hralign="center" o:hrstd="t" o:hrnoshade="t" o:hr="t" fillcolor="black [3213]" stroked="f"/>
        </w:pict>
      </w:r>
    </w:p>
    <w:p w:rsidR="0056248C" w:rsidRPr="001B3430" w:rsidRDefault="0056248C" w:rsidP="005C6840">
      <w:pPr>
        <w:jc w:val="both"/>
        <w:rPr>
          <w:sz w:val="20"/>
          <w:szCs w:val="20"/>
          <w:lang w:val="en-US"/>
        </w:rPr>
      </w:pPr>
    </w:p>
    <w:p w:rsidR="00102926" w:rsidRPr="001B3430" w:rsidRDefault="00102926" w:rsidP="00782AE4">
      <w:pPr>
        <w:jc w:val="both"/>
        <w:rPr>
          <w:sz w:val="20"/>
          <w:szCs w:val="20"/>
          <w:lang w:val="en-US"/>
        </w:rPr>
        <w:sectPr w:rsidR="00102926" w:rsidRPr="001B3430" w:rsidSect="001B3430">
          <w:headerReference w:type="even" r:id="rId77"/>
          <w:headerReference w:type="default" r:id="rId78"/>
          <w:footerReference w:type="even" r:id="rId79"/>
          <w:footerReference w:type="default" r:id="rId80"/>
          <w:headerReference w:type="first" r:id="rId81"/>
          <w:footerReference w:type="first" r:id="rId82"/>
          <w:pgSz w:w="12240" w:h="15840"/>
          <w:pgMar w:top="720" w:right="1170" w:bottom="1080" w:left="1656" w:header="576" w:footer="960" w:gutter="0"/>
          <w:cols w:space="720"/>
          <w:titlePg/>
          <w:docGrid w:linePitch="272"/>
        </w:sectPr>
      </w:pPr>
    </w:p>
    <w:p w:rsidR="0041245B" w:rsidRDefault="0041245B" w:rsidP="0041245B">
      <w:pPr>
        <w:tabs>
          <w:tab w:val="center" w:pos="5489"/>
          <w:tab w:val="right" w:pos="10915"/>
        </w:tabs>
        <w:ind w:right="-91"/>
        <w:rPr>
          <w:rFonts w:ascii="Arial" w:hAnsi="Arial" w:cs="Arial"/>
          <w:sz w:val="18"/>
          <w:szCs w:val="18"/>
          <w:lang w:val="fr-FR"/>
        </w:rPr>
      </w:pPr>
      <w:bookmarkStart w:id="3" w:name="1"/>
      <w:bookmarkStart w:id="4" w:name="QuickMark"/>
      <w:bookmarkEnd w:id="3"/>
      <w:bookmarkEnd w:id="4"/>
      <w:r w:rsidRPr="001B3430">
        <w:rPr>
          <w:rFonts w:ascii="Arial" w:hAnsi="Arial" w:cs="Arial"/>
          <w:sz w:val="20"/>
          <w:lang w:val="en-US"/>
        </w:rPr>
        <w:lastRenderedPageBreak/>
        <w:tab/>
      </w:r>
      <w:r>
        <w:rPr>
          <w:rFonts w:ascii="Arial" w:hAnsi="Arial" w:cs="Arial"/>
          <w:b/>
          <w:i/>
          <w:sz w:val="28"/>
          <w:szCs w:val="28"/>
          <w:lang w:val="fr-FR"/>
        </w:rPr>
        <w:t>- 2017 -</w:t>
      </w:r>
      <w:r>
        <w:rPr>
          <w:rFonts w:ascii="Arial" w:hAnsi="Arial" w:cs="Arial"/>
          <w:sz w:val="20"/>
          <w:lang w:val="fr-FR"/>
        </w:rPr>
        <w:t xml:space="preserve"> </w:t>
      </w:r>
      <w:r>
        <w:rPr>
          <w:rFonts w:ascii="Arial" w:hAnsi="Arial" w:cs="Arial"/>
          <w:sz w:val="18"/>
          <w:szCs w:val="18"/>
          <w:lang w:val="fr-FR"/>
        </w:rPr>
        <w:tab/>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1"/>
        <w:gridCol w:w="476"/>
        <w:gridCol w:w="475"/>
        <w:gridCol w:w="472"/>
        <w:gridCol w:w="475"/>
        <w:gridCol w:w="472"/>
        <w:gridCol w:w="479"/>
        <w:gridCol w:w="286"/>
        <w:gridCol w:w="472"/>
        <w:gridCol w:w="475"/>
        <w:gridCol w:w="475"/>
        <w:gridCol w:w="475"/>
        <w:gridCol w:w="475"/>
        <w:gridCol w:w="475"/>
        <w:gridCol w:w="477"/>
        <w:gridCol w:w="292"/>
        <w:gridCol w:w="466"/>
        <w:gridCol w:w="466"/>
        <w:gridCol w:w="472"/>
        <w:gridCol w:w="468"/>
        <w:gridCol w:w="470"/>
        <w:gridCol w:w="470"/>
        <w:gridCol w:w="464"/>
      </w:tblGrid>
      <w:tr w:rsidR="0041245B" w:rsidTr="0041245B">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41245B" w:rsidTr="0041245B">
        <w:trPr>
          <w:trHeight w:val="216"/>
        </w:trPr>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7"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1"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r>
      <w:tr w:rsidR="0041245B" w:rsidTr="0041245B">
        <w:trPr>
          <w:trHeight w:val="346"/>
        </w:trPr>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b/>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r>
      <w:tr w:rsidR="0041245B"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r>
      <w:tr w:rsidR="0041245B" w:rsidTr="0041245B">
        <w:trPr>
          <w:trHeight w:val="346"/>
        </w:trPr>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7"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1"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r>
      <w:tr w:rsidR="0041245B" w:rsidTr="0041245B">
        <w:trPr>
          <w:trHeight w:val="346"/>
        </w:trPr>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b/>
                <w:sz w:val="13"/>
                <w:szCs w:val="13"/>
              </w:rPr>
              <w:t>CC</w:t>
            </w:r>
          </w:p>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rPr>
                <w:rFonts w:ascii="Arial" w:hAnsi="Arial" w:cs="Arial"/>
                <w:sz w:val="13"/>
                <w:szCs w:val="13"/>
              </w:rPr>
            </w:pPr>
            <w:r>
              <w:rPr>
                <w:rFonts w:ascii="Arial" w:hAnsi="Arial" w:cs="Arial"/>
                <w:sz w:val="13"/>
                <w:szCs w:val="13"/>
              </w:rPr>
              <w:t xml:space="preserve"> 24 /</w:t>
            </w:r>
          </w:p>
          <w:p w:rsidR="0041245B" w:rsidRDefault="0041245B">
            <w:pPr>
              <w:jc w:val="center"/>
              <w:rPr>
                <w:rFonts w:ascii="Arial" w:hAnsi="Arial" w:cs="Arial"/>
                <w:sz w:val="13"/>
                <w:szCs w:val="13"/>
              </w:rPr>
            </w:pPr>
            <w:r>
              <w:rPr>
                <w:rFonts w:ascii="Arial" w:hAnsi="Arial" w:cs="Arial"/>
                <w:sz w:val="13"/>
                <w:szCs w:val="13"/>
              </w:rPr>
              <w:t xml:space="preserve">      31</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1" w:type="pct"/>
            <w:tcBorders>
              <w:top w:val="single" w:sz="4" w:space="0" w:color="000000" w:themeColor="text1"/>
              <w:left w:val="single" w:sz="4"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r>
    </w:tbl>
    <w:p w:rsidR="0041245B" w:rsidRDefault="0041245B" w:rsidP="0041245B">
      <w:pPr>
        <w:tabs>
          <w:tab w:val="center" w:pos="5220"/>
          <w:tab w:val="right" w:pos="10440"/>
        </w:tabs>
        <w:jc w:val="center"/>
        <w:rPr>
          <w:rFonts w:ascii="Arial" w:hAnsi="Arial" w:cs="Arial"/>
          <w:b/>
          <w:i/>
          <w:sz w:val="28"/>
          <w:szCs w:val="28"/>
        </w:rPr>
      </w:pPr>
    </w:p>
    <w:p w:rsidR="0041245B" w:rsidRDefault="0041245B" w:rsidP="0041245B">
      <w:pPr>
        <w:tabs>
          <w:tab w:val="center" w:pos="5220"/>
          <w:tab w:val="right" w:pos="10440"/>
        </w:tabs>
        <w:jc w:val="center"/>
        <w:rPr>
          <w:rFonts w:ascii="Arial" w:hAnsi="Arial" w:cs="Arial"/>
          <w:sz w:val="28"/>
          <w:szCs w:val="28"/>
        </w:rPr>
      </w:pPr>
      <w:r>
        <w:rPr>
          <w:rFonts w:ascii="Arial" w:hAnsi="Arial" w:cs="Arial"/>
          <w:b/>
          <w:i/>
          <w:sz w:val="28"/>
          <w:szCs w:val="28"/>
        </w:rPr>
        <w:t xml:space="preserve"> - 2018 -</w:t>
      </w:r>
    </w:p>
    <w:tbl>
      <w:tblPr>
        <w:tblStyle w:val="TableGrid"/>
        <w:tblW w:w="5050" w:type="pct"/>
        <w:tblInd w:w="-23" w:type="dxa"/>
        <w:tblCellMar>
          <w:top w:w="58" w:type="dxa"/>
          <w:left w:w="29" w:type="dxa"/>
          <w:bottom w:w="58" w:type="dxa"/>
          <w:right w:w="29" w:type="dxa"/>
        </w:tblCellMar>
        <w:tblLook w:val="04A0" w:firstRow="1" w:lastRow="0" w:firstColumn="1" w:lastColumn="0" w:noHBand="0" w:noVBand="1"/>
      </w:tblPr>
      <w:tblGrid>
        <w:gridCol w:w="474"/>
        <w:gridCol w:w="474"/>
        <w:gridCol w:w="476"/>
        <w:gridCol w:w="474"/>
        <w:gridCol w:w="476"/>
        <w:gridCol w:w="475"/>
        <w:gridCol w:w="481"/>
        <w:gridCol w:w="288"/>
        <w:gridCol w:w="472"/>
        <w:gridCol w:w="475"/>
        <w:gridCol w:w="475"/>
        <w:gridCol w:w="475"/>
        <w:gridCol w:w="475"/>
        <w:gridCol w:w="475"/>
        <w:gridCol w:w="477"/>
        <w:gridCol w:w="292"/>
        <w:gridCol w:w="466"/>
        <w:gridCol w:w="466"/>
        <w:gridCol w:w="468"/>
        <w:gridCol w:w="466"/>
        <w:gridCol w:w="468"/>
        <w:gridCol w:w="466"/>
        <w:gridCol w:w="464"/>
      </w:tblGrid>
      <w:tr w:rsidR="0041245B" w:rsidTr="0041245B">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41245B"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7"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1</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b/>
                <w:sz w:val="13"/>
                <w:szCs w:val="13"/>
              </w:rPr>
            </w:pPr>
          </w:p>
          <w:p w:rsidR="0041245B" w:rsidRDefault="0041245B">
            <w:pPr>
              <w:jc w:val="center"/>
              <w:rPr>
                <w:rFonts w:ascii="Arial" w:hAnsi="Arial" w:cs="Arial"/>
                <w:sz w:val="13"/>
                <w:szCs w:val="13"/>
              </w:rPr>
            </w:pPr>
            <w:r>
              <w:rPr>
                <w:rFonts w:ascii="Arial" w:hAnsi="Arial" w:cs="Arial"/>
                <w:sz w:val="13"/>
                <w:szCs w:val="13"/>
              </w:rPr>
              <w:t>12</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r>
      <w:tr w:rsidR="0041245B" w:rsidTr="0041245B">
        <w:trPr>
          <w:trHeight w:val="346"/>
        </w:trPr>
        <w:tc>
          <w:tcPr>
            <w:tcW w:w="226"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r>
      <w:tr w:rsidR="0041245B"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30</w:t>
            </w:r>
          </w:p>
        </w:tc>
        <w:tc>
          <w:tcPr>
            <w:tcW w:w="223" w:type="pct"/>
            <w:tcBorders>
              <w:top w:val="single" w:sz="4" w:space="0" w:color="000000" w:themeColor="text1"/>
              <w:left w:val="double" w:sz="6" w:space="0" w:color="auto"/>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r>
      <w:tr w:rsidR="0041245B" w:rsidTr="0041245B">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41245B" w:rsidTr="0041245B">
        <w:trPr>
          <w:trHeight w:val="216"/>
        </w:trPr>
        <w:tc>
          <w:tcPr>
            <w:tcW w:w="226"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auto"/>
              <w:left w:val="single" w:sz="4" w:space="0" w:color="000000" w:themeColor="text1"/>
              <w:bottom w:val="doub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7"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center"/>
          </w:tcPr>
          <w:p w:rsidR="0041245B" w:rsidRDefault="0041245B">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bottom w:val="single" w:sz="4" w:space="0" w:color="000000" w:themeColor="text1"/>
              <w:right w:val="single" w:sz="4" w:space="0" w:color="000000" w:themeColor="text1"/>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W</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3"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T</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F</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3" w:type="pct"/>
            <w:tcBorders>
              <w:top w:val="double" w:sz="6" w:space="0" w:color="auto"/>
              <w:left w:val="single" w:sz="4" w:space="0" w:color="000000" w:themeColor="text1"/>
              <w:bottom w:val="single" w:sz="4" w:space="0" w:color="000000" w:themeColor="text1"/>
              <w:right w:val="double" w:sz="6" w:space="0" w:color="auto"/>
            </w:tcBorders>
            <w:tcMar>
              <w:top w:w="58" w:type="dxa"/>
              <w:left w:w="29" w:type="dxa"/>
              <w:bottom w:w="43" w:type="dxa"/>
              <w:right w:w="29" w:type="dxa"/>
            </w:tcMar>
            <w:vAlign w:val="center"/>
            <w:hideMark/>
          </w:tcPr>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p w:rsidR="0041245B" w:rsidRDefault="0041245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w:t>
            </w:r>
          </w:p>
        </w:tc>
        <w:tc>
          <w:tcPr>
            <w:tcW w:w="227"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p w:rsidR="0041245B" w:rsidRDefault="0041245B">
            <w:pPr>
              <w:jc w:val="center"/>
              <w:rPr>
                <w:rFonts w:ascii="Arial" w:hAnsi="Arial" w:cs="Arial"/>
                <w:sz w:val="13"/>
                <w:szCs w:val="13"/>
              </w:rPr>
            </w:pPr>
            <w:r>
              <w:rPr>
                <w:rFonts w:ascii="Arial" w:hAnsi="Arial" w:cs="Arial"/>
                <w:sz w:val="13"/>
                <w:szCs w:val="13"/>
              </w:rPr>
              <w:t>9</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4</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6</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8</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9</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13</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15</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16</w:t>
            </w:r>
          </w:p>
        </w:tc>
      </w:tr>
      <w:tr w:rsidR="0041245B" w:rsidTr="0041245B">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double" w:sz="4"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top w:w="58" w:type="dxa"/>
              <w:left w:w="29" w:type="dxa"/>
              <w:bottom w:w="43" w:type="dxa"/>
              <w:right w:w="29" w:type="dxa"/>
            </w:tcMar>
            <w:vAlign w:val="bottom"/>
            <w:hideMark/>
          </w:tcPr>
          <w:p w:rsidR="0041245B" w:rsidRDefault="0041245B">
            <w:pPr>
              <w:jc w:val="center"/>
              <w:rPr>
                <w:rFonts w:ascii="Arial" w:hAnsi="Arial" w:cs="Arial"/>
                <w:b/>
                <w:sz w:val="13"/>
                <w:szCs w:val="13"/>
              </w:rPr>
            </w:pPr>
            <w:r>
              <w:rPr>
                <w:rFonts w:ascii="Arial" w:hAnsi="Arial" w:cs="Arial"/>
                <w:b/>
                <w:sz w:val="13"/>
                <w:szCs w:val="13"/>
              </w:rPr>
              <w:t>H</w:t>
            </w:r>
          </w:p>
          <w:p w:rsidR="0041245B" w:rsidRDefault="0041245B">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20</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22</w:t>
            </w:r>
          </w:p>
        </w:tc>
        <w:tc>
          <w:tcPr>
            <w:tcW w:w="223"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23</w:t>
            </w:r>
          </w:p>
        </w:tc>
      </w:tr>
      <w:tr w:rsidR="0041245B" w:rsidTr="0041245B">
        <w:trPr>
          <w:trHeight w:val="346"/>
        </w:trPr>
        <w:tc>
          <w:tcPr>
            <w:tcW w:w="226"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rPr>
                <w:rFonts w:ascii="Arial" w:hAnsi="Arial" w:cs="Arial"/>
                <w:sz w:val="13"/>
                <w:szCs w:val="13"/>
              </w:rPr>
            </w:pPr>
          </w:p>
        </w:tc>
        <w:tc>
          <w:tcPr>
            <w:tcW w:w="227"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6" w:type="pct"/>
            <w:tcBorders>
              <w:top w:val="double" w:sz="4" w:space="0" w:color="auto"/>
              <w:left w:val="single" w:sz="4" w:space="0" w:color="000000" w:themeColor="text1"/>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31</w:t>
            </w:r>
          </w:p>
        </w:tc>
        <w:tc>
          <w:tcPr>
            <w:tcW w:w="226"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tcPr>
          <w:p w:rsidR="0041245B" w:rsidRDefault="0041245B">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top w:w="58" w:type="dxa"/>
              <w:left w:w="29" w:type="dxa"/>
              <w:bottom w:w="43" w:type="dxa"/>
              <w:right w:w="29" w:type="dxa"/>
            </w:tcMar>
            <w:vAlign w:val="bottom"/>
          </w:tcPr>
          <w:p w:rsidR="0041245B" w:rsidRDefault="0041245B">
            <w:pPr>
              <w:tabs>
                <w:tab w:val="center" w:pos="5220"/>
                <w:tab w:val="right" w:pos="10440"/>
              </w:tabs>
              <w:jc w:val="center"/>
              <w:rPr>
                <w:rFonts w:ascii="Arial" w:hAnsi="Arial" w:cs="Arial"/>
                <w:sz w:val="13"/>
                <w:szCs w:val="13"/>
              </w:rPr>
            </w:pPr>
          </w:p>
        </w:tc>
        <w:tc>
          <w:tcPr>
            <w:tcW w:w="222" w:type="pct"/>
            <w:tcBorders>
              <w:top w:val="single" w:sz="4" w:space="0" w:color="000000" w:themeColor="text1"/>
              <w:left w:val="double" w:sz="6" w:space="0" w:color="auto"/>
              <w:bottom w:val="double" w:sz="6" w:space="0" w:color="auto"/>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25</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27</w:t>
            </w:r>
          </w:p>
        </w:tc>
        <w:tc>
          <w:tcPr>
            <w:tcW w:w="223"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29</w:t>
            </w:r>
          </w:p>
        </w:tc>
        <w:tc>
          <w:tcPr>
            <w:tcW w:w="223" w:type="pct"/>
            <w:tcBorders>
              <w:top w:val="single" w:sz="4" w:space="0" w:color="000000" w:themeColor="text1"/>
              <w:left w:val="single" w:sz="4" w:space="0" w:color="000000" w:themeColor="text1"/>
              <w:bottom w:val="double" w:sz="6" w:space="0" w:color="auto"/>
              <w:right w:val="double" w:sz="6" w:space="0" w:color="auto"/>
            </w:tcBorders>
            <w:tcMar>
              <w:top w:w="58" w:type="dxa"/>
              <w:left w:w="29" w:type="dxa"/>
              <w:bottom w:w="43" w:type="dxa"/>
              <w:right w:w="29" w:type="dxa"/>
            </w:tcMar>
            <w:vAlign w:val="bottom"/>
            <w:hideMark/>
          </w:tcPr>
          <w:p w:rsidR="0041245B" w:rsidRDefault="0041245B">
            <w:pPr>
              <w:jc w:val="center"/>
              <w:rPr>
                <w:rFonts w:ascii="Arial" w:hAnsi="Arial" w:cs="Arial"/>
                <w:sz w:val="13"/>
                <w:szCs w:val="13"/>
              </w:rPr>
            </w:pPr>
            <w:r>
              <w:rPr>
                <w:rFonts w:ascii="Arial" w:hAnsi="Arial" w:cs="Arial"/>
                <w:sz w:val="13"/>
                <w:szCs w:val="13"/>
              </w:rPr>
              <w:t>30</w:t>
            </w:r>
          </w:p>
        </w:tc>
      </w:tr>
    </w:tbl>
    <w:p w:rsidR="0041245B" w:rsidRDefault="0041245B" w:rsidP="0041245B">
      <w:pPr>
        <w:tabs>
          <w:tab w:val="center" w:pos="5220"/>
          <w:tab w:val="right" w:pos="10440"/>
        </w:tabs>
        <w:rPr>
          <w:rFonts w:ascii="Arial" w:hAnsi="Arial" w:cs="Arial"/>
          <w:sz w:val="14"/>
          <w:szCs w:val="14"/>
          <w:lang w:val="fr-CA"/>
        </w:rPr>
      </w:pPr>
    </w:p>
    <w:tbl>
      <w:tblPr>
        <w:tblStyle w:val="TableGrid"/>
        <w:tblW w:w="708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4856"/>
      </w:tblGrid>
      <w:tr w:rsidR="0041245B" w:rsidRPr="00C15495" w:rsidTr="0041245B">
        <w:tc>
          <w:tcPr>
            <w:tcW w:w="1782" w:type="dxa"/>
            <w:tcBorders>
              <w:top w:val="nil"/>
              <w:left w:val="nil"/>
              <w:bottom w:val="nil"/>
              <w:right w:val="single" w:sz="4" w:space="0" w:color="000000" w:themeColor="text1"/>
            </w:tcBorders>
            <w:vAlign w:val="center"/>
            <w:hideMark/>
          </w:tcPr>
          <w:p w:rsidR="0041245B" w:rsidRDefault="0041245B">
            <w:pPr>
              <w:rPr>
                <w:rFonts w:ascii="Arial" w:hAnsi="Arial" w:cs="Arial"/>
                <w:b/>
                <w:sz w:val="14"/>
                <w:szCs w:val="14"/>
              </w:rPr>
            </w:pPr>
            <w:r>
              <w:rPr>
                <w:rFonts w:ascii="Arial" w:hAnsi="Arial" w:cs="Arial"/>
                <w:b/>
                <w:sz w:val="14"/>
                <w:szCs w:val="14"/>
              </w:rPr>
              <w:t>Sitting of the Court /</w:t>
            </w:r>
          </w:p>
          <w:p w:rsidR="0041245B" w:rsidRDefault="0041245B">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1245B" w:rsidRDefault="0041245B">
            <w:pPr>
              <w:jc w:val="center"/>
              <w:rPr>
                <w:rFonts w:ascii="Arial" w:hAnsi="Arial" w:cs="Arial"/>
                <w:b/>
                <w:sz w:val="14"/>
                <w:szCs w:val="14"/>
              </w:rPr>
            </w:pPr>
          </w:p>
        </w:tc>
        <w:tc>
          <w:tcPr>
            <w:tcW w:w="4856" w:type="dxa"/>
            <w:tcBorders>
              <w:top w:val="nil"/>
              <w:left w:val="single" w:sz="4" w:space="0" w:color="000000" w:themeColor="text1"/>
              <w:bottom w:val="nil"/>
              <w:right w:val="nil"/>
            </w:tcBorders>
            <w:hideMark/>
          </w:tcPr>
          <w:p w:rsidR="0041245B" w:rsidRDefault="0041245B">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41245B" w:rsidRDefault="0041245B">
            <w:pPr>
              <w:tabs>
                <w:tab w:val="left" w:pos="203"/>
              </w:tabs>
              <w:rPr>
                <w:rFonts w:ascii="Arial" w:hAnsi="Arial" w:cs="Arial"/>
                <w:b/>
                <w:sz w:val="14"/>
                <w:szCs w:val="14"/>
                <w:lang w:val="fr-CA"/>
              </w:rPr>
            </w:pPr>
            <w:r>
              <w:rPr>
                <w:rFonts w:ascii="Arial" w:hAnsi="Arial" w:cs="Arial"/>
                <w:b/>
                <w:sz w:val="14"/>
                <w:szCs w:val="14"/>
                <w:lang w:val="fr-CA"/>
              </w:rPr>
              <w:t>88  sitting days / journées séances de la Cour</w:t>
            </w:r>
          </w:p>
        </w:tc>
      </w:tr>
      <w:tr w:rsidR="0041245B" w:rsidTr="0041245B">
        <w:trPr>
          <w:trHeight w:val="399"/>
        </w:trPr>
        <w:tc>
          <w:tcPr>
            <w:tcW w:w="1782" w:type="dxa"/>
            <w:tcBorders>
              <w:top w:val="nil"/>
              <w:left w:val="nil"/>
              <w:bottom w:val="nil"/>
              <w:right w:val="double" w:sz="4" w:space="0" w:color="auto"/>
            </w:tcBorders>
            <w:vAlign w:val="center"/>
            <w:hideMark/>
          </w:tcPr>
          <w:p w:rsidR="0041245B" w:rsidRDefault="0041245B">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41245B" w:rsidRDefault="0041245B">
            <w:pPr>
              <w:jc w:val="center"/>
              <w:rPr>
                <w:rFonts w:ascii="Arial" w:hAnsi="Arial" w:cs="Arial"/>
                <w:b/>
                <w:sz w:val="14"/>
                <w:szCs w:val="14"/>
              </w:rPr>
            </w:pPr>
            <w:r>
              <w:rPr>
                <w:rFonts w:ascii="Arial" w:hAnsi="Arial" w:cs="Arial"/>
                <w:b/>
                <w:sz w:val="14"/>
                <w:szCs w:val="14"/>
              </w:rPr>
              <w:t>H</w:t>
            </w:r>
          </w:p>
        </w:tc>
        <w:tc>
          <w:tcPr>
            <w:tcW w:w="4856" w:type="dxa"/>
            <w:tcBorders>
              <w:top w:val="nil"/>
              <w:left w:val="double" w:sz="4" w:space="0" w:color="auto"/>
              <w:bottom w:val="nil"/>
              <w:right w:val="nil"/>
            </w:tcBorders>
            <w:hideMark/>
          </w:tcPr>
          <w:p w:rsidR="0041245B" w:rsidRDefault="0041245B">
            <w:pPr>
              <w:tabs>
                <w:tab w:val="left" w:pos="203"/>
              </w:tabs>
              <w:spacing w:before="60"/>
              <w:rPr>
                <w:rFonts w:ascii="Arial" w:hAnsi="Arial" w:cs="Arial"/>
                <w:b/>
                <w:sz w:val="14"/>
                <w:szCs w:val="14"/>
                <w:lang w:val="fr-CA"/>
              </w:rPr>
            </w:pPr>
            <w:r>
              <w:rPr>
                <w:rFonts w:ascii="Arial" w:hAnsi="Arial" w:cs="Arial"/>
                <w:b/>
                <w:sz w:val="14"/>
                <w:szCs w:val="14"/>
                <w:lang w:val="fr-FR"/>
              </w:rPr>
              <w:t>2</w:t>
            </w:r>
            <w:r>
              <w:rPr>
                <w:rFonts w:ascii="Arial" w:hAnsi="Arial" w:cs="Arial"/>
                <w:b/>
                <w:sz w:val="14"/>
                <w:szCs w:val="14"/>
                <w:lang w:val="fr-FR"/>
              </w:rPr>
              <w:tab/>
              <w:t xml:space="preserve">holidays during sitting days / </w:t>
            </w:r>
          </w:p>
          <w:p w:rsidR="0041245B" w:rsidRDefault="0041245B">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r>
    </w:tbl>
    <w:p w:rsidR="002410B8" w:rsidRPr="0022323B" w:rsidRDefault="002410B8" w:rsidP="0041245B">
      <w:pPr>
        <w:widowControl w:val="0"/>
        <w:spacing w:line="180" w:lineRule="auto"/>
        <w:jc w:val="center"/>
        <w:rPr>
          <w:lang w:val="fr-CA"/>
        </w:rPr>
      </w:pPr>
    </w:p>
    <w:sectPr w:rsidR="002410B8" w:rsidRPr="0022323B" w:rsidSect="00924065">
      <w:headerReference w:type="default" r:id="rId83"/>
      <w:footerReference w:type="default" r:id="rId8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242" w:rsidRDefault="00F10242" w:rsidP="00A87207">
      <w:r>
        <w:separator/>
      </w:r>
    </w:p>
  </w:endnote>
  <w:endnote w:type="continuationSeparator" w:id="0">
    <w:p w:rsidR="00F10242" w:rsidRDefault="00F1024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E4582" w:rsidP="00A87207">
    <w:pPr>
      <w:pStyle w:val="Footer"/>
    </w:pPr>
    <w:r>
      <w:pict>
        <v:rect id="_x0000_i1052" style="width:480.95pt;height:1pt" o:hralign="center" o:hrstd="t" o:hrnoshade="t" o:hr="t" fillcolor="black [3213]" stroked="f"/>
      </w:pict>
    </w:r>
  </w:p>
  <w:p w:rsidR="00F10242" w:rsidRPr="00B7374B" w:rsidRDefault="00F1024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E4582">
      <w:rPr>
        <w:noProof/>
        <w:szCs w:val="24"/>
      </w:rPr>
      <w:t>602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E4582" w:rsidP="00EB2B90">
    <w:pPr>
      <w:tabs>
        <w:tab w:val="center" w:pos="4680"/>
      </w:tabs>
    </w:pPr>
    <w:r>
      <w:pict>
        <v:rect id="_x0000_i1061" style="width:480.95pt;height:1pt" o:hralign="center" o:hrstd="t" o:hrnoshade="t" o:hr="t" fillcolor="black [3213]" stroked="f"/>
      </w:pict>
    </w:r>
  </w:p>
  <w:p w:rsidR="00F10242" w:rsidRPr="0031432F" w:rsidRDefault="00F10242" w:rsidP="00EB2B90">
    <w:pPr>
      <w:tabs>
        <w:tab w:val="center" w:pos="4680"/>
      </w:tabs>
    </w:pPr>
    <w:r>
      <w:tab/>
      <w:t xml:space="preserve">- </w:t>
    </w:r>
    <w:r>
      <w:fldChar w:fldCharType="begin"/>
    </w:r>
    <w:r>
      <w:instrText xml:space="preserve"> PAGE   \* MERGEFORMAT </w:instrText>
    </w:r>
    <w:r>
      <w:fldChar w:fldCharType="separate"/>
    </w:r>
    <w:r w:rsidR="00FE4582">
      <w:rPr>
        <w:noProof/>
      </w:rPr>
      <w:t>621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8C" w:rsidRDefault="00C373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3738C" w:rsidRDefault="00C373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3738C" w:rsidRDefault="00C3738C">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8C" w:rsidRDefault="00FE4582" w:rsidP="00732DB7">
    <w:r>
      <w:pict>
        <v:rect id="_x0000_i1067" style="width:480.95pt;height:1pt" o:hralign="center" o:hrstd="t" o:hrnoshade="t" o:hr="t" fillcolor="black" stroked="f"/>
      </w:pict>
    </w:r>
  </w:p>
  <w:p w:rsidR="00C3738C" w:rsidRDefault="00C3738C">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8C" w:rsidRDefault="00FE4582">
    <w:pPr>
      <w:pStyle w:val="Footer"/>
    </w:pPr>
    <w:r>
      <w:pict>
        <v:rect id="_x0000_i1068" style="width:480.95pt;height:1pt" o:hralign="center" o:hrstd="t" o:hrnoshade="t" o:hr="t" fillcolor="black" stroked="f"/>
      </w:pict>
    </w:r>
  </w:p>
  <w:p w:rsidR="00C3738C" w:rsidRPr="00283C52" w:rsidRDefault="00C3738C">
    <w:pPr>
      <w:pStyle w:val="Footer"/>
    </w:pPr>
    <w:r>
      <w:tab/>
    </w:r>
    <w:r w:rsidRPr="00283C52">
      <w:t xml:space="preserve">- </w:t>
    </w:r>
    <w:r w:rsidRPr="00283C52">
      <w:pgNum/>
    </w:r>
    <w:r w:rsidRPr="00283C52">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10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10242" w:rsidRDefault="00F10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10242" w:rsidRDefault="00F1024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E4582" w:rsidP="00732DB7">
    <w:r>
      <w:pict>
        <v:rect id="_x0000_i1069" style="width:480.95pt;height:1pt" o:hralign="center" o:hrstd="t" o:hrnoshade="t" o:hr="t" fillcolor="black" stroked="f"/>
      </w:pict>
    </w:r>
  </w:p>
  <w:p w:rsidR="00F10242" w:rsidRDefault="00F10242">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E4582">
    <w:pPr>
      <w:pStyle w:val="Footer"/>
    </w:pPr>
    <w:r>
      <w:pict>
        <v:rect id="_x0000_i1070" style="width:480.95pt;height:1pt" o:hralign="center" o:hrstd="t" o:hrnoshade="t" o:hr="t" fillcolor="black [3213]" stroked="f"/>
      </w:pict>
    </w:r>
  </w:p>
  <w:p w:rsidR="00F10242" w:rsidRPr="003C2C0F" w:rsidRDefault="00F10242" w:rsidP="00697C62">
    <w:pPr>
      <w:tabs>
        <w:tab w:val="center" w:pos="4680"/>
      </w:tabs>
    </w:pPr>
    <w:r>
      <w:tab/>
      <w:t xml:space="preserve">- </w:t>
    </w:r>
    <w:r>
      <w:fldChar w:fldCharType="begin"/>
    </w:r>
    <w:r>
      <w:instrText xml:space="preserve"> PAGE   \* MERGEFORMAT </w:instrText>
    </w:r>
    <w:r>
      <w:fldChar w:fldCharType="separate"/>
    </w:r>
    <w:r w:rsidR="00FE4582">
      <w:rPr>
        <w:noProof/>
      </w:rPr>
      <w:t>631</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10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10242" w:rsidRDefault="00F10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10242" w:rsidRDefault="00F10242">
    <w:pPr>
      <w:tabs>
        <w:tab w:val="center" w:pos="4740"/>
      </w:tabs>
    </w:pPr>
    <w:r>
      <w:tab/>
      <w:t xml:space="preserve">- </w:t>
    </w:r>
    <w:r>
      <w:pgNum/>
    </w:r>
    <w:r>
      <w:t xml:space="preserve"> -</w:t>
    </w:r>
  </w:p>
  <w:p w:rsidR="00DC0FD2" w:rsidRDefault="00DC0FD2"/>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10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10242" w:rsidRDefault="00FE45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4" style="width:480.95pt;height:1pt" o:hralign="center" o:hrstd="t" o:hrnoshade="t" o:hr="t" fillcolor="black [3213]" stroked="f"/>
      </w:pict>
    </w:r>
  </w:p>
  <w:p w:rsidR="00F10242" w:rsidRDefault="00F1024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E4582">
      <w:rPr>
        <w:noProof/>
        <w:szCs w:val="24"/>
      </w:rPr>
      <w:t>639</w:t>
    </w:r>
    <w:r w:rsidRPr="001775C1">
      <w:rPr>
        <w:szCs w:val="24"/>
      </w:rPr>
      <w:fldChar w:fldCharType="end"/>
    </w:r>
    <w:r>
      <w:t xml:space="preserve"> -</w:t>
    </w:r>
  </w:p>
  <w:p w:rsidR="00DC0FD2" w:rsidRDefault="00DC0FD2"/>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E4582" w:rsidP="00782AE4">
    <w:pPr>
      <w:tabs>
        <w:tab w:val="center" w:pos="4680"/>
      </w:tabs>
    </w:pPr>
    <w:r>
      <w:pict>
        <v:rect id="_x0000_i1075" style="width:480.95pt;height:1pt" o:hralign="center" o:hrstd="t" o:hrnoshade="t" o:hr="t" fillcolor="black [3213]" stroked="f"/>
      </w:pict>
    </w:r>
  </w:p>
  <w:p w:rsidR="00F10242" w:rsidRDefault="00F1024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E4582">
      <w:rPr>
        <w:noProof/>
        <w:szCs w:val="24"/>
      </w:rPr>
      <w:t>632</w:t>
    </w:r>
    <w:r w:rsidRPr="001775C1">
      <w:rPr>
        <w:szCs w:val="24"/>
      </w:rPr>
      <w:fldChar w:fldCharType="end"/>
    </w:r>
    <w:r>
      <w:t xml:space="preserve"> -</w:t>
    </w:r>
  </w:p>
  <w:p w:rsidR="00DC0FD2" w:rsidRDefault="00DC0F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E4582" w:rsidP="00755F22">
    <w:pPr>
      <w:tabs>
        <w:tab w:val="left" w:pos="-1440"/>
        <w:tab w:val="left" w:pos="-720"/>
      </w:tabs>
    </w:pPr>
    <w:r>
      <w:pict>
        <v:rect id="_x0000_i1053" style="width:480.95pt;height:1pt" o:hralign="center" o:hrstd="t" o:hrnoshade="t" o:hr="t" fillcolor="black [3213]" stroked="f"/>
      </w:pict>
    </w:r>
  </w:p>
  <w:p w:rsidR="00F10242" w:rsidRPr="00954D22" w:rsidRDefault="00F1024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FE4582">
      <w:rPr>
        <w:noProof/>
        <w:szCs w:val="24"/>
      </w:rPr>
      <w:t>599</w:t>
    </w:r>
    <w:r>
      <w:rPr>
        <w:szCs w:val="24"/>
      </w:rPr>
      <w:fldChar w:fldCharType="end"/>
    </w:r>
    <w:r w:rsidRPr="00954D22">
      <w:rPr>
        <w:szCs w:val="24"/>
      </w:rPr>
      <w:t xml:space="preserve"> -</w:t>
    </w:r>
  </w:p>
  <w:p w:rsidR="00F10242" w:rsidRDefault="00F1024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Pr="00924065" w:rsidRDefault="00F10242"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E4582" w:rsidP="00A87207">
    <w:pPr>
      <w:pStyle w:val="Footer"/>
    </w:pPr>
    <w:r>
      <w:pict>
        <v:rect id="_x0000_i1055" style="width:480.95pt;height:1pt" o:hralign="center" o:hrstd="t" o:hrnoshade="t" o:hr="t" fillcolor="black [3213]" stroked="f"/>
      </w:pict>
    </w:r>
  </w:p>
  <w:p w:rsidR="00F10242" w:rsidRPr="00B7374B" w:rsidRDefault="00F1024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E458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6" style="width:480.95pt;height:1pt" o:hralign="center" o:hrstd="t" o:hrnoshade="t" o:hr="t" fillcolor="black [3213]" stroked="f"/>
      </w:pict>
    </w:r>
  </w:p>
  <w:p w:rsidR="00F10242" w:rsidRPr="00954D22" w:rsidRDefault="00F1024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E4582">
      <w:rPr>
        <w:noProof/>
        <w:szCs w:val="24"/>
      </w:rPr>
      <w:t>603</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10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10242" w:rsidRDefault="00F10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10242" w:rsidRDefault="00F10242">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E45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F10242" w:rsidRPr="0009648D" w:rsidRDefault="00F10242" w:rsidP="00ED7E83">
    <w:pPr>
      <w:tabs>
        <w:tab w:val="center" w:pos="4680"/>
      </w:tabs>
    </w:pPr>
    <w:r>
      <w:tab/>
    </w:r>
    <w:r w:rsidRPr="0009648D">
      <w:t xml:space="preserve">- </w:t>
    </w:r>
    <w:r>
      <w:fldChar w:fldCharType="begin"/>
    </w:r>
    <w:r>
      <w:instrText xml:space="preserve"> PAGE   \* MERGEFORMAT </w:instrText>
    </w:r>
    <w:r>
      <w:fldChar w:fldCharType="separate"/>
    </w:r>
    <w:r w:rsidR="00FE4582">
      <w:rPr>
        <w:noProof/>
      </w:rPr>
      <w:t>617</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E4582">
    <w:pPr>
      <w:pStyle w:val="Footer"/>
      <w:rPr>
        <w:lang w:val="fr-CA"/>
      </w:rPr>
    </w:pPr>
    <w:r>
      <w:rPr>
        <w:lang w:val="fr-CA"/>
      </w:rPr>
      <w:pict>
        <v:rect id="_x0000_i1058" style="width:480.95pt;height:1pt" o:hralign="center" o:hrstd="t" o:hrnoshade="t" o:hr="t" fillcolor="black [3213]" stroked="f"/>
      </w:pict>
    </w:r>
  </w:p>
  <w:p w:rsidR="00F10242" w:rsidRDefault="00F10242" w:rsidP="00245129">
    <w:pPr>
      <w:tabs>
        <w:tab w:val="center" w:pos="4680"/>
      </w:tabs>
    </w:pPr>
    <w:r>
      <w:tab/>
    </w:r>
    <w:r w:rsidRPr="0009648D">
      <w:t xml:space="preserve">- </w:t>
    </w:r>
    <w:r>
      <w:fldChar w:fldCharType="begin"/>
    </w:r>
    <w:r>
      <w:instrText xml:space="preserve"> PAGE   \* MERGEFORMAT </w:instrText>
    </w:r>
    <w:r>
      <w:fldChar w:fldCharType="separate"/>
    </w:r>
    <w:r w:rsidR="00FE4582">
      <w:rPr>
        <w:noProof/>
      </w:rPr>
      <w:t>604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10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10242" w:rsidRDefault="00F10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10242" w:rsidRDefault="00F10242">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E4582" w:rsidP="00755F22">
    <w:pPr>
      <w:tabs>
        <w:tab w:val="left" w:pos="-1440"/>
        <w:tab w:val="left" w:pos="-720"/>
      </w:tabs>
    </w:pPr>
    <w:r>
      <w:pict>
        <v:rect id="_x0000_i1060" style="width:480.95pt;height:1pt" o:hralign="center" o:hrstd="t" o:hrnoshade="t" o:hr="t" fillcolor="black [3213]" stroked="f"/>
      </w:pict>
    </w:r>
  </w:p>
  <w:p w:rsidR="00F10242" w:rsidRDefault="00F10242" w:rsidP="00EB2B90">
    <w:pPr>
      <w:tabs>
        <w:tab w:val="center" w:pos="4680"/>
      </w:tabs>
    </w:pPr>
    <w:r>
      <w:tab/>
      <w:t xml:space="preserve">- </w:t>
    </w:r>
    <w:r>
      <w:fldChar w:fldCharType="begin"/>
    </w:r>
    <w:r>
      <w:instrText xml:space="preserve"> PAGE   \* MERGEFORMAT </w:instrText>
    </w:r>
    <w:r>
      <w:fldChar w:fldCharType="separate"/>
    </w:r>
    <w:r>
      <w:rPr>
        <w:noProof/>
      </w:rPr>
      <w:t>506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242" w:rsidRDefault="00F10242" w:rsidP="00A87207">
      <w:r>
        <w:separator/>
      </w:r>
    </w:p>
  </w:footnote>
  <w:footnote w:type="continuationSeparator" w:id="0">
    <w:p w:rsidR="00F10242" w:rsidRDefault="00F1024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10242" w:rsidRPr="0044776A" w:rsidTr="00245129">
      <w:tc>
        <w:tcPr>
          <w:tcW w:w="4290" w:type="dxa"/>
          <w:tcMar>
            <w:left w:w="0" w:type="dxa"/>
            <w:right w:w="0" w:type="dxa"/>
          </w:tcMar>
        </w:tcPr>
        <w:p w:rsidR="00F10242" w:rsidRPr="0044776A" w:rsidRDefault="00F1024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10242" w:rsidRPr="0044776A" w:rsidRDefault="00F10242" w:rsidP="002E2327">
          <w:pPr>
            <w:keepNext/>
            <w:keepLines/>
            <w:tabs>
              <w:tab w:val="left" w:pos="-1440"/>
              <w:tab w:val="left" w:pos="-720"/>
            </w:tabs>
            <w:jc w:val="center"/>
            <w:rPr>
              <w:sz w:val="20"/>
              <w:szCs w:val="20"/>
            </w:rPr>
          </w:pPr>
        </w:p>
        <w:p w:rsidR="00F10242" w:rsidRPr="0044776A" w:rsidRDefault="00F10242" w:rsidP="002E2327">
          <w:pPr>
            <w:keepNext/>
            <w:keepLines/>
            <w:tabs>
              <w:tab w:val="left" w:pos="-1440"/>
              <w:tab w:val="left" w:pos="-720"/>
            </w:tabs>
            <w:jc w:val="center"/>
            <w:rPr>
              <w:sz w:val="20"/>
              <w:szCs w:val="20"/>
            </w:rPr>
          </w:pPr>
        </w:p>
        <w:p w:rsidR="00F10242" w:rsidRPr="0044776A" w:rsidRDefault="00F10242" w:rsidP="002E2327">
          <w:pPr>
            <w:keepNext/>
            <w:keepLines/>
            <w:tabs>
              <w:tab w:val="left" w:pos="-1440"/>
              <w:tab w:val="left" w:pos="-720"/>
            </w:tabs>
            <w:jc w:val="center"/>
            <w:rPr>
              <w:sz w:val="20"/>
              <w:szCs w:val="20"/>
            </w:rPr>
          </w:pPr>
        </w:p>
      </w:tc>
      <w:tc>
        <w:tcPr>
          <w:tcW w:w="4320" w:type="dxa"/>
          <w:tcMar>
            <w:left w:w="0" w:type="dxa"/>
            <w:right w:w="0" w:type="dxa"/>
          </w:tcMar>
        </w:tcPr>
        <w:p w:rsidR="00F10242" w:rsidRPr="0044776A" w:rsidRDefault="00F10242" w:rsidP="002E2327">
          <w:pPr>
            <w:keepLines/>
            <w:rPr>
              <w:sz w:val="20"/>
              <w:szCs w:val="20"/>
              <w:lang w:val="fr-CA"/>
            </w:rPr>
          </w:pPr>
          <w:r w:rsidRPr="0044776A">
            <w:rPr>
              <w:sz w:val="20"/>
              <w:szCs w:val="20"/>
              <w:lang w:val="fr-CA"/>
            </w:rPr>
            <w:t>DEMANDES D'AUTORISATION D'APPEL DÉPOSÉES</w:t>
          </w:r>
        </w:p>
      </w:tc>
    </w:tr>
  </w:tbl>
  <w:p w:rsidR="00F10242" w:rsidRDefault="00F1024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1024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3738C" w:rsidRPr="00C15495">
      <w:tc>
        <w:tcPr>
          <w:tcW w:w="4200" w:type="dxa"/>
          <w:tcMar>
            <w:left w:w="0" w:type="dxa"/>
            <w:right w:w="0" w:type="dxa"/>
          </w:tcMar>
        </w:tcPr>
        <w:p w:rsidR="00C3738C" w:rsidRDefault="00C373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C3738C" w:rsidRDefault="00C3738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3738C" w:rsidRPr="00283C52" w:rsidRDefault="00C3738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C3738C" w:rsidRPr="00283C52" w:rsidRDefault="00C373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3738C" w:rsidRPr="00283C52" w:rsidRDefault="00C373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930"/>
      <w:gridCol w:w="4350"/>
    </w:tblGrid>
    <w:tr w:rsidR="00C3738C" w:rsidRPr="00C15495" w:rsidTr="00906024">
      <w:tc>
        <w:tcPr>
          <w:tcW w:w="4200" w:type="dxa"/>
          <w:tcMar>
            <w:left w:w="0" w:type="dxa"/>
            <w:right w:w="0" w:type="dxa"/>
          </w:tcMar>
        </w:tcPr>
        <w:p w:rsidR="00C3738C" w:rsidRPr="00732DB7" w:rsidRDefault="00C3738C"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930" w:type="dxa"/>
          <w:tcMar>
            <w:left w:w="0" w:type="dxa"/>
            <w:right w:w="0" w:type="dxa"/>
          </w:tcMar>
        </w:tcPr>
        <w:p w:rsidR="00C3738C" w:rsidRPr="00732DB7" w:rsidRDefault="00C3738C" w:rsidP="00732DB7">
          <w:pPr>
            <w:keepNext/>
            <w:keepLines/>
            <w:tabs>
              <w:tab w:val="left" w:pos="-1440"/>
              <w:tab w:val="left" w:pos="-720"/>
            </w:tabs>
            <w:jc w:val="center"/>
            <w:rPr>
              <w:sz w:val="20"/>
              <w:szCs w:val="20"/>
            </w:rPr>
          </w:pPr>
        </w:p>
        <w:p w:rsidR="00C3738C" w:rsidRPr="00732DB7" w:rsidRDefault="00C3738C" w:rsidP="00732DB7">
          <w:pPr>
            <w:keepNext/>
            <w:keepLines/>
            <w:tabs>
              <w:tab w:val="left" w:pos="-1440"/>
              <w:tab w:val="left" w:pos="-720"/>
            </w:tabs>
            <w:jc w:val="center"/>
            <w:rPr>
              <w:sz w:val="20"/>
              <w:szCs w:val="20"/>
            </w:rPr>
          </w:pPr>
        </w:p>
        <w:p w:rsidR="00C3738C" w:rsidRPr="00732DB7" w:rsidRDefault="00C3738C" w:rsidP="00732DB7">
          <w:pPr>
            <w:keepNext/>
            <w:keepLines/>
            <w:tabs>
              <w:tab w:val="left" w:pos="-1440"/>
              <w:tab w:val="left" w:pos="-720"/>
            </w:tabs>
            <w:jc w:val="center"/>
            <w:rPr>
              <w:sz w:val="20"/>
              <w:szCs w:val="20"/>
            </w:rPr>
          </w:pPr>
        </w:p>
      </w:tc>
      <w:tc>
        <w:tcPr>
          <w:tcW w:w="4350" w:type="dxa"/>
          <w:tcMar>
            <w:left w:w="0" w:type="dxa"/>
            <w:right w:w="0" w:type="dxa"/>
          </w:tcMar>
        </w:tcPr>
        <w:p w:rsidR="00C3738C" w:rsidRPr="00732DB7" w:rsidRDefault="00C3738C"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C3738C" w:rsidRPr="00283C52" w:rsidRDefault="00C3738C"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8C" w:rsidRDefault="00C3738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10242" w:rsidRPr="00C15495">
      <w:tc>
        <w:tcPr>
          <w:tcW w:w="4200" w:type="dxa"/>
          <w:tcMar>
            <w:left w:w="0" w:type="dxa"/>
            <w:right w:w="0" w:type="dxa"/>
          </w:tcMar>
        </w:tcPr>
        <w:p w:rsidR="00F10242" w:rsidRDefault="00F102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F10242" w:rsidRDefault="00F102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F10242" w:rsidRDefault="00F102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F10242" w:rsidRPr="003C2C0F" w:rsidRDefault="00F102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F10242" w:rsidRPr="003C2C0F" w:rsidRDefault="00F10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F10242" w:rsidRPr="003C2C0F" w:rsidRDefault="00F10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10242" w:rsidRPr="00C15495" w:rsidTr="00245129">
      <w:tc>
        <w:tcPr>
          <w:tcW w:w="4200" w:type="dxa"/>
          <w:tcMar>
            <w:left w:w="0" w:type="dxa"/>
            <w:right w:w="0" w:type="dxa"/>
          </w:tcMar>
        </w:tcPr>
        <w:p w:rsidR="00F10242" w:rsidRPr="00FF6EEC" w:rsidRDefault="00F10242" w:rsidP="00FF6EEC">
          <w:pPr>
            <w:rPr>
              <w:sz w:val="20"/>
              <w:szCs w:val="20"/>
            </w:rPr>
          </w:pPr>
          <w:r w:rsidRPr="00FF6EEC">
            <w:rPr>
              <w:sz w:val="20"/>
              <w:szCs w:val="20"/>
            </w:rPr>
            <w:t>PRONOUNCEMENTS OF APPEALS RESERVED</w:t>
          </w:r>
        </w:p>
      </w:tc>
      <w:tc>
        <w:tcPr>
          <w:tcW w:w="1200" w:type="dxa"/>
          <w:tcMar>
            <w:left w:w="0" w:type="dxa"/>
            <w:right w:w="0" w:type="dxa"/>
          </w:tcMar>
        </w:tcPr>
        <w:p w:rsidR="00F10242" w:rsidRPr="00FF6EEC" w:rsidRDefault="00F10242" w:rsidP="00FF6EEC">
          <w:pPr>
            <w:jc w:val="center"/>
            <w:rPr>
              <w:sz w:val="20"/>
              <w:szCs w:val="20"/>
            </w:rPr>
          </w:pPr>
        </w:p>
        <w:p w:rsidR="00F10242" w:rsidRPr="00FF6EEC" w:rsidRDefault="00F10242" w:rsidP="00FF6EEC">
          <w:pPr>
            <w:jc w:val="center"/>
            <w:rPr>
              <w:sz w:val="20"/>
              <w:szCs w:val="20"/>
            </w:rPr>
          </w:pPr>
        </w:p>
        <w:p w:rsidR="00F10242" w:rsidRPr="00FF6EEC" w:rsidRDefault="00F10242" w:rsidP="00FF6EEC">
          <w:pPr>
            <w:jc w:val="center"/>
            <w:rPr>
              <w:sz w:val="20"/>
              <w:szCs w:val="20"/>
            </w:rPr>
          </w:pPr>
        </w:p>
      </w:tc>
      <w:tc>
        <w:tcPr>
          <w:tcW w:w="4080" w:type="dxa"/>
          <w:tcMar>
            <w:left w:w="0" w:type="dxa"/>
            <w:right w:w="0" w:type="dxa"/>
          </w:tcMar>
        </w:tcPr>
        <w:p w:rsidR="00F10242" w:rsidRPr="00FF6EEC" w:rsidRDefault="00F10242" w:rsidP="00FF6EEC">
          <w:pPr>
            <w:rPr>
              <w:sz w:val="20"/>
              <w:szCs w:val="20"/>
              <w:lang w:val="fr-CA"/>
            </w:rPr>
          </w:pPr>
          <w:r w:rsidRPr="00FF6EEC">
            <w:rPr>
              <w:sz w:val="20"/>
              <w:szCs w:val="20"/>
              <w:lang w:val="fr-CA"/>
            </w:rPr>
            <w:t>JUGEMENTS RENDUS SUR LES APPELS EN DÉLIBÉRÉ</w:t>
          </w:r>
        </w:p>
      </w:tc>
    </w:tr>
  </w:tbl>
  <w:p w:rsidR="00F10242" w:rsidRPr="003C2C0F" w:rsidRDefault="00F1024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1024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10242">
      <w:tc>
        <w:tcPr>
          <w:tcW w:w="4230" w:type="dxa"/>
          <w:tcMar>
            <w:left w:w="0" w:type="dxa"/>
            <w:right w:w="0" w:type="dxa"/>
          </w:tcMar>
        </w:tcPr>
        <w:p w:rsidR="00F10242" w:rsidRDefault="00F102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F10242" w:rsidRDefault="00F102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F10242" w:rsidRDefault="00F102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F10242" w:rsidRDefault="00F102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10242" w:rsidRDefault="00F102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F10242" w:rsidRDefault="00F102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F10242" w:rsidRDefault="00F10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10242" w:rsidRDefault="00F10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p w:rsidR="00DC0FD2" w:rsidRDefault="00DC0FD2"/>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10242" w:rsidRPr="00782AE4" w:rsidTr="00245129">
      <w:tc>
        <w:tcPr>
          <w:tcW w:w="4230" w:type="dxa"/>
          <w:tcMar>
            <w:left w:w="0" w:type="dxa"/>
            <w:right w:w="0" w:type="dxa"/>
          </w:tcMar>
        </w:tcPr>
        <w:p w:rsidR="00F10242" w:rsidRPr="00782AE4" w:rsidRDefault="00F10242" w:rsidP="00102926">
          <w:pPr>
            <w:keepNext/>
            <w:keepLines/>
            <w:tabs>
              <w:tab w:val="left" w:pos="-1440"/>
              <w:tab w:val="left" w:pos="-720"/>
            </w:tabs>
            <w:rPr>
              <w:sz w:val="20"/>
              <w:szCs w:val="20"/>
            </w:rPr>
          </w:pPr>
          <w:r w:rsidRPr="00782AE4">
            <w:rPr>
              <w:sz w:val="20"/>
              <w:szCs w:val="20"/>
            </w:rPr>
            <w:t xml:space="preserve">HEADNOTES OF RECENT </w:t>
          </w:r>
        </w:p>
        <w:p w:rsidR="00F10242" w:rsidRPr="00782AE4" w:rsidRDefault="00F102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F10242" w:rsidRDefault="00F10242" w:rsidP="00102926">
          <w:pPr>
            <w:keepNext/>
            <w:keepLines/>
            <w:tabs>
              <w:tab w:val="left" w:pos="-1440"/>
              <w:tab w:val="left" w:pos="-720"/>
            </w:tabs>
            <w:jc w:val="center"/>
            <w:rPr>
              <w:sz w:val="20"/>
              <w:szCs w:val="20"/>
            </w:rPr>
          </w:pPr>
        </w:p>
        <w:p w:rsidR="00F10242" w:rsidRDefault="00F10242" w:rsidP="00102926">
          <w:pPr>
            <w:keepNext/>
            <w:keepLines/>
            <w:tabs>
              <w:tab w:val="left" w:pos="-1440"/>
              <w:tab w:val="left" w:pos="-720"/>
            </w:tabs>
            <w:jc w:val="center"/>
            <w:rPr>
              <w:sz w:val="20"/>
              <w:szCs w:val="20"/>
            </w:rPr>
          </w:pPr>
        </w:p>
        <w:p w:rsidR="00F10242" w:rsidRPr="00782AE4" w:rsidRDefault="00F10242" w:rsidP="00102926">
          <w:pPr>
            <w:keepNext/>
            <w:keepLines/>
            <w:tabs>
              <w:tab w:val="left" w:pos="-1440"/>
              <w:tab w:val="left" w:pos="-720"/>
            </w:tabs>
            <w:jc w:val="center"/>
            <w:rPr>
              <w:sz w:val="20"/>
              <w:szCs w:val="20"/>
            </w:rPr>
          </w:pPr>
        </w:p>
      </w:tc>
      <w:tc>
        <w:tcPr>
          <w:tcW w:w="4080" w:type="dxa"/>
          <w:tcMar>
            <w:left w:w="0" w:type="dxa"/>
            <w:right w:w="0" w:type="dxa"/>
          </w:tcMar>
        </w:tcPr>
        <w:p w:rsidR="00F10242" w:rsidRPr="00102926" w:rsidRDefault="00F102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F10242" w:rsidRPr="00782AE4" w:rsidRDefault="00F10242" w:rsidP="00102926">
          <w:pPr>
            <w:keepLines/>
            <w:tabs>
              <w:tab w:val="left" w:pos="-1440"/>
              <w:tab w:val="left" w:pos="-720"/>
            </w:tabs>
            <w:rPr>
              <w:sz w:val="20"/>
              <w:szCs w:val="20"/>
            </w:rPr>
          </w:pPr>
          <w:r w:rsidRPr="00102926">
            <w:rPr>
              <w:sz w:val="20"/>
              <w:szCs w:val="20"/>
              <w:lang w:val="fr-CA"/>
            </w:rPr>
            <w:t>RÉCENTS</w:t>
          </w:r>
        </w:p>
      </w:tc>
    </w:tr>
  </w:tbl>
  <w:p w:rsidR="00F10242" w:rsidRDefault="00F1024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C0FD2" w:rsidRDefault="00DC0FD2"/>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10242">
    <w:pPr>
      <w:pStyle w:val="Header"/>
    </w:pPr>
  </w:p>
  <w:p w:rsidR="00DC0FD2" w:rsidRDefault="00DC0F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1024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102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10242" w:rsidRPr="00C15495" w:rsidTr="00245129">
      <w:tc>
        <w:tcPr>
          <w:tcW w:w="4200" w:type="dxa"/>
          <w:tcMar>
            <w:left w:w="0" w:type="dxa"/>
            <w:right w:w="0" w:type="dxa"/>
          </w:tcMar>
        </w:tcPr>
        <w:p w:rsidR="00F10242" w:rsidRPr="0044776A" w:rsidRDefault="00F10242" w:rsidP="0044776A">
          <w:pPr>
            <w:keepNext/>
            <w:keepLines/>
            <w:widowControl w:val="0"/>
            <w:rPr>
              <w:sz w:val="20"/>
              <w:szCs w:val="20"/>
            </w:rPr>
          </w:pPr>
          <w:r>
            <w:rPr>
              <w:sz w:val="20"/>
              <w:szCs w:val="20"/>
            </w:rPr>
            <w:t>APPLICATIONS FOR LEAVE</w:t>
          </w:r>
        </w:p>
        <w:p w:rsidR="00F10242" w:rsidRPr="0044776A" w:rsidRDefault="00F1024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10242" w:rsidRPr="0044776A" w:rsidRDefault="00F10242" w:rsidP="0044776A">
          <w:pPr>
            <w:keepNext/>
            <w:keepLines/>
            <w:widowControl w:val="0"/>
            <w:jc w:val="center"/>
            <w:rPr>
              <w:sz w:val="20"/>
              <w:szCs w:val="20"/>
            </w:rPr>
          </w:pPr>
        </w:p>
        <w:p w:rsidR="00F10242" w:rsidRPr="0044776A" w:rsidRDefault="00F10242" w:rsidP="0044776A">
          <w:pPr>
            <w:keepNext/>
            <w:keepLines/>
            <w:widowControl w:val="0"/>
            <w:jc w:val="center"/>
            <w:rPr>
              <w:sz w:val="20"/>
              <w:szCs w:val="20"/>
            </w:rPr>
          </w:pPr>
        </w:p>
        <w:p w:rsidR="00F10242" w:rsidRPr="0044776A" w:rsidRDefault="00F10242" w:rsidP="0044776A">
          <w:pPr>
            <w:keepNext/>
            <w:keepLines/>
            <w:widowControl w:val="0"/>
            <w:jc w:val="center"/>
            <w:rPr>
              <w:sz w:val="20"/>
              <w:szCs w:val="20"/>
            </w:rPr>
          </w:pPr>
        </w:p>
      </w:tc>
      <w:tc>
        <w:tcPr>
          <w:tcW w:w="4080" w:type="dxa"/>
          <w:tcMar>
            <w:left w:w="0" w:type="dxa"/>
            <w:right w:w="0" w:type="dxa"/>
          </w:tcMar>
        </w:tcPr>
        <w:p w:rsidR="00F10242" w:rsidRPr="0044776A" w:rsidRDefault="00F10242" w:rsidP="0044776A">
          <w:pPr>
            <w:keepLines/>
            <w:widowControl w:val="0"/>
            <w:rPr>
              <w:sz w:val="20"/>
              <w:szCs w:val="20"/>
              <w:lang w:val="fr-CA"/>
            </w:rPr>
          </w:pPr>
          <w:r w:rsidRPr="0044776A">
            <w:rPr>
              <w:sz w:val="20"/>
              <w:szCs w:val="20"/>
              <w:lang w:val="fr-CA"/>
            </w:rPr>
            <w:t>DEMANDES SOUMISES À LA COUR DEPUIS LA DERNIÈRE PARUTION</w:t>
          </w:r>
        </w:p>
        <w:p w:rsidR="00F10242" w:rsidRPr="0044776A" w:rsidRDefault="00F10242" w:rsidP="0044776A">
          <w:pPr>
            <w:widowControl w:val="0"/>
            <w:rPr>
              <w:sz w:val="20"/>
              <w:szCs w:val="20"/>
              <w:lang w:val="fr-CA"/>
            </w:rPr>
          </w:pPr>
        </w:p>
      </w:tc>
    </w:tr>
  </w:tbl>
  <w:p w:rsidR="00F10242" w:rsidRPr="002E2327" w:rsidRDefault="00F10242">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102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10242" w:rsidRPr="00C15495">
      <w:tc>
        <w:tcPr>
          <w:tcW w:w="4200" w:type="dxa"/>
          <w:tcMar>
            <w:left w:w="0" w:type="dxa"/>
            <w:right w:w="0" w:type="dxa"/>
          </w:tcMar>
        </w:tcPr>
        <w:p w:rsidR="00F10242" w:rsidRDefault="00F102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10242" w:rsidRDefault="00F102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10242" w:rsidRDefault="00F102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10242" w:rsidRPr="00FF6BA5" w:rsidRDefault="00F102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10242" w:rsidRPr="00FF6BA5" w:rsidRDefault="00F10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10242" w:rsidRPr="00FF6BA5" w:rsidRDefault="00F10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10242" w:rsidRPr="00FF6BA5" w:rsidRDefault="00F10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10242" w:rsidRPr="00C15495" w:rsidTr="00245129">
      <w:tc>
        <w:tcPr>
          <w:tcW w:w="4200" w:type="dxa"/>
          <w:tcMar>
            <w:left w:w="0" w:type="dxa"/>
            <w:right w:w="0" w:type="dxa"/>
          </w:tcMar>
        </w:tcPr>
        <w:p w:rsidR="00F10242" w:rsidRPr="00755F22" w:rsidRDefault="00F102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10242" w:rsidRPr="00755F22" w:rsidRDefault="00F102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10242" w:rsidRPr="00755F22" w:rsidRDefault="00F1024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10242" w:rsidRPr="00755F22" w:rsidRDefault="00F1024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10242" w:rsidRPr="00755F22" w:rsidRDefault="00F1024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10242" w:rsidRPr="00755F22" w:rsidRDefault="00F102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10242" w:rsidRPr="00FF6BA5" w:rsidRDefault="00F10242"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242" w:rsidRDefault="00F1024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10242">
      <w:tc>
        <w:tcPr>
          <w:tcW w:w="4230" w:type="dxa"/>
          <w:tcMar>
            <w:left w:w="0" w:type="dxa"/>
            <w:right w:w="0" w:type="dxa"/>
          </w:tcMar>
        </w:tcPr>
        <w:p w:rsidR="00F10242" w:rsidRDefault="00F102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10242" w:rsidRDefault="00F102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10242" w:rsidRDefault="00F102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10242">
      <w:trPr>
        <w:gridAfter w:val="2"/>
        <w:wAfter w:w="5250" w:type="dxa"/>
      </w:trPr>
      <w:tc>
        <w:tcPr>
          <w:tcW w:w="4230" w:type="dxa"/>
          <w:tcMar>
            <w:left w:w="0" w:type="dxa"/>
            <w:right w:w="0" w:type="dxa"/>
          </w:tcMar>
        </w:tcPr>
        <w:p w:rsidR="00F10242" w:rsidRDefault="00F10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10242" w:rsidRDefault="00F102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10242" w:rsidRPr="00755F22" w:rsidTr="00245129">
      <w:tc>
        <w:tcPr>
          <w:tcW w:w="4230" w:type="dxa"/>
          <w:tcMar>
            <w:left w:w="0" w:type="dxa"/>
            <w:right w:w="0" w:type="dxa"/>
          </w:tcMar>
        </w:tcPr>
        <w:p w:rsidR="00F10242" w:rsidRPr="00755F22" w:rsidRDefault="00F10242" w:rsidP="00831CA9">
          <w:pPr>
            <w:keepNext/>
            <w:keepLines/>
            <w:rPr>
              <w:sz w:val="20"/>
              <w:szCs w:val="20"/>
            </w:rPr>
          </w:pPr>
          <w:r w:rsidRPr="00755F22">
            <w:rPr>
              <w:sz w:val="20"/>
              <w:szCs w:val="20"/>
            </w:rPr>
            <w:t>MOTIONS</w:t>
          </w:r>
        </w:p>
      </w:tc>
      <w:tc>
        <w:tcPr>
          <w:tcW w:w="1170" w:type="dxa"/>
          <w:tcMar>
            <w:left w:w="0" w:type="dxa"/>
            <w:right w:w="0" w:type="dxa"/>
          </w:tcMar>
        </w:tcPr>
        <w:p w:rsidR="00F10242" w:rsidRPr="00755F22" w:rsidRDefault="00F10242" w:rsidP="00831CA9">
          <w:pPr>
            <w:keepLines/>
            <w:jc w:val="center"/>
            <w:rPr>
              <w:sz w:val="20"/>
              <w:szCs w:val="20"/>
            </w:rPr>
          </w:pPr>
        </w:p>
        <w:p w:rsidR="00F10242" w:rsidRPr="00755F22" w:rsidRDefault="00F10242" w:rsidP="00831CA9">
          <w:pPr>
            <w:keepLines/>
            <w:tabs>
              <w:tab w:val="left" w:pos="-1440"/>
              <w:tab w:val="left" w:pos="-720"/>
            </w:tabs>
            <w:jc w:val="center"/>
            <w:rPr>
              <w:sz w:val="20"/>
              <w:szCs w:val="20"/>
            </w:rPr>
          </w:pPr>
        </w:p>
      </w:tc>
      <w:tc>
        <w:tcPr>
          <w:tcW w:w="4080" w:type="dxa"/>
          <w:tcMar>
            <w:left w:w="0" w:type="dxa"/>
            <w:right w:w="0" w:type="dxa"/>
          </w:tcMar>
        </w:tcPr>
        <w:p w:rsidR="00F10242" w:rsidRPr="00BA6468" w:rsidRDefault="00F10242" w:rsidP="00BA6468">
          <w:pPr>
            <w:keepLines/>
            <w:rPr>
              <w:sz w:val="20"/>
              <w:szCs w:val="20"/>
              <w:lang w:val="fr-CA"/>
            </w:rPr>
          </w:pPr>
          <w:r w:rsidRPr="00BA6468">
            <w:rPr>
              <w:sz w:val="20"/>
              <w:szCs w:val="20"/>
              <w:lang w:val="fr-CA"/>
            </w:rPr>
            <w:t>REQUÊTES</w:t>
          </w:r>
        </w:p>
      </w:tc>
    </w:tr>
  </w:tbl>
  <w:p w:rsidR="00F10242" w:rsidRDefault="00F10242"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20"/>
  <w:drawingGridHorizontalSpacing w:val="120"/>
  <w:displayHorizontalDrawingGridEvery w:val="2"/>
  <w:characterSpacingControl w:val="doNotCompress"/>
  <w:hdrShapeDefaults>
    <o:shapedefaults v:ext="edit" spidmax="123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F4"/>
    <w:rsid w:val="00000AC8"/>
    <w:rsid w:val="00002704"/>
    <w:rsid w:val="00020DC3"/>
    <w:rsid w:val="00032109"/>
    <w:rsid w:val="0003223B"/>
    <w:rsid w:val="000327B2"/>
    <w:rsid w:val="0004528B"/>
    <w:rsid w:val="00053279"/>
    <w:rsid w:val="00064FBA"/>
    <w:rsid w:val="00077F6E"/>
    <w:rsid w:val="000838C6"/>
    <w:rsid w:val="00091FA6"/>
    <w:rsid w:val="00096A30"/>
    <w:rsid w:val="00096BD9"/>
    <w:rsid w:val="000A46AA"/>
    <w:rsid w:val="000B3C9A"/>
    <w:rsid w:val="000B40A2"/>
    <w:rsid w:val="000B4624"/>
    <w:rsid w:val="000B487D"/>
    <w:rsid w:val="000C0ACD"/>
    <w:rsid w:val="000C0D2A"/>
    <w:rsid w:val="000C5CE8"/>
    <w:rsid w:val="000E27A5"/>
    <w:rsid w:val="000E2959"/>
    <w:rsid w:val="000F0B60"/>
    <w:rsid w:val="00102926"/>
    <w:rsid w:val="0010587F"/>
    <w:rsid w:val="00106CD9"/>
    <w:rsid w:val="00111C6B"/>
    <w:rsid w:val="00116E18"/>
    <w:rsid w:val="00117951"/>
    <w:rsid w:val="0012102B"/>
    <w:rsid w:val="001235FC"/>
    <w:rsid w:val="0013369E"/>
    <w:rsid w:val="0013595D"/>
    <w:rsid w:val="00157B13"/>
    <w:rsid w:val="00164E6D"/>
    <w:rsid w:val="0016787C"/>
    <w:rsid w:val="00183454"/>
    <w:rsid w:val="00195F99"/>
    <w:rsid w:val="001B157C"/>
    <w:rsid w:val="001B27F4"/>
    <w:rsid w:val="001B3430"/>
    <w:rsid w:val="001B4006"/>
    <w:rsid w:val="001B5C23"/>
    <w:rsid w:val="001D0D5F"/>
    <w:rsid w:val="001D6B8C"/>
    <w:rsid w:val="001F1F83"/>
    <w:rsid w:val="001F40DF"/>
    <w:rsid w:val="001F43F8"/>
    <w:rsid w:val="001F6B2D"/>
    <w:rsid w:val="001F7B71"/>
    <w:rsid w:val="002021A9"/>
    <w:rsid w:val="002139A7"/>
    <w:rsid w:val="00215F7C"/>
    <w:rsid w:val="00222C2A"/>
    <w:rsid w:val="0022323B"/>
    <w:rsid w:val="002317B9"/>
    <w:rsid w:val="002410B8"/>
    <w:rsid w:val="00242AEE"/>
    <w:rsid w:val="00245129"/>
    <w:rsid w:val="00245879"/>
    <w:rsid w:val="00253236"/>
    <w:rsid w:val="0026111D"/>
    <w:rsid w:val="00267FD5"/>
    <w:rsid w:val="00273F1F"/>
    <w:rsid w:val="00274D34"/>
    <w:rsid w:val="00281514"/>
    <w:rsid w:val="00283ED8"/>
    <w:rsid w:val="002868D0"/>
    <w:rsid w:val="002A008C"/>
    <w:rsid w:val="002A27D1"/>
    <w:rsid w:val="002A4AFA"/>
    <w:rsid w:val="002B516C"/>
    <w:rsid w:val="002C6B8B"/>
    <w:rsid w:val="002D5E7D"/>
    <w:rsid w:val="002D72EB"/>
    <w:rsid w:val="002E2327"/>
    <w:rsid w:val="002E3583"/>
    <w:rsid w:val="002E5576"/>
    <w:rsid w:val="0030050B"/>
    <w:rsid w:val="003201B8"/>
    <w:rsid w:val="00320AEB"/>
    <w:rsid w:val="00331B52"/>
    <w:rsid w:val="003359D3"/>
    <w:rsid w:val="00350983"/>
    <w:rsid w:val="00355967"/>
    <w:rsid w:val="00382C47"/>
    <w:rsid w:val="00384384"/>
    <w:rsid w:val="003866AE"/>
    <w:rsid w:val="003B3977"/>
    <w:rsid w:val="003D09BC"/>
    <w:rsid w:val="003E1D4C"/>
    <w:rsid w:val="003E364B"/>
    <w:rsid w:val="003E5F3E"/>
    <w:rsid w:val="003E6E18"/>
    <w:rsid w:val="0041245B"/>
    <w:rsid w:val="004137A0"/>
    <w:rsid w:val="00422D9A"/>
    <w:rsid w:val="00432989"/>
    <w:rsid w:val="00440E24"/>
    <w:rsid w:val="0044776A"/>
    <w:rsid w:val="00460AFC"/>
    <w:rsid w:val="004668F4"/>
    <w:rsid w:val="0047471F"/>
    <w:rsid w:val="004B195E"/>
    <w:rsid w:val="004B2328"/>
    <w:rsid w:val="004B3712"/>
    <w:rsid w:val="004B66B4"/>
    <w:rsid w:val="004B7F60"/>
    <w:rsid w:val="004C1AAC"/>
    <w:rsid w:val="004E1E0A"/>
    <w:rsid w:val="004E5524"/>
    <w:rsid w:val="004F090E"/>
    <w:rsid w:val="00501F3C"/>
    <w:rsid w:val="0052229C"/>
    <w:rsid w:val="00523434"/>
    <w:rsid w:val="00527CC7"/>
    <w:rsid w:val="005600E7"/>
    <w:rsid w:val="00561E0B"/>
    <w:rsid w:val="0056248C"/>
    <w:rsid w:val="00571CA4"/>
    <w:rsid w:val="00582136"/>
    <w:rsid w:val="00592513"/>
    <w:rsid w:val="005A306E"/>
    <w:rsid w:val="005C438E"/>
    <w:rsid w:val="005C6840"/>
    <w:rsid w:val="005E039A"/>
    <w:rsid w:val="005F1ED8"/>
    <w:rsid w:val="005F263E"/>
    <w:rsid w:val="00600252"/>
    <w:rsid w:val="00612A40"/>
    <w:rsid w:val="00616561"/>
    <w:rsid w:val="0062714A"/>
    <w:rsid w:val="00642036"/>
    <w:rsid w:val="00655437"/>
    <w:rsid w:val="00674620"/>
    <w:rsid w:val="00675479"/>
    <w:rsid w:val="00680709"/>
    <w:rsid w:val="006811F1"/>
    <w:rsid w:val="00681F61"/>
    <w:rsid w:val="00687786"/>
    <w:rsid w:val="0069282D"/>
    <w:rsid w:val="00696BF9"/>
    <w:rsid w:val="00697C62"/>
    <w:rsid w:val="006A329B"/>
    <w:rsid w:val="006A7EB8"/>
    <w:rsid w:val="006B6926"/>
    <w:rsid w:val="006C3F47"/>
    <w:rsid w:val="006C5F7A"/>
    <w:rsid w:val="006D3E27"/>
    <w:rsid w:val="006E06AF"/>
    <w:rsid w:val="006F350F"/>
    <w:rsid w:val="006F373A"/>
    <w:rsid w:val="0071545B"/>
    <w:rsid w:val="007236B4"/>
    <w:rsid w:val="00723A22"/>
    <w:rsid w:val="00732DB7"/>
    <w:rsid w:val="0074238B"/>
    <w:rsid w:val="00745EF7"/>
    <w:rsid w:val="00755F22"/>
    <w:rsid w:val="00766E4A"/>
    <w:rsid w:val="007820CE"/>
    <w:rsid w:val="00782AE4"/>
    <w:rsid w:val="0079724F"/>
    <w:rsid w:val="00797FDA"/>
    <w:rsid w:val="007A1741"/>
    <w:rsid w:val="007A3EAE"/>
    <w:rsid w:val="007B4DFF"/>
    <w:rsid w:val="007C04FC"/>
    <w:rsid w:val="007C3DB0"/>
    <w:rsid w:val="007C47C2"/>
    <w:rsid w:val="007D3E0F"/>
    <w:rsid w:val="007E4282"/>
    <w:rsid w:val="007F387B"/>
    <w:rsid w:val="00802863"/>
    <w:rsid w:val="008112A9"/>
    <w:rsid w:val="0081265A"/>
    <w:rsid w:val="0081473A"/>
    <w:rsid w:val="00815B3C"/>
    <w:rsid w:val="0081610A"/>
    <w:rsid w:val="00820EE1"/>
    <w:rsid w:val="0082783A"/>
    <w:rsid w:val="00831CA9"/>
    <w:rsid w:val="00831FBC"/>
    <w:rsid w:val="00845C2A"/>
    <w:rsid w:val="008476C6"/>
    <w:rsid w:val="00850E1F"/>
    <w:rsid w:val="0085476B"/>
    <w:rsid w:val="0086340B"/>
    <w:rsid w:val="008902B1"/>
    <w:rsid w:val="00890FEB"/>
    <w:rsid w:val="00895E7E"/>
    <w:rsid w:val="008A5C1A"/>
    <w:rsid w:val="008D292F"/>
    <w:rsid w:val="008E03DC"/>
    <w:rsid w:val="009008B7"/>
    <w:rsid w:val="00902E51"/>
    <w:rsid w:val="00906024"/>
    <w:rsid w:val="00924065"/>
    <w:rsid w:val="00930D68"/>
    <w:rsid w:val="00932DB4"/>
    <w:rsid w:val="00941A4B"/>
    <w:rsid w:val="00946242"/>
    <w:rsid w:val="0095096B"/>
    <w:rsid w:val="00970CD3"/>
    <w:rsid w:val="009723FA"/>
    <w:rsid w:val="00984546"/>
    <w:rsid w:val="00991702"/>
    <w:rsid w:val="00995328"/>
    <w:rsid w:val="00996510"/>
    <w:rsid w:val="009B53D0"/>
    <w:rsid w:val="009D1963"/>
    <w:rsid w:val="009D1F15"/>
    <w:rsid w:val="009D555E"/>
    <w:rsid w:val="009E236E"/>
    <w:rsid w:val="009F3024"/>
    <w:rsid w:val="009F39BA"/>
    <w:rsid w:val="00A0355E"/>
    <w:rsid w:val="00A127CF"/>
    <w:rsid w:val="00A375D1"/>
    <w:rsid w:val="00A46181"/>
    <w:rsid w:val="00A51D10"/>
    <w:rsid w:val="00A52A83"/>
    <w:rsid w:val="00A6552C"/>
    <w:rsid w:val="00A77088"/>
    <w:rsid w:val="00A847C2"/>
    <w:rsid w:val="00A87207"/>
    <w:rsid w:val="00A935AA"/>
    <w:rsid w:val="00A956D3"/>
    <w:rsid w:val="00AB2201"/>
    <w:rsid w:val="00AB7F09"/>
    <w:rsid w:val="00AD0909"/>
    <w:rsid w:val="00AD1D34"/>
    <w:rsid w:val="00AD3259"/>
    <w:rsid w:val="00AD7215"/>
    <w:rsid w:val="00AF1715"/>
    <w:rsid w:val="00AF3904"/>
    <w:rsid w:val="00B010C0"/>
    <w:rsid w:val="00B05BC3"/>
    <w:rsid w:val="00B4740D"/>
    <w:rsid w:val="00B55B3C"/>
    <w:rsid w:val="00B61629"/>
    <w:rsid w:val="00B7374B"/>
    <w:rsid w:val="00B81863"/>
    <w:rsid w:val="00B855B0"/>
    <w:rsid w:val="00B90DC0"/>
    <w:rsid w:val="00B97BC8"/>
    <w:rsid w:val="00BA116A"/>
    <w:rsid w:val="00BA5582"/>
    <w:rsid w:val="00BA6468"/>
    <w:rsid w:val="00BA786B"/>
    <w:rsid w:val="00BB1D44"/>
    <w:rsid w:val="00BC04D3"/>
    <w:rsid w:val="00BD06DA"/>
    <w:rsid w:val="00BD4217"/>
    <w:rsid w:val="00BF25F3"/>
    <w:rsid w:val="00C01FCB"/>
    <w:rsid w:val="00C040D9"/>
    <w:rsid w:val="00C15495"/>
    <w:rsid w:val="00C1697B"/>
    <w:rsid w:val="00C21644"/>
    <w:rsid w:val="00C21CB5"/>
    <w:rsid w:val="00C3738C"/>
    <w:rsid w:val="00C406CA"/>
    <w:rsid w:val="00C43B6A"/>
    <w:rsid w:val="00C46376"/>
    <w:rsid w:val="00C50A5C"/>
    <w:rsid w:val="00C50FDF"/>
    <w:rsid w:val="00C63381"/>
    <w:rsid w:val="00C73D06"/>
    <w:rsid w:val="00C73E1B"/>
    <w:rsid w:val="00C7556C"/>
    <w:rsid w:val="00C759B4"/>
    <w:rsid w:val="00C77713"/>
    <w:rsid w:val="00C85BB7"/>
    <w:rsid w:val="00C92A23"/>
    <w:rsid w:val="00CA103E"/>
    <w:rsid w:val="00CA2DEA"/>
    <w:rsid w:val="00CA45F5"/>
    <w:rsid w:val="00CA7A98"/>
    <w:rsid w:val="00CB3520"/>
    <w:rsid w:val="00CB43D5"/>
    <w:rsid w:val="00CC4D84"/>
    <w:rsid w:val="00CC5E92"/>
    <w:rsid w:val="00CE07DA"/>
    <w:rsid w:val="00CE198A"/>
    <w:rsid w:val="00CF08C8"/>
    <w:rsid w:val="00D004FC"/>
    <w:rsid w:val="00D03B29"/>
    <w:rsid w:val="00D14794"/>
    <w:rsid w:val="00D32CFC"/>
    <w:rsid w:val="00D64901"/>
    <w:rsid w:val="00D76BDF"/>
    <w:rsid w:val="00D818B6"/>
    <w:rsid w:val="00D862C1"/>
    <w:rsid w:val="00D93B50"/>
    <w:rsid w:val="00D94028"/>
    <w:rsid w:val="00D94670"/>
    <w:rsid w:val="00D97F7E"/>
    <w:rsid w:val="00DA46F6"/>
    <w:rsid w:val="00DA756F"/>
    <w:rsid w:val="00DC0577"/>
    <w:rsid w:val="00DC0FD2"/>
    <w:rsid w:val="00DD0B49"/>
    <w:rsid w:val="00DE0502"/>
    <w:rsid w:val="00DE349D"/>
    <w:rsid w:val="00E06DFA"/>
    <w:rsid w:val="00E20A0A"/>
    <w:rsid w:val="00E240C2"/>
    <w:rsid w:val="00E356C7"/>
    <w:rsid w:val="00E414CA"/>
    <w:rsid w:val="00E41A5A"/>
    <w:rsid w:val="00E45FE4"/>
    <w:rsid w:val="00E579F6"/>
    <w:rsid w:val="00E64FA7"/>
    <w:rsid w:val="00E70F48"/>
    <w:rsid w:val="00E75CFD"/>
    <w:rsid w:val="00E770CB"/>
    <w:rsid w:val="00E8544A"/>
    <w:rsid w:val="00E903A1"/>
    <w:rsid w:val="00E92863"/>
    <w:rsid w:val="00E940EB"/>
    <w:rsid w:val="00E942C2"/>
    <w:rsid w:val="00E9703F"/>
    <w:rsid w:val="00EB2B90"/>
    <w:rsid w:val="00ED7E83"/>
    <w:rsid w:val="00EE091F"/>
    <w:rsid w:val="00EF0BC3"/>
    <w:rsid w:val="00EF4B63"/>
    <w:rsid w:val="00F0068D"/>
    <w:rsid w:val="00F0576D"/>
    <w:rsid w:val="00F10242"/>
    <w:rsid w:val="00F14E6D"/>
    <w:rsid w:val="00F152EC"/>
    <w:rsid w:val="00F15EA8"/>
    <w:rsid w:val="00F16C8D"/>
    <w:rsid w:val="00F26C61"/>
    <w:rsid w:val="00F33CCE"/>
    <w:rsid w:val="00F33CF4"/>
    <w:rsid w:val="00F40249"/>
    <w:rsid w:val="00F526C8"/>
    <w:rsid w:val="00F548EE"/>
    <w:rsid w:val="00F761A3"/>
    <w:rsid w:val="00F82568"/>
    <w:rsid w:val="00F9272D"/>
    <w:rsid w:val="00F9518C"/>
    <w:rsid w:val="00FA316E"/>
    <w:rsid w:val="00FA3373"/>
    <w:rsid w:val="00FA59EF"/>
    <w:rsid w:val="00FB19A2"/>
    <w:rsid w:val="00FB4A2E"/>
    <w:rsid w:val="00FE458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character" w:styleId="FollowedHyperlink">
    <w:name w:val="FollowedHyperlink"/>
    <w:basedOn w:val="DefaultParagraphFont"/>
    <w:uiPriority w:val="99"/>
    <w:semiHidden/>
    <w:unhideWhenUsed/>
    <w:rsid w:val="00E70F48"/>
    <w:rPr>
      <w:color w:val="800080" w:themeColor="followedHyperlink"/>
      <w:u w:val="single"/>
    </w:rPr>
  </w:style>
  <w:style w:type="paragraph" w:customStyle="1" w:styleId="SCCBanSummary">
    <w:name w:val="SCC.BanSummary"/>
    <w:basedOn w:val="Normal"/>
    <w:next w:val="Normal"/>
    <w:link w:val="SCCBanSummaryChar"/>
    <w:rsid w:val="00D97F7E"/>
    <w:pPr>
      <w:jc w:val="both"/>
    </w:pPr>
    <w:rPr>
      <w:rFonts w:eastAsia="Calibri" w:cs="Times New Roman"/>
      <w:smallCaps/>
    </w:rPr>
  </w:style>
  <w:style w:type="character" w:customStyle="1" w:styleId="SCCBanSummaryChar">
    <w:name w:val="SCC.BanSummary Char"/>
    <w:basedOn w:val="DefaultParagraphFont"/>
    <w:link w:val="SCCBanSummary"/>
    <w:rsid w:val="00D97F7E"/>
    <w:rPr>
      <w:rFonts w:eastAsia="Calibri" w:cs="Times New Roman"/>
      <w:smallCaps/>
      <w:lang w:val="en-CA"/>
    </w:rPr>
  </w:style>
  <w:style w:type="paragraph" w:styleId="BalloonText">
    <w:name w:val="Balloon Text"/>
    <w:basedOn w:val="Normal"/>
    <w:link w:val="BalloonTextChar"/>
    <w:uiPriority w:val="99"/>
    <w:semiHidden/>
    <w:unhideWhenUsed/>
    <w:rsid w:val="00812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65A"/>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97757">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bc/bcpc/doc/2015/2015bcpc230/2015bcpc230.html" TargetMode="External"/><Relationship Id="rId39" Type="http://schemas.openxmlformats.org/officeDocument/2006/relationships/hyperlink" Target="https://www.canlii.org/en/ca/fca/doc/2017/2017fca157/2017fca157.html?autocompleteStr=2017%20FCA%20157&amp;autocompletePos=1" TargetMode="External"/><Relationship Id="rId21" Type="http://schemas.openxmlformats.org/officeDocument/2006/relationships/hyperlink" Target="https://www.canlii.org/en/on/onsc/doc/2016/2016onsc1905/2016onsc1905.html?autocompleteStr=2016%20ONSC%201905&amp;autocompletePos=1" TargetMode="External"/><Relationship Id="rId34" Type="http://schemas.openxmlformats.org/officeDocument/2006/relationships/hyperlink" Target="http://canlii.ca/t/h4qm6" TargetMode="External"/><Relationship Id="rId42" Type="http://schemas.openxmlformats.org/officeDocument/2006/relationships/hyperlink" Target="https://www.canlii.org/fr/qc/qcca/doc/2017/2017qcca1237/2017qcca1237.html" TargetMode="External"/><Relationship Id="rId47" Type="http://schemas.openxmlformats.org/officeDocument/2006/relationships/footer" Target="footer5.xml"/><Relationship Id="rId50" Type="http://schemas.openxmlformats.org/officeDocument/2006/relationships/footer" Target="footer7.xml"/><Relationship Id="rId55" Type="http://schemas.openxmlformats.org/officeDocument/2006/relationships/header" Target="header10.xml"/><Relationship Id="rId63" Type="http://schemas.openxmlformats.org/officeDocument/2006/relationships/hyperlink" Target="http://www.scc-csc.ca/case-dossier/info/sum-som-eng.aspx?cas=37917" TargetMode="External"/><Relationship Id="rId68" Type="http://schemas.openxmlformats.org/officeDocument/2006/relationships/header" Target="header13.xml"/><Relationship Id="rId76" Type="http://schemas.openxmlformats.org/officeDocument/2006/relationships/hyperlink" Target="http://www.scc-csc.ca/case-dossier/info/sum-som-eng.aspx?cas=37423" TargetMode="External"/><Relationship Id="rId84"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on/onca/doc/2017/2017onca762/2017onca762.html?resultIndex=1" TargetMode="External"/><Relationship Id="rId11" Type="http://schemas.openxmlformats.org/officeDocument/2006/relationships/header" Target="header1.xml"/><Relationship Id="rId24" Type="http://schemas.openxmlformats.org/officeDocument/2006/relationships/hyperlink" Target="https://www.canlii.org/en/bc/bcsc/doc/2016/2016bcsc2416/2016bcsc2416.html" TargetMode="External"/><Relationship Id="rId32" Type="http://schemas.openxmlformats.org/officeDocument/2006/relationships/hyperlink" Target="http://canlii.ca/t/h4qm6" TargetMode="External"/><Relationship Id="rId37" Type="http://schemas.openxmlformats.org/officeDocument/2006/relationships/hyperlink" Target="https://www.canlii.org/en/on/onscdc/doc/2016/2016onsc2061/2016onsc2061.html?resultIndex=1" TargetMode="External"/><Relationship Id="rId40" Type="http://schemas.openxmlformats.org/officeDocument/2006/relationships/hyperlink" Target="https://www.canlii.org/fr/ca/caf/doc/2017/2017caf157/2017caf157.html" TargetMode="External"/><Relationship Id="rId45" Type="http://schemas.openxmlformats.org/officeDocument/2006/relationships/header" Target="header5.xml"/><Relationship Id="rId53" Type="http://schemas.openxmlformats.org/officeDocument/2006/relationships/footer" Target="footer8.xml"/><Relationship Id="rId58" Type="http://schemas.openxmlformats.org/officeDocument/2006/relationships/hyperlink" Target="http://www.scc-csc.ca/case-dossier/info/sum-som-eng.aspx?cas=37845" TargetMode="External"/><Relationship Id="rId66" Type="http://schemas.openxmlformats.org/officeDocument/2006/relationships/footer" Target="footer11.xml"/><Relationship Id="rId74" Type="http://schemas.openxmlformats.org/officeDocument/2006/relationships/header" Target="header16.xml"/><Relationship Id="rId79"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hyperlink" Target="http://www.scc-csc.ca/case-dossier/info/sum-som-eng.aspx?cas=37676" TargetMode="External"/><Relationship Id="rId82" Type="http://schemas.openxmlformats.org/officeDocument/2006/relationships/footer" Target="footer19.xml"/><Relationship Id="rId19" Type="http://schemas.openxmlformats.org/officeDocument/2006/relationships/hyperlink" Target="https://www.canlii.org/en/on/onsc/doc/2016/2016onsc1905/2016onsc1905.html?autocompleteStr=2016%20ONSC%201905&amp;autocompletePos=1" TargetMode="Externa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on/onca/doc/2017/2017onca669/2017onca669.html?autocompleteStr=2017%20ONCA%20669&amp;autocompletePos=1" TargetMode="External"/><Relationship Id="rId27" Type="http://schemas.openxmlformats.org/officeDocument/2006/relationships/hyperlink" Target="https://www.canlii.org/en/bc/bcsc/doc/2016/2016bcsc2416/2016bcsc2416.html" TargetMode="External"/><Relationship Id="rId30" Type="http://schemas.openxmlformats.org/officeDocument/2006/relationships/hyperlink" Target="https://www.canlii.org/en/on/onca/doc/2017/2017onca762/2017onca762.html?resultIndex=1" TargetMode="External"/><Relationship Id="rId35" Type="http://schemas.openxmlformats.org/officeDocument/2006/relationships/hyperlink" Target="https://www.canlii.org/en/on/onscdc/doc/2016/2016onsc2061/2016onsc2061.html?resultIndex=1" TargetMode="External"/><Relationship Id="rId43" Type="http://schemas.openxmlformats.org/officeDocument/2006/relationships/hyperlink" Target="https://www.canlii.org/fr/qc/qccq/doc/2016/2016qccq1789/2016qccq1789.html?autocompleteStr=2016%20QCCQ%201789&amp;autocompletePos=1" TargetMode="External"/><Relationship Id="rId48" Type="http://schemas.openxmlformats.org/officeDocument/2006/relationships/footer" Target="footer6.xml"/><Relationship Id="rId56" Type="http://schemas.openxmlformats.org/officeDocument/2006/relationships/footer" Target="footer10.xml"/><Relationship Id="rId64" Type="http://schemas.openxmlformats.org/officeDocument/2006/relationships/header" Target="header11.xml"/><Relationship Id="rId69" Type="http://schemas.openxmlformats.org/officeDocument/2006/relationships/footer" Target="footer13.xml"/><Relationship Id="rId77" Type="http://schemas.openxmlformats.org/officeDocument/2006/relationships/header" Target="header17.xml"/><Relationship Id="rId8" Type="http://schemas.openxmlformats.org/officeDocument/2006/relationships/image" Target="media/image1.wmf"/><Relationship Id="rId51" Type="http://schemas.openxmlformats.org/officeDocument/2006/relationships/header" Target="header8.xml"/><Relationship Id="rId72" Type="http://schemas.openxmlformats.org/officeDocument/2006/relationships/footer" Target="footer14.xml"/><Relationship Id="rId80" Type="http://schemas.openxmlformats.org/officeDocument/2006/relationships/footer" Target="footer18.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bc/bcca/doc/2017/2017bcca264/2017bcca264.html" TargetMode="External"/><Relationship Id="rId33" Type="http://schemas.openxmlformats.org/officeDocument/2006/relationships/hyperlink" Target="http://canlii.ca/t/gp416" TargetMode="External"/><Relationship Id="rId38" Type="http://schemas.openxmlformats.org/officeDocument/2006/relationships/hyperlink" Target="https://www.canlii.org/en/on/onca/doc/2017/2017onca680/2017onca680.html?resultIndex=1" TargetMode="External"/><Relationship Id="rId46" Type="http://schemas.openxmlformats.org/officeDocument/2006/relationships/header" Target="header6.xml"/><Relationship Id="rId59" Type="http://schemas.openxmlformats.org/officeDocument/2006/relationships/hyperlink" Target="http://www.scc-csc.ca/case-dossier/info/sum-som-eng.aspx?cas=37846" TargetMode="External"/><Relationship Id="rId67" Type="http://schemas.openxmlformats.org/officeDocument/2006/relationships/footer" Target="footer12.xml"/><Relationship Id="rId20" Type="http://schemas.openxmlformats.org/officeDocument/2006/relationships/hyperlink" Target="https://www.canlii.org/en/on/onca/doc/2017/2017onca669/2017onca669.html?autocompleteStr=2017%20ONCA%20669&amp;autocompletePos=1" TargetMode="External"/><Relationship Id="rId41" Type="http://schemas.openxmlformats.org/officeDocument/2006/relationships/hyperlink" Target="https://www.canlii.org/fr/qc/qccq/doc/2016/2016qccq1789/2016qccq1789.html?autocompleteStr=2016%20QCCQ%201789&amp;autocompletePos=1" TargetMode="External"/><Relationship Id="rId54" Type="http://schemas.openxmlformats.org/officeDocument/2006/relationships/footer" Target="footer9.xml"/><Relationship Id="rId62" Type="http://schemas.openxmlformats.org/officeDocument/2006/relationships/hyperlink" Target="http://www.scc-csc.ca/case-dossier/info/sum-som-eng.aspx?cas=37904" TargetMode="External"/><Relationship Id="rId70" Type="http://schemas.openxmlformats.org/officeDocument/2006/relationships/header" Target="header14.xml"/><Relationship Id="rId75" Type="http://schemas.openxmlformats.org/officeDocument/2006/relationships/footer" Target="footer16.xml"/><Relationship Id="rId83"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bc/bcpc/doc/2015/2015bcpc230/2015bcpc230.html" TargetMode="External"/><Relationship Id="rId28" Type="http://schemas.openxmlformats.org/officeDocument/2006/relationships/hyperlink" Target="https://www.canlii.org/en/bc/bcca/doc/2017/2017bcca264/2017bcca264.html" TargetMode="External"/><Relationship Id="rId36" Type="http://schemas.openxmlformats.org/officeDocument/2006/relationships/hyperlink" Target="https://www.canlii.org/en/on/onca/doc/2017/2017onca680/2017onca680.html?resultIndex=1" TargetMode="External"/><Relationship Id="rId49" Type="http://schemas.openxmlformats.org/officeDocument/2006/relationships/header" Target="header7.xml"/><Relationship Id="rId57" Type="http://schemas.openxmlformats.org/officeDocument/2006/relationships/hyperlink" Target="http://www.scc-csc.ca/case-dossier/info/sum-som-eng.aspx?cas=37926" TargetMode="External"/><Relationship Id="rId10" Type="http://schemas.openxmlformats.org/officeDocument/2006/relationships/hyperlink" Target="http://www.scc-csc.ca" TargetMode="External"/><Relationship Id="rId31" Type="http://schemas.openxmlformats.org/officeDocument/2006/relationships/hyperlink" Target="http://canlii.ca/t/gp416" TargetMode="External"/><Relationship Id="rId44" Type="http://schemas.openxmlformats.org/officeDocument/2006/relationships/hyperlink" Target="https://www.canlii.org/fr/qc/qcca/doc/2017/2017qcca1237/2017qcca1237.html" TargetMode="External"/><Relationship Id="rId52" Type="http://schemas.openxmlformats.org/officeDocument/2006/relationships/header" Target="header9.xml"/><Relationship Id="rId60" Type="http://schemas.openxmlformats.org/officeDocument/2006/relationships/hyperlink" Target="http://www.scc-csc.ca/case-dossier/info/sum-som-eng.aspx?cas=37642" TargetMode="External"/><Relationship Id="rId65" Type="http://schemas.openxmlformats.org/officeDocument/2006/relationships/header" Target="header12.xml"/><Relationship Id="rId73" Type="http://schemas.openxmlformats.org/officeDocument/2006/relationships/footer" Target="footer15.xml"/><Relationship Id="rId78" Type="http://schemas.openxmlformats.org/officeDocument/2006/relationships/header" Target="header18.xml"/><Relationship Id="rId81" Type="http://schemas.openxmlformats.org/officeDocument/2006/relationships/header" Target="header19.xm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A6C5-C5BF-4135-85AC-2FDF2D93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44</Pages>
  <Words>18106</Words>
  <Characters>94696</Characters>
  <Application>Microsoft Office Word</Application>
  <DocSecurity>0</DocSecurity>
  <Lines>3156</Lines>
  <Paragraphs>1611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2018-05-15T15:00:00Z</dcterms:created>
  <dcterms:modified xsi:type="dcterms:W3CDTF">2018-05-18T17:25:00Z</dcterms:modified>
</cp:coreProperties>
</file>