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DB1C5D"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DB1C5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B1C5D"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DB1C5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B1C5D"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DB1C5D"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DB1C5D"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proofErr w:type="spellStart"/>
            <w:r w:rsidR="009F3024">
              <w:rPr>
                <w:rFonts w:ascii="Arial" w:hAnsi="Arial" w:cs="Arial"/>
                <w:i/>
                <w:sz w:val="20"/>
                <w:szCs w:val="20"/>
              </w:rPr>
              <w:t>onsult</w:t>
            </w:r>
            <w:proofErr w:type="spellEnd"/>
            <w:r w:rsidR="009F3024">
              <w:rPr>
                <w:rFonts w:ascii="Arial" w:hAnsi="Arial" w:cs="Arial"/>
                <w:i/>
                <w:sz w:val="20"/>
                <w:szCs w:val="20"/>
              </w:rPr>
              <w:t xml:space="preserve"> the Supreme Court of Canada website at </w:t>
            </w:r>
            <w:hyperlink r:id="rId9"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82672C" w:rsidP="00F0068D">
      <w:pPr>
        <w:pBdr>
          <w:bottom w:val="single" w:sz="6" w:space="1" w:color="auto"/>
        </w:pBdr>
        <w:tabs>
          <w:tab w:val="center" w:pos="4680"/>
          <w:tab w:val="right" w:pos="9360"/>
        </w:tabs>
        <w:rPr>
          <w:lang w:val="fr-CA"/>
        </w:rPr>
      </w:pPr>
      <w:r>
        <w:rPr>
          <w:lang w:val="fr-CA"/>
        </w:rPr>
        <w:t>October 12</w:t>
      </w:r>
      <w:r w:rsidR="00440E24" w:rsidRPr="00675479">
        <w:rPr>
          <w:lang w:val="fr-CA"/>
        </w:rPr>
        <w:t>, 201</w:t>
      </w:r>
      <w:r w:rsidR="00DC0577">
        <w:rPr>
          <w:lang w:val="fr-CA"/>
        </w:rPr>
        <w:t>8</w:t>
      </w:r>
      <w:r w:rsidR="00F0068D" w:rsidRPr="00675479">
        <w:rPr>
          <w:lang w:val="fr-CA"/>
        </w:rPr>
        <w:tab/>
        <w:t>1</w:t>
      </w:r>
      <w:r>
        <w:rPr>
          <w:lang w:val="fr-CA"/>
        </w:rPr>
        <w:t>265</w:t>
      </w:r>
      <w:r w:rsidR="00F0068D" w:rsidRPr="00675479">
        <w:rPr>
          <w:lang w:val="fr-CA"/>
        </w:rPr>
        <w:t xml:space="preserve"> - </w:t>
      </w:r>
      <w:r w:rsidR="00D60590">
        <w:rPr>
          <w:lang w:val="fr-CA"/>
        </w:rPr>
        <w:t>1307</w:t>
      </w:r>
      <w:r w:rsidR="00440E24" w:rsidRPr="00675479">
        <w:rPr>
          <w:lang w:val="fr-CA"/>
        </w:rPr>
        <w:tab/>
      </w:r>
      <w:r w:rsidR="00440E24" w:rsidRPr="002E2327">
        <w:rPr>
          <w:lang w:val="fr-CA"/>
        </w:rPr>
        <w:t>Le</w:t>
      </w:r>
      <w:r w:rsidR="00C73D06">
        <w:rPr>
          <w:lang w:val="fr-CA"/>
        </w:rPr>
        <w:t xml:space="preserve"> </w:t>
      </w:r>
      <w:r>
        <w:rPr>
          <w:lang w:val="fr-CA"/>
        </w:rPr>
        <w:t xml:space="preserve">12 octobre </w:t>
      </w:r>
      <w:r w:rsidR="00440E24" w:rsidRPr="002E2327">
        <w:rPr>
          <w:lang w:val="fr-CA"/>
        </w:rPr>
        <w:t>201</w:t>
      </w:r>
      <w:r w:rsidR="00DC0577">
        <w:rPr>
          <w:lang w:val="fr-CA"/>
        </w:rPr>
        <w:t>8</w:t>
      </w:r>
    </w:p>
    <w:p w:rsidR="00440E24" w:rsidRPr="00675479" w:rsidRDefault="00440E24" w:rsidP="00440E24">
      <w:pPr>
        <w:pBdr>
          <w:bottom w:val="single" w:sz="6" w:space="1" w:color="auto"/>
        </w:pBdr>
        <w:tabs>
          <w:tab w:val="right" w:pos="9360"/>
        </w:tabs>
        <w:rPr>
          <w:lang w:val="fr-CA"/>
        </w:rPr>
      </w:pPr>
    </w:p>
    <w:p w:rsidR="00440E24" w:rsidRPr="004E5524" w:rsidRDefault="00440E24" w:rsidP="00440E24">
      <w:pPr>
        <w:pBdr>
          <w:bottom w:val="single" w:sz="6" w:space="1" w:color="auto"/>
        </w:pBdr>
        <w:tabs>
          <w:tab w:val="right" w:pos="9360"/>
        </w:tabs>
        <w:rPr>
          <w:sz w:val="18"/>
          <w:szCs w:val="18"/>
          <w:lang w:val="en-US"/>
        </w:rPr>
      </w:pPr>
      <w:r w:rsidRPr="004E5524">
        <w:rPr>
          <w:sz w:val="18"/>
          <w:szCs w:val="18"/>
          <w:lang w:val="en-US"/>
        </w:rPr>
        <w:t>© Supreme Court of Canada (</w:t>
      </w:r>
      <w:r w:rsidR="0030050B" w:rsidRPr="004E5524">
        <w:rPr>
          <w:sz w:val="18"/>
          <w:szCs w:val="18"/>
          <w:lang w:val="en-US"/>
        </w:rPr>
        <w:t>201</w:t>
      </w:r>
      <w:r w:rsidR="004E5524">
        <w:rPr>
          <w:sz w:val="18"/>
          <w:szCs w:val="18"/>
          <w:lang w:val="en-US"/>
        </w:rPr>
        <w:t>8</w:t>
      </w:r>
      <w:r w:rsidRPr="004E5524">
        <w:rPr>
          <w:sz w:val="18"/>
          <w:szCs w:val="18"/>
          <w:lang w:val="en-US"/>
        </w:rPr>
        <w:t>)</w:t>
      </w:r>
      <w:r w:rsidRPr="004E5524">
        <w:rPr>
          <w:sz w:val="18"/>
          <w:szCs w:val="18"/>
          <w:lang w:val="en-US"/>
        </w:rPr>
        <w:tab/>
        <w:t>© Cour suprême du Canada (</w:t>
      </w:r>
      <w:r w:rsidR="0030050B" w:rsidRPr="004E5524">
        <w:rPr>
          <w:sz w:val="18"/>
          <w:szCs w:val="18"/>
          <w:lang w:val="en-US"/>
        </w:rPr>
        <w:t>201</w:t>
      </w:r>
      <w:r w:rsidR="004E5524">
        <w:rPr>
          <w:sz w:val="18"/>
          <w:szCs w:val="18"/>
          <w:lang w:val="en-US"/>
        </w:rPr>
        <w:t>8</w:t>
      </w:r>
      <w:r w:rsidRPr="004E5524">
        <w:rPr>
          <w:sz w:val="18"/>
          <w:szCs w:val="18"/>
          <w:lang w:val="en-US"/>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w:t>
            </w:r>
            <w:r w:rsidR="00845C2A">
              <w:rPr>
                <w:rFonts w:cs="Times New Roman"/>
                <w:sz w:val="20"/>
                <w:szCs w:val="20"/>
              </w:rPr>
              <w:t>pplications for leave submitted to the</w:t>
            </w:r>
            <w:r w:rsidRPr="002E2327">
              <w:rPr>
                <w:rFonts w:cs="Times New Roman"/>
                <w:sz w:val="20"/>
                <w:szCs w:val="20"/>
              </w:rPr>
              <w:t xml:space="preserve"> Court since </w:t>
            </w:r>
            <w:r w:rsidR="00845C2A">
              <w:rPr>
                <w:rFonts w:cs="Times New Roman"/>
                <w:sz w:val="20"/>
                <w:szCs w:val="20"/>
              </w:rPr>
              <w:t xml:space="preserve">the </w:t>
            </w: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w:t>
            </w:r>
            <w:r w:rsidR="00845C2A">
              <w:rPr>
                <w:rFonts w:cs="Times New Roman"/>
                <w:sz w:val="20"/>
                <w:szCs w:val="20"/>
              </w:rPr>
              <w:t xml:space="preserve">the </w:t>
            </w:r>
            <w:r w:rsidRPr="002E2327">
              <w:rPr>
                <w:rFonts w:cs="Times New Roman"/>
                <w:sz w:val="20"/>
                <w:szCs w:val="20"/>
              </w:rPr>
              <w:t xml:space="preserve">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Appeals heard since </w:t>
            </w:r>
            <w:r w:rsidR="00845C2A">
              <w:rPr>
                <w:rFonts w:cs="Times New Roman"/>
                <w:sz w:val="20"/>
                <w:szCs w:val="20"/>
              </w:rPr>
              <w:t xml:space="preserve">the </w:t>
            </w:r>
            <w:r w:rsidRPr="002E2327">
              <w:rPr>
                <w:rFonts w:cs="Times New Roman"/>
                <w:sz w:val="20"/>
                <w:szCs w:val="20"/>
              </w:rPr>
              <w:t>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A87207" w:rsidRPr="002E2327" w:rsidRDefault="00A87207" w:rsidP="002A48F4">
            <w:pPr>
              <w:tabs>
                <w:tab w:val="right" w:pos="9360"/>
              </w:tabs>
              <w:rPr>
                <w:rFonts w:cs="Times New Roman"/>
                <w:sz w:val="20"/>
                <w:szCs w:val="20"/>
              </w:rPr>
            </w:pPr>
          </w:p>
        </w:tc>
        <w:tc>
          <w:tcPr>
            <w:tcW w:w="1980" w:type="dxa"/>
          </w:tcPr>
          <w:p w:rsidR="0095096B" w:rsidRPr="002E2327" w:rsidRDefault="00EC066A" w:rsidP="0095096B">
            <w:pPr>
              <w:jc w:val="center"/>
              <w:rPr>
                <w:rFonts w:cs="Times New Roman"/>
                <w:sz w:val="20"/>
                <w:szCs w:val="20"/>
              </w:rPr>
            </w:pPr>
            <w:r>
              <w:rPr>
                <w:rFonts w:cs="Times New Roman"/>
                <w:sz w:val="20"/>
                <w:szCs w:val="20"/>
              </w:rPr>
              <w:t xml:space="preserve">1265 </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1267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C066A" w:rsidP="0095096B">
            <w:pPr>
              <w:jc w:val="center"/>
              <w:rPr>
                <w:rFonts w:cs="Times New Roman"/>
                <w:sz w:val="20"/>
                <w:szCs w:val="20"/>
              </w:rPr>
            </w:pPr>
            <w:r>
              <w:rPr>
                <w:rFonts w:cs="Times New Roman"/>
                <w:sz w:val="20"/>
                <w:szCs w:val="20"/>
              </w:rPr>
              <w:t>1268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EC066A" w:rsidRDefault="00EC066A" w:rsidP="0095096B">
            <w:pPr>
              <w:jc w:val="center"/>
              <w:rPr>
                <w:rFonts w:cs="Times New Roman"/>
                <w:sz w:val="20"/>
                <w:szCs w:val="20"/>
              </w:rPr>
            </w:pPr>
          </w:p>
          <w:p w:rsidR="0095096B" w:rsidRPr="002E2327" w:rsidRDefault="00EC066A" w:rsidP="00EC066A">
            <w:pPr>
              <w:jc w:val="center"/>
              <w:rPr>
                <w:rFonts w:cs="Times New Roman"/>
                <w:sz w:val="20"/>
                <w:szCs w:val="20"/>
              </w:rPr>
            </w:pPr>
            <w:r>
              <w:rPr>
                <w:rFonts w:cs="Times New Roman"/>
                <w:sz w:val="20"/>
                <w:szCs w:val="20"/>
              </w:rPr>
              <w:t>1269 - 1285</w:t>
            </w:r>
          </w:p>
          <w:p w:rsidR="0095096B" w:rsidRPr="002E2327" w:rsidRDefault="0095096B" w:rsidP="0095096B">
            <w:pPr>
              <w:jc w:val="center"/>
              <w:rPr>
                <w:rFonts w:cs="Times New Roman"/>
                <w:sz w:val="20"/>
                <w:szCs w:val="20"/>
              </w:rPr>
            </w:pPr>
          </w:p>
          <w:p w:rsidR="0095096B" w:rsidRDefault="0095096B" w:rsidP="0095096B">
            <w:pPr>
              <w:jc w:val="center"/>
              <w:rPr>
                <w:rFonts w:cs="Times New Roman"/>
                <w:sz w:val="20"/>
                <w:szCs w:val="20"/>
              </w:rPr>
            </w:pPr>
          </w:p>
          <w:p w:rsidR="00EC066A" w:rsidRPr="002E2327" w:rsidRDefault="00EC066A" w:rsidP="0095096B">
            <w:pPr>
              <w:jc w:val="center"/>
              <w:rPr>
                <w:rFonts w:cs="Times New Roman"/>
                <w:sz w:val="20"/>
                <w:szCs w:val="20"/>
              </w:rPr>
            </w:pPr>
            <w:r>
              <w:rPr>
                <w:rFonts w:cs="Times New Roman"/>
                <w:sz w:val="20"/>
                <w:szCs w:val="20"/>
              </w:rPr>
              <w:t>1286 - 1287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C066A" w:rsidP="0095096B">
            <w:pPr>
              <w:jc w:val="center"/>
              <w:rPr>
                <w:rFonts w:cs="Times New Roman"/>
                <w:sz w:val="20"/>
                <w:szCs w:val="20"/>
              </w:rPr>
            </w:pPr>
            <w:r>
              <w:rPr>
                <w:rFonts w:cs="Times New Roman"/>
                <w:sz w:val="20"/>
                <w:szCs w:val="20"/>
              </w:rPr>
              <w:t>1288</w:t>
            </w:r>
          </w:p>
          <w:p w:rsidR="0095096B" w:rsidRPr="002E2327" w:rsidRDefault="0095096B" w:rsidP="0095096B">
            <w:pPr>
              <w:jc w:val="center"/>
              <w:rPr>
                <w:rFonts w:cs="Times New Roman"/>
                <w:sz w:val="20"/>
                <w:szCs w:val="20"/>
              </w:rPr>
            </w:pPr>
          </w:p>
          <w:p w:rsidR="0095096B" w:rsidRPr="002E2327" w:rsidRDefault="00EC066A" w:rsidP="0095096B">
            <w:pPr>
              <w:jc w:val="center"/>
              <w:rPr>
                <w:rFonts w:cs="Times New Roman"/>
                <w:sz w:val="20"/>
                <w:szCs w:val="20"/>
              </w:rPr>
            </w:pPr>
            <w:r>
              <w:rPr>
                <w:rFonts w:cs="Times New Roman"/>
                <w:sz w:val="20"/>
                <w:szCs w:val="20"/>
              </w:rPr>
              <w:t xml:space="preserve">1289 </w:t>
            </w:r>
            <w:r w:rsidR="0095096B" w:rsidRPr="002E2327">
              <w:rPr>
                <w:rFonts w:cs="Times New Roman"/>
                <w:sz w:val="20"/>
                <w:szCs w:val="20"/>
              </w:rPr>
              <w:t>-</w:t>
            </w:r>
            <w:r>
              <w:rPr>
                <w:rFonts w:cs="Times New Roman"/>
                <w:sz w:val="20"/>
                <w:szCs w:val="20"/>
              </w:rPr>
              <w:t xml:space="preserve"> 1293</w:t>
            </w:r>
          </w:p>
          <w:p w:rsidR="0095096B" w:rsidRPr="002E2327" w:rsidRDefault="0095096B" w:rsidP="0095096B">
            <w:pPr>
              <w:jc w:val="center"/>
              <w:rPr>
                <w:rFonts w:cs="Times New Roman"/>
                <w:sz w:val="20"/>
                <w:szCs w:val="20"/>
              </w:rPr>
            </w:pPr>
          </w:p>
          <w:p w:rsidR="0095096B" w:rsidRDefault="0095096B" w:rsidP="0095096B">
            <w:pPr>
              <w:jc w:val="center"/>
              <w:rPr>
                <w:rFonts w:cs="Times New Roman"/>
                <w:sz w:val="20"/>
                <w:szCs w:val="20"/>
              </w:rPr>
            </w:pPr>
          </w:p>
          <w:p w:rsidR="00EC066A" w:rsidRPr="002E2327" w:rsidRDefault="00EC066A" w:rsidP="0095096B">
            <w:pPr>
              <w:jc w:val="center"/>
              <w:rPr>
                <w:rFonts w:cs="Times New Roman"/>
                <w:sz w:val="20"/>
                <w:szCs w:val="20"/>
              </w:rPr>
            </w:pPr>
            <w:r>
              <w:rPr>
                <w:rFonts w:cs="Times New Roman"/>
                <w:sz w:val="20"/>
                <w:szCs w:val="20"/>
              </w:rPr>
              <w:t>1294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C066A" w:rsidP="0095096B">
            <w:pPr>
              <w:jc w:val="center"/>
              <w:rPr>
                <w:rFonts w:cs="Times New Roman"/>
                <w:sz w:val="20"/>
                <w:szCs w:val="20"/>
              </w:rPr>
            </w:pPr>
            <w:r>
              <w:rPr>
                <w:rFonts w:cs="Times New Roman"/>
                <w:sz w:val="20"/>
                <w:szCs w:val="20"/>
              </w:rPr>
              <w:t xml:space="preserve">1295 </w:t>
            </w:r>
            <w:r w:rsidR="0095096B" w:rsidRPr="002E2327">
              <w:rPr>
                <w:rFonts w:cs="Times New Roman"/>
                <w:sz w:val="20"/>
                <w:szCs w:val="20"/>
              </w:rPr>
              <w:t>-</w:t>
            </w:r>
            <w:r>
              <w:rPr>
                <w:rFonts w:cs="Times New Roman"/>
                <w:sz w:val="20"/>
                <w:szCs w:val="20"/>
              </w:rPr>
              <w:t xml:space="preserve"> 1307</w:t>
            </w:r>
          </w:p>
          <w:p w:rsidR="0095096B" w:rsidRPr="002E2327" w:rsidRDefault="0095096B" w:rsidP="0095096B">
            <w:pPr>
              <w:jc w:val="center"/>
              <w:rPr>
                <w:rFonts w:cs="Times New Roman"/>
                <w:sz w:val="20"/>
                <w:szCs w:val="20"/>
              </w:rPr>
            </w:pPr>
          </w:p>
          <w:p w:rsidR="00A87207" w:rsidRPr="002E2327" w:rsidRDefault="00A87207" w:rsidP="002A48F4">
            <w:pPr>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A87207" w:rsidRPr="002E2327" w:rsidRDefault="00A87207" w:rsidP="002A48F4">
            <w:pPr>
              <w:tabs>
                <w:tab w:val="right" w:pos="9360"/>
              </w:tabs>
              <w:rPr>
                <w:rFonts w:cs="Times New Roman"/>
                <w:sz w:val="20"/>
                <w:szCs w:val="20"/>
                <w:lang w:val="fr-CA"/>
              </w:rPr>
            </w:pP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DB1C5D"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810" w:type="dxa"/>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1170"/>
        <w:gridCol w:w="4320"/>
      </w:tblGrid>
      <w:tr w:rsidR="00A87207" w:rsidRPr="002E2327" w:rsidTr="008F141E">
        <w:tc>
          <w:tcPr>
            <w:tcW w:w="432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17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32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A40F5B" w:rsidRPr="00C21644" w:rsidTr="003B3977">
        <w:tc>
          <w:tcPr>
            <w:tcW w:w="4320" w:type="dxa"/>
            <w:vMerge w:val="restart"/>
            <w:shd w:val="clear" w:color="auto" w:fill="auto"/>
          </w:tcPr>
          <w:p w:rsidR="00A40F5B" w:rsidRPr="00A935AA" w:rsidRDefault="00A40F5B" w:rsidP="005F1ED8">
            <w:pPr>
              <w:rPr>
                <w:b/>
                <w:sz w:val="20"/>
                <w:szCs w:val="20"/>
              </w:rPr>
            </w:pPr>
            <w:r>
              <w:rPr>
                <w:b/>
                <w:sz w:val="20"/>
                <w:szCs w:val="20"/>
              </w:rPr>
              <w:t xml:space="preserve">Leslie </w:t>
            </w:r>
            <w:proofErr w:type="spellStart"/>
            <w:r>
              <w:rPr>
                <w:b/>
                <w:sz w:val="20"/>
                <w:szCs w:val="20"/>
              </w:rPr>
              <w:t>Lonsbary</w:t>
            </w:r>
            <w:proofErr w:type="spellEnd"/>
          </w:p>
          <w:p w:rsidR="00A40F5B" w:rsidRPr="00A935AA" w:rsidRDefault="00A40F5B" w:rsidP="005F1ED8">
            <w:pPr>
              <w:tabs>
                <w:tab w:val="left" w:pos="-1440"/>
                <w:tab w:val="left" w:pos="-720"/>
              </w:tabs>
              <w:rPr>
                <w:sz w:val="20"/>
                <w:szCs w:val="20"/>
              </w:rPr>
            </w:pPr>
            <w:r w:rsidRPr="00A935AA">
              <w:rPr>
                <w:sz w:val="20"/>
                <w:szCs w:val="20"/>
              </w:rPr>
              <w:tab/>
            </w:r>
            <w:r>
              <w:rPr>
                <w:sz w:val="20"/>
                <w:szCs w:val="20"/>
              </w:rPr>
              <w:t>Jill R. Presser</w:t>
            </w:r>
          </w:p>
          <w:p w:rsidR="00A40F5B" w:rsidRPr="00A40F5B" w:rsidRDefault="00A40F5B" w:rsidP="005F1ED8">
            <w:pPr>
              <w:tabs>
                <w:tab w:val="left" w:pos="-1440"/>
                <w:tab w:val="left" w:pos="-720"/>
              </w:tabs>
              <w:rPr>
                <w:sz w:val="20"/>
                <w:szCs w:val="20"/>
              </w:rPr>
            </w:pPr>
            <w:r w:rsidRPr="00A935AA">
              <w:rPr>
                <w:sz w:val="20"/>
                <w:szCs w:val="20"/>
              </w:rPr>
              <w:tab/>
            </w:r>
            <w:r>
              <w:rPr>
                <w:sz w:val="20"/>
                <w:szCs w:val="20"/>
              </w:rPr>
              <w:t>Presser Barristers</w:t>
            </w:r>
          </w:p>
          <w:p w:rsidR="00A40F5B" w:rsidRPr="00A40F5B" w:rsidRDefault="00A40F5B" w:rsidP="005F1ED8">
            <w:pPr>
              <w:tabs>
                <w:tab w:val="left" w:pos="-1440"/>
                <w:tab w:val="left" w:pos="-720"/>
              </w:tabs>
              <w:rPr>
                <w:sz w:val="20"/>
                <w:szCs w:val="20"/>
              </w:rPr>
            </w:pPr>
          </w:p>
          <w:p w:rsidR="00A40F5B" w:rsidRPr="00A40F5B" w:rsidRDefault="00A40F5B" w:rsidP="005F1ED8">
            <w:pPr>
              <w:tabs>
                <w:tab w:val="left" w:pos="-1440"/>
                <w:tab w:val="left" w:pos="-720"/>
              </w:tabs>
              <w:rPr>
                <w:sz w:val="20"/>
                <w:szCs w:val="20"/>
              </w:rPr>
            </w:pPr>
            <w:r>
              <w:rPr>
                <w:sz w:val="20"/>
                <w:szCs w:val="20"/>
              </w:rPr>
              <w:tab/>
              <w:t>v. (38255</w:t>
            </w:r>
            <w:r w:rsidRPr="00A40F5B">
              <w:rPr>
                <w:sz w:val="20"/>
                <w:szCs w:val="20"/>
              </w:rPr>
              <w:t>)</w:t>
            </w:r>
          </w:p>
          <w:p w:rsidR="00A40F5B" w:rsidRPr="00A40F5B" w:rsidRDefault="00A40F5B" w:rsidP="005F1ED8">
            <w:pPr>
              <w:tabs>
                <w:tab w:val="left" w:pos="-1440"/>
                <w:tab w:val="left" w:pos="-720"/>
              </w:tabs>
              <w:rPr>
                <w:sz w:val="20"/>
                <w:szCs w:val="20"/>
              </w:rPr>
            </w:pPr>
          </w:p>
          <w:p w:rsidR="00A40F5B" w:rsidRPr="00A935AA" w:rsidRDefault="00A40F5B" w:rsidP="005F1ED8">
            <w:pPr>
              <w:tabs>
                <w:tab w:val="left" w:pos="-1440"/>
                <w:tab w:val="left" w:pos="-720"/>
              </w:tabs>
              <w:rPr>
                <w:b/>
                <w:sz w:val="20"/>
                <w:szCs w:val="20"/>
              </w:rPr>
            </w:pPr>
            <w:r>
              <w:rPr>
                <w:b/>
                <w:sz w:val="20"/>
                <w:szCs w:val="20"/>
              </w:rPr>
              <w:t>Her Majesty the Queen</w:t>
            </w:r>
            <w:r w:rsidRPr="00A40F5B">
              <w:rPr>
                <w:sz w:val="20"/>
                <w:szCs w:val="20"/>
              </w:rPr>
              <w:t xml:space="preserve"> </w:t>
            </w:r>
            <w:r w:rsidRPr="00A935AA">
              <w:rPr>
                <w:b/>
                <w:sz w:val="20"/>
                <w:szCs w:val="20"/>
              </w:rPr>
              <w:t>(</w:t>
            </w:r>
            <w:r>
              <w:rPr>
                <w:b/>
                <w:sz w:val="20"/>
                <w:szCs w:val="20"/>
              </w:rPr>
              <w:t>Ont</w:t>
            </w:r>
            <w:r w:rsidRPr="00A935AA">
              <w:rPr>
                <w:b/>
                <w:sz w:val="20"/>
                <w:szCs w:val="20"/>
              </w:rPr>
              <w:t>.)</w:t>
            </w:r>
          </w:p>
          <w:p w:rsidR="00A40F5B" w:rsidRPr="00A935AA" w:rsidRDefault="00A40F5B" w:rsidP="005F1ED8">
            <w:pPr>
              <w:tabs>
                <w:tab w:val="left" w:pos="-1440"/>
                <w:tab w:val="left" w:pos="-720"/>
              </w:tabs>
              <w:rPr>
                <w:sz w:val="20"/>
                <w:szCs w:val="20"/>
              </w:rPr>
            </w:pPr>
            <w:r w:rsidRPr="00A935AA">
              <w:rPr>
                <w:sz w:val="20"/>
                <w:szCs w:val="20"/>
              </w:rPr>
              <w:tab/>
            </w:r>
            <w:r>
              <w:rPr>
                <w:sz w:val="20"/>
                <w:szCs w:val="20"/>
              </w:rPr>
              <w:t>Michael Fawcett</w:t>
            </w:r>
          </w:p>
          <w:p w:rsidR="00A40F5B" w:rsidRDefault="00A40F5B" w:rsidP="005F1ED8">
            <w:pPr>
              <w:tabs>
                <w:tab w:val="left" w:pos="-1440"/>
                <w:tab w:val="left" w:pos="-720"/>
              </w:tabs>
              <w:rPr>
                <w:sz w:val="20"/>
                <w:szCs w:val="20"/>
              </w:rPr>
            </w:pPr>
            <w:r w:rsidRPr="00A935AA">
              <w:rPr>
                <w:sz w:val="20"/>
                <w:szCs w:val="20"/>
              </w:rPr>
              <w:tab/>
            </w:r>
            <w:r>
              <w:rPr>
                <w:sz w:val="20"/>
                <w:szCs w:val="20"/>
              </w:rPr>
              <w:t>A.G. of Ontario</w:t>
            </w:r>
          </w:p>
          <w:p w:rsidR="00A40F5B" w:rsidRDefault="00A40F5B" w:rsidP="005F1ED8">
            <w:pPr>
              <w:tabs>
                <w:tab w:val="left" w:pos="-1440"/>
                <w:tab w:val="left" w:pos="-720"/>
              </w:tabs>
              <w:rPr>
                <w:sz w:val="20"/>
                <w:szCs w:val="20"/>
              </w:rPr>
            </w:pPr>
          </w:p>
          <w:p w:rsidR="00A40F5B" w:rsidRDefault="00A40F5B" w:rsidP="005F1ED8">
            <w:pPr>
              <w:tabs>
                <w:tab w:val="left" w:pos="-1440"/>
                <w:tab w:val="left" w:pos="-720"/>
              </w:tabs>
              <w:rPr>
                <w:sz w:val="20"/>
                <w:szCs w:val="20"/>
              </w:rPr>
            </w:pPr>
            <w:r>
              <w:rPr>
                <w:sz w:val="20"/>
                <w:szCs w:val="20"/>
              </w:rPr>
              <w:t>- and between -</w:t>
            </w:r>
          </w:p>
          <w:p w:rsidR="00A40F5B" w:rsidRDefault="00A40F5B" w:rsidP="005F1ED8">
            <w:pPr>
              <w:tabs>
                <w:tab w:val="left" w:pos="-1440"/>
                <w:tab w:val="left" w:pos="-720"/>
              </w:tabs>
              <w:rPr>
                <w:sz w:val="20"/>
                <w:szCs w:val="20"/>
              </w:rPr>
            </w:pPr>
          </w:p>
          <w:p w:rsidR="002A48F4" w:rsidRDefault="002A48F4" w:rsidP="005F1ED8">
            <w:pPr>
              <w:tabs>
                <w:tab w:val="left" w:pos="-1440"/>
                <w:tab w:val="left" w:pos="-720"/>
              </w:tabs>
              <w:rPr>
                <w:sz w:val="20"/>
                <w:szCs w:val="20"/>
              </w:rPr>
            </w:pPr>
            <w:r>
              <w:rPr>
                <w:sz w:val="20"/>
                <w:szCs w:val="20"/>
              </w:rPr>
              <w:t>FILING DATE: 23.08.2018</w:t>
            </w:r>
          </w:p>
          <w:p w:rsidR="002A48F4" w:rsidRDefault="002A48F4" w:rsidP="005F1ED8">
            <w:pPr>
              <w:tabs>
                <w:tab w:val="left" w:pos="-1440"/>
                <w:tab w:val="left" w:pos="-720"/>
              </w:tabs>
              <w:rPr>
                <w:sz w:val="20"/>
                <w:szCs w:val="20"/>
              </w:rPr>
            </w:pPr>
          </w:p>
          <w:p w:rsidR="00A40F5B" w:rsidRPr="00A935AA" w:rsidRDefault="00A40F5B" w:rsidP="00A40F5B">
            <w:pPr>
              <w:rPr>
                <w:b/>
                <w:sz w:val="20"/>
                <w:szCs w:val="20"/>
              </w:rPr>
            </w:pPr>
            <w:r>
              <w:rPr>
                <w:b/>
                <w:sz w:val="20"/>
                <w:szCs w:val="20"/>
              </w:rPr>
              <w:t xml:space="preserve">Stephen </w:t>
            </w:r>
            <w:proofErr w:type="spellStart"/>
            <w:r>
              <w:rPr>
                <w:b/>
                <w:sz w:val="20"/>
                <w:szCs w:val="20"/>
              </w:rPr>
              <w:t>Jurkus</w:t>
            </w:r>
            <w:proofErr w:type="spellEnd"/>
          </w:p>
          <w:p w:rsidR="00A40F5B" w:rsidRPr="00A935AA" w:rsidRDefault="00A40F5B" w:rsidP="00A40F5B">
            <w:pPr>
              <w:tabs>
                <w:tab w:val="left" w:pos="-1440"/>
                <w:tab w:val="left" w:pos="-720"/>
              </w:tabs>
              <w:rPr>
                <w:sz w:val="20"/>
                <w:szCs w:val="20"/>
              </w:rPr>
            </w:pPr>
            <w:r w:rsidRPr="00A935AA">
              <w:rPr>
                <w:sz w:val="20"/>
                <w:szCs w:val="20"/>
              </w:rPr>
              <w:tab/>
            </w:r>
            <w:r>
              <w:rPr>
                <w:sz w:val="20"/>
                <w:szCs w:val="20"/>
              </w:rPr>
              <w:t xml:space="preserve">Patrick J. </w:t>
            </w:r>
            <w:proofErr w:type="spellStart"/>
            <w:r>
              <w:rPr>
                <w:sz w:val="20"/>
                <w:szCs w:val="20"/>
              </w:rPr>
              <w:t>Ducharme</w:t>
            </w:r>
            <w:proofErr w:type="spellEnd"/>
          </w:p>
          <w:p w:rsidR="00A40F5B" w:rsidRPr="00A40F5B" w:rsidRDefault="00A40F5B" w:rsidP="00A40F5B">
            <w:pPr>
              <w:tabs>
                <w:tab w:val="left" w:pos="-1440"/>
                <w:tab w:val="left" w:pos="-720"/>
              </w:tabs>
              <w:rPr>
                <w:sz w:val="20"/>
                <w:szCs w:val="20"/>
              </w:rPr>
            </w:pPr>
            <w:r w:rsidRPr="00A935AA">
              <w:rPr>
                <w:sz w:val="20"/>
                <w:szCs w:val="20"/>
              </w:rPr>
              <w:tab/>
            </w:r>
            <w:proofErr w:type="spellStart"/>
            <w:r>
              <w:rPr>
                <w:sz w:val="20"/>
                <w:szCs w:val="20"/>
              </w:rPr>
              <w:t>Ducharme</w:t>
            </w:r>
            <w:proofErr w:type="spellEnd"/>
            <w:r>
              <w:rPr>
                <w:sz w:val="20"/>
                <w:szCs w:val="20"/>
              </w:rPr>
              <w:t xml:space="preserve"> Weber LLP</w:t>
            </w:r>
          </w:p>
          <w:p w:rsidR="00A40F5B" w:rsidRPr="00A40F5B" w:rsidRDefault="00A40F5B" w:rsidP="00A40F5B">
            <w:pPr>
              <w:tabs>
                <w:tab w:val="left" w:pos="-1440"/>
                <w:tab w:val="left" w:pos="-720"/>
              </w:tabs>
              <w:rPr>
                <w:sz w:val="20"/>
                <w:szCs w:val="20"/>
              </w:rPr>
            </w:pPr>
          </w:p>
          <w:p w:rsidR="00A40F5B" w:rsidRPr="00A40F5B" w:rsidRDefault="00A40F5B" w:rsidP="00A40F5B">
            <w:pPr>
              <w:tabs>
                <w:tab w:val="left" w:pos="-1440"/>
                <w:tab w:val="left" w:pos="-720"/>
              </w:tabs>
              <w:rPr>
                <w:sz w:val="20"/>
                <w:szCs w:val="20"/>
              </w:rPr>
            </w:pPr>
            <w:r>
              <w:rPr>
                <w:sz w:val="20"/>
                <w:szCs w:val="20"/>
              </w:rPr>
              <w:tab/>
              <w:t>v. (38255</w:t>
            </w:r>
            <w:r w:rsidRPr="00A40F5B">
              <w:rPr>
                <w:sz w:val="20"/>
                <w:szCs w:val="20"/>
              </w:rPr>
              <w:t>)</w:t>
            </w:r>
          </w:p>
          <w:p w:rsidR="00A40F5B" w:rsidRPr="00A40F5B" w:rsidRDefault="00A40F5B" w:rsidP="00A40F5B">
            <w:pPr>
              <w:tabs>
                <w:tab w:val="left" w:pos="-1440"/>
                <w:tab w:val="left" w:pos="-720"/>
              </w:tabs>
              <w:rPr>
                <w:sz w:val="20"/>
                <w:szCs w:val="20"/>
              </w:rPr>
            </w:pPr>
          </w:p>
          <w:p w:rsidR="00A40F5B" w:rsidRPr="00A935AA" w:rsidRDefault="00A40F5B" w:rsidP="00A40F5B">
            <w:pPr>
              <w:tabs>
                <w:tab w:val="left" w:pos="-1440"/>
                <w:tab w:val="left" w:pos="-720"/>
              </w:tabs>
              <w:rPr>
                <w:b/>
                <w:sz w:val="20"/>
                <w:szCs w:val="20"/>
              </w:rPr>
            </w:pPr>
            <w:r>
              <w:rPr>
                <w:b/>
                <w:sz w:val="20"/>
                <w:szCs w:val="20"/>
              </w:rPr>
              <w:t>Her Majesty the Queen</w:t>
            </w:r>
            <w:r w:rsidRPr="00A40F5B">
              <w:rPr>
                <w:sz w:val="20"/>
                <w:szCs w:val="20"/>
              </w:rPr>
              <w:t xml:space="preserve"> </w:t>
            </w:r>
            <w:r w:rsidRPr="00A935AA">
              <w:rPr>
                <w:b/>
                <w:sz w:val="20"/>
                <w:szCs w:val="20"/>
              </w:rPr>
              <w:t>(</w:t>
            </w:r>
            <w:r>
              <w:rPr>
                <w:b/>
                <w:sz w:val="20"/>
                <w:szCs w:val="20"/>
              </w:rPr>
              <w:t>Ont</w:t>
            </w:r>
            <w:r w:rsidRPr="00A935AA">
              <w:rPr>
                <w:b/>
                <w:sz w:val="20"/>
                <w:szCs w:val="20"/>
              </w:rPr>
              <w:t>.)</w:t>
            </w:r>
          </w:p>
          <w:p w:rsidR="00A40F5B" w:rsidRPr="00A935AA" w:rsidRDefault="00A40F5B" w:rsidP="00A40F5B">
            <w:pPr>
              <w:tabs>
                <w:tab w:val="left" w:pos="-1440"/>
                <w:tab w:val="left" w:pos="-720"/>
              </w:tabs>
              <w:rPr>
                <w:sz w:val="20"/>
                <w:szCs w:val="20"/>
              </w:rPr>
            </w:pPr>
            <w:r w:rsidRPr="00A935AA">
              <w:rPr>
                <w:sz w:val="20"/>
                <w:szCs w:val="20"/>
              </w:rPr>
              <w:tab/>
            </w:r>
            <w:r>
              <w:rPr>
                <w:sz w:val="20"/>
                <w:szCs w:val="20"/>
              </w:rPr>
              <w:t>Michael Fawcett</w:t>
            </w:r>
          </w:p>
          <w:p w:rsidR="00A40F5B" w:rsidRDefault="00A40F5B" w:rsidP="00A40F5B">
            <w:pPr>
              <w:tabs>
                <w:tab w:val="left" w:pos="-1440"/>
                <w:tab w:val="left" w:pos="-720"/>
              </w:tabs>
              <w:rPr>
                <w:sz w:val="20"/>
                <w:szCs w:val="20"/>
              </w:rPr>
            </w:pPr>
            <w:r w:rsidRPr="00A935AA">
              <w:rPr>
                <w:sz w:val="20"/>
                <w:szCs w:val="20"/>
              </w:rPr>
              <w:tab/>
            </w:r>
            <w:r>
              <w:rPr>
                <w:sz w:val="20"/>
                <w:szCs w:val="20"/>
              </w:rPr>
              <w:t>A.G. of Ontario</w:t>
            </w:r>
          </w:p>
          <w:p w:rsidR="00A40F5B" w:rsidRPr="00A935AA" w:rsidRDefault="00A40F5B" w:rsidP="005F1ED8">
            <w:pPr>
              <w:tabs>
                <w:tab w:val="left" w:pos="-1440"/>
                <w:tab w:val="left" w:pos="-720"/>
              </w:tabs>
              <w:rPr>
                <w:sz w:val="20"/>
                <w:szCs w:val="20"/>
              </w:rPr>
            </w:pPr>
          </w:p>
          <w:p w:rsidR="00A40F5B" w:rsidRPr="00A935AA" w:rsidRDefault="00A40F5B" w:rsidP="005F1ED8">
            <w:pPr>
              <w:rPr>
                <w:sz w:val="20"/>
                <w:szCs w:val="20"/>
              </w:rPr>
            </w:pPr>
            <w:r w:rsidRPr="00A935AA">
              <w:rPr>
                <w:sz w:val="20"/>
                <w:szCs w:val="20"/>
              </w:rPr>
              <w:t xml:space="preserve">FILING DATE: </w:t>
            </w:r>
            <w:r>
              <w:rPr>
                <w:sz w:val="20"/>
                <w:szCs w:val="20"/>
              </w:rPr>
              <w:t>2</w:t>
            </w:r>
            <w:r w:rsidR="002A48F4">
              <w:rPr>
                <w:sz w:val="20"/>
                <w:szCs w:val="20"/>
              </w:rPr>
              <w:t>8</w:t>
            </w:r>
            <w:r w:rsidRPr="00A935AA">
              <w:rPr>
                <w:sz w:val="20"/>
                <w:szCs w:val="20"/>
              </w:rPr>
              <w:t>.</w:t>
            </w:r>
            <w:r>
              <w:rPr>
                <w:sz w:val="20"/>
                <w:szCs w:val="20"/>
              </w:rPr>
              <w:t>08</w:t>
            </w:r>
            <w:r w:rsidRPr="00A935AA">
              <w:rPr>
                <w:sz w:val="20"/>
                <w:szCs w:val="20"/>
              </w:rPr>
              <w:t>.</w:t>
            </w:r>
            <w:r>
              <w:rPr>
                <w:sz w:val="20"/>
                <w:szCs w:val="20"/>
              </w:rPr>
              <w:t>2018</w:t>
            </w:r>
          </w:p>
          <w:p w:rsidR="00A40F5B" w:rsidRPr="00A935AA" w:rsidRDefault="00F13243"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A40F5B" w:rsidRPr="00A935AA" w:rsidRDefault="00A40F5B" w:rsidP="00242AEE">
            <w:pPr>
              <w:jc w:val="center"/>
              <w:rPr>
                <w:sz w:val="20"/>
                <w:szCs w:val="20"/>
              </w:rPr>
            </w:pPr>
          </w:p>
          <w:p w:rsidR="00A40F5B" w:rsidRPr="00A935AA" w:rsidRDefault="00A40F5B" w:rsidP="00242AEE">
            <w:pPr>
              <w:jc w:val="center"/>
              <w:rPr>
                <w:sz w:val="20"/>
                <w:szCs w:val="20"/>
              </w:rPr>
            </w:pPr>
          </w:p>
          <w:p w:rsidR="00A40F5B" w:rsidRPr="00A935AA" w:rsidRDefault="00A40F5B" w:rsidP="00242AEE">
            <w:pPr>
              <w:jc w:val="center"/>
              <w:rPr>
                <w:sz w:val="20"/>
                <w:szCs w:val="20"/>
              </w:rPr>
            </w:pPr>
          </w:p>
          <w:p w:rsidR="00A40F5B" w:rsidRPr="00A935AA" w:rsidRDefault="00A40F5B" w:rsidP="00242AEE">
            <w:pPr>
              <w:jc w:val="center"/>
              <w:rPr>
                <w:sz w:val="20"/>
                <w:szCs w:val="20"/>
              </w:rPr>
            </w:pPr>
          </w:p>
          <w:p w:rsidR="00A40F5B" w:rsidRPr="00A935AA" w:rsidRDefault="00A40F5B" w:rsidP="00242AEE">
            <w:pPr>
              <w:jc w:val="center"/>
              <w:rPr>
                <w:sz w:val="20"/>
                <w:szCs w:val="20"/>
              </w:rPr>
            </w:pPr>
          </w:p>
          <w:p w:rsidR="00A40F5B" w:rsidRPr="00A935AA" w:rsidRDefault="00A40F5B" w:rsidP="00242AEE">
            <w:pPr>
              <w:jc w:val="center"/>
              <w:rPr>
                <w:sz w:val="20"/>
                <w:szCs w:val="20"/>
              </w:rPr>
            </w:pPr>
          </w:p>
          <w:p w:rsidR="00A40F5B" w:rsidRPr="00A935AA" w:rsidRDefault="00A40F5B" w:rsidP="00242AEE">
            <w:pPr>
              <w:jc w:val="center"/>
              <w:rPr>
                <w:sz w:val="20"/>
                <w:szCs w:val="20"/>
              </w:rPr>
            </w:pPr>
          </w:p>
          <w:p w:rsidR="00A40F5B" w:rsidRPr="00A935AA" w:rsidRDefault="00A40F5B" w:rsidP="00242AEE">
            <w:pPr>
              <w:jc w:val="center"/>
              <w:rPr>
                <w:sz w:val="20"/>
                <w:szCs w:val="20"/>
              </w:rPr>
            </w:pPr>
          </w:p>
          <w:p w:rsidR="00A40F5B" w:rsidRPr="00A935AA" w:rsidRDefault="00A40F5B" w:rsidP="00242AEE">
            <w:pPr>
              <w:jc w:val="center"/>
              <w:rPr>
                <w:sz w:val="20"/>
                <w:szCs w:val="20"/>
              </w:rPr>
            </w:pPr>
          </w:p>
          <w:p w:rsidR="00A40F5B" w:rsidRPr="00A935AA" w:rsidRDefault="00A40F5B" w:rsidP="00242AEE">
            <w:pPr>
              <w:jc w:val="center"/>
              <w:rPr>
                <w:sz w:val="20"/>
                <w:szCs w:val="20"/>
              </w:rPr>
            </w:pPr>
          </w:p>
          <w:p w:rsidR="00A40F5B" w:rsidRPr="00A935AA" w:rsidRDefault="00A40F5B" w:rsidP="00242AEE">
            <w:pPr>
              <w:jc w:val="center"/>
              <w:rPr>
                <w:sz w:val="20"/>
                <w:szCs w:val="20"/>
              </w:rPr>
            </w:pPr>
          </w:p>
          <w:p w:rsidR="00A40F5B" w:rsidRPr="00A935AA" w:rsidRDefault="00A40F5B" w:rsidP="00242AEE">
            <w:pPr>
              <w:jc w:val="center"/>
              <w:rPr>
                <w:sz w:val="20"/>
                <w:szCs w:val="20"/>
              </w:rPr>
            </w:pPr>
          </w:p>
          <w:p w:rsidR="00A40F5B" w:rsidRPr="00A935AA" w:rsidRDefault="00A40F5B" w:rsidP="00242AEE">
            <w:pPr>
              <w:jc w:val="center"/>
              <w:rPr>
                <w:sz w:val="20"/>
                <w:szCs w:val="20"/>
              </w:rPr>
            </w:pPr>
          </w:p>
        </w:tc>
        <w:tc>
          <w:tcPr>
            <w:tcW w:w="4320" w:type="dxa"/>
            <w:shd w:val="clear" w:color="auto" w:fill="auto"/>
          </w:tcPr>
          <w:p w:rsidR="00A40F5B" w:rsidRPr="00806A5B" w:rsidRDefault="00A40F5B" w:rsidP="005F1ED8">
            <w:pPr>
              <w:keepNext/>
              <w:keepLines/>
              <w:tabs>
                <w:tab w:val="left" w:pos="-1440"/>
                <w:tab w:val="left" w:pos="-720"/>
              </w:tabs>
              <w:rPr>
                <w:b/>
                <w:sz w:val="20"/>
                <w:szCs w:val="20"/>
                <w:lang w:val="fr-CA"/>
              </w:rPr>
            </w:pPr>
            <w:r>
              <w:rPr>
                <w:b/>
                <w:sz w:val="20"/>
                <w:szCs w:val="20"/>
                <w:lang w:val="fr-CA"/>
              </w:rPr>
              <w:t>Hydro-Québec</w:t>
            </w:r>
          </w:p>
          <w:p w:rsidR="00A40F5B" w:rsidRPr="00806A5B" w:rsidRDefault="00A40F5B" w:rsidP="005F1ED8">
            <w:pPr>
              <w:keepNext/>
              <w:keepLines/>
              <w:tabs>
                <w:tab w:val="left" w:pos="-1440"/>
                <w:tab w:val="left" w:pos="-720"/>
              </w:tabs>
              <w:rPr>
                <w:sz w:val="20"/>
                <w:szCs w:val="20"/>
                <w:lang w:val="fr-CA"/>
              </w:rPr>
            </w:pPr>
            <w:r>
              <w:rPr>
                <w:sz w:val="20"/>
                <w:szCs w:val="20"/>
                <w:lang w:val="fr-CA"/>
              </w:rPr>
              <w:tab/>
              <w:t>Claude Marseille, Ad. E.</w:t>
            </w:r>
          </w:p>
          <w:p w:rsidR="00A40F5B" w:rsidRPr="00806A5B" w:rsidRDefault="00A40F5B" w:rsidP="005F1ED8">
            <w:pPr>
              <w:keepNext/>
              <w:keepLines/>
              <w:tabs>
                <w:tab w:val="left" w:pos="-1440"/>
                <w:tab w:val="left" w:pos="-720"/>
              </w:tabs>
              <w:rPr>
                <w:sz w:val="20"/>
                <w:szCs w:val="20"/>
                <w:lang w:val="fr-CA"/>
              </w:rPr>
            </w:pPr>
            <w:r w:rsidRPr="00806A5B">
              <w:rPr>
                <w:sz w:val="20"/>
                <w:szCs w:val="20"/>
                <w:lang w:val="fr-CA"/>
              </w:rPr>
              <w:tab/>
            </w:r>
            <w:r>
              <w:rPr>
                <w:sz w:val="20"/>
                <w:szCs w:val="20"/>
                <w:lang w:val="fr-CA"/>
              </w:rPr>
              <w:t xml:space="preserve">Blake, </w:t>
            </w:r>
            <w:proofErr w:type="spellStart"/>
            <w:r>
              <w:rPr>
                <w:sz w:val="20"/>
                <w:szCs w:val="20"/>
                <w:lang w:val="fr-CA"/>
              </w:rPr>
              <w:t>Cassels</w:t>
            </w:r>
            <w:proofErr w:type="spellEnd"/>
            <w:r>
              <w:rPr>
                <w:sz w:val="20"/>
                <w:szCs w:val="20"/>
                <w:lang w:val="fr-CA"/>
              </w:rPr>
              <w:t xml:space="preserve"> &amp; </w:t>
            </w:r>
            <w:proofErr w:type="spellStart"/>
            <w:r>
              <w:rPr>
                <w:sz w:val="20"/>
                <w:szCs w:val="20"/>
                <w:lang w:val="fr-CA"/>
              </w:rPr>
              <w:t>Graydon</w:t>
            </w:r>
            <w:proofErr w:type="spellEnd"/>
            <w:r>
              <w:rPr>
                <w:sz w:val="20"/>
                <w:szCs w:val="20"/>
                <w:lang w:val="fr-CA"/>
              </w:rPr>
              <w:t xml:space="preserve"> LLP</w:t>
            </w:r>
          </w:p>
          <w:p w:rsidR="00A40F5B" w:rsidRPr="00806A5B" w:rsidRDefault="00A40F5B" w:rsidP="005F1ED8">
            <w:pPr>
              <w:keepNext/>
              <w:keepLines/>
              <w:tabs>
                <w:tab w:val="left" w:pos="-1440"/>
                <w:tab w:val="left" w:pos="-720"/>
              </w:tabs>
              <w:rPr>
                <w:sz w:val="20"/>
                <w:szCs w:val="20"/>
                <w:lang w:val="fr-CA"/>
              </w:rPr>
            </w:pPr>
          </w:p>
          <w:p w:rsidR="00A40F5B" w:rsidRPr="00806A5B" w:rsidRDefault="00A40F5B" w:rsidP="005F1ED8">
            <w:pPr>
              <w:keepNext/>
              <w:keepLines/>
              <w:tabs>
                <w:tab w:val="left" w:pos="-1440"/>
                <w:tab w:val="left" w:pos="-720"/>
              </w:tabs>
              <w:rPr>
                <w:sz w:val="20"/>
                <w:szCs w:val="20"/>
                <w:lang w:val="fr-CA"/>
              </w:rPr>
            </w:pPr>
            <w:r w:rsidRPr="00806A5B">
              <w:rPr>
                <w:sz w:val="20"/>
                <w:szCs w:val="20"/>
                <w:lang w:val="fr-CA"/>
              </w:rPr>
              <w:tab/>
              <w:t>c. (</w:t>
            </w:r>
            <w:r>
              <w:rPr>
                <w:sz w:val="20"/>
                <w:szCs w:val="20"/>
                <w:lang w:val="fr-CA"/>
              </w:rPr>
              <w:t>38254</w:t>
            </w:r>
            <w:r w:rsidRPr="00806A5B">
              <w:rPr>
                <w:sz w:val="20"/>
                <w:szCs w:val="20"/>
                <w:lang w:val="fr-CA"/>
              </w:rPr>
              <w:t>)</w:t>
            </w:r>
          </w:p>
          <w:p w:rsidR="00A40F5B" w:rsidRPr="00806A5B" w:rsidRDefault="00A40F5B" w:rsidP="005F1ED8">
            <w:pPr>
              <w:keepNext/>
              <w:keepLines/>
              <w:tabs>
                <w:tab w:val="left" w:pos="-1440"/>
                <w:tab w:val="left" w:pos="-720"/>
              </w:tabs>
              <w:rPr>
                <w:sz w:val="20"/>
                <w:szCs w:val="20"/>
                <w:lang w:val="fr-CA"/>
              </w:rPr>
            </w:pPr>
          </w:p>
          <w:p w:rsidR="00A40F5B" w:rsidRPr="00806A5B" w:rsidRDefault="00A40F5B" w:rsidP="005F1ED8">
            <w:pPr>
              <w:keepNext/>
              <w:keepLines/>
              <w:tabs>
                <w:tab w:val="left" w:pos="-1440"/>
                <w:tab w:val="left" w:pos="-720"/>
              </w:tabs>
              <w:rPr>
                <w:b/>
                <w:sz w:val="20"/>
                <w:szCs w:val="20"/>
                <w:lang w:val="fr-CA"/>
              </w:rPr>
            </w:pPr>
            <w:r>
              <w:rPr>
                <w:b/>
                <w:sz w:val="20"/>
                <w:szCs w:val="20"/>
                <w:lang w:val="fr-CA"/>
              </w:rPr>
              <w:t>Louise Matta et autres</w:t>
            </w:r>
            <w:r w:rsidRPr="00806A5B">
              <w:rPr>
                <w:b/>
                <w:sz w:val="20"/>
                <w:szCs w:val="20"/>
                <w:lang w:val="fr-CA"/>
              </w:rPr>
              <w:t xml:space="preserve"> (Qc)</w:t>
            </w:r>
          </w:p>
          <w:p w:rsidR="00A40F5B" w:rsidRPr="00806A5B" w:rsidRDefault="00A40F5B" w:rsidP="005F1ED8">
            <w:pPr>
              <w:keepNext/>
              <w:keepLines/>
              <w:tabs>
                <w:tab w:val="left" w:pos="-1440"/>
                <w:tab w:val="left" w:pos="-720"/>
              </w:tabs>
              <w:rPr>
                <w:sz w:val="20"/>
                <w:szCs w:val="20"/>
                <w:lang w:val="fr-CA"/>
              </w:rPr>
            </w:pPr>
            <w:r w:rsidRPr="00806A5B">
              <w:rPr>
                <w:sz w:val="20"/>
                <w:szCs w:val="20"/>
                <w:lang w:val="fr-CA"/>
              </w:rPr>
              <w:tab/>
            </w:r>
            <w:r>
              <w:rPr>
                <w:sz w:val="20"/>
                <w:szCs w:val="20"/>
                <w:lang w:val="fr-CA"/>
              </w:rPr>
              <w:t>Vincent Karim</w:t>
            </w:r>
          </w:p>
          <w:p w:rsidR="00A40F5B" w:rsidRPr="00806A5B" w:rsidRDefault="00A40F5B" w:rsidP="005F1ED8">
            <w:pPr>
              <w:keepNext/>
              <w:keepLines/>
              <w:tabs>
                <w:tab w:val="left" w:pos="-1440"/>
                <w:tab w:val="left" w:pos="-720"/>
              </w:tabs>
              <w:rPr>
                <w:sz w:val="20"/>
                <w:szCs w:val="20"/>
                <w:lang w:val="fr-CA"/>
              </w:rPr>
            </w:pPr>
            <w:r w:rsidRPr="00806A5B">
              <w:rPr>
                <w:sz w:val="20"/>
                <w:szCs w:val="20"/>
                <w:lang w:val="fr-CA"/>
              </w:rPr>
              <w:tab/>
            </w:r>
            <w:r>
              <w:rPr>
                <w:sz w:val="20"/>
                <w:szCs w:val="20"/>
                <w:lang w:val="fr-CA"/>
              </w:rPr>
              <w:t xml:space="preserve">Vincent Karim &amp; </w:t>
            </w:r>
            <w:proofErr w:type="spellStart"/>
            <w:r>
              <w:rPr>
                <w:sz w:val="20"/>
                <w:szCs w:val="20"/>
                <w:lang w:val="fr-CA"/>
              </w:rPr>
              <w:t>als</w:t>
            </w:r>
            <w:proofErr w:type="spellEnd"/>
          </w:p>
          <w:p w:rsidR="00A40F5B" w:rsidRPr="00806A5B" w:rsidRDefault="00A40F5B" w:rsidP="005F1ED8">
            <w:pPr>
              <w:keepNext/>
              <w:keepLines/>
              <w:tabs>
                <w:tab w:val="left" w:pos="-1440"/>
                <w:tab w:val="left" w:pos="-720"/>
              </w:tabs>
              <w:rPr>
                <w:sz w:val="20"/>
                <w:szCs w:val="20"/>
                <w:lang w:val="fr-CA"/>
              </w:rPr>
            </w:pPr>
          </w:p>
          <w:p w:rsidR="00A40F5B" w:rsidRPr="00806A5B" w:rsidRDefault="00A40F5B" w:rsidP="00A40F5B">
            <w:pPr>
              <w:rPr>
                <w:sz w:val="20"/>
                <w:szCs w:val="20"/>
                <w:lang w:val="fr-CA"/>
              </w:rPr>
            </w:pPr>
            <w:r w:rsidRPr="00806A5B">
              <w:rPr>
                <w:sz w:val="20"/>
                <w:szCs w:val="20"/>
                <w:lang w:val="fr-CA"/>
              </w:rPr>
              <w:t xml:space="preserve">DATE DE PRODUCTION: </w:t>
            </w:r>
            <w:r>
              <w:rPr>
                <w:sz w:val="20"/>
                <w:szCs w:val="20"/>
                <w:lang w:val="fr-CA"/>
              </w:rPr>
              <w:t>24</w:t>
            </w:r>
            <w:r w:rsidRPr="00806A5B">
              <w:rPr>
                <w:sz w:val="20"/>
                <w:szCs w:val="20"/>
                <w:lang w:val="fr-CA"/>
              </w:rPr>
              <w:t>.0</w:t>
            </w:r>
            <w:r>
              <w:rPr>
                <w:sz w:val="20"/>
                <w:szCs w:val="20"/>
                <w:lang w:val="fr-CA"/>
              </w:rPr>
              <w:t>8</w:t>
            </w:r>
            <w:r w:rsidRPr="00806A5B">
              <w:rPr>
                <w:sz w:val="20"/>
                <w:szCs w:val="20"/>
                <w:lang w:val="fr-CA"/>
              </w:rPr>
              <w:t>.</w:t>
            </w:r>
            <w:r>
              <w:rPr>
                <w:sz w:val="20"/>
                <w:szCs w:val="20"/>
                <w:lang w:val="fr-CA"/>
              </w:rPr>
              <w:t>2018</w:t>
            </w:r>
            <w:r w:rsidR="00F13243">
              <w:rPr>
                <w:sz w:val="20"/>
                <w:szCs w:val="20"/>
                <w:lang w:val="fr-CA"/>
              </w:rPr>
              <w:pict>
                <v:rect id="_x0000_i1026" style="width:108pt;height:1pt" o:hrpct="0" o:hralign="center" o:hrstd="t" o:hrnoshade="t" o:hr="t" fillcolor="black [3213]" stroked="f"/>
              </w:pict>
            </w:r>
          </w:p>
        </w:tc>
      </w:tr>
      <w:tr w:rsidR="00A40F5B" w:rsidRPr="00A935AA" w:rsidTr="003B3977">
        <w:tc>
          <w:tcPr>
            <w:tcW w:w="4320" w:type="dxa"/>
            <w:vMerge/>
            <w:shd w:val="clear" w:color="auto" w:fill="auto"/>
          </w:tcPr>
          <w:p w:rsidR="00A40F5B" w:rsidRPr="00A935AA" w:rsidRDefault="00A40F5B" w:rsidP="003B3977">
            <w:pPr>
              <w:rPr>
                <w:sz w:val="20"/>
                <w:szCs w:val="20"/>
              </w:rPr>
            </w:pPr>
          </w:p>
        </w:tc>
        <w:tc>
          <w:tcPr>
            <w:tcW w:w="1181" w:type="dxa"/>
            <w:shd w:val="clear" w:color="auto" w:fill="auto"/>
          </w:tcPr>
          <w:p w:rsidR="00A40F5B" w:rsidRPr="00A935AA" w:rsidRDefault="00A40F5B" w:rsidP="00242AEE">
            <w:pPr>
              <w:jc w:val="center"/>
              <w:rPr>
                <w:sz w:val="20"/>
                <w:szCs w:val="20"/>
              </w:rPr>
            </w:pPr>
          </w:p>
        </w:tc>
        <w:tc>
          <w:tcPr>
            <w:tcW w:w="4320" w:type="dxa"/>
            <w:shd w:val="clear" w:color="auto" w:fill="auto"/>
          </w:tcPr>
          <w:p w:rsidR="00A40F5B" w:rsidRPr="00A935AA" w:rsidRDefault="00A40F5B" w:rsidP="00A40F5B">
            <w:pPr>
              <w:rPr>
                <w:b/>
                <w:sz w:val="20"/>
                <w:szCs w:val="20"/>
              </w:rPr>
            </w:pPr>
            <w:r>
              <w:rPr>
                <w:b/>
                <w:sz w:val="20"/>
                <w:szCs w:val="20"/>
              </w:rPr>
              <w:t>Her Majesty the Queen</w:t>
            </w:r>
          </w:p>
          <w:p w:rsidR="00A40F5B" w:rsidRPr="00A935AA" w:rsidRDefault="00A40F5B" w:rsidP="00A40F5B">
            <w:pPr>
              <w:tabs>
                <w:tab w:val="left" w:pos="-1440"/>
                <w:tab w:val="left" w:pos="-720"/>
              </w:tabs>
              <w:rPr>
                <w:sz w:val="20"/>
                <w:szCs w:val="20"/>
              </w:rPr>
            </w:pPr>
            <w:r w:rsidRPr="00A935AA">
              <w:rPr>
                <w:sz w:val="20"/>
                <w:szCs w:val="20"/>
              </w:rPr>
              <w:tab/>
            </w:r>
            <w:r>
              <w:rPr>
                <w:sz w:val="20"/>
                <w:szCs w:val="20"/>
              </w:rPr>
              <w:t>Mark A. Scott, Q.C.</w:t>
            </w:r>
          </w:p>
          <w:p w:rsidR="00A40F5B" w:rsidRPr="00A40F5B" w:rsidRDefault="00A40F5B" w:rsidP="00A40F5B">
            <w:pPr>
              <w:tabs>
                <w:tab w:val="left" w:pos="-1440"/>
                <w:tab w:val="left" w:pos="-720"/>
              </w:tabs>
              <w:ind w:left="720"/>
              <w:rPr>
                <w:sz w:val="20"/>
                <w:szCs w:val="20"/>
              </w:rPr>
            </w:pPr>
            <w:r>
              <w:rPr>
                <w:sz w:val="20"/>
                <w:szCs w:val="20"/>
              </w:rPr>
              <w:t>Public Prosecution Service of Nova Scotia</w:t>
            </w:r>
          </w:p>
          <w:p w:rsidR="00A40F5B" w:rsidRPr="00A40F5B" w:rsidRDefault="00A40F5B" w:rsidP="00A40F5B">
            <w:pPr>
              <w:tabs>
                <w:tab w:val="left" w:pos="-1440"/>
                <w:tab w:val="left" w:pos="-720"/>
              </w:tabs>
              <w:rPr>
                <w:sz w:val="20"/>
                <w:szCs w:val="20"/>
              </w:rPr>
            </w:pPr>
          </w:p>
          <w:p w:rsidR="00A40F5B" w:rsidRPr="00A40F5B" w:rsidRDefault="00A40F5B" w:rsidP="00A40F5B">
            <w:pPr>
              <w:tabs>
                <w:tab w:val="left" w:pos="-1440"/>
                <w:tab w:val="left" w:pos="-720"/>
              </w:tabs>
              <w:rPr>
                <w:sz w:val="20"/>
                <w:szCs w:val="20"/>
              </w:rPr>
            </w:pPr>
            <w:r>
              <w:rPr>
                <w:sz w:val="20"/>
                <w:szCs w:val="20"/>
              </w:rPr>
              <w:tab/>
              <w:t>v. (38263</w:t>
            </w:r>
            <w:r w:rsidRPr="00A40F5B">
              <w:rPr>
                <w:sz w:val="20"/>
                <w:szCs w:val="20"/>
              </w:rPr>
              <w:t>)</w:t>
            </w:r>
          </w:p>
          <w:p w:rsidR="00A40F5B" w:rsidRPr="00A40F5B" w:rsidRDefault="00A40F5B" w:rsidP="00A40F5B">
            <w:pPr>
              <w:tabs>
                <w:tab w:val="left" w:pos="-1440"/>
                <w:tab w:val="left" w:pos="-720"/>
              </w:tabs>
              <w:rPr>
                <w:sz w:val="20"/>
                <w:szCs w:val="20"/>
              </w:rPr>
            </w:pPr>
          </w:p>
          <w:p w:rsidR="00A40F5B" w:rsidRPr="00A935AA" w:rsidRDefault="00A40F5B" w:rsidP="00A40F5B">
            <w:pPr>
              <w:tabs>
                <w:tab w:val="left" w:pos="-1440"/>
                <w:tab w:val="left" w:pos="-720"/>
              </w:tabs>
              <w:rPr>
                <w:b/>
                <w:sz w:val="20"/>
                <w:szCs w:val="20"/>
              </w:rPr>
            </w:pPr>
            <w:r>
              <w:rPr>
                <w:b/>
                <w:sz w:val="20"/>
                <w:szCs w:val="20"/>
              </w:rPr>
              <w:t>A.H.</w:t>
            </w:r>
            <w:r w:rsidRPr="00A40F5B">
              <w:rPr>
                <w:sz w:val="20"/>
                <w:szCs w:val="20"/>
              </w:rPr>
              <w:t xml:space="preserve"> </w:t>
            </w:r>
            <w:r w:rsidRPr="00A935AA">
              <w:rPr>
                <w:b/>
                <w:sz w:val="20"/>
                <w:szCs w:val="20"/>
              </w:rPr>
              <w:t>(</w:t>
            </w:r>
            <w:r>
              <w:rPr>
                <w:b/>
                <w:sz w:val="20"/>
                <w:szCs w:val="20"/>
              </w:rPr>
              <w:t>N.S</w:t>
            </w:r>
            <w:r w:rsidRPr="00A935AA">
              <w:rPr>
                <w:b/>
                <w:sz w:val="20"/>
                <w:szCs w:val="20"/>
              </w:rPr>
              <w:t>.)</w:t>
            </w:r>
          </w:p>
          <w:p w:rsidR="00A40F5B" w:rsidRPr="00A935AA" w:rsidRDefault="00A40F5B" w:rsidP="00A40F5B">
            <w:pPr>
              <w:tabs>
                <w:tab w:val="left" w:pos="-1440"/>
                <w:tab w:val="left" w:pos="-720"/>
              </w:tabs>
              <w:rPr>
                <w:sz w:val="20"/>
                <w:szCs w:val="20"/>
              </w:rPr>
            </w:pPr>
            <w:r w:rsidRPr="00A935AA">
              <w:rPr>
                <w:sz w:val="20"/>
                <w:szCs w:val="20"/>
              </w:rPr>
              <w:tab/>
            </w:r>
            <w:r>
              <w:rPr>
                <w:sz w:val="20"/>
                <w:szCs w:val="20"/>
              </w:rPr>
              <w:t xml:space="preserve">Lee V. </w:t>
            </w:r>
            <w:proofErr w:type="spellStart"/>
            <w:r>
              <w:rPr>
                <w:sz w:val="20"/>
                <w:szCs w:val="20"/>
              </w:rPr>
              <w:t>Seshagiri</w:t>
            </w:r>
            <w:proofErr w:type="spellEnd"/>
          </w:p>
          <w:p w:rsidR="00A40F5B" w:rsidRDefault="00A40F5B" w:rsidP="00A40F5B">
            <w:pPr>
              <w:tabs>
                <w:tab w:val="left" w:pos="-1440"/>
                <w:tab w:val="left" w:pos="-720"/>
              </w:tabs>
              <w:ind w:left="720"/>
              <w:rPr>
                <w:sz w:val="20"/>
                <w:szCs w:val="20"/>
              </w:rPr>
            </w:pPr>
            <w:r>
              <w:rPr>
                <w:sz w:val="20"/>
                <w:szCs w:val="20"/>
              </w:rPr>
              <w:t>Nova Scotia Legal Aid</w:t>
            </w:r>
          </w:p>
          <w:p w:rsidR="00A40F5B" w:rsidRPr="00A935AA" w:rsidRDefault="00A40F5B" w:rsidP="00A40F5B">
            <w:pPr>
              <w:tabs>
                <w:tab w:val="left" w:pos="-1440"/>
                <w:tab w:val="left" w:pos="-720"/>
              </w:tabs>
              <w:rPr>
                <w:sz w:val="20"/>
                <w:szCs w:val="20"/>
              </w:rPr>
            </w:pPr>
          </w:p>
          <w:p w:rsidR="00A40F5B" w:rsidRPr="00A935AA" w:rsidRDefault="00A40F5B" w:rsidP="00A40F5B">
            <w:pPr>
              <w:rPr>
                <w:sz w:val="20"/>
                <w:szCs w:val="20"/>
              </w:rPr>
            </w:pPr>
            <w:r w:rsidRPr="00A935AA">
              <w:rPr>
                <w:sz w:val="20"/>
                <w:szCs w:val="20"/>
              </w:rPr>
              <w:t xml:space="preserve">FILING DATE: </w:t>
            </w:r>
            <w:r>
              <w:rPr>
                <w:sz w:val="20"/>
                <w:szCs w:val="20"/>
              </w:rPr>
              <w:t>28</w:t>
            </w:r>
            <w:r w:rsidRPr="00A935AA">
              <w:rPr>
                <w:sz w:val="20"/>
                <w:szCs w:val="20"/>
              </w:rPr>
              <w:t>.</w:t>
            </w:r>
            <w:r>
              <w:rPr>
                <w:sz w:val="20"/>
                <w:szCs w:val="20"/>
              </w:rPr>
              <w:t>08</w:t>
            </w:r>
            <w:r w:rsidRPr="00A935AA">
              <w:rPr>
                <w:sz w:val="20"/>
                <w:szCs w:val="20"/>
              </w:rPr>
              <w:t>.</w:t>
            </w:r>
            <w:r>
              <w:rPr>
                <w:sz w:val="20"/>
                <w:szCs w:val="20"/>
              </w:rPr>
              <w:t>2018</w:t>
            </w:r>
          </w:p>
          <w:p w:rsidR="00A40F5B" w:rsidRDefault="00F13243" w:rsidP="00A40F5B">
            <w:pPr>
              <w:rPr>
                <w:sz w:val="20"/>
                <w:szCs w:val="20"/>
                <w:lang w:val="fr-CA"/>
              </w:rPr>
            </w:pPr>
            <w:r>
              <w:rPr>
                <w:sz w:val="20"/>
                <w:szCs w:val="20"/>
                <w:lang w:val="fr-CA"/>
              </w:rPr>
              <w:pict>
                <v:rect id="_x0000_i1027" style="width:108pt;height:1pt" o:hrpct="0" o:hralign="center" o:hrstd="t" o:hrnoshade="t" o:hr="t" fillcolor="black [3213]" stroked="f"/>
              </w:pict>
            </w:r>
          </w:p>
          <w:p w:rsidR="00A40F5B" w:rsidRPr="00A935AA" w:rsidRDefault="00A40F5B" w:rsidP="00A40F5B">
            <w:pPr>
              <w:rPr>
                <w:sz w:val="20"/>
                <w:szCs w:val="20"/>
              </w:rPr>
            </w:pPr>
          </w:p>
        </w:tc>
      </w:tr>
      <w:tr w:rsidR="00C21644" w:rsidRPr="00A935AA" w:rsidTr="003B3977">
        <w:tc>
          <w:tcPr>
            <w:tcW w:w="4320" w:type="dxa"/>
            <w:shd w:val="clear" w:color="auto" w:fill="auto"/>
          </w:tcPr>
          <w:p w:rsidR="00A40F5B" w:rsidRPr="00A935AA" w:rsidRDefault="00A40F5B" w:rsidP="00A40F5B">
            <w:pPr>
              <w:rPr>
                <w:b/>
                <w:sz w:val="20"/>
                <w:szCs w:val="20"/>
              </w:rPr>
            </w:pPr>
            <w:r>
              <w:rPr>
                <w:b/>
                <w:sz w:val="20"/>
                <w:szCs w:val="20"/>
              </w:rPr>
              <w:t xml:space="preserve">Robin James </w:t>
            </w:r>
            <w:proofErr w:type="spellStart"/>
            <w:r>
              <w:rPr>
                <w:b/>
                <w:sz w:val="20"/>
                <w:szCs w:val="20"/>
              </w:rPr>
              <w:t>Goertz</w:t>
            </w:r>
            <w:proofErr w:type="spellEnd"/>
          </w:p>
          <w:p w:rsidR="00A40F5B" w:rsidRPr="00A935AA" w:rsidRDefault="00A40F5B" w:rsidP="00A40F5B">
            <w:pPr>
              <w:tabs>
                <w:tab w:val="left" w:pos="-1440"/>
                <w:tab w:val="left" w:pos="-720"/>
              </w:tabs>
              <w:rPr>
                <w:sz w:val="20"/>
                <w:szCs w:val="20"/>
              </w:rPr>
            </w:pPr>
            <w:r w:rsidRPr="00A935AA">
              <w:rPr>
                <w:sz w:val="20"/>
                <w:szCs w:val="20"/>
              </w:rPr>
              <w:tab/>
            </w:r>
            <w:r>
              <w:rPr>
                <w:sz w:val="20"/>
                <w:szCs w:val="20"/>
              </w:rPr>
              <w:t>Evatt F. Anthony Merchant, Q.C.</w:t>
            </w:r>
          </w:p>
          <w:p w:rsidR="00A40F5B" w:rsidRPr="00A40F5B" w:rsidRDefault="00A40F5B" w:rsidP="00A40F5B">
            <w:pPr>
              <w:tabs>
                <w:tab w:val="left" w:pos="-1440"/>
                <w:tab w:val="left" w:pos="-720"/>
              </w:tabs>
              <w:ind w:left="720"/>
              <w:rPr>
                <w:sz w:val="20"/>
                <w:szCs w:val="20"/>
              </w:rPr>
            </w:pPr>
            <w:r>
              <w:rPr>
                <w:sz w:val="20"/>
                <w:szCs w:val="20"/>
              </w:rPr>
              <w:t>Merchant Law Group</w:t>
            </w:r>
          </w:p>
          <w:p w:rsidR="00A40F5B" w:rsidRPr="00A40F5B" w:rsidRDefault="00A40F5B" w:rsidP="00A40F5B">
            <w:pPr>
              <w:tabs>
                <w:tab w:val="left" w:pos="-1440"/>
                <w:tab w:val="left" w:pos="-720"/>
              </w:tabs>
              <w:rPr>
                <w:sz w:val="20"/>
                <w:szCs w:val="20"/>
              </w:rPr>
            </w:pPr>
          </w:p>
          <w:p w:rsidR="00A40F5B" w:rsidRPr="00A40F5B" w:rsidRDefault="00A40F5B" w:rsidP="00A40F5B">
            <w:pPr>
              <w:tabs>
                <w:tab w:val="left" w:pos="-1440"/>
                <w:tab w:val="left" w:pos="-720"/>
              </w:tabs>
              <w:rPr>
                <w:sz w:val="20"/>
                <w:szCs w:val="20"/>
              </w:rPr>
            </w:pPr>
            <w:r>
              <w:rPr>
                <w:sz w:val="20"/>
                <w:szCs w:val="20"/>
              </w:rPr>
              <w:tab/>
              <w:t>v. (38260</w:t>
            </w:r>
            <w:r w:rsidRPr="00A40F5B">
              <w:rPr>
                <w:sz w:val="20"/>
                <w:szCs w:val="20"/>
              </w:rPr>
              <w:t>)</w:t>
            </w:r>
          </w:p>
          <w:p w:rsidR="00A40F5B" w:rsidRPr="00A40F5B" w:rsidRDefault="00A40F5B" w:rsidP="00A40F5B">
            <w:pPr>
              <w:tabs>
                <w:tab w:val="left" w:pos="-1440"/>
                <w:tab w:val="left" w:pos="-720"/>
              </w:tabs>
              <w:rPr>
                <w:sz w:val="20"/>
                <w:szCs w:val="20"/>
              </w:rPr>
            </w:pPr>
          </w:p>
          <w:p w:rsidR="00A40F5B" w:rsidRPr="00A935AA" w:rsidRDefault="00A40F5B" w:rsidP="00A40F5B">
            <w:pPr>
              <w:tabs>
                <w:tab w:val="left" w:pos="-1440"/>
                <w:tab w:val="left" w:pos="-720"/>
              </w:tabs>
              <w:rPr>
                <w:b/>
                <w:sz w:val="20"/>
                <w:szCs w:val="20"/>
              </w:rPr>
            </w:pPr>
            <w:r>
              <w:rPr>
                <w:b/>
                <w:sz w:val="20"/>
                <w:szCs w:val="20"/>
              </w:rPr>
              <w:t>The Owners Condominium Plan No. 98SA12401</w:t>
            </w:r>
            <w:r w:rsidRPr="00A40F5B">
              <w:rPr>
                <w:sz w:val="20"/>
                <w:szCs w:val="20"/>
              </w:rPr>
              <w:t xml:space="preserve"> </w:t>
            </w:r>
            <w:r w:rsidRPr="00A935AA">
              <w:rPr>
                <w:b/>
                <w:sz w:val="20"/>
                <w:szCs w:val="20"/>
              </w:rPr>
              <w:t>(</w:t>
            </w:r>
            <w:r>
              <w:rPr>
                <w:b/>
                <w:sz w:val="20"/>
                <w:szCs w:val="20"/>
              </w:rPr>
              <w:t>Sask</w:t>
            </w:r>
            <w:r w:rsidRPr="00A935AA">
              <w:rPr>
                <w:b/>
                <w:sz w:val="20"/>
                <w:szCs w:val="20"/>
              </w:rPr>
              <w:t>.)</w:t>
            </w:r>
          </w:p>
          <w:p w:rsidR="00A40F5B" w:rsidRPr="00A935AA" w:rsidRDefault="00A40F5B" w:rsidP="00A40F5B">
            <w:pPr>
              <w:tabs>
                <w:tab w:val="left" w:pos="-1440"/>
                <w:tab w:val="left" w:pos="-720"/>
              </w:tabs>
              <w:rPr>
                <w:sz w:val="20"/>
                <w:szCs w:val="20"/>
              </w:rPr>
            </w:pPr>
            <w:r w:rsidRPr="00A935AA">
              <w:rPr>
                <w:sz w:val="20"/>
                <w:szCs w:val="20"/>
              </w:rPr>
              <w:tab/>
            </w:r>
            <w:r>
              <w:rPr>
                <w:sz w:val="20"/>
                <w:szCs w:val="20"/>
              </w:rPr>
              <w:t>Megan Lorenz</w:t>
            </w:r>
          </w:p>
          <w:p w:rsidR="00A40F5B" w:rsidRDefault="00A40F5B" w:rsidP="00A40F5B">
            <w:pPr>
              <w:tabs>
                <w:tab w:val="left" w:pos="-1440"/>
                <w:tab w:val="left" w:pos="-720"/>
              </w:tabs>
              <w:ind w:left="720"/>
              <w:rPr>
                <w:sz w:val="20"/>
                <w:szCs w:val="20"/>
              </w:rPr>
            </w:pPr>
            <w:r>
              <w:rPr>
                <w:sz w:val="20"/>
                <w:szCs w:val="20"/>
              </w:rPr>
              <w:t>McDougall Gauley LLP</w:t>
            </w:r>
          </w:p>
          <w:p w:rsidR="00A40F5B" w:rsidRPr="00A935AA" w:rsidRDefault="00A40F5B" w:rsidP="00A40F5B">
            <w:pPr>
              <w:tabs>
                <w:tab w:val="left" w:pos="-1440"/>
                <w:tab w:val="left" w:pos="-720"/>
              </w:tabs>
              <w:rPr>
                <w:sz w:val="20"/>
                <w:szCs w:val="20"/>
              </w:rPr>
            </w:pPr>
          </w:p>
          <w:p w:rsidR="00A40F5B" w:rsidRPr="00A935AA" w:rsidRDefault="00A40F5B" w:rsidP="00A40F5B">
            <w:pPr>
              <w:rPr>
                <w:sz w:val="20"/>
                <w:szCs w:val="20"/>
              </w:rPr>
            </w:pPr>
            <w:r w:rsidRPr="00A935AA">
              <w:rPr>
                <w:sz w:val="20"/>
                <w:szCs w:val="20"/>
              </w:rPr>
              <w:t xml:space="preserve">FILING DATE: </w:t>
            </w:r>
            <w:r>
              <w:rPr>
                <w:sz w:val="20"/>
                <w:szCs w:val="20"/>
              </w:rPr>
              <w:t>27</w:t>
            </w:r>
            <w:r w:rsidRPr="00A935AA">
              <w:rPr>
                <w:sz w:val="20"/>
                <w:szCs w:val="20"/>
              </w:rPr>
              <w:t>.</w:t>
            </w:r>
            <w:r>
              <w:rPr>
                <w:sz w:val="20"/>
                <w:szCs w:val="20"/>
              </w:rPr>
              <w:t>08</w:t>
            </w:r>
            <w:r w:rsidRPr="00A935AA">
              <w:rPr>
                <w:sz w:val="20"/>
                <w:szCs w:val="20"/>
              </w:rPr>
              <w:t>.</w:t>
            </w:r>
            <w:r>
              <w:rPr>
                <w:sz w:val="20"/>
                <w:szCs w:val="20"/>
              </w:rPr>
              <w:t>2018</w:t>
            </w:r>
          </w:p>
          <w:p w:rsidR="00A40F5B" w:rsidRPr="00A40F5B" w:rsidRDefault="00F13243" w:rsidP="00A40F5B">
            <w:pPr>
              <w:rPr>
                <w:sz w:val="20"/>
                <w:szCs w:val="20"/>
                <w:lang w:val="en-US"/>
              </w:rPr>
            </w:pPr>
            <w:r>
              <w:rPr>
                <w:sz w:val="20"/>
                <w:szCs w:val="20"/>
                <w:lang w:val="fr-CA"/>
              </w:rPr>
              <w:pict>
                <v:rect id="_x0000_i1028" style="width:108pt;height:1pt" o:hrpct="0" o:hralign="center" o:hrstd="t" o:hrnoshade="t" o:hr="t" fillcolor="black [3213]" stroked="f"/>
              </w:pict>
            </w:r>
          </w:p>
          <w:p w:rsidR="00C21644" w:rsidRPr="00A935AA" w:rsidRDefault="00C21644" w:rsidP="005F1ED8">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D2259D" w:rsidRPr="00A935AA" w:rsidRDefault="00D2259D" w:rsidP="00D2259D">
            <w:pPr>
              <w:rPr>
                <w:b/>
                <w:sz w:val="20"/>
                <w:szCs w:val="20"/>
              </w:rPr>
            </w:pPr>
            <w:proofErr w:type="spellStart"/>
            <w:r>
              <w:rPr>
                <w:b/>
                <w:sz w:val="20"/>
                <w:szCs w:val="20"/>
              </w:rPr>
              <w:t>Chandeep</w:t>
            </w:r>
            <w:proofErr w:type="spellEnd"/>
            <w:r>
              <w:rPr>
                <w:b/>
                <w:sz w:val="20"/>
                <w:szCs w:val="20"/>
              </w:rPr>
              <w:t xml:space="preserve"> Dhaliwal</w:t>
            </w:r>
          </w:p>
          <w:p w:rsidR="00D2259D" w:rsidRPr="00A935AA" w:rsidRDefault="00D2259D" w:rsidP="00D2259D">
            <w:pPr>
              <w:tabs>
                <w:tab w:val="left" w:pos="-1440"/>
                <w:tab w:val="left" w:pos="-720"/>
              </w:tabs>
              <w:rPr>
                <w:sz w:val="20"/>
                <w:szCs w:val="20"/>
              </w:rPr>
            </w:pPr>
            <w:r w:rsidRPr="00A935AA">
              <w:rPr>
                <w:sz w:val="20"/>
                <w:szCs w:val="20"/>
              </w:rPr>
              <w:tab/>
            </w:r>
            <w:r>
              <w:rPr>
                <w:sz w:val="20"/>
                <w:szCs w:val="20"/>
              </w:rPr>
              <w:t xml:space="preserve">Amanda </w:t>
            </w:r>
            <w:proofErr w:type="spellStart"/>
            <w:r>
              <w:rPr>
                <w:sz w:val="20"/>
                <w:szCs w:val="20"/>
              </w:rPr>
              <w:t>Sansregret</w:t>
            </w:r>
            <w:proofErr w:type="spellEnd"/>
          </w:p>
          <w:p w:rsidR="00D2259D" w:rsidRPr="00A40F5B" w:rsidRDefault="00D2259D" w:rsidP="00D2259D">
            <w:pPr>
              <w:tabs>
                <w:tab w:val="left" w:pos="-1440"/>
                <w:tab w:val="left" w:pos="-720"/>
              </w:tabs>
              <w:ind w:left="720"/>
              <w:rPr>
                <w:sz w:val="20"/>
                <w:szCs w:val="20"/>
              </w:rPr>
            </w:pPr>
            <w:r>
              <w:rPr>
                <w:sz w:val="20"/>
                <w:szCs w:val="20"/>
              </w:rPr>
              <w:t>Legal Aid Manitoba</w:t>
            </w:r>
          </w:p>
          <w:p w:rsidR="00D2259D" w:rsidRPr="00A40F5B" w:rsidRDefault="00D2259D" w:rsidP="00D2259D">
            <w:pPr>
              <w:tabs>
                <w:tab w:val="left" w:pos="-1440"/>
                <w:tab w:val="left" w:pos="-720"/>
              </w:tabs>
              <w:rPr>
                <w:sz w:val="20"/>
                <w:szCs w:val="20"/>
              </w:rPr>
            </w:pPr>
          </w:p>
          <w:p w:rsidR="00D2259D" w:rsidRPr="00A40F5B" w:rsidRDefault="00D2259D" w:rsidP="00D2259D">
            <w:pPr>
              <w:tabs>
                <w:tab w:val="left" w:pos="-1440"/>
                <w:tab w:val="left" w:pos="-720"/>
              </w:tabs>
              <w:rPr>
                <w:sz w:val="20"/>
                <w:szCs w:val="20"/>
              </w:rPr>
            </w:pPr>
            <w:r>
              <w:rPr>
                <w:sz w:val="20"/>
                <w:szCs w:val="20"/>
              </w:rPr>
              <w:tab/>
              <w:t>v. (38277</w:t>
            </w:r>
            <w:r w:rsidRPr="00A40F5B">
              <w:rPr>
                <w:sz w:val="20"/>
                <w:szCs w:val="20"/>
              </w:rPr>
              <w:t>)</w:t>
            </w:r>
          </w:p>
          <w:p w:rsidR="00D2259D" w:rsidRPr="00A40F5B" w:rsidRDefault="00D2259D" w:rsidP="00D2259D">
            <w:pPr>
              <w:tabs>
                <w:tab w:val="left" w:pos="-1440"/>
                <w:tab w:val="left" w:pos="-720"/>
              </w:tabs>
              <w:rPr>
                <w:sz w:val="20"/>
                <w:szCs w:val="20"/>
              </w:rPr>
            </w:pPr>
          </w:p>
          <w:p w:rsidR="00D2259D" w:rsidRPr="00A935AA" w:rsidRDefault="00D2259D" w:rsidP="00D2259D">
            <w:pPr>
              <w:tabs>
                <w:tab w:val="left" w:pos="-1440"/>
                <w:tab w:val="left" w:pos="-720"/>
              </w:tabs>
              <w:rPr>
                <w:b/>
                <w:sz w:val="20"/>
                <w:szCs w:val="20"/>
              </w:rPr>
            </w:pPr>
            <w:r>
              <w:rPr>
                <w:b/>
                <w:sz w:val="20"/>
                <w:szCs w:val="20"/>
              </w:rPr>
              <w:t>Her Majesty the Queen</w:t>
            </w:r>
            <w:r w:rsidRPr="00A40F5B">
              <w:rPr>
                <w:sz w:val="20"/>
                <w:szCs w:val="20"/>
              </w:rPr>
              <w:t xml:space="preserve"> </w:t>
            </w:r>
            <w:r w:rsidRPr="00A935AA">
              <w:rPr>
                <w:b/>
                <w:sz w:val="20"/>
                <w:szCs w:val="20"/>
              </w:rPr>
              <w:t>(</w:t>
            </w:r>
            <w:r>
              <w:rPr>
                <w:b/>
                <w:sz w:val="20"/>
                <w:szCs w:val="20"/>
              </w:rPr>
              <w:t>Man</w:t>
            </w:r>
            <w:r w:rsidRPr="00A935AA">
              <w:rPr>
                <w:b/>
                <w:sz w:val="20"/>
                <w:szCs w:val="20"/>
              </w:rPr>
              <w:t>.)</w:t>
            </w:r>
          </w:p>
          <w:p w:rsidR="00D2259D" w:rsidRPr="00A935AA" w:rsidRDefault="00D2259D" w:rsidP="00D2259D">
            <w:pPr>
              <w:tabs>
                <w:tab w:val="left" w:pos="-1440"/>
                <w:tab w:val="left" w:pos="-720"/>
              </w:tabs>
              <w:rPr>
                <w:sz w:val="20"/>
                <w:szCs w:val="20"/>
              </w:rPr>
            </w:pPr>
            <w:r w:rsidRPr="00A935AA">
              <w:rPr>
                <w:sz w:val="20"/>
                <w:szCs w:val="20"/>
              </w:rPr>
              <w:tab/>
            </w:r>
            <w:r>
              <w:rPr>
                <w:sz w:val="20"/>
                <w:szCs w:val="20"/>
              </w:rPr>
              <w:t>Janna A. Hyman</w:t>
            </w:r>
          </w:p>
          <w:p w:rsidR="00D2259D" w:rsidRDefault="00D2259D" w:rsidP="00D2259D">
            <w:pPr>
              <w:tabs>
                <w:tab w:val="left" w:pos="-1440"/>
                <w:tab w:val="left" w:pos="-720"/>
              </w:tabs>
              <w:ind w:left="720"/>
              <w:rPr>
                <w:sz w:val="20"/>
                <w:szCs w:val="20"/>
              </w:rPr>
            </w:pPr>
            <w:r>
              <w:rPr>
                <w:sz w:val="20"/>
                <w:szCs w:val="20"/>
              </w:rPr>
              <w:t>Public Prosecution Service of Canada</w:t>
            </w:r>
          </w:p>
          <w:p w:rsidR="00D2259D" w:rsidRPr="00A935AA" w:rsidRDefault="00D2259D" w:rsidP="00D2259D">
            <w:pPr>
              <w:tabs>
                <w:tab w:val="left" w:pos="-1440"/>
                <w:tab w:val="left" w:pos="-720"/>
              </w:tabs>
              <w:rPr>
                <w:sz w:val="20"/>
                <w:szCs w:val="20"/>
              </w:rPr>
            </w:pPr>
          </w:p>
          <w:p w:rsidR="00D2259D" w:rsidRPr="00A935AA" w:rsidRDefault="00D2259D" w:rsidP="00D2259D">
            <w:pPr>
              <w:rPr>
                <w:sz w:val="20"/>
                <w:szCs w:val="20"/>
              </w:rPr>
            </w:pPr>
            <w:r w:rsidRPr="00A935AA">
              <w:rPr>
                <w:sz w:val="20"/>
                <w:szCs w:val="20"/>
              </w:rPr>
              <w:t xml:space="preserve">FILING DATE: </w:t>
            </w:r>
            <w:r>
              <w:rPr>
                <w:sz w:val="20"/>
                <w:szCs w:val="20"/>
              </w:rPr>
              <w:t>05</w:t>
            </w:r>
            <w:r w:rsidRPr="00A935AA">
              <w:rPr>
                <w:sz w:val="20"/>
                <w:szCs w:val="20"/>
              </w:rPr>
              <w:t>.</w:t>
            </w:r>
            <w:r>
              <w:rPr>
                <w:sz w:val="20"/>
                <w:szCs w:val="20"/>
              </w:rPr>
              <w:t>09</w:t>
            </w:r>
            <w:r w:rsidRPr="00A935AA">
              <w:rPr>
                <w:sz w:val="20"/>
                <w:szCs w:val="20"/>
              </w:rPr>
              <w:t>.</w:t>
            </w:r>
            <w:r>
              <w:rPr>
                <w:sz w:val="20"/>
                <w:szCs w:val="20"/>
              </w:rPr>
              <w:t>2018</w:t>
            </w:r>
          </w:p>
          <w:p w:rsidR="00D2259D" w:rsidRDefault="00F13243" w:rsidP="00D2259D">
            <w:pPr>
              <w:rPr>
                <w:sz w:val="20"/>
                <w:szCs w:val="20"/>
                <w:lang w:val="fr-CA"/>
              </w:rPr>
            </w:pPr>
            <w:r>
              <w:rPr>
                <w:sz w:val="20"/>
                <w:szCs w:val="20"/>
                <w:lang w:val="fr-CA"/>
              </w:rPr>
              <w:pict>
                <v:rect id="_x0000_i1029" style="width:108pt;height:1pt" o:hrpct="0" o:hralign="center" o:hrstd="t" o:hrnoshade="t" o:hr="t" fillcolor="black [3213]" stroked="f"/>
              </w:pict>
            </w:r>
          </w:p>
          <w:p w:rsidR="00C21644" w:rsidRPr="00A935AA" w:rsidRDefault="00C21644" w:rsidP="005F1ED8">
            <w:pPr>
              <w:rPr>
                <w:sz w:val="20"/>
                <w:szCs w:val="20"/>
              </w:rPr>
            </w:pPr>
          </w:p>
        </w:tc>
      </w:tr>
      <w:tr w:rsidR="00E2643C" w:rsidRPr="00A935AA" w:rsidTr="003B3977">
        <w:tc>
          <w:tcPr>
            <w:tcW w:w="4320" w:type="dxa"/>
            <w:shd w:val="clear" w:color="auto" w:fill="auto"/>
          </w:tcPr>
          <w:p w:rsidR="00E2643C" w:rsidRPr="0029559A" w:rsidRDefault="00634998" w:rsidP="00E2643C">
            <w:pPr>
              <w:rPr>
                <w:b/>
                <w:sz w:val="20"/>
                <w:szCs w:val="20"/>
                <w:lang w:val="fr-CA"/>
              </w:rPr>
            </w:pPr>
            <w:r w:rsidRPr="0029559A">
              <w:rPr>
                <w:b/>
                <w:sz w:val="20"/>
                <w:szCs w:val="20"/>
                <w:lang w:val="fr-CA"/>
              </w:rPr>
              <w:t>9302-9239 Québec inc.</w:t>
            </w:r>
          </w:p>
          <w:p w:rsidR="00E2643C" w:rsidRPr="0029559A" w:rsidRDefault="00E2643C" w:rsidP="00E2643C">
            <w:pPr>
              <w:tabs>
                <w:tab w:val="left" w:pos="-1440"/>
                <w:tab w:val="left" w:pos="-720"/>
              </w:tabs>
              <w:rPr>
                <w:sz w:val="20"/>
                <w:szCs w:val="20"/>
                <w:lang w:val="fr-CA"/>
              </w:rPr>
            </w:pPr>
            <w:r w:rsidRPr="0029559A">
              <w:rPr>
                <w:sz w:val="20"/>
                <w:szCs w:val="20"/>
                <w:lang w:val="fr-CA"/>
              </w:rPr>
              <w:tab/>
            </w:r>
            <w:r w:rsidR="00634998" w:rsidRPr="0029559A">
              <w:rPr>
                <w:sz w:val="20"/>
                <w:szCs w:val="20"/>
                <w:lang w:val="fr-CA"/>
              </w:rPr>
              <w:t xml:space="preserve">Marc E. </w:t>
            </w:r>
            <w:proofErr w:type="spellStart"/>
            <w:r w:rsidR="00634998" w:rsidRPr="0029559A">
              <w:rPr>
                <w:sz w:val="20"/>
                <w:szCs w:val="20"/>
                <w:lang w:val="fr-CA"/>
              </w:rPr>
              <w:t>Barchichat</w:t>
            </w:r>
            <w:proofErr w:type="spellEnd"/>
          </w:p>
          <w:p w:rsidR="00E2643C" w:rsidRPr="0029559A" w:rsidRDefault="00634998" w:rsidP="00E2643C">
            <w:pPr>
              <w:tabs>
                <w:tab w:val="left" w:pos="-1440"/>
                <w:tab w:val="left" w:pos="-720"/>
              </w:tabs>
              <w:ind w:left="720"/>
              <w:rPr>
                <w:sz w:val="20"/>
                <w:szCs w:val="20"/>
                <w:lang w:val="fr-CA"/>
              </w:rPr>
            </w:pPr>
            <w:r w:rsidRPr="0029559A">
              <w:rPr>
                <w:sz w:val="20"/>
                <w:szCs w:val="20"/>
                <w:lang w:val="fr-CA"/>
              </w:rPr>
              <w:t>MEB Légal inc.</w:t>
            </w:r>
          </w:p>
          <w:p w:rsidR="00E2643C" w:rsidRPr="0029559A" w:rsidRDefault="00E2643C" w:rsidP="00E2643C">
            <w:pPr>
              <w:tabs>
                <w:tab w:val="left" w:pos="-1440"/>
                <w:tab w:val="left" w:pos="-720"/>
              </w:tabs>
              <w:rPr>
                <w:sz w:val="20"/>
                <w:szCs w:val="20"/>
                <w:lang w:val="fr-CA"/>
              </w:rPr>
            </w:pPr>
          </w:p>
          <w:p w:rsidR="00E2643C" w:rsidRPr="0029559A" w:rsidRDefault="00E2643C" w:rsidP="00E2643C">
            <w:pPr>
              <w:tabs>
                <w:tab w:val="left" w:pos="-1440"/>
                <w:tab w:val="left" w:pos="-720"/>
              </w:tabs>
              <w:rPr>
                <w:sz w:val="20"/>
                <w:szCs w:val="20"/>
                <w:lang w:val="fr-CA"/>
              </w:rPr>
            </w:pPr>
            <w:r w:rsidRPr="0029559A">
              <w:rPr>
                <w:sz w:val="20"/>
                <w:szCs w:val="20"/>
                <w:lang w:val="fr-CA"/>
              </w:rPr>
              <w:tab/>
            </w:r>
            <w:r w:rsidR="00634998" w:rsidRPr="0029559A">
              <w:rPr>
                <w:sz w:val="20"/>
                <w:szCs w:val="20"/>
                <w:lang w:val="fr-CA"/>
              </w:rPr>
              <w:t>c</w:t>
            </w:r>
            <w:r w:rsidRPr="0029559A">
              <w:rPr>
                <w:sz w:val="20"/>
                <w:szCs w:val="20"/>
                <w:lang w:val="fr-CA"/>
              </w:rPr>
              <w:t>. (</w:t>
            </w:r>
            <w:r w:rsidR="00634998" w:rsidRPr="0029559A">
              <w:rPr>
                <w:sz w:val="20"/>
                <w:szCs w:val="20"/>
                <w:lang w:val="fr-CA"/>
              </w:rPr>
              <w:t>38265</w:t>
            </w:r>
            <w:r w:rsidRPr="0029559A">
              <w:rPr>
                <w:sz w:val="20"/>
                <w:szCs w:val="20"/>
                <w:lang w:val="fr-CA"/>
              </w:rPr>
              <w:t>)</w:t>
            </w:r>
          </w:p>
          <w:p w:rsidR="00E2643C" w:rsidRPr="0029559A" w:rsidRDefault="00E2643C" w:rsidP="00E2643C">
            <w:pPr>
              <w:tabs>
                <w:tab w:val="left" w:pos="-1440"/>
                <w:tab w:val="left" w:pos="-720"/>
              </w:tabs>
              <w:rPr>
                <w:sz w:val="20"/>
                <w:szCs w:val="20"/>
                <w:lang w:val="fr-CA"/>
              </w:rPr>
            </w:pPr>
          </w:p>
          <w:p w:rsidR="00E2643C" w:rsidRPr="00634998" w:rsidRDefault="00634998" w:rsidP="00E2643C">
            <w:pPr>
              <w:tabs>
                <w:tab w:val="left" w:pos="-1440"/>
                <w:tab w:val="left" w:pos="-720"/>
              </w:tabs>
              <w:rPr>
                <w:b/>
                <w:sz w:val="20"/>
                <w:szCs w:val="20"/>
                <w:lang w:val="fr-CA"/>
              </w:rPr>
            </w:pPr>
            <w:r w:rsidRPr="00634998">
              <w:rPr>
                <w:b/>
                <w:sz w:val="20"/>
                <w:szCs w:val="20"/>
                <w:lang w:val="fr-CA"/>
              </w:rPr>
              <w:t xml:space="preserve">Média QMI inc. </w:t>
            </w:r>
            <w:r>
              <w:rPr>
                <w:b/>
                <w:sz w:val="20"/>
                <w:szCs w:val="20"/>
                <w:lang w:val="fr-CA"/>
              </w:rPr>
              <w:t>et autre</w:t>
            </w:r>
            <w:r w:rsidR="00E2643C" w:rsidRPr="00634998">
              <w:rPr>
                <w:sz w:val="20"/>
                <w:szCs w:val="20"/>
                <w:lang w:val="fr-CA"/>
              </w:rPr>
              <w:t xml:space="preserve"> </w:t>
            </w:r>
            <w:r w:rsidR="00E2643C" w:rsidRPr="00634998">
              <w:rPr>
                <w:b/>
                <w:sz w:val="20"/>
                <w:szCs w:val="20"/>
                <w:lang w:val="fr-CA"/>
              </w:rPr>
              <w:t>(</w:t>
            </w:r>
            <w:r>
              <w:rPr>
                <w:b/>
                <w:sz w:val="20"/>
                <w:szCs w:val="20"/>
                <w:lang w:val="fr-CA"/>
              </w:rPr>
              <w:t>Qc</w:t>
            </w:r>
            <w:r w:rsidR="00E2643C" w:rsidRPr="00634998">
              <w:rPr>
                <w:b/>
                <w:sz w:val="20"/>
                <w:szCs w:val="20"/>
                <w:lang w:val="fr-CA"/>
              </w:rPr>
              <w:t>)</w:t>
            </w:r>
          </w:p>
          <w:p w:rsidR="00E2643C" w:rsidRPr="00634998" w:rsidRDefault="00E2643C" w:rsidP="00E2643C">
            <w:pPr>
              <w:tabs>
                <w:tab w:val="left" w:pos="-1440"/>
                <w:tab w:val="left" w:pos="-720"/>
              </w:tabs>
              <w:rPr>
                <w:sz w:val="20"/>
                <w:szCs w:val="20"/>
                <w:lang w:val="fr-CA"/>
              </w:rPr>
            </w:pPr>
            <w:r w:rsidRPr="00634998">
              <w:rPr>
                <w:sz w:val="20"/>
                <w:szCs w:val="20"/>
                <w:lang w:val="fr-CA"/>
              </w:rPr>
              <w:tab/>
            </w:r>
            <w:r w:rsidR="00634998" w:rsidRPr="00634998">
              <w:rPr>
                <w:sz w:val="20"/>
                <w:szCs w:val="20"/>
                <w:lang w:val="fr-CA"/>
              </w:rPr>
              <w:t>Bernard Pageau</w:t>
            </w:r>
          </w:p>
          <w:p w:rsidR="00E2643C" w:rsidRPr="00634998" w:rsidRDefault="00634998" w:rsidP="00E2643C">
            <w:pPr>
              <w:tabs>
                <w:tab w:val="left" w:pos="-1440"/>
                <w:tab w:val="left" w:pos="-720"/>
              </w:tabs>
              <w:ind w:left="720"/>
              <w:rPr>
                <w:sz w:val="20"/>
                <w:szCs w:val="20"/>
                <w:lang w:val="fr-CA"/>
              </w:rPr>
            </w:pPr>
            <w:proofErr w:type="spellStart"/>
            <w:r w:rsidRPr="00634998">
              <w:rPr>
                <w:sz w:val="20"/>
                <w:szCs w:val="20"/>
                <w:lang w:val="fr-CA"/>
              </w:rPr>
              <w:t>Québécor</w:t>
            </w:r>
            <w:proofErr w:type="spellEnd"/>
            <w:r w:rsidRPr="00634998">
              <w:rPr>
                <w:sz w:val="20"/>
                <w:szCs w:val="20"/>
                <w:lang w:val="fr-CA"/>
              </w:rPr>
              <w:t xml:space="preserve"> Média </w:t>
            </w:r>
            <w:proofErr w:type="spellStart"/>
            <w:r w:rsidRPr="00634998">
              <w:rPr>
                <w:sz w:val="20"/>
                <w:szCs w:val="20"/>
                <w:lang w:val="fr-CA"/>
              </w:rPr>
              <w:t>inc.</w:t>
            </w:r>
            <w:proofErr w:type="spellEnd"/>
          </w:p>
          <w:p w:rsidR="00E2643C" w:rsidRPr="00634998" w:rsidRDefault="00E2643C" w:rsidP="00E2643C">
            <w:pPr>
              <w:tabs>
                <w:tab w:val="left" w:pos="-1440"/>
                <w:tab w:val="left" w:pos="-720"/>
              </w:tabs>
              <w:rPr>
                <w:sz w:val="20"/>
                <w:szCs w:val="20"/>
                <w:lang w:val="fr-CA"/>
              </w:rPr>
            </w:pPr>
          </w:p>
          <w:p w:rsidR="00E2643C" w:rsidRPr="00A935AA" w:rsidRDefault="00634998" w:rsidP="00E2643C">
            <w:pPr>
              <w:rPr>
                <w:sz w:val="20"/>
                <w:szCs w:val="20"/>
              </w:rPr>
            </w:pPr>
            <w:r>
              <w:rPr>
                <w:sz w:val="20"/>
                <w:szCs w:val="20"/>
              </w:rPr>
              <w:t>DATE DE PRODUCTION</w:t>
            </w:r>
            <w:r w:rsidR="00E2643C" w:rsidRPr="00A935AA">
              <w:rPr>
                <w:sz w:val="20"/>
                <w:szCs w:val="20"/>
              </w:rPr>
              <w:t xml:space="preserve">: </w:t>
            </w:r>
            <w:r w:rsidR="00E2643C">
              <w:rPr>
                <w:sz w:val="20"/>
                <w:szCs w:val="20"/>
              </w:rPr>
              <w:t>28</w:t>
            </w:r>
            <w:r w:rsidR="00E2643C" w:rsidRPr="00A935AA">
              <w:rPr>
                <w:sz w:val="20"/>
                <w:szCs w:val="20"/>
              </w:rPr>
              <w:t>.</w:t>
            </w:r>
            <w:r w:rsidR="00E2643C">
              <w:rPr>
                <w:sz w:val="20"/>
                <w:szCs w:val="20"/>
              </w:rPr>
              <w:t>08</w:t>
            </w:r>
            <w:r w:rsidR="00E2643C" w:rsidRPr="00A935AA">
              <w:rPr>
                <w:sz w:val="20"/>
                <w:szCs w:val="20"/>
              </w:rPr>
              <w:t>.</w:t>
            </w:r>
            <w:r w:rsidR="00E2643C">
              <w:rPr>
                <w:sz w:val="20"/>
                <w:szCs w:val="20"/>
              </w:rPr>
              <w:t>2018</w:t>
            </w:r>
          </w:p>
          <w:p w:rsidR="00E2643C" w:rsidRPr="00925E45" w:rsidRDefault="00F13243" w:rsidP="00A40F5B">
            <w:pPr>
              <w:rPr>
                <w:sz w:val="20"/>
                <w:szCs w:val="20"/>
                <w:lang w:val="en-US"/>
              </w:rPr>
            </w:pPr>
            <w:r>
              <w:rPr>
                <w:sz w:val="20"/>
                <w:szCs w:val="20"/>
                <w:lang w:val="fr-CA"/>
              </w:rPr>
              <w:pict>
                <v:rect id="_x0000_i1030" style="width:108pt;height:1pt" o:hrpct="0" o:hralign="center" o:hrstd="t" o:hrnoshade="t" o:hr="t" fillcolor="black [3213]" stroked="f"/>
              </w:pict>
            </w:r>
          </w:p>
        </w:tc>
        <w:tc>
          <w:tcPr>
            <w:tcW w:w="1181" w:type="dxa"/>
            <w:shd w:val="clear" w:color="auto" w:fill="auto"/>
          </w:tcPr>
          <w:p w:rsidR="00E2643C" w:rsidRPr="00A935AA" w:rsidRDefault="00E2643C" w:rsidP="00242AEE">
            <w:pPr>
              <w:jc w:val="center"/>
              <w:rPr>
                <w:sz w:val="20"/>
                <w:szCs w:val="20"/>
              </w:rPr>
            </w:pPr>
          </w:p>
        </w:tc>
        <w:tc>
          <w:tcPr>
            <w:tcW w:w="4320" w:type="dxa"/>
            <w:shd w:val="clear" w:color="auto" w:fill="auto"/>
          </w:tcPr>
          <w:p w:rsidR="00814C85" w:rsidRPr="00A935AA" w:rsidRDefault="00814C85" w:rsidP="00814C85">
            <w:pPr>
              <w:rPr>
                <w:b/>
                <w:sz w:val="20"/>
                <w:szCs w:val="20"/>
              </w:rPr>
            </w:pPr>
            <w:r>
              <w:rPr>
                <w:b/>
                <w:sz w:val="20"/>
                <w:szCs w:val="20"/>
              </w:rPr>
              <w:t>David Matthews</w:t>
            </w:r>
          </w:p>
          <w:p w:rsidR="00814C85" w:rsidRPr="00A935AA" w:rsidRDefault="00814C85" w:rsidP="00814C85">
            <w:pPr>
              <w:tabs>
                <w:tab w:val="left" w:pos="-1440"/>
                <w:tab w:val="left" w:pos="-720"/>
              </w:tabs>
              <w:rPr>
                <w:sz w:val="20"/>
                <w:szCs w:val="20"/>
              </w:rPr>
            </w:pPr>
            <w:r w:rsidRPr="00A935AA">
              <w:rPr>
                <w:sz w:val="20"/>
                <w:szCs w:val="20"/>
              </w:rPr>
              <w:tab/>
            </w:r>
            <w:r>
              <w:rPr>
                <w:sz w:val="20"/>
                <w:szCs w:val="20"/>
              </w:rPr>
              <w:t>Howard Levitt</w:t>
            </w:r>
          </w:p>
          <w:p w:rsidR="00814C85" w:rsidRPr="00A40F5B" w:rsidRDefault="00814C85" w:rsidP="00814C85">
            <w:pPr>
              <w:tabs>
                <w:tab w:val="left" w:pos="-1440"/>
                <w:tab w:val="left" w:pos="-720"/>
              </w:tabs>
              <w:ind w:left="720"/>
              <w:rPr>
                <w:sz w:val="20"/>
                <w:szCs w:val="20"/>
              </w:rPr>
            </w:pPr>
            <w:r>
              <w:rPr>
                <w:sz w:val="20"/>
                <w:szCs w:val="20"/>
              </w:rPr>
              <w:t>Levitt LLP</w:t>
            </w:r>
          </w:p>
          <w:p w:rsidR="00814C85" w:rsidRPr="00A40F5B" w:rsidRDefault="00814C85" w:rsidP="00814C85">
            <w:pPr>
              <w:tabs>
                <w:tab w:val="left" w:pos="-1440"/>
                <w:tab w:val="left" w:pos="-720"/>
              </w:tabs>
              <w:rPr>
                <w:sz w:val="20"/>
                <w:szCs w:val="20"/>
              </w:rPr>
            </w:pPr>
          </w:p>
          <w:p w:rsidR="00814C85" w:rsidRPr="0029559A" w:rsidRDefault="00814C85" w:rsidP="00814C85">
            <w:pPr>
              <w:tabs>
                <w:tab w:val="left" w:pos="-1440"/>
                <w:tab w:val="left" w:pos="-720"/>
              </w:tabs>
              <w:rPr>
                <w:sz w:val="20"/>
                <w:szCs w:val="20"/>
                <w:lang w:val="fr-CA"/>
              </w:rPr>
            </w:pPr>
            <w:r>
              <w:rPr>
                <w:sz w:val="20"/>
                <w:szCs w:val="20"/>
              </w:rPr>
              <w:tab/>
            </w:r>
            <w:r w:rsidRPr="0029559A">
              <w:rPr>
                <w:sz w:val="20"/>
                <w:szCs w:val="20"/>
                <w:lang w:val="fr-CA"/>
              </w:rPr>
              <w:t>v. (38252)</w:t>
            </w:r>
          </w:p>
          <w:p w:rsidR="00814C85" w:rsidRPr="0029559A" w:rsidRDefault="00814C85" w:rsidP="00814C85">
            <w:pPr>
              <w:tabs>
                <w:tab w:val="left" w:pos="-1440"/>
                <w:tab w:val="left" w:pos="-720"/>
              </w:tabs>
              <w:rPr>
                <w:sz w:val="20"/>
                <w:szCs w:val="20"/>
                <w:lang w:val="fr-CA"/>
              </w:rPr>
            </w:pPr>
          </w:p>
          <w:p w:rsidR="00814C85" w:rsidRPr="0029559A" w:rsidRDefault="00814C85" w:rsidP="00814C85">
            <w:pPr>
              <w:tabs>
                <w:tab w:val="left" w:pos="-1440"/>
                <w:tab w:val="left" w:pos="-720"/>
              </w:tabs>
              <w:rPr>
                <w:b/>
                <w:sz w:val="20"/>
                <w:szCs w:val="20"/>
                <w:lang w:val="fr-CA"/>
              </w:rPr>
            </w:pPr>
            <w:proofErr w:type="spellStart"/>
            <w:r w:rsidRPr="0029559A">
              <w:rPr>
                <w:b/>
                <w:sz w:val="20"/>
                <w:szCs w:val="20"/>
                <w:lang w:val="fr-CA"/>
              </w:rPr>
              <w:t>Ocean</w:t>
            </w:r>
            <w:proofErr w:type="spellEnd"/>
            <w:r w:rsidRPr="0029559A">
              <w:rPr>
                <w:b/>
                <w:sz w:val="20"/>
                <w:szCs w:val="20"/>
                <w:lang w:val="fr-CA"/>
              </w:rPr>
              <w:t xml:space="preserve"> Nutrition Canada Limited</w:t>
            </w:r>
            <w:r w:rsidRPr="0029559A">
              <w:rPr>
                <w:sz w:val="20"/>
                <w:szCs w:val="20"/>
                <w:lang w:val="fr-CA"/>
              </w:rPr>
              <w:t xml:space="preserve"> </w:t>
            </w:r>
            <w:r w:rsidRPr="0029559A">
              <w:rPr>
                <w:b/>
                <w:sz w:val="20"/>
                <w:szCs w:val="20"/>
                <w:lang w:val="fr-CA"/>
              </w:rPr>
              <w:t>(N.S.)</w:t>
            </w:r>
          </w:p>
          <w:p w:rsidR="00814C85" w:rsidRPr="00814C85" w:rsidRDefault="00814C85" w:rsidP="00814C85">
            <w:pPr>
              <w:tabs>
                <w:tab w:val="left" w:pos="-1440"/>
                <w:tab w:val="left" w:pos="-720"/>
              </w:tabs>
              <w:rPr>
                <w:sz w:val="20"/>
                <w:szCs w:val="20"/>
                <w:lang w:val="fr-CA"/>
              </w:rPr>
            </w:pPr>
            <w:r w:rsidRPr="0029559A">
              <w:rPr>
                <w:sz w:val="20"/>
                <w:szCs w:val="20"/>
                <w:lang w:val="fr-CA"/>
              </w:rPr>
              <w:tab/>
            </w:r>
            <w:r w:rsidRPr="00814C85">
              <w:rPr>
                <w:sz w:val="20"/>
                <w:szCs w:val="20"/>
                <w:lang w:val="fr-CA"/>
              </w:rPr>
              <w:t xml:space="preserve">Nancy F. </w:t>
            </w:r>
            <w:proofErr w:type="spellStart"/>
            <w:r w:rsidRPr="00814C85">
              <w:rPr>
                <w:sz w:val="20"/>
                <w:szCs w:val="20"/>
                <w:lang w:val="fr-CA"/>
              </w:rPr>
              <w:t>Barteaux</w:t>
            </w:r>
            <w:proofErr w:type="spellEnd"/>
            <w:r w:rsidRPr="00814C85">
              <w:rPr>
                <w:sz w:val="20"/>
                <w:szCs w:val="20"/>
                <w:lang w:val="fr-CA"/>
              </w:rPr>
              <w:t>, Q.C.</w:t>
            </w:r>
          </w:p>
          <w:p w:rsidR="00814C85" w:rsidRPr="0029559A" w:rsidRDefault="00814C85" w:rsidP="00814C85">
            <w:pPr>
              <w:tabs>
                <w:tab w:val="left" w:pos="-1440"/>
                <w:tab w:val="left" w:pos="-720"/>
              </w:tabs>
              <w:ind w:left="720"/>
              <w:rPr>
                <w:sz w:val="20"/>
                <w:szCs w:val="20"/>
                <w:lang w:val="fr-CA"/>
              </w:rPr>
            </w:pPr>
            <w:proofErr w:type="spellStart"/>
            <w:r w:rsidRPr="0029559A">
              <w:rPr>
                <w:sz w:val="20"/>
                <w:szCs w:val="20"/>
                <w:lang w:val="fr-CA"/>
              </w:rPr>
              <w:t>Barteaux</w:t>
            </w:r>
            <w:proofErr w:type="spellEnd"/>
            <w:r w:rsidRPr="0029559A">
              <w:rPr>
                <w:sz w:val="20"/>
                <w:szCs w:val="20"/>
                <w:lang w:val="fr-CA"/>
              </w:rPr>
              <w:t xml:space="preserve"> </w:t>
            </w:r>
            <w:proofErr w:type="spellStart"/>
            <w:r w:rsidRPr="0029559A">
              <w:rPr>
                <w:sz w:val="20"/>
                <w:szCs w:val="20"/>
                <w:lang w:val="fr-CA"/>
              </w:rPr>
              <w:t>Durnford</w:t>
            </w:r>
            <w:proofErr w:type="spellEnd"/>
          </w:p>
          <w:p w:rsidR="00814C85" w:rsidRPr="0029559A" w:rsidRDefault="00814C85" w:rsidP="00814C85">
            <w:pPr>
              <w:tabs>
                <w:tab w:val="left" w:pos="-1440"/>
                <w:tab w:val="left" w:pos="-720"/>
              </w:tabs>
              <w:rPr>
                <w:sz w:val="20"/>
                <w:szCs w:val="20"/>
                <w:lang w:val="fr-CA"/>
              </w:rPr>
            </w:pPr>
          </w:p>
          <w:p w:rsidR="00814C85" w:rsidRPr="00A935AA" w:rsidRDefault="00814C85" w:rsidP="00814C85">
            <w:pPr>
              <w:rPr>
                <w:sz w:val="20"/>
                <w:szCs w:val="20"/>
              </w:rPr>
            </w:pPr>
            <w:r w:rsidRPr="00A935AA">
              <w:rPr>
                <w:sz w:val="20"/>
                <w:szCs w:val="20"/>
              </w:rPr>
              <w:t xml:space="preserve">FILING DATE: </w:t>
            </w:r>
            <w:r>
              <w:rPr>
                <w:sz w:val="20"/>
                <w:szCs w:val="20"/>
              </w:rPr>
              <w:t>22</w:t>
            </w:r>
            <w:r w:rsidRPr="00A935AA">
              <w:rPr>
                <w:sz w:val="20"/>
                <w:szCs w:val="20"/>
              </w:rPr>
              <w:t>.</w:t>
            </w:r>
            <w:r>
              <w:rPr>
                <w:sz w:val="20"/>
                <w:szCs w:val="20"/>
              </w:rPr>
              <w:t>08</w:t>
            </w:r>
            <w:r w:rsidRPr="00A935AA">
              <w:rPr>
                <w:sz w:val="20"/>
                <w:szCs w:val="20"/>
              </w:rPr>
              <w:t>.</w:t>
            </w:r>
            <w:r>
              <w:rPr>
                <w:sz w:val="20"/>
                <w:szCs w:val="20"/>
              </w:rPr>
              <w:t>2018</w:t>
            </w:r>
          </w:p>
          <w:p w:rsidR="00E2643C" w:rsidRPr="00925E45" w:rsidRDefault="00F13243" w:rsidP="00D2259D">
            <w:pPr>
              <w:rPr>
                <w:sz w:val="20"/>
                <w:szCs w:val="20"/>
                <w:lang w:val="fr-CA"/>
              </w:rPr>
            </w:pPr>
            <w:r>
              <w:rPr>
                <w:sz w:val="20"/>
                <w:szCs w:val="20"/>
                <w:lang w:val="fr-CA"/>
              </w:rPr>
              <w:pict>
                <v:rect id="_x0000_i1031" style="width:108pt;height:1pt" o:hrpct="0" o:hralign="center" o:hrstd="t" o:hrnoshade="t" o:hr="t" fillcolor="black [3213]" stroked="f"/>
              </w:pict>
            </w:r>
          </w:p>
        </w:tc>
      </w:tr>
      <w:tr w:rsidR="00925E45" w:rsidRPr="00A935AA" w:rsidTr="003B3977">
        <w:tc>
          <w:tcPr>
            <w:tcW w:w="4320" w:type="dxa"/>
            <w:shd w:val="clear" w:color="auto" w:fill="auto"/>
          </w:tcPr>
          <w:p w:rsidR="00925E45" w:rsidRPr="00925E45" w:rsidRDefault="00925E45" w:rsidP="00925E45">
            <w:pPr>
              <w:rPr>
                <w:b/>
                <w:sz w:val="20"/>
                <w:szCs w:val="20"/>
                <w:lang w:val="fr-CA"/>
              </w:rPr>
            </w:pPr>
            <w:r w:rsidRPr="00925E45">
              <w:rPr>
                <w:b/>
                <w:sz w:val="20"/>
                <w:szCs w:val="20"/>
                <w:lang w:val="fr-CA"/>
              </w:rPr>
              <w:lastRenderedPageBreak/>
              <w:t>9207-3287 Québec inc., faisant affaires sous le nom de Pizzeria Socrate</w:t>
            </w:r>
            <w:r w:rsidR="002A48F4">
              <w:rPr>
                <w:b/>
                <w:sz w:val="20"/>
                <w:szCs w:val="20"/>
                <w:lang w:val="fr-CA"/>
              </w:rPr>
              <w:t xml:space="preserve"> et autre</w:t>
            </w:r>
          </w:p>
          <w:p w:rsidR="00925E45" w:rsidRPr="00925E45" w:rsidRDefault="00925E45" w:rsidP="00925E45">
            <w:pPr>
              <w:tabs>
                <w:tab w:val="left" w:pos="-1440"/>
                <w:tab w:val="left" w:pos="-720"/>
              </w:tabs>
              <w:rPr>
                <w:sz w:val="20"/>
                <w:szCs w:val="20"/>
                <w:lang w:val="fr-CA"/>
              </w:rPr>
            </w:pPr>
            <w:r w:rsidRPr="00925E45">
              <w:rPr>
                <w:sz w:val="20"/>
                <w:szCs w:val="20"/>
                <w:lang w:val="fr-CA"/>
              </w:rPr>
              <w:tab/>
              <w:t>François Daigle</w:t>
            </w:r>
          </w:p>
          <w:p w:rsidR="00925E45" w:rsidRPr="00925E45" w:rsidRDefault="00925E45" w:rsidP="00925E45">
            <w:pPr>
              <w:tabs>
                <w:tab w:val="left" w:pos="-1440"/>
                <w:tab w:val="left" w:pos="-720"/>
              </w:tabs>
              <w:ind w:left="720"/>
              <w:rPr>
                <w:sz w:val="20"/>
                <w:szCs w:val="20"/>
                <w:lang w:val="fr-CA"/>
              </w:rPr>
            </w:pPr>
            <w:r w:rsidRPr="00925E45">
              <w:rPr>
                <w:sz w:val="20"/>
                <w:szCs w:val="20"/>
                <w:lang w:val="fr-CA"/>
              </w:rPr>
              <w:t>Daigle, avocats fiscalistes inc.</w:t>
            </w:r>
          </w:p>
          <w:p w:rsidR="00925E45" w:rsidRPr="00925E45" w:rsidRDefault="00925E45" w:rsidP="00925E45">
            <w:pPr>
              <w:tabs>
                <w:tab w:val="left" w:pos="-1440"/>
                <w:tab w:val="left" w:pos="-720"/>
              </w:tabs>
              <w:rPr>
                <w:sz w:val="20"/>
                <w:szCs w:val="20"/>
                <w:lang w:val="fr-CA"/>
              </w:rPr>
            </w:pPr>
          </w:p>
          <w:p w:rsidR="00925E45" w:rsidRPr="00925E45" w:rsidRDefault="00925E45" w:rsidP="00925E45">
            <w:pPr>
              <w:tabs>
                <w:tab w:val="left" w:pos="-1440"/>
                <w:tab w:val="left" w:pos="-720"/>
              </w:tabs>
              <w:rPr>
                <w:sz w:val="20"/>
                <w:szCs w:val="20"/>
                <w:lang w:val="fr-CA"/>
              </w:rPr>
            </w:pPr>
            <w:r w:rsidRPr="00925E45">
              <w:rPr>
                <w:sz w:val="20"/>
                <w:szCs w:val="20"/>
                <w:lang w:val="fr-CA"/>
              </w:rPr>
              <w:tab/>
            </w:r>
            <w:r>
              <w:rPr>
                <w:sz w:val="20"/>
                <w:szCs w:val="20"/>
                <w:lang w:val="fr-CA"/>
              </w:rPr>
              <w:t>c</w:t>
            </w:r>
            <w:r w:rsidRPr="00925E45">
              <w:rPr>
                <w:sz w:val="20"/>
                <w:szCs w:val="20"/>
                <w:lang w:val="fr-CA"/>
              </w:rPr>
              <w:t>. (38280)</w:t>
            </w:r>
          </w:p>
          <w:p w:rsidR="00925E45" w:rsidRPr="00925E45" w:rsidRDefault="00925E45" w:rsidP="00925E45">
            <w:pPr>
              <w:tabs>
                <w:tab w:val="left" w:pos="-1440"/>
                <w:tab w:val="left" w:pos="-720"/>
              </w:tabs>
              <w:rPr>
                <w:sz w:val="20"/>
                <w:szCs w:val="20"/>
                <w:lang w:val="fr-CA"/>
              </w:rPr>
            </w:pPr>
          </w:p>
          <w:p w:rsidR="00925E45" w:rsidRPr="00925E45" w:rsidRDefault="00925E45" w:rsidP="00925E45">
            <w:pPr>
              <w:tabs>
                <w:tab w:val="left" w:pos="-1440"/>
                <w:tab w:val="left" w:pos="-720"/>
              </w:tabs>
              <w:rPr>
                <w:b/>
                <w:sz w:val="20"/>
                <w:szCs w:val="20"/>
                <w:lang w:val="fr-CA"/>
              </w:rPr>
            </w:pPr>
            <w:r w:rsidRPr="00925E45">
              <w:rPr>
                <w:b/>
                <w:sz w:val="20"/>
                <w:szCs w:val="20"/>
                <w:lang w:val="fr-CA"/>
              </w:rPr>
              <w:t>Agence du revenu du Québec</w:t>
            </w:r>
            <w:r w:rsidRPr="00925E45">
              <w:rPr>
                <w:sz w:val="20"/>
                <w:szCs w:val="20"/>
                <w:lang w:val="fr-CA"/>
              </w:rPr>
              <w:t xml:space="preserve"> </w:t>
            </w:r>
            <w:r w:rsidRPr="00925E45">
              <w:rPr>
                <w:b/>
                <w:sz w:val="20"/>
                <w:szCs w:val="20"/>
                <w:lang w:val="fr-CA"/>
              </w:rPr>
              <w:t>(Qc)</w:t>
            </w:r>
          </w:p>
          <w:p w:rsidR="00925E45" w:rsidRPr="00925E45" w:rsidRDefault="00925E45" w:rsidP="00925E45">
            <w:pPr>
              <w:tabs>
                <w:tab w:val="left" w:pos="-1440"/>
                <w:tab w:val="left" w:pos="-720"/>
              </w:tabs>
              <w:rPr>
                <w:sz w:val="20"/>
                <w:szCs w:val="20"/>
                <w:lang w:val="fr-CA"/>
              </w:rPr>
            </w:pPr>
            <w:r w:rsidRPr="00925E45">
              <w:rPr>
                <w:sz w:val="20"/>
                <w:szCs w:val="20"/>
                <w:lang w:val="fr-CA"/>
              </w:rPr>
              <w:tab/>
              <w:t>Sylvain Lacombe</w:t>
            </w:r>
          </w:p>
          <w:p w:rsidR="00925E45" w:rsidRPr="00925E45" w:rsidRDefault="00925E45" w:rsidP="00925E45">
            <w:pPr>
              <w:tabs>
                <w:tab w:val="left" w:pos="-1440"/>
                <w:tab w:val="left" w:pos="-720"/>
              </w:tabs>
              <w:ind w:left="720"/>
              <w:rPr>
                <w:sz w:val="20"/>
                <w:szCs w:val="20"/>
                <w:lang w:val="fr-CA"/>
              </w:rPr>
            </w:pPr>
            <w:r w:rsidRPr="00925E45">
              <w:rPr>
                <w:sz w:val="20"/>
                <w:szCs w:val="20"/>
                <w:lang w:val="fr-CA"/>
              </w:rPr>
              <w:t>Larivière Meunier</w:t>
            </w:r>
          </w:p>
          <w:p w:rsidR="00925E45" w:rsidRPr="00925E45" w:rsidRDefault="00925E45" w:rsidP="00925E45">
            <w:pPr>
              <w:tabs>
                <w:tab w:val="left" w:pos="-1440"/>
                <w:tab w:val="left" w:pos="-720"/>
              </w:tabs>
              <w:rPr>
                <w:sz w:val="20"/>
                <w:szCs w:val="20"/>
                <w:lang w:val="fr-CA"/>
              </w:rPr>
            </w:pPr>
          </w:p>
          <w:p w:rsidR="00925E45" w:rsidRPr="00925E45" w:rsidRDefault="00925E45" w:rsidP="00925E45">
            <w:pPr>
              <w:rPr>
                <w:sz w:val="20"/>
                <w:szCs w:val="20"/>
                <w:lang w:val="fr-CA"/>
              </w:rPr>
            </w:pPr>
            <w:r w:rsidRPr="00925E45">
              <w:rPr>
                <w:sz w:val="20"/>
                <w:szCs w:val="20"/>
                <w:lang w:val="fr-CA"/>
              </w:rPr>
              <w:t>DATE DE PRODUCTION: 31.08.2018</w:t>
            </w:r>
          </w:p>
          <w:p w:rsidR="00925E45" w:rsidRDefault="00F13243" w:rsidP="00925E45">
            <w:pPr>
              <w:rPr>
                <w:sz w:val="20"/>
                <w:szCs w:val="20"/>
                <w:lang w:val="fr-CA"/>
              </w:rPr>
            </w:pPr>
            <w:r>
              <w:rPr>
                <w:sz w:val="20"/>
                <w:szCs w:val="20"/>
                <w:lang w:val="fr-CA"/>
              </w:rPr>
              <w:pict>
                <v:rect id="_x0000_i1032" style="width:108pt;height:1pt" o:hrpct="0" o:hralign="center" o:hrstd="t" o:hrnoshade="t" o:hr="t" fillcolor="black [3213]" stroked="f"/>
              </w:pict>
            </w:r>
          </w:p>
          <w:p w:rsidR="00925E45" w:rsidRDefault="00925E45" w:rsidP="00E2643C">
            <w:pPr>
              <w:rPr>
                <w:b/>
                <w:sz w:val="20"/>
                <w:szCs w:val="20"/>
              </w:rPr>
            </w:pPr>
          </w:p>
        </w:tc>
        <w:tc>
          <w:tcPr>
            <w:tcW w:w="1181" w:type="dxa"/>
            <w:shd w:val="clear" w:color="auto" w:fill="auto"/>
          </w:tcPr>
          <w:p w:rsidR="00925E45" w:rsidRPr="00A935AA" w:rsidRDefault="00925E45" w:rsidP="00242AEE">
            <w:pPr>
              <w:jc w:val="center"/>
              <w:rPr>
                <w:sz w:val="20"/>
                <w:szCs w:val="20"/>
              </w:rPr>
            </w:pPr>
          </w:p>
        </w:tc>
        <w:tc>
          <w:tcPr>
            <w:tcW w:w="4320" w:type="dxa"/>
            <w:shd w:val="clear" w:color="auto" w:fill="auto"/>
          </w:tcPr>
          <w:p w:rsidR="00925E45" w:rsidRPr="00A935AA" w:rsidRDefault="00925E45" w:rsidP="00925E45">
            <w:pPr>
              <w:rPr>
                <w:b/>
                <w:sz w:val="20"/>
                <w:szCs w:val="20"/>
              </w:rPr>
            </w:pPr>
            <w:r>
              <w:rPr>
                <w:b/>
                <w:sz w:val="20"/>
                <w:szCs w:val="20"/>
              </w:rPr>
              <w:t>Nippon Steel &amp; Sumitomo Metal Corporation et al.</w:t>
            </w:r>
          </w:p>
          <w:p w:rsidR="00925E45" w:rsidRPr="00A935AA" w:rsidRDefault="00925E45" w:rsidP="00925E45">
            <w:pPr>
              <w:tabs>
                <w:tab w:val="left" w:pos="-1440"/>
                <w:tab w:val="left" w:pos="-720"/>
              </w:tabs>
              <w:rPr>
                <w:sz w:val="20"/>
                <w:szCs w:val="20"/>
              </w:rPr>
            </w:pPr>
            <w:r w:rsidRPr="00A935AA">
              <w:rPr>
                <w:sz w:val="20"/>
                <w:szCs w:val="20"/>
              </w:rPr>
              <w:tab/>
            </w:r>
            <w:r>
              <w:rPr>
                <w:sz w:val="20"/>
                <w:szCs w:val="20"/>
              </w:rPr>
              <w:t>Richard B. Swan</w:t>
            </w:r>
          </w:p>
          <w:p w:rsidR="00925E45" w:rsidRPr="00A40F5B" w:rsidRDefault="00925E45" w:rsidP="00925E45">
            <w:pPr>
              <w:tabs>
                <w:tab w:val="left" w:pos="-1440"/>
                <w:tab w:val="left" w:pos="-720"/>
              </w:tabs>
              <w:ind w:left="720"/>
              <w:rPr>
                <w:sz w:val="20"/>
                <w:szCs w:val="20"/>
              </w:rPr>
            </w:pPr>
            <w:r>
              <w:rPr>
                <w:sz w:val="20"/>
                <w:szCs w:val="20"/>
              </w:rPr>
              <w:t>Bennett Jones LLP</w:t>
            </w:r>
          </w:p>
          <w:p w:rsidR="00925E45" w:rsidRPr="00A40F5B" w:rsidRDefault="00925E45" w:rsidP="00925E45">
            <w:pPr>
              <w:tabs>
                <w:tab w:val="left" w:pos="-1440"/>
                <w:tab w:val="left" w:pos="-720"/>
              </w:tabs>
              <w:rPr>
                <w:sz w:val="20"/>
                <w:szCs w:val="20"/>
              </w:rPr>
            </w:pPr>
          </w:p>
          <w:p w:rsidR="00925E45" w:rsidRPr="00A40F5B" w:rsidRDefault="00925E45" w:rsidP="00925E45">
            <w:pPr>
              <w:tabs>
                <w:tab w:val="left" w:pos="-1440"/>
                <w:tab w:val="left" w:pos="-720"/>
              </w:tabs>
              <w:rPr>
                <w:sz w:val="20"/>
                <w:szCs w:val="20"/>
              </w:rPr>
            </w:pPr>
            <w:r>
              <w:rPr>
                <w:sz w:val="20"/>
                <w:szCs w:val="20"/>
              </w:rPr>
              <w:tab/>
              <w:t>v. (38276</w:t>
            </w:r>
            <w:r w:rsidRPr="00A40F5B">
              <w:rPr>
                <w:sz w:val="20"/>
                <w:szCs w:val="20"/>
              </w:rPr>
              <w:t>)</w:t>
            </w:r>
          </w:p>
          <w:p w:rsidR="00925E45" w:rsidRDefault="00925E45" w:rsidP="00925E45">
            <w:pPr>
              <w:tabs>
                <w:tab w:val="left" w:pos="-1440"/>
                <w:tab w:val="left" w:pos="-720"/>
              </w:tabs>
              <w:rPr>
                <w:sz w:val="20"/>
                <w:szCs w:val="20"/>
              </w:rPr>
            </w:pPr>
          </w:p>
          <w:p w:rsidR="00925E45" w:rsidRPr="00A935AA" w:rsidRDefault="00925E45" w:rsidP="00925E45">
            <w:pPr>
              <w:tabs>
                <w:tab w:val="left" w:pos="-1440"/>
                <w:tab w:val="left" w:pos="-720"/>
              </w:tabs>
              <w:rPr>
                <w:b/>
                <w:sz w:val="20"/>
                <w:szCs w:val="20"/>
              </w:rPr>
            </w:pPr>
            <w:proofErr w:type="spellStart"/>
            <w:r>
              <w:rPr>
                <w:b/>
                <w:sz w:val="20"/>
                <w:szCs w:val="20"/>
              </w:rPr>
              <w:t>Evraz</w:t>
            </w:r>
            <w:proofErr w:type="spellEnd"/>
            <w:r>
              <w:rPr>
                <w:b/>
                <w:sz w:val="20"/>
                <w:szCs w:val="20"/>
              </w:rPr>
              <w:t xml:space="preserve"> Inc. NA Canada et al.</w:t>
            </w:r>
            <w:r w:rsidRPr="00A40F5B">
              <w:rPr>
                <w:sz w:val="20"/>
                <w:szCs w:val="20"/>
              </w:rPr>
              <w:t xml:space="preserve"> </w:t>
            </w:r>
            <w:r w:rsidRPr="00A935AA">
              <w:rPr>
                <w:b/>
                <w:sz w:val="20"/>
                <w:szCs w:val="20"/>
              </w:rPr>
              <w:t>(</w:t>
            </w:r>
            <w:r>
              <w:rPr>
                <w:b/>
                <w:sz w:val="20"/>
                <w:szCs w:val="20"/>
              </w:rPr>
              <w:t>F.C</w:t>
            </w:r>
            <w:r w:rsidRPr="00A935AA">
              <w:rPr>
                <w:b/>
                <w:sz w:val="20"/>
                <w:szCs w:val="20"/>
              </w:rPr>
              <w:t>.)</w:t>
            </w:r>
          </w:p>
          <w:p w:rsidR="00925E45" w:rsidRPr="00A935AA" w:rsidRDefault="00925E45" w:rsidP="00925E45">
            <w:pPr>
              <w:tabs>
                <w:tab w:val="left" w:pos="-1440"/>
                <w:tab w:val="left" w:pos="-720"/>
              </w:tabs>
              <w:rPr>
                <w:sz w:val="20"/>
                <w:szCs w:val="20"/>
              </w:rPr>
            </w:pPr>
            <w:r w:rsidRPr="00A935AA">
              <w:rPr>
                <w:sz w:val="20"/>
                <w:szCs w:val="20"/>
              </w:rPr>
              <w:tab/>
            </w:r>
            <w:r>
              <w:rPr>
                <w:sz w:val="20"/>
                <w:szCs w:val="20"/>
              </w:rPr>
              <w:t>Christopher J. Kent</w:t>
            </w:r>
          </w:p>
          <w:p w:rsidR="00925E45" w:rsidRDefault="00925E45" w:rsidP="00925E45">
            <w:pPr>
              <w:tabs>
                <w:tab w:val="left" w:pos="-1440"/>
                <w:tab w:val="left" w:pos="-720"/>
              </w:tabs>
              <w:ind w:left="720"/>
              <w:rPr>
                <w:sz w:val="20"/>
                <w:szCs w:val="20"/>
              </w:rPr>
            </w:pPr>
            <w:r>
              <w:rPr>
                <w:sz w:val="20"/>
                <w:szCs w:val="20"/>
              </w:rPr>
              <w:t>Cassidy Levy Kent (Canada) LLP</w:t>
            </w:r>
          </w:p>
          <w:p w:rsidR="00925E45" w:rsidRPr="00A935AA" w:rsidRDefault="00925E45" w:rsidP="00925E45">
            <w:pPr>
              <w:tabs>
                <w:tab w:val="left" w:pos="-1440"/>
                <w:tab w:val="left" w:pos="-720"/>
              </w:tabs>
              <w:rPr>
                <w:sz w:val="20"/>
                <w:szCs w:val="20"/>
              </w:rPr>
            </w:pPr>
          </w:p>
          <w:p w:rsidR="00925E45" w:rsidRPr="00A935AA" w:rsidRDefault="00925E45" w:rsidP="00925E45">
            <w:pPr>
              <w:rPr>
                <w:sz w:val="20"/>
                <w:szCs w:val="20"/>
              </w:rPr>
            </w:pPr>
            <w:r w:rsidRPr="00A935AA">
              <w:rPr>
                <w:sz w:val="20"/>
                <w:szCs w:val="20"/>
              </w:rPr>
              <w:t xml:space="preserve">FILING DATE: </w:t>
            </w:r>
            <w:r w:rsidR="005F07EF">
              <w:rPr>
                <w:sz w:val="20"/>
                <w:szCs w:val="20"/>
              </w:rPr>
              <w:t>04</w:t>
            </w:r>
            <w:r w:rsidRPr="00A935AA">
              <w:rPr>
                <w:sz w:val="20"/>
                <w:szCs w:val="20"/>
              </w:rPr>
              <w:t>.</w:t>
            </w:r>
            <w:r>
              <w:rPr>
                <w:sz w:val="20"/>
                <w:szCs w:val="20"/>
              </w:rPr>
              <w:t>0</w:t>
            </w:r>
            <w:r w:rsidR="005F07EF">
              <w:rPr>
                <w:sz w:val="20"/>
                <w:szCs w:val="20"/>
              </w:rPr>
              <w:t>9</w:t>
            </w:r>
            <w:r w:rsidRPr="00A935AA">
              <w:rPr>
                <w:sz w:val="20"/>
                <w:szCs w:val="20"/>
              </w:rPr>
              <w:t>.</w:t>
            </w:r>
            <w:r>
              <w:rPr>
                <w:sz w:val="20"/>
                <w:szCs w:val="20"/>
              </w:rPr>
              <w:t>2018</w:t>
            </w:r>
          </w:p>
          <w:p w:rsidR="00925E45" w:rsidRPr="00925E45" w:rsidRDefault="00F13243" w:rsidP="00925E45">
            <w:pPr>
              <w:rPr>
                <w:sz w:val="20"/>
                <w:szCs w:val="20"/>
                <w:lang w:val="en-US"/>
              </w:rPr>
            </w:pPr>
            <w:r>
              <w:rPr>
                <w:sz w:val="20"/>
                <w:szCs w:val="20"/>
                <w:lang w:val="fr-CA"/>
              </w:rPr>
              <w:pict>
                <v:rect id="_x0000_i1033" style="width:108pt;height:1pt" o:hrpct="0" o:hralign="center" o:hrstd="t" o:hrnoshade="t" o:hr="t" fillcolor="black [3213]" stroked="f"/>
              </w:pict>
            </w:r>
          </w:p>
          <w:p w:rsidR="00925E45" w:rsidRDefault="00925E45" w:rsidP="00814C85">
            <w:pPr>
              <w:rPr>
                <w:b/>
                <w:sz w:val="20"/>
                <w:szCs w:val="20"/>
              </w:rPr>
            </w:pPr>
          </w:p>
        </w:tc>
      </w:tr>
      <w:tr w:rsidR="00F46F31" w:rsidRPr="00A935AA" w:rsidTr="003B3977">
        <w:tc>
          <w:tcPr>
            <w:tcW w:w="4320" w:type="dxa"/>
            <w:shd w:val="clear" w:color="auto" w:fill="auto"/>
          </w:tcPr>
          <w:p w:rsidR="00302DE1" w:rsidRPr="00A935AA" w:rsidRDefault="00302DE1" w:rsidP="00302DE1">
            <w:pPr>
              <w:rPr>
                <w:b/>
                <w:sz w:val="20"/>
                <w:szCs w:val="20"/>
              </w:rPr>
            </w:pPr>
            <w:r>
              <w:rPr>
                <w:b/>
                <w:sz w:val="20"/>
                <w:szCs w:val="20"/>
              </w:rPr>
              <w:t>Alberta Human Rights Commission (Director) et al.</w:t>
            </w:r>
          </w:p>
          <w:p w:rsidR="00302DE1" w:rsidRPr="00A935AA" w:rsidRDefault="00302DE1" w:rsidP="00302DE1">
            <w:pPr>
              <w:tabs>
                <w:tab w:val="left" w:pos="-1440"/>
                <w:tab w:val="left" w:pos="-720"/>
              </w:tabs>
              <w:rPr>
                <w:sz w:val="20"/>
                <w:szCs w:val="20"/>
              </w:rPr>
            </w:pPr>
            <w:r w:rsidRPr="00A935AA">
              <w:rPr>
                <w:sz w:val="20"/>
                <w:szCs w:val="20"/>
              </w:rPr>
              <w:tab/>
            </w:r>
            <w:proofErr w:type="spellStart"/>
            <w:r>
              <w:rPr>
                <w:sz w:val="20"/>
                <w:szCs w:val="20"/>
              </w:rPr>
              <w:t>Arif</w:t>
            </w:r>
            <w:proofErr w:type="spellEnd"/>
            <w:r>
              <w:rPr>
                <w:sz w:val="20"/>
                <w:szCs w:val="20"/>
              </w:rPr>
              <w:t xml:space="preserve"> Chowdhury</w:t>
            </w:r>
          </w:p>
          <w:p w:rsidR="00302DE1" w:rsidRPr="00A40F5B" w:rsidRDefault="00302DE1" w:rsidP="00302DE1">
            <w:pPr>
              <w:tabs>
                <w:tab w:val="left" w:pos="-1440"/>
                <w:tab w:val="left" w:pos="-720"/>
              </w:tabs>
              <w:ind w:left="720"/>
              <w:rPr>
                <w:sz w:val="20"/>
                <w:szCs w:val="20"/>
              </w:rPr>
            </w:pPr>
            <w:r>
              <w:rPr>
                <w:sz w:val="20"/>
                <w:szCs w:val="20"/>
              </w:rPr>
              <w:t xml:space="preserve">Fasken Martineau </w:t>
            </w:r>
            <w:proofErr w:type="spellStart"/>
            <w:r>
              <w:rPr>
                <w:sz w:val="20"/>
                <w:szCs w:val="20"/>
              </w:rPr>
              <w:t>DuMoulin</w:t>
            </w:r>
            <w:proofErr w:type="spellEnd"/>
            <w:r>
              <w:rPr>
                <w:sz w:val="20"/>
                <w:szCs w:val="20"/>
              </w:rPr>
              <w:t xml:space="preserve"> LLP</w:t>
            </w:r>
          </w:p>
          <w:p w:rsidR="00302DE1" w:rsidRPr="00A40F5B" w:rsidRDefault="00302DE1" w:rsidP="00302DE1">
            <w:pPr>
              <w:tabs>
                <w:tab w:val="left" w:pos="-1440"/>
                <w:tab w:val="left" w:pos="-720"/>
              </w:tabs>
              <w:rPr>
                <w:sz w:val="20"/>
                <w:szCs w:val="20"/>
              </w:rPr>
            </w:pPr>
          </w:p>
          <w:p w:rsidR="00302DE1" w:rsidRPr="00A40F5B" w:rsidRDefault="00302DE1" w:rsidP="00302DE1">
            <w:pPr>
              <w:tabs>
                <w:tab w:val="left" w:pos="-1440"/>
                <w:tab w:val="left" w:pos="-720"/>
              </w:tabs>
              <w:rPr>
                <w:sz w:val="20"/>
                <w:szCs w:val="20"/>
              </w:rPr>
            </w:pPr>
            <w:r>
              <w:rPr>
                <w:sz w:val="20"/>
                <w:szCs w:val="20"/>
              </w:rPr>
              <w:tab/>
              <w:t>v. (38273</w:t>
            </w:r>
            <w:r w:rsidRPr="00A40F5B">
              <w:rPr>
                <w:sz w:val="20"/>
                <w:szCs w:val="20"/>
              </w:rPr>
              <w:t>)</w:t>
            </w:r>
          </w:p>
          <w:p w:rsidR="00302DE1" w:rsidRPr="00A40F5B" w:rsidRDefault="00302DE1" w:rsidP="00302DE1">
            <w:pPr>
              <w:tabs>
                <w:tab w:val="left" w:pos="-1440"/>
                <w:tab w:val="left" w:pos="-720"/>
              </w:tabs>
              <w:rPr>
                <w:sz w:val="20"/>
                <w:szCs w:val="20"/>
              </w:rPr>
            </w:pPr>
          </w:p>
          <w:p w:rsidR="00302DE1" w:rsidRPr="00A935AA" w:rsidRDefault="00302DE1" w:rsidP="00302DE1">
            <w:pPr>
              <w:tabs>
                <w:tab w:val="left" w:pos="-1440"/>
                <w:tab w:val="left" w:pos="-720"/>
              </w:tabs>
              <w:rPr>
                <w:b/>
                <w:sz w:val="20"/>
                <w:szCs w:val="20"/>
              </w:rPr>
            </w:pPr>
            <w:r>
              <w:rPr>
                <w:b/>
                <w:sz w:val="20"/>
                <w:szCs w:val="20"/>
              </w:rPr>
              <w:t>Webber Academy Foundation (Alta.</w:t>
            </w:r>
            <w:r w:rsidRPr="00A935AA">
              <w:rPr>
                <w:b/>
                <w:sz w:val="20"/>
                <w:szCs w:val="20"/>
              </w:rPr>
              <w:t>)</w:t>
            </w:r>
          </w:p>
          <w:p w:rsidR="00302DE1" w:rsidRPr="00A935AA" w:rsidRDefault="00302DE1" w:rsidP="00302DE1">
            <w:pPr>
              <w:tabs>
                <w:tab w:val="left" w:pos="-1440"/>
                <w:tab w:val="left" w:pos="-720"/>
              </w:tabs>
              <w:rPr>
                <w:sz w:val="20"/>
                <w:szCs w:val="20"/>
              </w:rPr>
            </w:pPr>
            <w:r w:rsidRPr="00A935AA">
              <w:rPr>
                <w:sz w:val="20"/>
                <w:szCs w:val="20"/>
              </w:rPr>
              <w:tab/>
            </w:r>
            <w:r>
              <w:rPr>
                <w:sz w:val="20"/>
                <w:szCs w:val="20"/>
              </w:rPr>
              <w:t>David J. Corry</w:t>
            </w:r>
          </w:p>
          <w:p w:rsidR="00302DE1" w:rsidRDefault="00302DE1" w:rsidP="00302DE1">
            <w:pPr>
              <w:tabs>
                <w:tab w:val="left" w:pos="-1440"/>
                <w:tab w:val="left" w:pos="-720"/>
              </w:tabs>
              <w:ind w:left="720"/>
              <w:rPr>
                <w:sz w:val="20"/>
                <w:szCs w:val="20"/>
              </w:rPr>
            </w:pPr>
            <w:proofErr w:type="spellStart"/>
            <w:r>
              <w:rPr>
                <w:sz w:val="20"/>
                <w:szCs w:val="20"/>
              </w:rPr>
              <w:t>Gowling</w:t>
            </w:r>
            <w:proofErr w:type="spellEnd"/>
            <w:r>
              <w:rPr>
                <w:sz w:val="20"/>
                <w:szCs w:val="20"/>
              </w:rPr>
              <w:t xml:space="preserve"> WLG (Canada) LLP</w:t>
            </w:r>
          </w:p>
          <w:p w:rsidR="00302DE1" w:rsidRPr="00A935AA" w:rsidRDefault="00302DE1" w:rsidP="00302DE1">
            <w:pPr>
              <w:tabs>
                <w:tab w:val="left" w:pos="-1440"/>
                <w:tab w:val="left" w:pos="-720"/>
              </w:tabs>
              <w:rPr>
                <w:sz w:val="20"/>
                <w:szCs w:val="20"/>
              </w:rPr>
            </w:pPr>
          </w:p>
          <w:p w:rsidR="00302DE1" w:rsidRPr="00A935AA" w:rsidRDefault="00302DE1" w:rsidP="00302DE1">
            <w:pPr>
              <w:rPr>
                <w:sz w:val="20"/>
                <w:szCs w:val="20"/>
              </w:rPr>
            </w:pPr>
            <w:r w:rsidRPr="00A935AA">
              <w:rPr>
                <w:sz w:val="20"/>
                <w:szCs w:val="20"/>
              </w:rPr>
              <w:t xml:space="preserve">FILING DATE: </w:t>
            </w:r>
            <w:r>
              <w:rPr>
                <w:sz w:val="20"/>
                <w:szCs w:val="20"/>
              </w:rPr>
              <w:t>31</w:t>
            </w:r>
            <w:r w:rsidRPr="00A935AA">
              <w:rPr>
                <w:sz w:val="20"/>
                <w:szCs w:val="20"/>
              </w:rPr>
              <w:t>.</w:t>
            </w:r>
            <w:r>
              <w:rPr>
                <w:sz w:val="20"/>
                <w:szCs w:val="20"/>
              </w:rPr>
              <w:t>08</w:t>
            </w:r>
            <w:r w:rsidRPr="00A935AA">
              <w:rPr>
                <w:sz w:val="20"/>
                <w:szCs w:val="20"/>
              </w:rPr>
              <w:t>.</w:t>
            </w:r>
            <w:r>
              <w:rPr>
                <w:sz w:val="20"/>
                <w:szCs w:val="20"/>
              </w:rPr>
              <w:t>2018</w:t>
            </w:r>
          </w:p>
          <w:p w:rsidR="00F46F31" w:rsidRDefault="00F13243" w:rsidP="00302DE1">
            <w:pPr>
              <w:rPr>
                <w:sz w:val="20"/>
                <w:szCs w:val="20"/>
                <w:lang w:val="fr-CA"/>
              </w:rPr>
            </w:pPr>
            <w:r>
              <w:rPr>
                <w:sz w:val="20"/>
                <w:szCs w:val="20"/>
                <w:lang w:val="fr-CA"/>
              </w:rPr>
              <w:pict>
                <v:rect id="_x0000_i1034" style="width:108pt;height:1pt" o:hrpct="0" o:hralign="center" o:hrstd="t" o:hrnoshade="t" o:hr="t" fillcolor="black [3213]" stroked="f"/>
              </w:pict>
            </w:r>
          </w:p>
          <w:p w:rsidR="00F46F31" w:rsidRPr="00925E45" w:rsidRDefault="00F46F31" w:rsidP="00925E45">
            <w:pPr>
              <w:rPr>
                <w:b/>
                <w:sz w:val="20"/>
                <w:szCs w:val="20"/>
                <w:lang w:val="fr-CA"/>
              </w:rPr>
            </w:pPr>
          </w:p>
        </w:tc>
        <w:tc>
          <w:tcPr>
            <w:tcW w:w="1181" w:type="dxa"/>
            <w:shd w:val="clear" w:color="auto" w:fill="auto"/>
          </w:tcPr>
          <w:p w:rsidR="00F46F31" w:rsidRPr="00A935AA" w:rsidRDefault="00F46F31" w:rsidP="00242AEE">
            <w:pPr>
              <w:jc w:val="center"/>
              <w:rPr>
                <w:sz w:val="20"/>
                <w:szCs w:val="20"/>
              </w:rPr>
            </w:pPr>
          </w:p>
        </w:tc>
        <w:tc>
          <w:tcPr>
            <w:tcW w:w="4320" w:type="dxa"/>
            <w:shd w:val="clear" w:color="auto" w:fill="auto"/>
          </w:tcPr>
          <w:p w:rsidR="00D10265" w:rsidRPr="00925E45" w:rsidRDefault="00D10265" w:rsidP="00D10265">
            <w:pPr>
              <w:rPr>
                <w:b/>
                <w:sz w:val="20"/>
                <w:szCs w:val="20"/>
                <w:lang w:val="fr-CA"/>
              </w:rPr>
            </w:pPr>
            <w:r>
              <w:rPr>
                <w:b/>
                <w:sz w:val="20"/>
                <w:szCs w:val="20"/>
                <w:lang w:val="fr-CA"/>
              </w:rPr>
              <w:t>Industrielle Alliance, Assurance et services financiers inc.</w:t>
            </w:r>
          </w:p>
          <w:p w:rsidR="00D10265" w:rsidRPr="00925E45" w:rsidRDefault="00D10265" w:rsidP="00D10265">
            <w:pPr>
              <w:tabs>
                <w:tab w:val="left" w:pos="-1440"/>
                <w:tab w:val="left" w:pos="-720"/>
              </w:tabs>
              <w:rPr>
                <w:sz w:val="20"/>
                <w:szCs w:val="20"/>
                <w:lang w:val="fr-CA"/>
              </w:rPr>
            </w:pPr>
            <w:r w:rsidRPr="00925E45">
              <w:rPr>
                <w:sz w:val="20"/>
                <w:szCs w:val="20"/>
                <w:lang w:val="fr-CA"/>
              </w:rPr>
              <w:tab/>
            </w:r>
            <w:r>
              <w:rPr>
                <w:sz w:val="20"/>
                <w:szCs w:val="20"/>
                <w:lang w:val="fr-CA"/>
              </w:rPr>
              <w:t>Judith Rochette</w:t>
            </w:r>
          </w:p>
          <w:p w:rsidR="00D10265" w:rsidRPr="00925E45" w:rsidRDefault="00D10265" w:rsidP="00D10265">
            <w:pPr>
              <w:tabs>
                <w:tab w:val="left" w:pos="-1440"/>
                <w:tab w:val="left" w:pos="-720"/>
              </w:tabs>
              <w:ind w:left="720"/>
              <w:rPr>
                <w:sz w:val="20"/>
                <w:szCs w:val="20"/>
                <w:lang w:val="fr-CA"/>
              </w:rPr>
            </w:pPr>
            <w:proofErr w:type="spellStart"/>
            <w:r>
              <w:rPr>
                <w:sz w:val="20"/>
                <w:szCs w:val="20"/>
                <w:lang w:val="fr-CA"/>
              </w:rPr>
              <w:t>Lavery</w:t>
            </w:r>
            <w:proofErr w:type="spellEnd"/>
            <w:r>
              <w:rPr>
                <w:sz w:val="20"/>
                <w:szCs w:val="20"/>
                <w:lang w:val="fr-CA"/>
              </w:rPr>
              <w:t>, de Billy</w:t>
            </w:r>
          </w:p>
          <w:p w:rsidR="00D10265" w:rsidRPr="00925E45" w:rsidRDefault="00D10265" w:rsidP="00D10265">
            <w:pPr>
              <w:tabs>
                <w:tab w:val="left" w:pos="-1440"/>
                <w:tab w:val="left" w:pos="-720"/>
              </w:tabs>
              <w:rPr>
                <w:sz w:val="20"/>
                <w:szCs w:val="20"/>
                <w:lang w:val="fr-CA"/>
              </w:rPr>
            </w:pPr>
          </w:p>
          <w:p w:rsidR="00D10265" w:rsidRPr="00925E45" w:rsidRDefault="00D10265" w:rsidP="00D10265">
            <w:pPr>
              <w:tabs>
                <w:tab w:val="left" w:pos="-1440"/>
                <w:tab w:val="left" w:pos="-720"/>
              </w:tabs>
              <w:rPr>
                <w:sz w:val="20"/>
                <w:szCs w:val="20"/>
                <w:lang w:val="fr-CA"/>
              </w:rPr>
            </w:pPr>
            <w:r w:rsidRPr="00925E45">
              <w:rPr>
                <w:sz w:val="20"/>
                <w:szCs w:val="20"/>
                <w:lang w:val="fr-CA"/>
              </w:rPr>
              <w:tab/>
            </w:r>
            <w:r>
              <w:rPr>
                <w:sz w:val="20"/>
                <w:szCs w:val="20"/>
                <w:lang w:val="fr-CA"/>
              </w:rPr>
              <w:t>c</w:t>
            </w:r>
            <w:r w:rsidRPr="00925E45">
              <w:rPr>
                <w:sz w:val="20"/>
                <w:szCs w:val="20"/>
                <w:lang w:val="fr-CA"/>
              </w:rPr>
              <w:t>. (3</w:t>
            </w:r>
            <w:r>
              <w:rPr>
                <w:sz w:val="20"/>
                <w:szCs w:val="20"/>
                <w:lang w:val="fr-CA"/>
              </w:rPr>
              <w:t>8268</w:t>
            </w:r>
            <w:r w:rsidRPr="00925E45">
              <w:rPr>
                <w:sz w:val="20"/>
                <w:szCs w:val="20"/>
                <w:lang w:val="fr-CA"/>
              </w:rPr>
              <w:t>)</w:t>
            </w:r>
          </w:p>
          <w:p w:rsidR="00D10265" w:rsidRPr="00925E45" w:rsidRDefault="00D10265" w:rsidP="00D10265">
            <w:pPr>
              <w:tabs>
                <w:tab w:val="left" w:pos="-1440"/>
                <w:tab w:val="left" w:pos="-720"/>
              </w:tabs>
              <w:rPr>
                <w:sz w:val="20"/>
                <w:szCs w:val="20"/>
                <w:lang w:val="fr-CA"/>
              </w:rPr>
            </w:pPr>
          </w:p>
          <w:p w:rsidR="00D10265" w:rsidRPr="00925E45" w:rsidRDefault="00D10265" w:rsidP="00D10265">
            <w:pPr>
              <w:tabs>
                <w:tab w:val="left" w:pos="-1440"/>
                <w:tab w:val="left" w:pos="-720"/>
              </w:tabs>
              <w:rPr>
                <w:b/>
                <w:sz w:val="20"/>
                <w:szCs w:val="20"/>
                <w:lang w:val="fr-CA"/>
              </w:rPr>
            </w:pPr>
            <w:r>
              <w:rPr>
                <w:b/>
                <w:sz w:val="20"/>
                <w:szCs w:val="20"/>
                <w:lang w:val="fr-CA"/>
              </w:rPr>
              <w:t>Pascale Forest</w:t>
            </w:r>
            <w:r w:rsidRPr="00925E45">
              <w:rPr>
                <w:sz w:val="20"/>
                <w:szCs w:val="20"/>
                <w:lang w:val="fr-CA"/>
              </w:rPr>
              <w:t xml:space="preserve"> </w:t>
            </w:r>
            <w:r w:rsidRPr="00925E45">
              <w:rPr>
                <w:b/>
                <w:sz w:val="20"/>
                <w:szCs w:val="20"/>
                <w:lang w:val="fr-CA"/>
              </w:rPr>
              <w:t>(Qc)</w:t>
            </w:r>
          </w:p>
          <w:p w:rsidR="00D10265" w:rsidRPr="00925E45" w:rsidRDefault="00D10265" w:rsidP="00D10265">
            <w:pPr>
              <w:tabs>
                <w:tab w:val="left" w:pos="-1440"/>
                <w:tab w:val="left" w:pos="-720"/>
              </w:tabs>
              <w:rPr>
                <w:sz w:val="20"/>
                <w:szCs w:val="20"/>
                <w:lang w:val="fr-CA"/>
              </w:rPr>
            </w:pPr>
            <w:r w:rsidRPr="00925E45">
              <w:rPr>
                <w:sz w:val="20"/>
                <w:szCs w:val="20"/>
                <w:lang w:val="fr-CA"/>
              </w:rPr>
              <w:tab/>
            </w:r>
            <w:r>
              <w:rPr>
                <w:sz w:val="20"/>
                <w:szCs w:val="20"/>
                <w:lang w:val="fr-CA"/>
              </w:rPr>
              <w:t>Michel Gilbert</w:t>
            </w:r>
          </w:p>
          <w:p w:rsidR="00D10265" w:rsidRPr="00925E45" w:rsidRDefault="00D10265" w:rsidP="00D10265">
            <w:pPr>
              <w:tabs>
                <w:tab w:val="left" w:pos="-1440"/>
                <w:tab w:val="left" w:pos="-720"/>
              </w:tabs>
              <w:ind w:left="720"/>
              <w:rPr>
                <w:sz w:val="20"/>
                <w:szCs w:val="20"/>
                <w:lang w:val="fr-CA"/>
              </w:rPr>
            </w:pPr>
            <w:proofErr w:type="spellStart"/>
            <w:r>
              <w:rPr>
                <w:sz w:val="20"/>
                <w:szCs w:val="20"/>
                <w:lang w:val="fr-CA"/>
              </w:rPr>
              <w:t>Melançon</w:t>
            </w:r>
            <w:proofErr w:type="spellEnd"/>
            <w:r>
              <w:rPr>
                <w:sz w:val="20"/>
                <w:szCs w:val="20"/>
                <w:lang w:val="fr-CA"/>
              </w:rPr>
              <w:t xml:space="preserve">, Marceau, Grenier &amp; </w:t>
            </w:r>
            <w:proofErr w:type="spellStart"/>
            <w:r>
              <w:rPr>
                <w:sz w:val="20"/>
                <w:szCs w:val="20"/>
                <w:lang w:val="fr-CA"/>
              </w:rPr>
              <w:t>Sciortino</w:t>
            </w:r>
            <w:proofErr w:type="spellEnd"/>
          </w:p>
          <w:p w:rsidR="00D10265" w:rsidRPr="00925E45" w:rsidRDefault="00D10265" w:rsidP="00D10265">
            <w:pPr>
              <w:tabs>
                <w:tab w:val="left" w:pos="-1440"/>
                <w:tab w:val="left" w:pos="-720"/>
              </w:tabs>
              <w:rPr>
                <w:sz w:val="20"/>
                <w:szCs w:val="20"/>
                <w:lang w:val="fr-CA"/>
              </w:rPr>
            </w:pPr>
          </w:p>
          <w:p w:rsidR="00D10265" w:rsidRPr="00925E45" w:rsidRDefault="00D10265" w:rsidP="00D10265">
            <w:pPr>
              <w:rPr>
                <w:sz w:val="20"/>
                <w:szCs w:val="20"/>
                <w:lang w:val="fr-CA"/>
              </w:rPr>
            </w:pPr>
            <w:r w:rsidRPr="00925E45">
              <w:rPr>
                <w:sz w:val="20"/>
                <w:szCs w:val="20"/>
                <w:lang w:val="fr-CA"/>
              </w:rPr>
              <w:t>DATE DE PRODUCTION: 3</w:t>
            </w:r>
            <w:r>
              <w:rPr>
                <w:sz w:val="20"/>
                <w:szCs w:val="20"/>
                <w:lang w:val="fr-CA"/>
              </w:rPr>
              <w:t>0</w:t>
            </w:r>
            <w:r w:rsidRPr="00925E45">
              <w:rPr>
                <w:sz w:val="20"/>
                <w:szCs w:val="20"/>
                <w:lang w:val="fr-CA"/>
              </w:rPr>
              <w:t>.08.2018</w:t>
            </w:r>
          </w:p>
          <w:p w:rsidR="00F46F31" w:rsidRDefault="00F13243" w:rsidP="00D10265">
            <w:pPr>
              <w:rPr>
                <w:b/>
                <w:sz w:val="20"/>
                <w:szCs w:val="20"/>
              </w:rPr>
            </w:pPr>
            <w:r>
              <w:rPr>
                <w:sz w:val="20"/>
                <w:szCs w:val="20"/>
                <w:lang w:val="fr-CA"/>
              </w:rPr>
              <w:pict>
                <v:rect id="_x0000_i1035" style="width:108pt;height:1pt" o:hrpct="0" o:hralign="center" o:hrstd="t" o:hrnoshade="t" o:hr="t" fillcolor="black [3213]" stroked="f"/>
              </w:pict>
            </w:r>
          </w:p>
        </w:tc>
      </w:tr>
      <w:tr w:rsidR="00B74B6A" w:rsidRPr="00A935AA" w:rsidTr="003B3977">
        <w:tc>
          <w:tcPr>
            <w:tcW w:w="4320" w:type="dxa"/>
            <w:shd w:val="clear" w:color="auto" w:fill="auto"/>
          </w:tcPr>
          <w:p w:rsidR="00302DE1" w:rsidRPr="00A935AA" w:rsidRDefault="00302DE1" w:rsidP="00302DE1">
            <w:pPr>
              <w:rPr>
                <w:b/>
                <w:sz w:val="20"/>
                <w:szCs w:val="20"/>
              </w:rPr>
            </w:pPr>
            <w:r>
              <w:rPr>
                <w:b/>
                <w:sz w:val="20"/>
                <w:szCs w:val="20"/>
              </w:rPr>
              <w:t xml:space="preserve">Jasdeep Singh </w:t>
            </w:r>
            <w:proofErr w:type="spellStart"/>
            <w:r>
              <w:rPr>
                <w:b/>
                <w:sz w:val="20"/>
                <w:szCs w:val="20"/>
              </w:rPr>
              <w:t>Warraich</w:t>
            </w:r>
            <w:proofErr w:type="spellEnd"/>
          </w:p>
          <w:p w:rsidR="00302DE1" w:rsidRPr="00A935AA" w:rsidRDefault="00302DE1" w:rsidP="00302DE1">
            <w:pPr>
              <w:tabs>
                <w:tab w:val="left" w:pos="-1440"/>
                <w:tab w:val="left" w:pos="-720"/>
              </w:tabs>
              <w:rPr>
                <w:sz w:val="20"/>
                <w:szCs w:val="20"/>
              </w:rPr>
            </w:pPr>
            <w:r w:rsidRPr="00A935AA">
              <w:rPr>
                <w:sz w:val="20"/>
                <w:szCs w:val="20"/>
              </w:rPr>
              <w:tab/>
            </w:r>
            <w:r>
              <w:rPr>
                <w:sz w:val="20"/>
                <w:szCs w:val="20"/>
              </w:rPr>
              <w:t>Saul B. Simmonds</w:t>
            </w:r>
          </w:p>
          <w:p w:rsidR="00302DE1" w:rsidRPr="00A40F5B" w:rsidRDefault="00302DE1" w:rsidP="00302DE1">
            <w:pPr>
              <w:tabs>
                <w:tab w:val="left" w:pos="-1440"/>
                <w:tab w:val="left" w:pos="-720"/>
              </w:tabs>
              <w:ind w:left="720"/>
              <w:rPr>
                <w:sz w:val="20"/>
                <w:szCs w:val="20"/>
              </w:rPr>
            </w:pPr>
            <w:proofErr w:type="spellStart"/>
            <w:r>
              <w:rPr>
                <w:sz w:val="20"/>
                <w:szCs w:val="20"/>
              </w:rPr>
              <w:t>Gindin</w:t>
            </w:r>
            <w:proofErr w:type="spellEnd"/>
            <w:r>
              <w:rPr>
                <w:sz w:val="20"/>
                <w:szCs w:val="20"/>
              </w:rPr>
              <w:t xml:space="preserve">, </w:t>
            </w:r>
            <w:proofErr w:type="spellStart"/>
            <w:r>
              <w:rPr>
                <w:sz w:val="20"/>
                <w:szCs w:val="20"/>
              </w:rPr>
              <w:t>Wolson</w:t>
            </w:r>
            <w:proofErr w:type="spellEnd"/>
            <w:r>
              <w:rPr>
                <w:sz w:val="20"/>
                <w:szCs w:val="20"/>
              </w:rPr>
              <w:t xml:space="preserve">, Simmonds, </w:t>
            </w:r>
            <w:proofErr w:type="spellStart"/>
            <w:r>
              <w:rPr>
                <w:sz w:val="20"/>
                <w:szCs w:val="20"/>
              </w:rPr>
              <w:t>Roitenberg</w:t>
            </w:r>
            <w:proofErr w:type="spellEnd"/>
          </w:p>
          <w:p w:rsidR="00302DE1" w:rsidRPr="00A40F5B" w:rsidRDefault="00302DE1" w:rsidP="00302DE1">
            <w:pPr>
              <w:tabs>
                <w:tab w:val="left" w:pos="-1440"/>
                <w:tab w:val="left" w:pos="-720"/>
              </w:tabs>
              <w:rPr>
                <w:sz w:val="20"/>
                <w:szCs w:val="20"/>
              </w:rPr>
            </w:pPr>
          </w:p>
          <w:p w:rsidR="00302DE1" w:rsidRPr="00A40F5B" w:rsidRDefault="00302DE1" w:rsidP="00302DE1">
            <w:pPr>
              <w:tabs>
                <w:tab w:val="left" w:pos="-1440"/>
                <w:tab w:val="left" w:pos="-720"/>
              </w:tabs>
              <w:rPr>
                <w:sz w:val="20"/>
                <w:szCs w:val="20"/>
              </w:rPr>
            </w:pPr>
            <w:r>
              <w:rPr>
                <w:sz w:val="20"/>
                <w:szCs w:val="20"/>
              </w:rPr>
              <w:tab/>
              <w:t>v. (38160</w:t>
            </w:r>
            <w:r w:rsidRPr="00A40F5B">
              <w:rPr>
                <w:sz w:val="20"/>
                <w:szCs w:val="20"/>
              </w:rPr>
              <w:t>)</w:t>
            </w:r>
          </w:p>
          <w:p w:rsidR="00302DE1" w:rsidRPr="00A40F5B" w:rsidRDefault="00302DE1" w:rsidP="00302DE1">
            <w:pPr>
              <w:tabs>
                <w:tab w:val="left" w:pos="-1440"/>
                <w:tab w:val="left" w:pos="-720"/>
              </w:tabs>
              <w:rPr>
                <w:sz w:val="20"/>
                <w:szCs w:val="20"/>
              </w:rPr>
            </w:pPr>
          </w:p>
          <w:p w:rsidR="00302DE1" w:rsidRPr="00A935AA" w:rsidRDefault="00302DE1" w:rsidP="00302DE1">
            <w:pPr>
              <w:tabs>
                <w:tab w:val="left" w:pos="-1440"/>
                <w:tab w:val="left" w:pos="-720"/>
              </w:tabs>
              <w:rPr>
                <w:b/>
                <w:sz w:val="20"/>
                <w:szCs w:val="20"/>
              </w:rPr>
            </w:pPr>
            <w:r>
              <w:rPr>
                <w:b/>
                <w:sz w:val="20"/>
                <w:szCs w:val="20"/>
              </w:rPr>
              <w:t>Her Majesty the Queen</w:t>
            </w:r>
            <w:r w:rsidRPr="00A40F5B">
              <w:rPr>
                <w:sz w:val="20"/>
                <w:szCs w:val="20"/>
              </w:rPr>
              <w:t xml:space="preserve"> </w:t>
            </w:r>
            <w:r w:rsidRPr="00A935AA">
              <w:rPr>
                <w:b/>
                <w:sz w:val="20"/>
                <w:szCs w:val="20"/>
              </w:rPr>
              <w:t>(</w:t>
            </w:r>
            <w:r>
              <w:rPr>
                <w:b/>
                <w:sz w:val="20"/>
                <w:szCs w:val="20"/>
              </w:rPr>
              <w:t>Man</w:t>
            </w:r>
            <w:r w:rsidRPr="00A935AA">
              <w:rPr>
                <w:b/>
                <w:sz w:val="20"/>
                <w:szCs w:val="20"/>
              </w:rPr>
              <w:t>)</w:t>
            </w:r>
          </w:p>
          <w:p w:rsidR="00302DE1" w:rsidRPr="00A935AA" w:rsidRDefault="00302DE1" w:rsidP="00302DE1">
            <w:pPr>
              <w:tabs>
                <w:tab w:val="left" w:pos="-1440"/>
                <w:tab w:val="left" w:pos="-720"/>
              </w:tabs>
              <w:rPr>
                <w:sz w:val="20"/>
                <w:szCs w:val="20"/>
              </w:rPr>
            </w:pPr>
            <w:r w:rsidRPr="00A935AA">
              <w:rPr>
                <w:sz w:val="20"/>
                <w:szCs w:val="20"/>
              </w:rPr>
              <w:tab/>
            </w:r>
            <w:r>
              <w:rPr>
                <w:sz w:val="20"/>
                <w:szCs w:val="20"/>
              </w:rPr>
              <w:t xml:space="preserve">Stacy </w:t>
            </w:r>
            <w:proofErr w:type="spellStart"/>
            <w:r>
              <w:rPr>
                <w:sz w:val="20"/>
                <w:szCs w:val="20"/>
              </w:rPr>
              <w:t>Cawley</w:t>
            </w:r>
            <w:proofErr w:type="spellEnd"/>
          </w:p>
          <w:p w:rsidR="00302DE1" w:rsidRDefault="00302DE1" w:rsidP="00302DE1">
            <w:pPr>
              <w:tabs>
                <w:tab w:val="left" w:pos="-1440"/>
                <w:tab w:val="left" w:pos="-720"/>
              </w:tabs>
              <w:ind w:left="720"/>
              <w:rPr>
                <w:sz w:val="20"/>
                <w:szCs w:val="20"/>
              </w:rPr>
            </w:pPr>
            <w:r>
              <w:rPr>
                <w:sz w:val="20"/>
                <w:szCs w:val="20"/>
              </w:rPr>
              <w:t>Public Prosecution Service of Canada</w:t>
            </w:r>
          </w:p>
          <w:p w:rsidR="00302DE1" w:rsidRPr="00A935AA" w:rsidRDefault="00302DE1" w:rsidP="00302DE1">
            <w:pPr>
              <w:tabs>
                <w:tab w:val="left" w:pos="-1440"/>
                <w:tab w:val="left" w:pos="-720"/>
              </w:tabs>
              <w:rPr>
                <w:sz w:val="20"/>
                <w:szCs w:val="20"/>
              </w:rPr>
            </w:pPr>
          </w:p>
          <w:p w:rsidR="00302DE1" w:rsidRPr="00A935AA" w:rsidRDefault="00302DE1" w:rsidP="00302DE1">
            <w:pPr>
              <w:rPr>
                <w:sz w:val="20"/>
                <w:szCs w:val="20"/>
              </w:rPr>
            </w:pPr>
            <w:r w:rsidRPr="00A935AA">
              <w:rPr>
                <w:sz w:val="20"/>
                <w:szCs w:val="20"/>
              </w:rPr>
              <w:t xml:space="preserve">FILING DATE: </w:t>
            </w:r>
            <w:r>
              <w:rPr>
                <w:sz w:val="20"/>
                <w:szCs w:val="20"/>
              </w:rPr>
              <w:t>05</w:t>
            </w:r>
            <w:r w:rsidRPr="00A935AA">
              <w:rPr>
                <w:sz w:val="20"/>
                <w:szCs w:val="20"/>
              </w:rPr>
              <w:t>.</w:t>
            </w:r>
            <w:r>
              <w:rPr>
                <w:sz w:val="20"/>
                <w:szCs w:val="20"/>
              </w:rPr>
              <w:t>09</w:t>
            </w:r>
            <w:r w:rsidRPr="00A935AA">
              <w:rPr>
                <w:sz w:val="20"/>
                <w:szCs w:val="20"/>
              </w:rPr>
              <w:t>.</w:t>
            </w:r>
            <w:r>
              <w:rPr>
                <w:sz w:val="20"/>
                <w:szCs w:val="20"/>
              </w:rPr>
              <w:t>2018</w:t>
            </w:r>
          </w:p>
          <w:p w:rsidR="00B74B6A" w:rsidRDefault="00F13243" w:rsidP="00302DE1">
            <w:pPr>
              <w:rPr>
                <w:b/>
                <w:sz w:val="20"/>
                <w:szCs w:val="20"/>
              </w:rPr>
            </w:pPr>
            <w:r>
              <w:rPr>
                <w:sz w:val="20"/>
                <w:szCs w:val="20"/>
                <w:lang w:val="fr-CA"/>
              </w:rPr>
              <w:pict>
                <v:rect id="_x0000_i1036" style="width:108pt;height:1pt" o:hrpct="0" o:hralign="center" o:hrstd="t" o:hrnoshade="t" o:hr="t" fillcolor="black [3213]" stroked="f"/>
              </w:pict>
            </w:r>
          </w:p>
        </w:tc>
        <w:tc>
          <w:tcPr>
            <w:tcW w:w="1181" w:type="dxa"/>
            <w:shd w:val="clear" w:color="auto" w:fill="auto"/>
          </w:tcPr>
          <w:p w:rsidR="00B74B6A" w:rsidRPr="00A935AA" w:rsidRDefault="00B74B6A" w:rsidP="00242AEE">
            <w:pPr>
              <w:jc w:val="center"/>
              <w:rPr>
                <w:sz w:val="20"/>
                <w:szCs w:val="20"/>
              </w:rPr>
            </w:pPr>
          </w:p>
        </w:tc>
        <w:tc>
          <w:tcPr>
            <w:tcW w:w="4320" w:type="dxa"/>
            <w:shd w:val="clear" w:color="auto" w:fill="auto"/>
          </w:tcPr>
          <w:p w:rsidR="00302DE1" w:rsidRPr="00A935AA" w:rsidRDefault="00302DE1" w:rsidP="00302DE1">
            <w:pPr>
              <w:rPr>
                <w:b/>
                <w:sz w:val="20"/>
                <w:szCs w:val="20"/>
              </w:rPr>
            </w:pPr>
            <w:r>
              <w:rPr>
                <w:b/>
                <w:sz w:val="20"/>
                <w:szCs w:val="20"/>
              </w:rPr>
              <w:t>Andrew Funk</w:t>
            </w:r>
          </w:p>
          <w:p w:rsidR="00302DE1" w:rsidRPr="00A935AA" w:rsidRDefault="00302DE1" w:rsidP="00302DE1">
            <w:pPr>
              <w:tabs>
                <w:tab w:val="left" w:pos="-1440"/>
                <w:tab w:val="left" w:pos="-720"/>
              </w:tabs>
              <w:rPr>
                <w:sz w:val="20"/>
                <w:szCs w:val="20"/>
              </w:rPr>
            </w:pPr>
            <w:r w:rsidRPr="00A935AA">
              <w:rPr>
                <w:sz w:val="20"/>
                <w:szCs w:val="20"/>
              </w:rPr>
              <w:tab/>
            </w:r>
            <w:r>
              <w:rPr>
                <w:sz w:val="20"/>
                <w:szCs w:val="20"/>
              </w:rPr>
              <w:t>Timothy R. Wood</w:t>
            </w:r>
          </w:p>
          <w:p w:rsidR="00302DE1" w:rsidRPr="00A40F5B" w:rsidRDefault="00302DE1" w:rsidP="00302DE1">
            <w:pPr>
              <w:tabs>
                <w:tab w:val="left" w:pos="-1440"/>
                <w:tab w:val="left" w:pos="-720"/>
              </w:tabs>
              <w:ind w:left="720"/>
              <w:rPr>
                <w:sz w:val="20"/>
                <w:szCs w:val="20"/>
              </w:rPr>
            </w:pPr>
            <w:r>
              <w:rPr>
                <w:sz w:val="20"/>
                <w:szCs w:val="20"/>
              </w:rPr>
              <w:t>TRW LAW</w:t>
            </w:r>
          </w:p>
          <w:p w:rsidR="00302DE1" w:rsidRPr="00A40F5B" w:rsidRDefault="00302DE1" w:rsidP="00302DE1">
            <w:pPr>
              <w:tabs>
                <w:tab w:val="left" w:pos="-1440"/>
                <w:tab w:val="left" w:pos="-720"/>
              </w:tabs>
              <w:rPr>
                <w:sz w:val="20"/>
                <w:szCs w:val="20"/>
              </w:rPr>
            </w:pPr>
          </w:p>
          <w:p w:rsidR="00302DE1" w:rsidRPr="00A40F5B" w:rsidRDefault="00302DE1" w:rsidP="00302DE1">
            <w:pPr>
              <w:tabs>
                <w:tab w:val="left" w:pos="-1440"/>
                <w:tab w:val="left" w:pos="-720"/>
              </w:tabs>
              <w:rPr>
                <w:sz w:val="20"/>
                <w:szCs w:val="20"/>
              </w:rPr>
            </w:pPr>
            <w:r>
              <w:rPr>
                <w:sz w:val="20"/>
                <w:szCs w:val="20"/>
              </w:rPr>
              <w:tab/>
              <w:t>v. (38251</w:t>
            </w:r>
            <w:r w:rsidRPr="00A40F5B">
              <w:rPr>
                <w:sz w:val="20"/>
                <w:szCs w:val="20"/>
              </w:rPr>
              <w:t>)</w:t>
            </w:r>
          </w:p>
          <w:p w:rsidR="00302DE1" w:rsidRPr="00A40F5B" w:rsidRDefault="00302DE1" w:rsidP="00302DE1">
            <w:pPr>
              <w:tabs>
                <w:tab w:val="left" w:pos="-1440"/>
                <w:tab w:val="left" w:pos="-720"/>
              </w:tabs>
              <w:rPr>
                <w:sz w:val="20"/>
                <w:szCs w:val="20"/>
              </w:rPr>
            </w:pPr>
          </w:p>
          <w:p w:rsidR="00302DE1" w:rsidRPr="00A935AA" w:rsidRDefault="00302DE1" w:rsidP="00302DE1">
            <w:pPr>
              <w:tabs>
                <w:tab w:val="left" w:pos="-1440"/>
                <w:tab w:val="left" w:pos="-720"/>
              </w:tabs>
              <w:rPr>
                <w:b/>
                <w:sz w:val="20"/>
                <w:szCs w:val="20"/>
              </w:rPr>
            </w:pPr>
            <w:proofErr w:type="spellStart"/>
            <w:r>
              <w:rPr>
                <w:b/>
                <w:sz w:val="20"/>
                <w:szCs w:val="20"/>
              </w:rPr>
              <w:t>Wawanesa</w:t>
            </w:r>
            <w:proofErr w:type="spellEnd"/>
            <w:r>
              <w:rPr>
                <w:b/>
                <w:sz w:val="20"/>
                <w:szCs w:val="20"/>
              </w:rPr>
              <w:t xml:space="preserve"> Mutual Insurance Company</w:t>
            </w:r>
            <w:r w:rsidRPr="00A40F5B">
              <w:rPr>
                <w:sz w:val="20"/>
                <w:szCs w:val="20"/>
              </w:rPr>
              <w:t xml:space="preserve"> </w:t>
            </w:r>
            <w:r w:rsidRPr="00A935AA">
              <w:rPr>
                <w:b/>
                <w:sz w:val="20"/>
                <w:szCs w:val="20"/>
              </w:rPr>
              <w:t>(</w:t>
            </w:r>
            <w:r>
              <w:rPr>
                <w:b/>
                <w:sz w:val="20"/>
                <w:szCs w:val="20"/>
              </w:rPr>
              <w:t>Alta.</w:t>
            </w:r>
            <w:r w:rsidRPr="00A935AA">
              <w:rPr>
                <w:b/>
                <w:sz w:val="20"/>
                <w:szCs w:val="20"/>
              </w:rPr>
              <w:t>)</w:t>
            </w:r>
          </w:p>
          <w:p w:rsidR="00302DE1" w:rsidRPr="00A935AA" w:rsidRDefault="00302DE1" w:rsidP="00302DE1">
            <w:pPr>
              <w:tabs>
                <w:tab w:val="left" w:pos="-1440"/>
                <w:tab w:val="left" w:pos="-720"/>
              </w:tabs>
              <w:rPr>
                <w:sz w:val="20"/>
                <w:szCs w:val="20"/>
              </w:rPr>
            </w:pPr>
            <w:r w:rsidRPr="00A935AA">
              <w:rPr>
                <w:sz w:val="20"/>
                <w:szCs w:val="20"/>
              </w:rPr>
              <w:tab/>
            </w:r>
            <w:r>
              <w:rPr>
                <w:sz w:val="20"/>
                <w:szCs w:val="20"/>
              </w:rPr>
              <w:t>Wendy N. Moody</w:t>
            </w:r>
          </w:p>
          <w:p w:rsidR="00302DE1" w:rsidRDefault="00302DE1" w:rsidP="00302DE1">
            <w:pPr>
              <w:tabs>
                <w:tab w:val="left" w:pos="-1440"/>
                <w:tab w:val="left" w:pos="-720"/>
              </w:tabs>
              <w:ind w:left="720"/>
              <w:rPr>
                <w:sz w:val="20"/>
                <w:szCs w:val="20"/>
              </w:rPr>
            </w:pPr>
            <w:proofErr w:type="spellStart"/>
            <w:r>
              <w:rPr>
                <w:sz w:val="20"/>
                <w:szCs w:val="20"/>
              </w:rPr>
              <w:t>Dentons</w:t>
            </w:r>
            <w:proofErr w:type="spellEnd"/>
            <w:r>
              <w:rPr>
                <w:sz w:val="20"/>
                <w:szCs w:val="20"/>
              </w:rPr>
              <w:t xml:space="preserve"> Canada LLP</w:t>
            </w:r>
          </w:p>
          <w:p w:rsidR="00302DE1" w:rsidRPr="00A935AA" w:rsidRDefault="00302DE1" w:rsidP="00302DE1">
            <w:pPr>
              <w:tabs>
                <w:tab w:val="left" w:pos="-1440"/>
                <w:tab w:val="left" w:pos="-720"/>
              </w:tabs>
              <w:rPr>
                <w:sz w:val="20"/>
                <w:szCs w:val="20"/>
              </w:rPr>
            </w:pPr>
          </w:p>
          <w:p w:rsidR="00302DE1" w:rsidRPr="00A935AA" w:rsidRDefault="00302DE1" w:rsidP="00302DE1">
            <w:pPr>
              <w:rPr>
                <w:sz w:val="20"/>
                <w:szCs w:val="20"/>
              </w:rPr>
            </w:pPr>
            <w:r w:rsidRPr="00A935AA">
              <w:rPr>
                <w:sz w:val="20"/>
                <w:szCs w:val="20"/>
              </w:rPr>
              <w:t xml:space="preserve">FILING DATE: </w:t>
            </w:r>
            <w:r>
              <w:rPr>
                <w:sz w:val="20"/>
                <w:szCs w:val="20"/>
              </w:rPr>
              <w:t>22</w:t>
            </w:r>
            <w:r w:rsidRPr="00A935AA">
              <w:rPr>
                <w:sz w:val="20"/>
                <w:szCs w:val="20"/>
              </w:rPr>
              <w:t>.</w:t>
            </w:r>
            <w:r>
              <w:rPr>
                <w:sz w:val="20"/>
                <w:szCs w:val="20"/>
              </w:rPr>
              <w:t>08</w:t>
            </w:r>
            <w:r w:rsidRPr="00A935AA">
              <w:rPr>
                <w:sz w:val="20"/>
                <w:szCs w:val="20"/>
              </w:rPr>
              <w:t>.</w:t>
            </w:r>
            <w:r>
              <w:rPr>
                <w:sz w:val="20"/>
                <w:szCs w:val="20"/>
              </w:rPr>
              <w:t>2018</w:t>
            </w:r>
          </w:p>
          <w:p w:rsidR="00B74B6A" w:rsidRDefault="00F13243" w:rsidP="00302DE1">
            <w:pPr>
              <w:rPr>
                <w:sz w:val="20"/>
                <w:szCs w:val="20"/>
                <w:lang w:val="fr-CA"/>
              </w:rPr>
            </w:pPr>
            <w:r>
              <w:rPr>
                <w:sz w:val="20"/>
                <w:szCs w:val="20"/>
                <w:lang w:val="fr-CA"/>
              </w:rPr>
              <w:pict>
                <v:rect id="_x0000_i1037" style="width:108pt;height:1pt" o:hrpct="0" o:hralign="center" o:hrstd="t" o:hrnoshade="t" o:hr="t" fillcolor="black [3213]" stroked="f"/>
              </w:pict>
            </w:r>
          </w:p>
          <w:p w:rsidR="002F3E51" w:rsidRDefault="002F3E51" w:rsidP="00302DE1">
            <w:pPr>
              <w:rPr>
                <w:b/>
                <w:sz w:val="20"/>
                <w:szCs w:val="20"/>
                <w:lang w:val="fr-CA"/>
              </w:rPr>
            </w:pPr>
          </w:p>
        </w:tc>
      </w:tr>
      <w:tr w:rsidR="00B632E8" w:rsidRPr="00A935AA" w:rsidTr="003B3977">
        <w:tc>
          <w:tcPr>
            <w:tcW w:w="4320" w:type="dxa"/>
            <w:shd w:val="clear" w:color="auto" w:fill="auto"/>
          </w:tcPr>
          <w:p w:rsidR="00B632E8" w:rsidRPr="00A935AA" w:rsidRDefault="00B632E8" w:rsidP="00B632E8">
            <w:pPr>
              <w:rPr>
                <w:b/>
                <w:sz w:val="20"/>
                <w:szCs w:val="20"/>
              </w:rPr>
            </w:pPr>
            <w:r>
              <w:rPr>
                <w:b/>
                <w:sz w:val="20"/>
                <w:szCs w:val="20"/>
              </w:rPr>
              <w:t>Harold Edward McKenna</w:t>
            </w:r>
          </w:p>
          <w:p w:rsidR="00B632E8" w:rsidRPr="00A935AA" w:rsidRDefault="00B632E8" w:rsidP="00B632E8">
            <w:pPr>
              <w:tabs>
                <w:tab w:val="left" w:pos="-1440"/>
                <w:tab w:val="left" w:pos="-720"/>
              </w:tabs>
              <w:rPr>
                <w:sz w:val="20"/>
                <w:szCs w:val="20"/>
              </w:rPr>
            </w:pPr>
            <w:r w:rsidRPr="00A935AA">
              <w:rPr>
                <w:sz w:val="20"/>
                <w:szCs w:val="20"/>
              </w:rPr>
              <w:tab/>
            </w:r>
            <w:r>
              <w:rPr>
                <w:sz w:val="20"/>
                <w:szCs w:val="20"/>
              </w:rPr>
              <w:t>Margaret Gallagher, Q.C.</w:t>
            </w:r>
          </w:p>
          <w:p w:rsidR="00B632E8" w:rsidRPr="00A40F5B" w:rsidRDefault="00B632E8" w:rsidP="00B632E8">
            <w:pPr>
              <w:tabs>
                <w:tab w:val="left" w:pos="-1440"/>
                <w:tab w:val="left" w:pos="-720"/>
              </w:tabs>
              <w:ind w:left="720"/>
              <w:rPr>
                <w:sz w:val="20"/>
                <w:szCs w:val="20"/>
              </w:rPr>
            </w:pPr>
            <w:r>
              <w:rPr>
                <w:sz w:val="20"/>
                <w:szCs w:val="20"/>
              </w:rPr>
              <w:t>New Brunswick Legal Aid Services Commission</w:t>
            </w:r>
          </w:p>
          <w:p w:rsidR="00B632E8" w:rsidRPr="00A40F5B" w:rsidRDefault="00B632E8" w:rsidP="00B632E8">
            <w:pPr>
              <w:tabs>
                <w:tab w:val="left" w:pos="-1440"/>
                <w:tab w:val="left" w:pos="-720"/>
              </w:tabs>
              <w:rPr>
                <w:sz w:val="20"/>
                <w:szCs w:val="20"/>
              </w:rPr>
            </w:pPr>
          </w:p>
          <w:p w:rsidR="00B632E8" w:rsidRPr="00A40F5B" w:rsidRDefault="00B632E8" w:rsidP="00B632E8">
            <w:pPr>
              <w:tabs>
                <w:tab w:val="left" w:pos="-1440"/>
                <w:tab w:val="left" w:pos="-720"/>
              </w:tabs>
              <w:rPr>
                <w:sz w:val="20"/>
                <w:szCs w:val="20"/>
              </w:rPr>
            </w:pPr>
            <w:r>
              <w:rPr>
                <w:sz w:val="20"/>
                <w:szCs w:val="20"/>
              </w:rPr>
              <w:tab/>
              <w:t>v. (38274)</w:t>
            </w:r>
          </w:p>
          <w:p w:rsidR="00B632E8" w:rsidRPr="00A40F5B" w:rsidRDefault="00B632E8" w:rsidP="00B632E8">
            <w:pPr>
              <w:tabs>
                <w:tab w:val="left" w:pos="-1440"/>
                <w:tab w:val="left" w:pos="-720"/>
              </w:tabs>
              <w:rPr>
                <w:sz w:val="20"/>
                <w:szCs w:val="20"/>
              </w:rPr>
            </w:pPr>
          </w:p>
          <w:p w:rsidR="00B632E8" w:rsidRPr="00A935AA" w:rsidRDefault="00B632E8" w:rsidP="00B632E8">
            <w:pPr>
              <w:tabs>
                <w:tab w:val="left" w:pos="-1440"/>
                <w:tab w:val="left" w:pos="-720"/>
              </w:tabs>
              <w:rPr>
                <w:b/>
                <w:sz w:val="20"/>
                <w:szCs w:val="20"/>
              </w:rPr>
            </w:pPr>
            <w:r>
              <w:rPr>
                <w:b/>
                <w:sz w:val="20"/>
                <w:szCs w:val="20"/>
              </w:rPr>
              <w:t>Her Majesty the Queen</w:t>
            </w:r>
            <w:r w:rsidRPr="00A40F5B">
              <w:rPr>
                <w:sz w:val="20"/>
                <w:szCs w:val="20"/>
              </w:rPr>
              <w:t xml:space="preserve"> </w:t>
            </w:r>
            <w:r w:rsidRPr="00A935AA">
              <w:rPr>
                <w:b/>
                <w:sz w:val="20"/>
                <w:szCs w:val="20"/>
              </w:rPr>
              <w:t>(</w:t>
            </w:r>
            <w:r>
              <w:rPr>
                <w:b/>
                <w:sz w:val="20"/>
                <w:szCs w:val="20"/>
              </w:rPr>
              <w:t>N.B.</w:t>
            </w:r>
            <w:r w:rsidRPr="00A935AA">
              <w:rPr>
                <w:b/>
                <w:sz w:val="20"/>
                <w:szCs w:val="20"/>
              </w:rPr>
              <w:t>)</w:t>
            </w:r>
          </w:p>
          <w:p w:rsidR="00B632E8" w:rsidRPr="00A935AA" w:rsidRDefault="00B632E8" w:rsidP="00B632E8">
            <w:pPr>
              <w:tabs>
                <w:tab w:val="left" w:pos="-1440"/>
                <w:tab w:val="left" w:pos="-720"/>
              </w:tabs>
              <w:rPr>
                <w:sz w:val="20"/>
                <w:szCs w:val="20"/>
              </w:rPr>
            </w:pPr>
            <w:r w:rsidRPr="00A935AA">
              <w:rPr>
                <w:sz w:val="20"/>
                <w:szCs w:val="20"/>
              </w:rPr>
              <w:tab/>
            </w:r>
            <w:r>
              <w:rPr>
                <w:sz w:val="20"/>
                <w:szCs w:val="20"/>
              </w:rPr>
              <w:t>Kathryn A. Gregory, Q.C.</w:t>
            </w:r>
          </w:p>
          <w:p w:rsidR="00B632E8" w:rsidRDefault="00B632E8" w:rsidP="00B632E8">
            <w:pPr>
              <w:tabs>
                <w:tab w:val="left" w:pos="-1440"/>
                <w:tab w:val="left" w:pos="-720"/>
              </w:tabs>
              <w:ind w:left="720"/>
              <w:rPr>
                <w:sz w:val="20"/>
                <w:szCs w:val="20"/>
              </w:rPr>
            </w:pPr>
            <w:r>
              <w:rPr>
                <w:sz w:val="20"/>
                <w:szCs w:val="20"/>
              </w:rPr>
              <w:t>Public Prosecution Service of Canada</w:t>
            </w:r>
          </w:p>
          <w:p w:rsidR="00B632E8" w:rsidRPr="00A935AA" w:rsidRDefault="00B632E8" w:rsidP="00B632E8">
            <w:pPr>
              <w:tabs>
                <w:tab w:val="left" w:pos="-1440"/>
                <w:tab w:val="left" w:pos="-720"/>
              </w:tabs>
              <w:rPr>
                <w:sz w:val="20"/>
                <w:szCs w:val="20"/>
              </w:rPr>
            </w:pPr>
          </w:p>
          <w:p w:rsidR="00B632E8" w:rsidRPr="00A935AA" w:rsidRDefault="00B632E8" w:rsidP="00B632E8">
            <w:pPr>
              <w:rPr>
                <w:sz w:val="20"/>
                <w:szCs w:val="20"/>
              </w:rPr>
            </w:pPr>
            <w:r w:rsidRPr="00A935AA">
              <w:rPr>
                <w:sz w:val="20"/>
                <w:szCs w:val="20"/>
              </w:rPr>
              <w:t xml:space="preserve">FILING DATE: </w:t>
            </w:r>
            <w:r>
              <w:rPr>
                <w:sz w:val="20"/>
                <w:szCs w:val="20"/>
              </w:rPr>
              <w:t>04</w:t>
            </w:r>
            <w:r w:rsidRPr="00A935AA">
              <w:rPr>
                <w:sz w:val="20"/>
                <w:szCs w:val="20"/>
              </w:rPr>
              <w:t>.</w:t>
            </w:r>
            <w:r>
              <w:rPr>
                <w:sz w:val="20"/>
                <w:szCs w:val="20"/>
              </w:rPr>
              <w:t>09</w:t>
            </w:r>
            <w:r w:rsidRPr="00A935AA">
              <w:rPr>
                <w:sz w:val="20"/>
                <w:szCs w:val="20"/>
              </w:rPr>
              <w:t>.</w:t>
            </w:r>
            <w:r>
              <w:rPr>
                <w:sz w:val="20"/>
                <w:szCs w:val="20"/>
              </w:rPr>
              <w:t>2018</w:t>
            </w:r>
          </w:p>
          <w:p w:rsidR="00B632E8" w:rsidRDefault="00F13243" w:rsidP="00B632E8">
            <w:pPr>
              <w:rPr>
                <w:sz w:val="20"/>
                <w:szCs w:val="20"/>
                <w:lang w:val="fr-CA"/>
              </w:rPr>
            </w:pPr>
            <w:r>
              <w:rPr>
                <w:sz w:val="20"/>
                <w:szCs w:val="20"/>
                <w:lang w:val="fr-CA"/>
              </w:rPr>
              <w:pict w14:anchorId="04D01416">
                <v:rect id="_x0000_i1038" style="width:108pt;height:1pt" o:hrpct="0" o:hralign="center" o:hrstd="t" o:hrnoshade="t" o:hr="t" fillcolor="black [3213]" stroked="f"/>
              </w:pict>
            </w:r>
          </w:p>
          <w:p w:rsidR="00B632E8" w:rsidRDefault="00B632E8" w:rsidP="00B632E8">
            <w:pPr>
              <w:rPr>
                <w:b/>
                <w:sz w:val="20"/>
                <w:szCs w:val="20"/>
              </w:rPr>
            </w:pPr>
          </w:p>
        </w:tc>
        <w:tc>
          <w:tcPr>
            <w:tcW w:w="1181" w:type="dxa"/>
            <w:shd w:val="clear" w:color="auto" w:fill="auto"/>
          </w:tcPr>
          <w:p w:rsidR="00B632E8" w:rsidRPr="00A935AA" w:rsidRDefault="00B632E8" w:rsidP="00B632E8">
            <w:pPr>
              <w:jc w:val="center"/>
              <w:rPr>
                <w:sz w:val="20"/>
                <w:szCs w:val="20"/>
              </w:rPr>
            </w:pPr>
          </w:p>
        </w:tc>
        <w:tc>
          <w:tcPr>
            <w:tcW w:w="4320" w:type="dxa"/>
            <w:shd w:val="clear" w:color="auto" w:fill="auto"/>
          </w:tcPr>
          <w:p w:rsidR="00B632E8" w:rsidRPr="00A935AA" w:rsidRDefault="00B632E8" w:rsidP="00B632E8">
            <w:pPr>
              <w:rPr>
                <w:b/>
                <w:sz w:val="20"/>
                <w:szCs w:val="20"/>
              </w:rPr>
            </w:pPr>
            <w:r>
              <w:rPr>
                <w:b/>
                <w:sz w:val="20"/>
                <w:szCs w:val="20"/>
              </w:rPr>
              <w:t xml:space="preserve">Aider Abdel </w:t>
            </w:r>
            <w:proofErr w:type="spellStart"/>
            <w:r>
              <w:rPr>
                <w:b/>
                <w:sz w:val="20"/>
                <w:szCs w:val="20"/>
              </w:rPr>
              <w:t>Kadder</w:t>
            </w:r>
            <w:proofErr w:type="spellEnd"/>
          </w:p>
          <w:p w:rsidR="00B632E8" w:rsidRPr="00A935AA" w:rsidRDefault="00B632E8" w:rsidP="00B632E8">
            <w:pPr>
              <w:tabs>
                <w:tab w:val="left" w:pos="-1440"/>
                <w:tab w:val="left" w:pos="-720"/>
              </w:tabs>
              <w:rPr>
                <w:sz w:val="20"/>
                <w:szCs w:val="20"/>
              </w:rPr>
            </w:pPr>
            <w:r w:rsidRPr="00A935AA">
              <w:rPr>
                <w:sz w:val="20"/>
                <w:szCs w:val="20"/>
              </w:rPr>
              <w:tab/>
            </w:r>
            <w:r>
              <w:rPr>
                <w:sz w:val="20"/>
                <w:szCs w:val="20"/>
              </w:rPr>
              <w:t xml:space="preserve">Pia </w:t>
            </w:r>
            <w:proofErr w:type="spellStart"/>
            <w:r w:rsidR="002A48F4">
              <w:rPr>
                <w:sz w:val="20"/>
                <w:szCs w:val="20"/>
              </w:rPr>
              <w:t>Zambelli</w:t>
            </w:r>
            <w:proofErr w:type="spellEnd"/>
          </w:p>
          <w:p w:rsidR="00B632E8" w:rsidRPr="00A40F5B" w:rsidRDefault="00B632E8" w:rsidP="00B632E8">
            <w:pPr>
              <w:tabs>
                <w:tab w:val="left" w:pos="-1440"/>
                <w:tab w:val="left" w:pos="-720"/>
              </w:tabs>
              <w:rPr>
                <w:sz w:val="20"/>
                <w:szCs w:val="20"/>
              </w:rPr>
            </w:pPr>
          </w:p>
          <w:p w:rsidR="00B632E8" w:rsidRPr="00A40F5B" w:rsidRDefault="00B632E8" w:rsidP="00B632E8">
            <w:pPr>
              <w:tabs>
                <w:tab w:val="left" w:pos="-1440"/>
                <w:tab w:val="left" w:pos="-720"/>
              </w:tabs>
              <w:rPr>
                <w:sz w:val="20"/>
                <w:szCs w:val="20"/>
              </w:rPr>
            </w:pPr>
            <w:r>
              <w:rPr>
                <w:sz w:val="20"/>
                <w:szCs w:val="20"/>
              </w:rPr>
              <w:tab/>
              <w:t>v. (38272</w:t>
            </w:r>
            <w:r w:rsidRPr="00A40F5B">
              <w:rPr>
                <w:sz w:val="20"/>
                <w:szCs w:val="20"/>
              </w:rPr>
              <w:t>)</w:t>
            </w:r>
          </w:p>
          <w:p w:rsidR="00B632E8" w:rsidRPr="00A40F5B" w:rsidRDefault="00B632E8" w:rsidP="00B632E8">
            <w:pPr>
              <w:tabs>
                <w:tab w:val="left" w:pos="-1440"/>
                <w:tab w:val="left" w:pos="-720"/>
              </w:tabs>
              <w:rPr>
                <w:sz w:val="20"/>
                <w:szCs w:val="20"/>
              </w:rPr>
            </w:pPr>
          </w:p>
          <w:p w:rsidR="00B632E8" w:rsidRPr="00A935AA" w:rsidRDefault="00B632E8" w:rsidP="00B632E8">
            <w:pPr>
              <w:tabs>
                <w:tab w:val="left" w:pos="-1440"/>
                <w:tab w:val="left" w:pos="-720"/>
              </w:tabs>
              <w:rPr>
                <w:b/>
                <w:sz w:val="20"/>
                <w:szCs w:val="20"/>
              </w:rPr>
            </w:pPr>
            <w:r>
              <w:rPr>
                <w:b/>
                <w:sz w:val="20"/>
                <w:szCs w:val="20"/>
              </w:rPr>
              <w:t>Her Majesty the Queen</w:t>
            </w:r>
            <w:r w:rsidRPr="00A40F5B">
              <w:rPr>
                <w:sz w:val="20"/>
                <w:szCs w:val="20"/>
              </w:rPr>
              <w:t xml:space="preserve"> </w:t>
            </w:r>
            <w:r w:rsidRPr="00A935AA">
              <w:rPr>
                <w:b/>
                <w:sz w:val="20"/>
                <w:szCs w:val="20"/>
              </w:rPr>
              <w:t>(</w:t>
            </w:r>
            <w:r>
              <w:rPr>
                <w:b/>
                <w:sz w:val="20"/>
                <w:szCs w:val="20"/>
              </w:rPr>
              <w:t>Que.</w:t>
            </w:r>
            <w:r w:rsidRPr="00A935AA">
              <w:rPr>
                <w:b/>
                <w:sz w:val="20"/>
                <w:szCs w:val="20"/>
              </w:rPr>
              <w:t>)</w:t>
            </w:r>
          </w:p>
          <w:p w:rsidR="00B632E8" w:rsidRPr="00B632E8" w:rsidRDefault="00B632E8" w:rsidP="00B632E8">
            <w:pPr>
              <w:tabs>
                <w:tab w:val="left" w:pos="-1440"/>
                <w:tab w:val="left" w:pos="-720"/>
              </w:tabs>
              <w:rPr>
                <w:sz w:val="20"/>
                <w:szCs w:val="20"/>
                <w:lang w:val="fr-CA"/>
              </w:rPr>
            </w:pPr>
            <w:r w:rsidRPr="00A935AA">
              <w:rPr>
                <w:sz w:val="20"/>
                <w:szCs w:val="20"/>
              </w:rPr>
              <w:tab/>
            </w:r>
            <w:r w:rsidRPr="00B632E8">
              <w:rPr>
                <w:sz w:val="20"/>
                <w:szCs w:val="20"/>
                <w:lang w:val="fr-CA"/>
              </w:rPr>
              <w:t>Laurent-Alexandre Duclos-Bélanger</w:t>
            </w:r>
          </w:p>
          <w:p w:rsidR="00B632E8" w:rsidRPr="00B632E8" w:rsidRDefault="00B632E8" w:rsidP="00B632E8">
            <w:pPr>
              <w:tabs>
                <w:tab w:val="left" w:pos="-1440"/>
                <w:tab w:val="left" w:pos="-720"/>
              </w:tabs>
              <w:ind w:left="720"/>
              <w:rPr>
                <w:sz w:val="20"/>
                <w:szCs w:val="20"/>
                <w:lang w:val="fr-CA"/>
              </w:rPr>
            </w:pPr>
            <w:r w:rsidRPr="00B632E8">
              <w:rPr>
                <w:sz w:val="20"/>
                <w:szCs w:val="20"/>
                <w:lang w:val="fr-CA"/>
              </w:rPr>
              <w:t>Directeur des poursuites criminelles et pénales du Québec</w:t>
            </w:r>
          </w:p>
          <w:p w:rsidR="00B632E8" w:rsidRPr="00B632E8" w:rsidRDefault="00B632E8" w:rsidP="00B632E8">
            <w:pPr>
              <w:tabs>
                <w:tab w:val="left" w:pos="-1440"/>
                <w:tab w:val="left" w:pos="-720"/>
              </w:tabs>
              <w:rPr>
                <w:sz w:val="20"/>
                <w:szCs w:val="20"/>
                <w:lang w:val="fr-CA"/>
              </w:rPr>
            </w:pPr>
          </w:p>
          <w:p w:rsidR="00B632E8" w:rsidRPr="00A935AA" w:rsidRDefault="00B632E8" w:rsidP="00B632E8">
            <w:pPr>
              <w:rPr>
                <w:sz w:val="20"/>
                <w:szCs w:val="20"/>
              </w:rPr>
            </w:pPr>
            <w:r w:rsidRPr="00A935AA">
              <w:rPr>
                <w:sz w:val="20"/>
                <w:szCs w:val="20"/>
              </w:rPr>
              <w:t xml:space="preserve">FILING DATE: </w:t>
            </w:r>
            <w:r>
              <w:rPr>
                <w:sz w:val="20"/>
                <w:szCs w:val="20"/>
              </w:rPr>
              <w:t>31</w:t>
            </w:r>
            <w:r w:rsidRPr="00A935AA">
              <w:rPr>
                <w:sz w:val="20"/>
                <w:szCs w:val="20"/>
              </w:rPr>
              <w:t>.</w:t>
            </w:r>
            <w:r>
              <w:rPr>
                <w:sz w:val="20"/>
                <w:szCs w:val="20"/>
              </w:rPr>
              <w:t>08</w:t>
            </w:r>
            <w:r w:rsidRPr="00A935AA">
              <w:rPr>
                <w:sz w:val="20"/>
                <w:szCs w:val="20"/>
              </w:rPr>
              <w:t>.</w:t>
            </w:r>
            <w:r>
              <w:rPr>
                <w:sz w:val="20"/>
                <w:szCs w:val="20"/>
              </w:rPr>
              <w:t>2018</w:t>
            </w:r>
          </w:p>
          <w:p w:rsidR="00B632E8" w:rsidRDefault="00F13243" w:rsidP="00B632E8">
            <w:pPr>
              <w:rPr>
                <w:b/>
                <w:sz w:val="20"/>
                <w:szCs w:val="20"/>
              </w:rPr>
            </w:pPr>
            <w:r>
              <w:rPr>
                <w:sz w:val="20"/>
                <w:szCs w:val="20"/>
                <w:lang w:val="fr-CA"/>
              </w:rPr>
              <w:pict w14:anchorId="21B00CB5">
                <v:rect id="_x0000_i1039" style="width:108pt;height:1pt" o:hrpct="0" o:hralign="center" o:hrstd="t" o:hrnoshade="t" o:hr="t" fillcolor="black [3213]" stroked="f"/>
              </w:pict>
            </w:r>
          </w:p>
        </w:tc>
      </w:tr>
      <w:tr w:rsidR="005F5535" w:rsidRPr="00A935AA" w:rsidTr="003B3977">
        <w:tc>
          <w:tcPr>
            <w:tcW w:w="4320" w:type="dxa"/>
            <w:shd w:val="clear" w:color="auto" w:fill="auto"/>
          </w:tcPr>
          <w:p w:rsidR="005F5535" w:rsidRDefault="005F5535" w:rsidP="005F5535">
            <w:pPr>
              <w:rPr>
                <w:sz w:val="20"/>
                <w:szCs w:val="20"/>
                <w:lang w:val="fr-CA"/>
              </w:rPr>
            </w:pPr>
          </w:p>
          <w:p w:rsidR="00801E07" w:rsidRPr="00A935AA" w:rsidRDefault="00801E07" w:rsidP="00801E07">
            <w:pPr>
              <w:rPr>
                <w:b/>
                <w:sz w:val="20"/>
                <w:szCs w:val="20"/>
              </w:rPr>
            </w:pPr>
            <w:r>
              <w:rPr>
                <w:b/>
                <w:sz w:val="20"/>
                <w:szCs w:val="20"/>
              </w:rPr>
              <w:lastRenderedPageBreak/>
              <w:t>L.H.</w:t>
            </w:r>
          </w:p>
          <w:p w:rsidR="00801E07" w:rsidRPr="00A935AA" w:rsidRDefault="00801E07" w:rsidP="00801E07">
            <w:pPr>
              <w:tabs>
                <w:tab w:val="left" w:pos="-1440"/>
                <w:tab w:val="left" w:pos="-720"/>
              </w:tabs>
              <w:rPr>
                <w:sz w:val="20"/>
                <w:szCs w:val="20"/>
              </w:rPr>
            </w:pPr>
            <w:r w:rsidRPr="00A935AA">
              <w:rPr>
                <w:sz w:val="20"/>
                <w:szCs w:val="20"/>
              </w:rPr>
              <w:tab/>
            </w:r>
            <w:r>
              <w:rPr>
                <w:sz w:val="20"/>
                <w:szCs w:val="20"/>
              </w:rPr>
              <w:t>Fiona Robin</w:t>
            </w:r>
          </w:p>
          <w:p w:rsidR="00801E07" w:rsidRPr="00A40F5B" w:rsidRDefault="00801E07" w:rsidP="00801E07">
            <w:pPr>
              <w:tabs>
                <w:tab w:val="left" w:pos="-1440"/>
                <w:tab w:val="left" w:pos="-720"/>
              </w:tabs>
              <w:ind w:left="720"/>
              <w:rPr>
                <w:sz w:val="20"/>
                <w:szCs w:val="20"/>
              </w:rPr>
            </w:pPr>
            <w:r>
              <w:rPr>
                <w:sz w:val="20"/>
                <w:szCs w:val="20"/>
              </w:rPr>
              <w:t xml:space="preserve">Schuman </w:t>
            </w:r>
            <w:proofErr w:type="spellStart"/>
            <w:r>
              <w:rPr>
                <w:sz w:val="20"/>
                <w:szCs w:val="20"/>
              </w:rPr>
              <w:t>Daltrop</w:t>
            </w:r>
            <w:proofErr w:type="spellEnd"/>
            <w:r>
              <w:rPr>
                <w:sz w:val="20"/>
                <w:szCs w:val="20"/>
              </w:rPr>
              <w:t xml:space="preserve"> </w:t>
            </w:r>
            <w:proofErr w:type="spellStart"/>
            <w:r>
              <w:rPr>
                <w:sz w:val="20"/>
                <w:szCs w:val="20"/>
              </w:rPr>
              <w:t>Basran</w:t>
            </w:r>
            <w:proofErr w:type="spellEnd"/>
            <w:r>
              <w:rPr>
                <w:sz w:val="20"/>
                <w:szCs w:val="20"/>
              </w:rPr>
              <w:t xml:space="preserve"> &amp; Robin</w:t>
            </w:r>
          </w:p>
          <w:p w:rsidR="00801E07" w:rsidRPr="00A40F5B" w:rsidRDefault="00801E07" w:rsidP="00801E07">
            <w:pPr>
              <w:tabs>
                <w:tab w:val="left" w:pos="-1440"/>
                <w:tab w:val="left" w:pos="-720"/>
              </w:tabs>
              <w:rPr>
                <w:sz w:val="20"/>
                <w:szCs w:val="20"/>
              </w:rPr>
            </w:pPr>
          </w:p>
          <w:p w:rsidR="00801E07" w:rsidRPr="00A40F5B" w:rsidRDefault="00801E07" w:rsidP="00801E07">
            <w:pPr>
              <w:tabs>
                <w:tab w:val="left" w:pos="-1440"/>
                <w:tab w:val="left" w:pos="-720"/>
              </w:tabs>
              <w:rPr>
                <w:sz w:val="20"/>
                <w:szCs w:val="20"/>
              </w:rPr>
            </w:pPr>
            <w:r>
              <w:rPr>
                <w:sz w:val="20"/>
                <w:szCs w:val="20"/>
              </w:rPr>
              <w:tab/>
              <w:t>v. (38253)</w:t>
            </w:r>
          </w:p>
          <w:p w:rsidR="00801E07" w:rsidRPr="00A40F5B" w:rsidRDefault="00801E07" w:rsidP="00801E07">
            <w:pPr>
              <w:tabs>
                <w:tab w:val="left" w:pos="-1440"/>
                <w:tab w:val="left" w:pos="-720"/>
              </w:tabs>
              <w:rPr>
                <w:sz w:val="20"/>
                <w:szCs w:val="20"/>
              </w:rPr>
            </w:pPr>
          </w:p>
          <w:p w:rsidR="00801E07" w:rsidRPr="00A935AA" w:rsidRDefault="00801E07" w:rsidP="00801E07">
            <w:pPr>
              <w:tabs>
                <w:tab w:val="left" w:pos="-1440"/>
                <w:tab w:val="left" w:pos="-720"/>
              </w:tabs>
              <w:rPr>
                <w:b/>
                <w:sz w:val="20"/>
                <w:szCs w:val="20"/>
              </w:rPr>
            </w:pPr>
            <w:r>
              <w:rPr>
                <w:b/>
                <w:sz w:val="20"/>
                <w:szCs w:val="20"/>
              </w:rPr>
              <w:t>K.W.</w:t>
            </w:r>
            <w:r w:rsidRPr="00A40F5B">
              <w:rPr>
                <w:sz w:val="20"/>
                <w:szCs w:val="20"/>
              </w:rPr>
              <w:t xml:space="preserve"> </w:t>
            </w:r>
            <w:r w:rsidRPr="00A935AA">
              <w:rPr>
                <w:b/>
                <w:sz w:val="20"/>
                <w:szCs w:val="20"/>
              </w:rPr>
              <w:t>(</w:t>
            </w:r>
            <w:r>
              <w:rPr>
                <w:b/>
                <w:sz w:val="20"/>
                <w:szCs w:val="20"/>
              </w:rPr>
              <w:t>B.C.</w:t>
            </w:r>
            <w:r w:rsidRPr="00A935AA">
              <w:rPr>
                <w:b/>
                <w:sz w:val="20"/>
                <w:szCs w:val="20"/>
              </w:rPr>
              <w:t>)</w:t>
            </w:r>
          </w:p>
          <w:p w:rsidR="00801E07" w:rsidRPr="00A935AA" w:rsidRDefault="00801E07" w:rsidP="00801E07">
            <w:pPr>
              <w:tabs>
                <w:tab w:val="left" w:pos="-1440"/>
                <w:tab w:val="left" w:pos="-720"/>
              </w:tabs>
              <w:rPr>
                <w:sz w:val="20"/>
                <w:szCs w:val="20"/>
              </w:rPr>
            </w:pPr>
            <w:r w:rsidRPr="00A935AA">
              <w:rPr>
                <w:sz w:val="20"/>
                <w:szCs w:val="20"/>
              </w:rPr>
              <w:tab/>
            </w:r>
            <w:r>
              <w:rPr>
                <w:sz w:val="20"/>
                <w:szCs w:val="20"/>
              </w:rPr>
              <w:t>Shawna L. Specht</w:t>
            </w:r>
          </w:p>
          <w:p w:rsidR="00801E07" w:rsidRPr="00A935AA" w:rsidRDefault="00801E07" w:rsidP="00801E07">
            <w:pPr>
              <w:tabs>
                <w:tab w:val="left" w:pos="-1440"/>
                <w:tab w:val="left" w:pos="-720"/>
              </w:tabs>
              <w:rPr>
                <w:sz w:val="20"/>
                <w:szCs w:val="20"/>
              </w:rPr>
            </w:pPr>
          </w:p>
          <w:p w:rsidR="00801E07" w:rsidRPr="00A935AA" w:rsidRDefault="00801E07" w:rsidP="00801E07">
            <w:pPr>
              <w:rPr>
                <w:sz w:val="20"/>
                <w:szCs w:val="20"/>
              </w:rPr>
            </w:pPr>
            <w:r w:rsidRPr="00A935AA">
              <w:rPr>
                <w:sz w:val="20"/>
                <w:szCs w:val="20"/>
              </w:rPr>
              <w:t xml:space="preserve">FILING DATE: </w:t>
            </w:r>
            <w:r>
              <w:rPr>
                <w:sz w:val="20"/>
                <w:szCs w:val="20"/>
              </w:rPr>
              <w:t>22</w:t>
            </w:r>
            <w:r w:rsidRPr="00A935AA">
              <w:rPr>
                <w:sz w:val="20"/>
                <w:szCs w:val="20"/>
              </w:rPr>
              <w:t>.</w:t>
            </w:r>
            <w:r>
              <w:rPr>
                <w:sz w:val="20"/>
                <w:szCs w:val="20"/>
              </w:rPr>
              <w:t>08</w:t>
            </w:r>
            <w:r w:rsidRPr="00A935AA">
              <w:rPr>
                <w:sz w:val="20"/>
                <w:szCs w:val="20"/>
              </w:rPr>
              <w:t>.</w:t>
            </w:r>
            <w:r>
              <w:rPr>
                <w:sz w:val="20"/>
                <w:szCs w:val="20"/>
              </w:rPr>
              <w:t>2018</w:t>
            </w:r>
          </w:p>
          <w:p w:rsidR="003310D6" w:rsidRDefault="00F13243" w:rsidP="00801E07">
            <w:pPr>
              <w:rPr>
                <w:sz w:val="20"/>
                <w:szCs w:val="20"/>
                <w:lang w:val="fr-CA"/>
              </w:rPr>
            </w:pPr>
            <w:r>
              <w:rPr>
                <w:sz w:val="20"/>
                <w:szCs w:val="20"/>
                <w:lang w:val="fr-CA"/>
              </w:rPr>
              <w:pict>
                <v:rect id="_x0000_i1040" style="width:108pt;height:1pt" o:hrpct="0" o:hralign="center" o:hrstd="t" o:hrnoshade="t" o:hr="t" fillcolor="black [3213]" stroked="f"/>
              </w:pict>
            </w:r>
          </w:p>
          <w:p w:rsidR="00801E07" w:rsidRDefault="00801E07" w:rsidP="00801E07">
            <w:pPr>
              <w:rPr>
                <w:b/>
                <w:sz w:val="20"/>
                <w:szCs w:val="20"/>
              </w:rPr>
            </w:pPr>
          </w:p>
        </w:tc>
        <w:tc>
          <w:tcPr>
            <w:tcW w:w="1181" w:type="dxa"/>
            <w:shd w:val="clear" w:color="auto" w:fill="auto"/>
          </w:tcPr>
          <w:p w:rsidR="005F5535" w:rsidRPr="00A935AA" w:rsidRDefault="005F5535" w:rsidP="005F5535">
            <w:pPr>
              <w:jc w:val="center"/>
              <w:rPr>
                <w:sz w:val="20"/>
                <w:szCs w:val="20"/>
              </w:rPr>
            </w:pPr>
          </w:p>
        </w:tc>
        <w:tc>
          <w:tcPr>
            <w:tcW w:w="4320" w:type="dxa"/>
            <w:shd w:val="clear" w:color="auto" w:fill="auto"/>
          </w:tcPr>
          <w:p w:rsidR="002A48F4" w:rsidRDefault="002A48F4" w:rsidP="005F5535">
            <w:pPr>
              <w:rPr>
                <w:b/>
                <w:sz w:val="20"/>
                <w:szCs w:val="20"/>
                <w:lang w:val="fr-CA"/>
              </w:rPr>
            </w:pPr>
          </w:p>
          <w:p w:rsidR="005F5535" w:rsidRPr="005F5535" w:rsidRDefault="005F5535" w:rsidP="005F5535">
            <w:pPr>
              <w:rPr>
                <w:b/>
                <w:sz w:val="20"/>
                <w:szCs w:val="20"/>
                <w:lang w:val="fr-CA"/>
              </w:rPr>
            </w:pPr>
            <w:r w:rsidRPr="005F5535">
              <w:rPr>
                <w:b/>
                <w:sz w:val="20"/>
                <w:szCs w:val="20"/>
                <w:lang w:val="fr-CA"/>
              </w:rPr>
              <w:lastRenderedPageBreak/>
              <w:t xml:space="preserve">9280-1331 Québec </w:t>
            </w:r>
            <w:proofErr w:type="spellStart"/>
            <w:r w:rsidRPr="005F5535">
              <w:rPr>
                <w:b/>
                <w:sz w:val="20"/>
                <w:szCs w:val="20"/>
                <w:lang w:val="fr-CA"/>
              </w:rPr>
              <w:t>inc.</w:t>
            </w:r>
            <w:proofErr w:type="spellEnd"/>
          </w:p>
          <w:p w:rsidR="005F5535" w:rsidRPr="005F5535" w:rsidRDefault="005F5535" w:rsidP="005F5535">
            <w:pPr>
              <w:tabs>
                <w:tab w:val="left" w:pos="-1440"/>
                <w:tab w:val="left" w:pos="-720"/>
              </w:tabs>
              <w:rPr>
                <w:sz w:val="20"/>
                <w:szCs w:val="20"/>
                <w:lang w:val="fr-CA"/>
              </w:rPr>
            </w:pPr>
            <w:r w:rsidRPr="005F5535">
              <w:rPr>
                <w:sz w:val="20"/>
                <w:szCs w:val="20"/>
                <w:lang w:val="fr-CA"/>
              </w:rPr>
              <w:tab/>
              <w:t>Nina Fernandez</w:t>
            </w:r>
          </w:p>
          <w:p w:rsidR="005F5535" w:rsidRPr="005F5535" w:rsidRDefault="005F5535" w:rsidP="005F5535">
            <w:pPr>
              <w:tabs>
                <w:tab w:val="left" w:pos="-1440"/>
                <w:tab w:val="left" w:pos="-720"/>
              </w:tabs>
              <w:ind w:left="720"/>
              <w:rPr>
                <w:sz w:val="20"/>
                <w:szCs w:val="20"/>
                <w:lang w:val="fr-CA"/>
              </w:rPr>
            </w:pPr>
            <w:r w:rsidRPr="005F5535">
              <w:rPr>
                <w:sz w:val="20"/>
                <w:szCs w:val="20"/>
                <w:lang w:val="fr-CA"/>
              </w:rPr>
              <w:t>FNC Avocats</w:t>
            </w:r>
          </w:p>
          <w:p w:rsidR="005F5535" w:rsidRPr="005F5535" w:rsidRDefault="005F5535" w:rsidP="005F5535">
            <w:pPr>
              <w:tabs>
                <w:tab w:val="left" w:pos="-1440"/>
                <w:tab w:val="left" w:pos="-720"/>
              </w:tabs>
              <w:rPr>
                <w:sz w:val="20"/>
                <w:szCs w:val="20"/>
                <w:lang w:val="fr-CA"/>
              </w:rPr>
            </w:pPr>
          </w:p>
          <w:p w:rsidR="005F5535" w:rsidRPr="005F5535" w:rsidRDefault="005F5535" w:rsidP="005F5535">
            <w:pPr>
              <w:tabs>
                <w:tab w:val="left" w:pos="-1440"/>
                <w:tab w:val="left" w:pos="-720"/>
              </w:tabs>
              <w:rPr>
                <w:sz w:val="20"/>
                <w:szCs w:val="20"/>
                <w:lang w:val="fr-CA"/>
              </w:rPr>
            </w:pPr>
            <w:r w:rsidRPr="005F5535">
              <w:rPr>
                <w:sz w:val="20"/>
                <w:szCs w:val="20"/>
                <w:lang w:val="fr-CA"/>
              </w:rPr>
              <w:tab/>
            </w:r>
            <w:r>
              <w:rPr>
                <w:sz w:val="20"/>
                <w:szCs w:val="20"/>
                <w:lang w:val="fr-CA"/>
              </w:rPr>
              <w:t>c</w:t>
            </w:r>
            <w:r w:rsidRPr="005F5535">
              <w:rPr>
                <w:sz w:val="20"/>
                <w:szCs w:val="20"/>
                <w:lang w:val="fr-CA"/>
              </w:rPr>
              <w:t>. (38249)</w:t>
            </w:r>
          </w:p>
          <w:p w:rsidR="005F5535" w:rsidRPr="005F5535" w:rsidRDefault="005F5535" w:rsidP="005F5535">
            <w:pPr>
              <w:tabs>
                <w:tab w:val="left" w:pos="-1440"/>
                <w:tab w:val="left" w:pos="-720"/>
              </w:tabs>
              <w:rPr>
                <w:sz w:val="20"/>
                <w:szCs w:val="20"/>
                <w:lang w:val="fr-CA"/>
              </w:rPr>
            </w:pPr>
          </w:p>
          <w:p w:rsidR="005F5535" w:rsidRPr="005F5535" w:rsidRDefault="005F5535" w:rsidP="005F5535">
            <w:pPr>
              <w:tabs>
                <w:tab w:val="left" w:pos="-1440"/>
                <w:tab w:val="left" w:pos="-720"/>
              </w:tabs>
              <w:rPr>
                <w:b/>
                <w:sz w:val="20"/>
                <w:szCs w:val="20"/>
                <w:lang w:val="fr-CA"/>
              </w:rPr>
            </w:pPr>
            <w:r w:rsidRPr="005F5535">
              <w:rPr>
                <w:b/>
                <w:sz w:val="20"/>
                <w:szCs w:val="20"/>
                <w:lang w:val="fr-CA"/>
              </w:rPr>
              <w:t>Ville de Montréal</w:t>
            </w:r>
            <w:r w:rsidRPr="005F5535">
              <w:rPr>
                <w:sz w:val="20"/>
                <w:szCs w:val="20"/>
                <w:lang w:val="fr-CA"/>
              </w:rPr>
              <w:t xml:space="preserve"> </w:t>
            </w:r>
            <w:r w:rsidRPr="005F5535">
              <w:rPr>
                <w:b/>
                <w:sz w:val="20"/>
                <w:szCs w:val="20"/>
                <w:lang w:val="fr-CA"/>
              </w:rPr>
              <w:t>(Qc)</w:t>
            </w:r>
          </w:p>
          <w:p w:rsidR="005F5535" w:rsidRPr="005F5535" w:rsidRDefault="005F5535" w:rsidP="005F5535">
            <w:pPr>
              <w:tabs>
                <w:tab w:val="left" w:pos="-1440"/>
                <w:tab w:val="left" w:pos="-720"/>
              </w:tabs>
              <w:rPr>
                <w:sz w:val="20"/>
                <w:szCs w:val="20"/>
                <w:lang w:val="fr-CA"/>
              </w:rPr>
            </w:pPr>
            <w:r w:rsidRPr="005F5535">
              <w:rPr>
                <w:sz w:val="20"/>
                <w:szCs w:val="20"/>
                <w:lang w:val="fr-CA"/>
              </w:rPr>
              <w:tab/>
              <w:t>Jean-Philippe Guay</w:t>
            </w:r>
          </w:p>
          <w:p w:rsidR="005F5535" w:rsidRPr="005F5535" w:rsidRDefault="005F5535" w:rsidP="005F5535">
            <w:pPr>
              <w:tabs>
                <w:tab w:val="left" w:pos="-1440"/>
                <w:tab w:val="left" w:pos="-720"/>
              </w:tabs>
              <w:ind w:left="720"/>
              <w:rPr>
                <w:sz w:val="20"/>
                <w:szCs w:val="20"/>
                <w:lang w:val="fr-CA"/>
              </w:rPr>
            </w:pPr>
            <w:proofErr w:type="spellStart"/>
            <w:r w:rsidRPr="005F5535">
              <w:rPr>
                <w:sz w:val="20"/>
                <w:szCs w:val="20"/>
                <w:lang w:val="fr-CA"/>
              </w:rPr>
              <w:t>Gagnier</w:t>
            </w:r>
            <w:proofErr w:type="spellEnd"/>
            <w:r w:rsidRPr="005F5535">
              <w:rPr>
                <w:sz w:val="20"/>
                <w:szCs w:val="20"/>
                <w:lang w:val="fr-CA"/>
              </w:rPr>
              <w:t xml:space="preserve"> Guay Biron</w:t>
            </w:r>
          </w:p>
          <w:p w:rsidR="005F5535" w:rsidRPr="005F5535" w:rsidRDefault="005F5535" w:rsidP="005F5535">
            <w:pPr>
              <w:tabs>
                <w:tab w:val="left" w:pos="-1440"/>
                <w:tab w:val="left" w:pos="-720"/>
              </w:tabs>
              <w:rPr>
                <w:sz w:val="20"/>
                <w:szCs w:val="20"/>
                <w:lang w:val="fr-CA"/>
              </w:rPr>
            </w:pPr>
          </w:p>
          <w:p w:rsidR="005F5535" w:rsidRPr="00A935AA" w:rsidRDefault="005F5535" w:rsidP="005F5535">
            <w:pPr>
              <w:rPr>
                <w:sz w:val="20"/>
                <w:szCs w:val="20"/>
              </w:rPr>
            </w:pPr>
            <w:r>
              <w:rPr>
                <w:sz w:val="20"/>
                <w:szCs w:val="20"/>
              </w:rPr>
              <w:t>DATE DE PRODUCTION</w:t>
            </w:r>
            <w:r w:rsidRPr="00A935AA">
              <w:rPr>
                <w:sz w:val="20"/>
                <w:szCs w:val="20"/>
              </w:rPr>
              <w:t xml:space="preserve">: </w:t>
            </w:r>
            <w:r w:rsidR="002A48F4">
              <w:rPr>
                <w:sz w:val="20"/>
                <w:szCs w:val="20"/>
              </w:rPr>
              <w:t>16</w:t>
            </w:r>
            <w:r w:rsidRPr="00A935AA">
              <w:rPr>
                <w:sz w:val="20"/>
                <w:szCs w:val="20"/>
              </w:rPr>
              <w:t>.</w:t>
            </w:r>
            <w:r>
              <w:rPr>
                <w:sz w:val="20"/>
                <w:szCs w:val="20"/>
              </w:rPr>
              <w:t>0</w:t>
            </w:r>
            <w:r w:rsidR="002A48F4">
              <w:rPr>
                <w:sz w:val="20"/>
                <w:szCs w:val="20"/>
              </w:rPr>
              <w:t>8</w:t>
            </w:r>
            <w:r w:rsidRPr="00A935AA">
              <w:rPr>
                <w:sz w:val="20"/>
                <w:szCs w:val="20"/>
              </w:rPr>
              <w:t>.</w:t>
            </w:r>
            <w:r>
              <w:rPr>
                <w:sz w:val="20"/>
                <w:szCs w:val="20"/>
              </w:rPr>
              <w:t>2018</w:t>
            </w:r>
          </w:p>
          <w:p w:rsidR="005F5535" w:rsidRDefault="00F13243" w:rsidP="005F5535">
            <w:pPr>
              <w:rPr>
                <w:b/>
                <w:sz w:val="20"/>
                <w:szCs w:val="20"/>
              </w:rPr>
            </w:pPr>
            <w:r>
              <w:rPr>
                <w:sz w:val="20"/>
                <w:szCs w:val="20"/>
                <w:lang w:val="fr-CA"/>
              </w:rPr>
              <w:pict w14:anchorId="5E61A45C">
                <v:rect id="_x0000_i1041" style="width:108pt;height:1pt" o:hrpct="0" o:hralign="center" o:hrstd="t" o:hrnoshade="t" o:hr="t" fillcolor="black [3213]" stroked="f"/>
              </w:pict>
            </w:r>
          </w:p>
        </w:tc>
      </w:tr>
      <w:tr w:rsidR="003310D6" w:rsidRPr="00A935AA" w:rsidTr="003B3977">
        <w:tc>
          <w:tcPr>
            <w:tcW w:w="4320" w:type="dxa"/>
            <w:shd w:val="clear" w:color="auto" w:fill="auto"/>
          </w:tcPr>
          <w:p w:rsidR="003310D6" w:rsidRPr="005F5535" w:rsidRDefault="003310D6" w:rsidP="003310D6">
            <w:pPr>
              <w:rPr>
                <w:b/>
                <w:sz w:val="20"/>
                <w:szCs w:val="20"/>
                <w:lang w:val="fr-CA"/>
              </w:rPr>
            </w:pPr>
            <w:r>
              <w:rPr>
                <w:b/>
                <w:sz w:val="20"/>
                <w:szCs w:val="20"/>
                <w:lang w:val="fr-CA"/>
              </w:rPr>
              <w:lastRenderedPageBreak/>
              <w:t>Banque Toronto-Dominion</w:t>
            </w:r>
          </w:p>
          <w:p w:rsidR="003310D6" w:rsidRPr="005F5535" w:rsidRDefault="003310D6" w:rsidP="003310D6">
            <w:pPr>
              <w:tabs>
                <w:tab w:val="left" w:pos="-1440"/>
                <w:tab w:val="left" w:pos="-720"/>
              </w:tabs>
              <w:rPr>
                <w:sz w:val="20"/>
                <w:szCs w:val="20"/>
                <w:lang w:val="fr-CA"/>
              </w:rPr>
            </w:pPr>
            <w:r w:rsidRPr="005F5535">
              <w:rPr>
                <w:sz w:val="20"/>
                <w:szCs w:val="20"/>
                <w:lang w:val="fr-CA"/>
              </w:rPr>
              <w:tab/>
            </w:r>
            <w:r>
              <w:rPr>
                <w:sz w:val="20"/>
                <w:szCs w:val="20"/>
                <w:lang w:val="fr-CA"/>
              </w:rPr>
              <w:t>Claude Savoie</w:t>
            </w:r>
          </w:p>
          <w:p w:rsidR="003310D6" w:rsidRPr="005F5535" w:rsidRDefault="003310D6" w:rsidP="003310D6">
            <w:pPr>
              <w:tabs>
                <w:tab w:val="left" w:pos="-1440"/>
                <w:tab w:val="left" w:pos="-720"/>
              </w:tabs>
              <w:ind w:left="720"/>
              <w:rPr>
                <w:sz w:val="20"/>
                <w:szCs w:val="20"/>
                <w:lang w:val="fr-CA"/>
              </w:rPr>
            </w:pPr>
            <w:r>
              <w:rPr>
                <w:sz w:val="20"/>
                <w:szCs w:val="20"/>
                <w:lang w:val="fr-CA"/>
              </w:rPr>
              <w:t>Savoie &amp; Savoie, Avocats</w:t>
            </w:r>
          </w:p>
          <w:p w:rsidR="003310D6" w:rsidRPr="005F5535" w:rsidRDefault="003310D6" w:rsidP="003310D6">
            <w:pPr>
              <w:tabs>
                <w:tab w:val="left" w:pos="-1440"/>
                <w:tab w:val="left" w:pos="-720"/>
              </w:tabs>
              <w:rPr>
                <w:sz w:val="20"/>
                <w:szCs w:val="20"/>
                <w:lang w:val="fr-CA"/>
              </w:rPr>
            </w:pPr>
          </w:p>
          <w:p w:rsidR="003310D6" w:rsidRPr="005F5535" w:rsidRDefault="003310D6" w:rsidP="003310D6">
            <w:pPr>
              <w:tabs>
                <w:tab w:val="left" w:pos="-1440"/>
                <w:tab w:val="left" w:pos="-720"/>
              </w:tabs>
              <w:rPr>
                <w:sz w:val="20"/>
                <w:szCs w:val="20"/>
                <w:lang w:val="fr-CA"/>
              </w:rPr>
            </w:pPr>
            <w:r w:rsidRPr="005F5535">
              <w:rPr>
                <w:sz w:val="20"/>
                <w:szCs w:val="20"/>
                <w:lang w:val="fr-CA"/>
              </w:rPr>
              <w:tab/>
            </w:r>
            <w:r>
              <w:rPr>
                <w:sz w:val="20"/>
                <w:szCs w:val="20"/>
                <w:lang w:val="fr-CA"/>
              </w:rPr>
              <w:t>c</w:t>
            </w:r>
            <w:r w:rsidRPr="005F5535">
              <w:rPr>
                <w:sz w:val="20"/>
                <w:szCs w:val="20"/>
                <w:lang w:val="fr-CA"/>
              </w:rPr>
              <w:t>. (</w:t>
            </w:r>
            <w:r>
              <w:rPr>
                <w:sz w:val="20"/>
                <w:szCs w:val="20"/>
                <w:lang w:val="fr-CA"/>
              </w:rPr>
              <w:t>38242</w:t>
            </w:r>
            <w:r w:rsidRPr="005F5535">
              <w:rPr>
                <w:sz w:val="20"/>
                <w:szCs w:val="20"/>
                <w:lang w:val="fr-CA"/>
              </w:rPr>
              <w:t>)</w:t>
            </w:r>
          </w:p>
          <w:p w:rsidR="003310D6" w:rsidRPr="005F5535" w:rsidRDefault="003310D6" w:rsidP="003310D6">
            <w:pPr>
              <w:tabs>
                <w:tab w:val="left" w:pos="-1440"/>
                <w:tab w:val="left" w:pos="-720"/>
              </w:tabs>
              <w:rPr>
                <w:sz w:val="20"/>
                <w:szCs w:val="20"/>
                <w:lang w:val="fr-CA"/>
              </w:rPr>
            </w:pPr>
          </w:p>
          <w:p w:rsidR="003310D6" w:rsidRPr="005F5535" w:rsidRDefault="003310D6" w:rsidP="003310D6">
            <w:pPr>
              <w:tabs>
                <w:tab w:val="left" w:pos="-1440"/>
                <w:tab w:val="left" w:pos="-720"/>
              </w:tabs>
              <w:rPr>
                <w:b/>
                <w:sz w:val="20"/>
                <w:szCs w:val="20"/>
                <w:lang w:val="fr-CA"/>
              </w:rPr>
            </w:pPr>
            <w:r w:rsidRPr="003310D6">
              <w:rPr>
                <w:b/>
                <w:sz w:val="20"/>
                <w:szCs w:val="20"/>
                <w:lang w:val="fr-CA"/>
              </w:rPr>
              <w:t>Harold Young et autre</w:t>
            </w:r>
            <w:r w:rsidRPr="005F5535">
              <w:rPr>
                <w:sz w:val="20"/>
                <w:szCs w:val="20"/>
                <w:lang w:val="fr-CA"/>
              </w:rPr>
              <w:t xml:space="preserve"> </w:t>
            </w:r>
            <w:r w:rsidRPr="005F5535">
              <w:rPr>
                <w:b/>
                <w:sz w:val="20"/>
                <w:szCs w:val="20"/>
                <w:lang w:val="fr-CA"/>
              </w:rPr>
              <w:t>(Qc)</w:t>
            </w:r>
          </w:p>
          <w:p w:rsidR="003310D6" w:rsidRPr="005F5535" w:rsidRDefault="003310D6" w:rsidP="003310D6">
            <w:pPr>
              <w:tabs>
                <w:tab w:val="left" w:pos="-1440"/>
                <w:tab w:val="left" w:pos="-720"/>
              </w:tabs>
              <w:rPr>
                <w:sz w:val="20"/>
                <w:szCs w:val="20"/>
                <w:lang w:val="fr-CA"/>
              </w:rPr>
            </w:pPr>
            <w:r w:rsidRPr="005F5535">
              <w:rPr>
                <w:sz w:val="20"/>
                <w:szCs w:val="20"/>
                <w:lang w:val="fr-CA"/>
              </w:rPr>
              <w:tab/>
            </w:r>
            <w:r w:rsidR="00524FDC">
              <w:rPr>
                <w:sz w:val="20"/>
                <w:szCs w:val="20"/>
                <w:lang w:val="fr-CA"/>
              </w:rPr>
              <w:t>Normand Carrière</w:t>
            </w:r>
          </w:p>
          <w:p w:rsidR="003310D6" w:rsidRPr="005F5535" w:rsidRDefault="00524FDC" w:rsidP="003310D6">
            <w:pPr>
              <w:tabs>
                <w:tab w:val="left" w:pos="-1440"/>
                <w:tab w:val="left" w:pos="-720"/>
              </w:tabs>
              <w:ind w:left="720"/>
              <w:rPr>
                <w:sz w:val="20"/>
                <w:szCs w:val="20"/>
                <w:lang w:val="fr-CA"/>
              </w:rPr>
            </w:pPr>
            <w:r>
              <w:rPr>
                <w:sz w:val="20"/>
                <w:szCs w:val="20"/>
                <w:lang w:val="fr-CA"/>
              </w:rPr>
              <w:t xml:space="preserve">Carrière </w:t>
            </w:r>
            <w:proofErr w:type="spellStart"/>
            <w:r>
              <w:rPr>
                <w:sz w:val="20"/>
                <w:szCs w:val="20"/>
                <w:lang w:val="fr-CA"/>
              </w:rPr>
              <w:t>Berthiaume</w:t>
            </w:r>
            <w:proofErr w:type="spellEnd"/>
            <w:r>
              <w:rPr>
                <w:sz w:val="20"/>
                <w:szCs w:val="20"/>
                <w:lang w:val="fr-CA"/>
              </w:rPr>
              <w:t xml:space="preserve"> Avocats</w:t>
            </w:r>
          </w:p>
          <w:p w:rsidR="003310D6" w:rsidRPr="005F5535" w:rsidRDefault="003310D6" w:rsidP="003310D6">
            <w:pPr>
              <w:tabs>
                <w:tab w:val="left" w:pos="-1440"/>
                <w:tab w:val="left" w:pos="-720"/>
              </w:tabs>
              <w:rPr>
                <w:sz w:val="20"/>
                <w:szCs w:val="20"/>
                <w:lang w:val="fr-CA"/>
              </w:rPr>
            </w:pPr>
          </w:p>
          <w:p w:rsidR="003310D6" w:rsidRPr="004E4794" w:rsidRDefault="003310D6" w:rsidP="003310D6">
            <w:pPr>
              <w:rPr>
                <w:sz w:val="20"/>
                <w:szCs w:val="20"/>
                <w:lang w:val="fr-CA"/>
              </w:rPr>
            </w:pPr>
            <w:r w:rsidRPr="004E4794">
              <w:rPr>
                <w:sz w:val="20"/>
                <w:szCs w:val="20"/>
                <w:lang w:val="fr-CA"/>
              </w:rPr>
              <w:t xml:space="preserve">DATE DE PRODUCTION: </w:t>
            </w:r>
            <w:r w:rsidR="002A48F4">
              <w:rPr>
                <w:sz w:val="20"/>
                <w:szCs w:val="20"/>
                <w:lang w:val="fr-CA"/>
              </w:rPr>
              <w:t>15</w:t>
            </w:r>
            <w:r w:rsidRPr="004E4794">
              <w:rPr>
                <w:sz w:val="20"/>
                <w:szCs w:val="20"/>
                <w:lang w:val="fr-CA"/>
              </w:rPr>
              <w:t>.0</w:t>
            </w:r>
            <w:r w:rsidR="002A48F4">
              <w:rPr>
                <w:sz w:val="20"/>
                <w:szCs w:val="20"/>
                <w:lang w:val="fr-CA"/>
              </w:rPr>
              <w:t>8</w:t>
            </w:r>
            <w:r w:rsidRPr="004E4794">
              <w:rPr>
                <w:sz w:val="20"/>
                <w:szCs w:val="20"/>
                <w:lang w:val="fr-CA"/>
              </w:rPr>
              <w:t>.2018</w:t>
            </w:r>
          </w:p>
          <w:p w:rsidR="003310D6" w:rsidRDefault="00F13243" w:rsidP="003310D6">
            <w:pPr>
              <w:rPr>
                <w:b/>
                <w:sz w:val="20"/>
                <w:szCs w:val="20"/>
              </w:rPr>
            </w:pPr>
            <w:r>
              <w:rPr>
                <w:sz w:val="20"/>
                <w:szCs w:val="20"/>
                <w:lang w:val="fr-CA"/>
              </w:rPr>
              <w:pict>
                <v:rect id="_x0000_i1042" style="width:108pt;height:1pt" o:hrpct="0" o:hralign="center" o:hrstd="t" o:hrnoshade="t" o:hr="t" fillcolor="black [3213]" stroked="f"/>
              </w:pict>
            </w:r>
          </w:p>
        </w:tc>
        <w:tc>
          <w:tcPr>
            <w:tcW w:w="1181" w:type="dxa"/>
            <w:shd w:val="clear" w:color="auto" w:fill="auto"/>
          </w:tcPr>
          <w:p w:rsidR="003310D6" w:rsidRPr="00A935AA" w:rsidRDefault="003310D6" w:rsidP="005F5535">
            <w:pPr>
              <w:jc w:val="center"/>
              <w:rPr>
                <w:sz w:val="20"/>
                <w:szCs w:val="20"/>
              </w:rPr>
            </w:pPr>
          </w:p>
        </w:tc>
        <w:tc>
          <w:tcPr>
            <w:tcW w:w="4320" w:type="dxa"/>
            <w:shd w:val="clear" w:color="auto" w:fill="auto"/>
          </w:tcPr>
          <w:p w:rsidR="00801E07" w:rsidRPr="00A935AA" w:rsidRDefault="00801E07" w:rsidP="00801E07">
            <w:pPr>
              <w:rPr>
                <w:b/>
                <w:sz w:val="20"/>
                <w:szCs w:val="20"/>
              </w:rPr>
            </w:pPr>
            <w:r>
              <w:rPr>
                <w:b/>
                <w:sz w:val="20"/>
                <w:szCs w:val="20"/>
              </w:rPr>
              <w:t>The Association for the protection of Fur-Bearing animals</w:t>
            </w:r>
          </w:p>
          <w:p w:rsidR="00801E07" w:rsidRPr="00A935AA" w:rsidRDefault="00801E07" w:rsidP="00801E07">
            <w:pPr>
              <w:tabs>
                <w:tab w:val="left" w:pos="-1440"/>
                <w:tab w:val="left" w:pos="-720"/>
              </w:tabs>
              <w:rPr>
                <w:sz w:val="20"/>
                <w:szCs w:val="20"/>
              </w:rPr>
            </w:pPr>
            <w:r w:rsidRPr="00A935AA">
              <w:rPr>
                <w:sz w:val="20"/>
                <w:szCs w:val="20"/>
              </w:rPr>
              <w:tab/>
            </w:r>
            <w:r>
              <w:rPr>
                <w:sz w:val="20"/>
                <w:szCs w:val="20"/>
              </w:rPr>
              <w:t>Arden Beddoes</w:t>
            </w:r>
          </w:p>
          <w:p w:rsidR="00801E07" w:rsidRPr="00A40F5B" w:rsidRDefault="00801E07" w:rsidP="00801E07">
            <w:pPr>
              <w:tabs>
                <w:tab w:val="left" w:pos="-1440"/>
                <w:tab w:val="left" w:pos="-720"/>
              </w:tabs>
              <w:ind w:left="720"/>
              <w:rPr>
                <w:sz w:val="20"/>
                <w:szCs w:val="20"/>
              </w:rPr>
            </w:pPr>
            <w:proofErr w:type="spellStart"/>
            <w:r>
              <w:rPr>
                <w:sz w:val="20"/>
                <w:szCs w:val="20"/>
              </w:rPr>
              <w:t>Arvay</w:t>
            </w:r>
            <w:proofErr w:type="spellEnd"/>
            <w:r>
              <w:rPr>
                <w:sz w:val="20"/>
                <w:szCs w:val="20"/>
              </w:rPr>
              <w:t xml:space="preserve"> Finlay LLP</w:t>
            </w:r>
          </w:p>
          <w:p w:rsidR="00801E07" w:rsidRPr="00A40F5B" w:rsidRDefault="00801E07" w:rsidP="00801E07">
            <w:pPr>
              <w:tabs>
                <w:tab w:val="left" w:pos="-1440"/>
                <w:tab w:val="left" w:pos="-720"/>
              </w:tabs>
              <w:rPr>
                <w:sz w:val="20"/>
                <w:szCs w:val="20"/>
              </w:rPr>
            </w:pPr>
          </w:p>
          <w:p w:rsidR="00801E07" w:rsidRPr="00A40F5B" w:rsidRDefault="00801E07" w:rsidP="00801E07">
            <w:pPr>
              <w:tabs>
                <w:tab w:val="left" w:pos="-1440"/>
                <w:tab w:val="left" w:pos="-720"/>
              </w:tabs>
              <w:rPr>
                <w:sz w:val="20"/>
                <w:szCs w:val="20"/>
              </w:rPr>
            </w:pPr>
            <w:r>
              <w:rPr>
                <w:sz w:val="20"/>
                <w:szCs w:val="20"/>
              </w:rPr>
              <w:tab/>
              <w:t>v. (38278</w:t>
            </w:r>
            <w:r w:rsidRPr="00A40F5B">
              <w:rPr>
                <w:sz w:val="20"/>
                <w:szCs w:val="20"/>
              </w:rPr>
              <w:t>)</w:t>
            </w:r>
          </w:p>
          <w:p w:rsidR="00801E07" w:rsidRPr="00A40F5B" w:rsidRDefault="00801E07" w:rsidP="00801E07">
            <w:pPr>
              <w:tabs>
                <w:tab w:val="left" w:pos="-1440"/>
                <w:tab w:val="left" w:pos="-720"/>
              </w:tabs>
              <w:rPr>
                <w:sz w:val="20"/>
                <w:szCs w:val="20"/>
              </w:rPr>
            </w:pPr>
          </w:p>
          <w:p w:rsidR="00801E07" w:rsidRPr="00A935AA" w:rsidRDefault="00801E07" w:rsidP="00801E07">
            <w:pPr>
              <w:tabs>
                <w:tab w:val="left" w:pos="-1440"/>
                <w:tab w:val="left" w:pos="-720"/>
              </w:tabs>
              <w:rPr>
                <w:b/>
                <w:sz w:val="20"/>
                <w:szCs w:val="20"/>
              </w:rPr>
            </w:pPr>
            <w:r>
              <w:rPr>
                <w:b/>
                <w:sz w:val="20"/>
                <w:szCs w:val="20"/>
              </w:rPr>
              <w:t>The Minister of environment and climate change strategy for the province of British Columbia (Conservation Office Service) et al.</w:t>
            </w:r>
            <w:r w:rsidRPr="00A40F5B">
              <w:rPr>
                <w:sz w:val="20"/>
                <w:szCs w:val="20"/>
              </w:rPr>
              <w:t xml:space="preserve"> </w:t>
            </w:r>
            <w:r w:rsidRPr="00A935AA">
              <w:rPr>
                <w:b/>
                <w:sz w:val="20"/>
                <w:szCs w:val="20"/>
              </w:rPr>
              <w:t>(</w:t>
            </w:r>
            <w:r>
              <w:rPr>
                <w:b/>
                <w:sz w:val="20"/>
                <w:szCs w:val="20"/>
              </w:rPr>
              <w:t>B.C.</w:t>
            </w:r>
            <w:r w:rsidRPr="00A935AA">
              <w:rPr>
                <w:b/>
                <w:sz w:val="20"/>
                <w:szCs w:val="20"/>
              </w:rPr>
              <w:t>)</w:t>
            </w:r>
          </w:p>
          <w:p w:rsidR="00801E07" w:rsidRPr="00A935AA" w:rsidRDefault="00801E07" w:rsidP="00801E07">
            <w:pPr>
              <w:tabs>
                <w:tab w:val="left" w:pos="-1440"/>
                <w:tab w:val="left" w:pos="-720"/>
              </w:tabs>
              <w:rPr>
                <w:sz w:val="20"/>
                <w:szCs w:val="20"/>
              </w:rPr>
            </w:pPr>
            <w:r w:rsidRPr="00A935AA">
              <w:rPr>
                <w:sz w:val="20"/>
                <w:szCs w:val="20"/>
              </w:rPr>
              <w:tab/>
            </w:r>
            <w:r>
              <w:rPr>
                <w:sz w:val="20"/>
                <w:szCs w:val="20"/>
              </w:rPr>
              <w:t>David Cowie</w:t>
            </w:r>
          </w:p>
          <w:p w:rsidR="00801E07" w:rsidRDefault="00801E07" w:rsidP="00801E07">
            <w:pPr>
              <w:tabs>
                <w:tab w:val="left" w:pos="-1440"/>
                <w:tab w:val="left" w:pos="-720"/>
              </w:tabs>
              <w:ind w:left="720"/>
              <w:rPr>
                <w:sz w:val="20"/>
                <w:szCs w:val="20"/>
              </w:rPr>
            </w:pPr>
            <w:r>
              <w:rPr>
                <w:sz w:val="20"/>
                <w:szCs w:val="20"/>
              </w:rPr>
              <w:t>A.G. of British Columbia</w:t>
            </w:r>
          </w:p>
          <w:p w:rsidR="00801E07" w:rsidRPr="00A935AA" w:rsidRDefault="00801E07" w:rsidP="00801E07">
            <w:pPr>
              <w:tabs>
                <w:tab w:val="left" w:pos="-1440"/>
                <w:tab w:val="left" w:pos="-720"/>
              </w:tabs>
              <w:rPr>
                <w:sz w:val="20"/>
                <w:szCs w:val="20"/>
              </w:rPr>
            </w:pPr>
          </w:p>
          <w:p w:rsidR="00801E07" w:rsidRPr="00A935AA" w:rsidRDefault="00801E07" w:rsidP="00801E07">
            <w:pPr>
              <w:rPr>
                <w:sz w:val="20"/>
                <w:szCs w:val="20"/>
              </w:rPr>
            </w:pPr>
            <w:r w:rsidRPr="00A935AA">
              <w:rPr>
                <w:sz w:val="20"/>
                <w:szCs w:val="20"/>
              </w:rPr>
              <w:t xml:space="preserve">FILING DATE: </w:t>
            </w:r>
            <w:r>
              <w:rPr>
                <w:sz w:val="20"/>
                <w:szCs w:val="20"/>
              </w:rPr>
              <w:t>05</w:t>
            </w:r>
            <w:r w:rsidRPr="00A935AA">
              <w:rPr>
                <w:sz w:val="20"/>
                <w:szCs w:val="20"/>
              </w:rPr>
              <w:t>.</w:t>
            </w:r>
            <w:r>
              <w:rPr>
                <w:sz w:val="20"/>
                <w:szCs w:val="20"/>
              </w:rPr>
              <w:t>09</w:t>
            </w:r>
            <w:r w:rsidRPr="00A935AA">
              <w:rPr>
                <w:sz w:val="20"/>
                <w:szCs w:val="20"/>
              </w:rPr>
              <w:t>.</w:t>
            </w:r>
            <w:r>
              <w:rPr>
                <w:sz w:val="20"/>
                <w:szCs w:val="20"/>
              </w:rPr>
              <w:t>2018</w:t>
            </w:r>
          </w:p>
          <w:p w:rsidR="004E4794" w:rsidRPr="004E4794" w:rsidRDefault="00F13243" w:rsidP="00801E07">
            <w:pPr>
              <w:rPr>
                <w:sz w:val="20"/>
                <w:szCs w:val="20"/>
                <w:lang w:val="en-US"/>
              </w:rPr>
            </w:pPr>
            <w:r>
              <w:rPr>
                <w:sz w:val="20"/>
                <w:szCs w:val="20"/>
                <w:lang w:val="fr-CA"/>
              </w:rPr>
              <w:pict>
                <v:rect id="_x0000_i1043" style="width:108pt;height:1pt" o:hrpct="0" o:hralign="center" o:hrstd="t" o:hrnoshade="t" o:hr="t" fillcolor="black [3213]" stroked="f"/>
              </w:pict>
            </w:r>
          </w:p>
          <w:p w:rsidR="003310D6" w:rsidRPr="004E4794" w:rsidRDefault="003310D6" w:rsidP="005F5535">
            <w:pPr>
              <w:rPr>
                <w:b/>
                <w:sz w:val="20"/>
                <w:szCs w:val="20"/>
                <w:lang w:val="en-US"/>
              </w:rPr>
            </w:pPr>
          </w:p>
        </w:tc>
      </w:tr>
      <w:tr w:rsidR="00801E07" w:rsidRPr="00A935AA" w:rsidTr="003B3977">
        <w:tc>
          <w:tcPr>
            <w:tcW w:w="4320" w:type="dxa"/>
            <w:shd w:val="clear" w:color="auto" w:fill="auto"/>
          </w:tcPr>
          <w:p w:rsidR="00801E07" w:rsidRPr="00A935AA" w:rsidRDefault="00801E07" w:rsidP="00801E07">
            <w:pPr>
              <w:rPr>
                <w:b/>
                <w:sz w:val="20"/>
                <w:szCs w:val="20"/>
              </w:rPr>
            </w:pPr>
            <w:r>
              <w:rPr>
                <w:b/>
                <w:sz w:val="20"/>
                <w:szCs w:val="20"/>
              </w:rPr>
              <w:t xml:space="preserve">Ronald </w:t>
            </w:r>
            <w:proofErr w:type="spellStart"/>
            <w:r>
              <w:rPr>
                <w:b/>
                <w:sz w:val="20"/>
                <w:szCs w:val="20"/>
              </w:rPr>
              <w:t>Baldovi</w:t>
            </w:r>
            <w:proofErr w:type="spellEnd"/>
          </w:p>
          <w:p w:rsidR="00801E07" w:rsidRPr="00A935AA" w:rsidRDefault="00801E07" w:rsidP="00801E07">
            <w:pPr>
              <w:tabs>
                <w:tab w:val="left" w:pos="-1440"/>
                <w:tab w:val="left" w:pos="-720"/>
              </w:tabs>
              <w:rPr>
                <w:sz w:val="20"/>
                <w:szCs w:val="20"/>
              </w:rPr>
            </w:pPr>
            <w:r w:rsidRPr="00A935AA">
              <w:rPr>
                <w:sz w:val="20"/>
                <w:szCs w:val="20"/>
              </w:rPr>
              <w:tab/>
            </w:r>
            <w:r>
              <w:rPr>
                <w:sz w:val="20"/>
                <w:szCs w:val="20"/>
              </w:rPr>
              <w:t>Katherine Smith</w:t>
            </w:r>
          </w:p>
          <w:p w:rsidR="00801E07" w:rsidRPr="00A40F5B" w:rsidRDefault="00801E07" w:rsidP="00801E07">
            <w:pPr>
              <w:tabs>
                <w:tab w:val="left" w:pos="-1440"/>
                <w:tab w:val="left" w:pos="-720"/>
              </w:tabs>
              <w:rPr>
                <w:sz w:val="20"/>
                <w:szCs w:val="20"/>
              </w:rPr>
            </w:pPr>
          </w:p>
          <w:p w:rsidR="00801E07" w:rsidRPr="00A40F5B" w:rsidRDefault="00801E07" w:rsidP="00801E07">
            <w:pPr>
              <w:tabs>
                <w:tab w:val="left" w:pos="-1440"/>
                <w:tab w:val="left" w:pos="-720"/>
              </w:tabs>
              <w:rPr>
                <w:sz w:val="20"/>
                <w:szCs w:val="20"/>
              </w:rPr>
            </w:pPr>
            <w:r>
              <w:rPr>
                <w:sz w:val="20"/>
                <w:szCs w:val="20"/>
              </w:rPr>
              <w:tab/>
              <w:t>v. (38144)</w:t>
            </w:r>
          </w:p>
          <w:p w:rsidR="00801E07" w:rsidRPr="00A40F5B" w:rsidRDefault="00801E07" w:rsidP="00801E07">
            <w:pPr>
              <w:tabs>
                <w:tab w:val="left" w:pos="-1440"/>
                <w:tab w:val="left" w:pos="-720"/>
              </w:tabs>
              <w:rPr>
                <w:sz w:val="20"/>
                <w:szCs w:val="20"/>
              </w:rPr>
            </w:pPr>
          </w:p>
          <w:p w:rsidR="00801E07" w:rsidRPr="00A935AA" w:rsidRDefault="00801E07" w:rsidP="00801E07">
            <w:pPr>
              <w:tabs>
                <w:tab w:val="left" w:pos="-1440"/>
                <w:tab w:val="left" w:pos="-720"/>
              </w:tabs>
              <w:rPr>
                <w:b/>
                <w:sz w:val="20"/>
                <w:szCs w:val="20"/>
              </w:rPr>
            </w:pPr>
            <w:r>
              <w:rPr>
                <w:b/>
                <w:sz w:val="20"/>
                <w:szCs w:val="20"/>
              </w:rPr>
              <w:t>Her Majesty the Queen</w:t>
            </w:r>
            <w:r w:rsidRPr="00A40F5B">
              <w:rPr>
                <w:sz w:val="20"/>
                <w:szCs w:val="20"/>
              </w:rPr>
              <w:t xml:space="preserve"> </w:t>
            </w:r>
            <w:r w:rsidRPr="00A935AA">
              <w:rPr>
                <w:b/>
                <w:sz w:val="20"/>
                <w:szCs w:val="20"/>
              </w:rPr>
              <w:t>(</w:t>
            </w:r>
            <w:r>
              <w:rPr>
                <w:b/>
                <w:sz w:val="20"/>
                <w:szCs w:val="20"/>
              </w:rPr>
              <w:t>Man.</w:t>
            </w:r>
            <w:r w:rsidRPr="00A935AA">
              <w:rPr>
                <w:b/>
                <w:sz w:val="20"/>
                <w:szCs w:val="20"/>
              </w:rPr>
              <w:t>)</w:t>
            </w:r>
          </w:p>
          <w:p w:rsidR="00801E07" w:rsidRDefault="00801E07" w:rsidP="00801E07">
            <w:pPr>
              <w:tabs>
                <w:tab w:val="left" w:pos="-1440"/>
                <w:tab w:val="left" w:pos="-720"/>
              </w:tabs>
              <w:rPr>
                <w:sz w:val="20"/>
                <w:szCs w:val="20"/>
              </w:rPr>
            </w:pPr>
            <w:r w:rsidRPr="00A935AA">
              <w:rPr>
                <w:sz w:val="20"/>
                <w:szCs w:val="20"/>
              </w:rPr>
              <w:tab/>
            </w:r>
            <w:r>
              <w:rPr>
                <w:sz w:val="20"/>
                <w:szCs w:val="20"/>
              </w:rPr>
              <w:t>Janna A. Hyman</w:t>
            </w:r>
          </w:p>
          <w:p w:rsidR="00801E07" w:rsidRPr="00A935AA" w:rsidRDefault="00801E07" w:rsidP="00801E07">
            <w:pPr>
              <w:tabs>
                <w:tab w:val="left" w:pos="-1440"/>
                <w:tab w:val="left" w:pos="-720"/>
              </w:tabs>
              <w:ind w:left="720"/>
              <w:rPr>
                <w:sz w:val="20"/>
                <w:szCs w:val="20"/>
              </w:rPr>
            </w:pPr>
            <w:r>
              <w:rPr>
                <w:sz w:val="20"/>
                <w:szCs w:val="20"/>
              </w:rPr>
              <w:t>Public Prosecution Service of Canada</w:t>
            </w:r>
          </w:p>
          <w:p w:rsidR="00801E07" w:rsidRPr="00A935AA" w:rsidRDefault="00801E07" w:rsidP="00801E07">
            <w:pPr>
              <w:tabs>
                <w:tab w:val="left" w:pos="-1440"/>
                <w:tab w:val="left" w:pos="-720"/>
              </w:tabs>
              <w:rPr>
                <w:sz w:val="20"/>
                <w:szCs w:val="20"/>
              </w:rPr>
            </w:pPr>
          </w:p>
          <w:p w:rsidR="00801E07" w:rsidRPr="00A935AA" w:rsidRDefault="00801E07" w:rsidP="00801E07">
            <w:pPr>
              <w:rPr>
                <w:sz w:val="20"/>
                <w:szCs w:val="20"/>
              </w:rPr>
            </w:pPr>
            <w:r w:rsidRPr="00A935AA">
              <w:rPr>
                <w:sz w:val="20"/>
                <w:szCs w:val="20"/>
              </w:rPr>
              <w:t xml:space="preserve">FILING DATE: </w:t>
            </w:r>
            <w:r>
              <w:rPr>
                <w:sz w:val="20"/>
                <w:szCs w:val="20"/>
              </w:rPr>
              <w:t>06</w:t>
            </w:r>
            <w:r w:rsidRPr="00A935AA">
              <w:rPr>
                <w:sz w:val="20"/>
                <w:szCs w:val="20"/>
              </w:rPr>
              <w:t>.</w:t>
            </w:r>
            <w:r>
              <w:rPr>
                <w:sz w:val="20"/>
                <w:szCs w:val="20"/>
              </w:rPr>
              <w:t>09</w:t>
            </w:r>
            <w:r w:rsidRPr="00A935AA">
              <w:rPr>
                <w:sz w:val="20"/>
                <w:szCs w:val="20"/>
              </w:rPr>
              <w:t>.</w:t>
            </w:r>
            <w:r>
              <w:rPr>
                <w:sz w:val="20"/>
                <w:szCs w:val="20"/>
              </w:rPr>
              <w:t>2018</w:t>
            </w:r>
          </w:p>
          <w:p w:rsidR="00801E07" w:rsidRDefault="00F13243" w:rsidP="00801E07">
            <w:pPr>
              <w:rPr>
                <w:sz w:val="20"/>
                <w:szCs w:val="20"/>
                <w:lang w:val="fr-CA"/>
              </w:rPr>
            </w:pPr>
            <w:r>
              <w:rPr>
                <w:sz w:val="20"/>
                <w:szCs w:val="20"/>
                <w:lang w:val="fr-CA"/>
              </w:rPr>
              <w:pict>
                <v:rect id="_x0000_i1044" style="width:108pt;height:1pt" o:hrpct="0" o:hralign="center" o:hrstd="t" o:hrnoshade="t" o:hr="t" fillcolor="black [3213]" stroked="f"/>
              </w:pict>
            </w:r>
          </w:p>
          <w:p w:rsidR="008F0901" w:rsidRDefault="008F0901" w:rsidP="00801E07">
            <w:pPr>
              <w:rPr>
                <w:b/>
                <w:sz w:val="20"/>
                <w:szCs w:val="20"/>
                <w:lang w:val="fr-CA"/>
              </w:rPr>
            </w:pPr>
          </w:p>
        </w:tc>
        <w:tc>
          <w:tcPr>
            <w:tcW w:w="1181" w:type="dxa"/>
            <w:shd w:val="clear" w:color="auto" w:fill="auto"/>
          </w:tcPr>
          <w:p w:rsidR="00801E07" w:rsidRPr="00A935AA" w:rsidRDefault="00801E07" w:rsidP="005F5535">
            <w:pPr>
              <w:jc w:val="center"/>
              <w:rPr>
                <w:sz w:val="20"/>
                <w:szCs w:val="20"/>
              </w:rPr>
            </w:pPr>
          </w:p>
        </w:tc>
        <w:tc>
          <w:tcPr>
            <w:tcW w:w="4320" w:type="dxa"/>
            <w:shd w:val="clear" w:color="auto" w:fill="auto"/>
          </w:tcPr>
          <w:p w:rsidR="008F0901" w:rsidRPr="00A935AA" w:rsidRDefault="008F0901" w:rsidP="008F0901">
            <w:pPr>
              <w:rPr>
                <w:b/>
                <w:sz w:val="20"/>
                <w:szCs w:val="20"/>
              </w:rPr>
            </w:pPr>
            <w:proofErr w:type="spellStart"/>
            <w:r>
              <w:rPr>
                <w:b/>
                <w:sz w:val="20"/>
                <w:szCs w:val="20"/>
              </w:rPr>
              <w:t>Javid</w:t>
            </w:r>
            <w:proofErr w:type="spellEnd"/>
            <w:r>
              <w:rPr>
                <w:b/>
                <w:sz w:val="20"/>
                <w:szCs w:val="20"/>
              </w:rPr>
              <w:t xml:space="preserve"> Ahmad</w:t>
            </w:r>
          </w:p>
          <w:p w:rsidR="008F0901" w:rsidRPr="00A935AA" w:rsidRDefault="008F0901" w:rsidP="008F0901">
            <w:pPr>
              <w:tabs>
                <w:tab w:val="left" w:pos="-1440"/>
                <w:tab w:val="left" w:pos="-720"/>
              </w:tabs>
              <w:rPr>
                <w:sz w:val="20"/>
                <w:szCs w:val="20"/>
              </w:rPr>
            </w:pPr>
            <w:r w:rsidRPr="00A935AA">
              <w:rPr>
                <w:sz w:val="20"/>
                <w:szCs w:val="20"/>
              </w:rPr>
              <w:tab/>
            </w:r>
            <w:r>
              <w:rPr>
                <w:sz w:val="20"/>
                <w:szCs w:val="20"/>
              </w:rPr>
              <w:t>Michael W. Lacy</w:t>
            </w:r>
          </w:p>
          <w:p w:rsidR="008F0901" w:rsidRPr="00A40F5B" w:rsidRDefault="008F0901" w:rsidP="008F0901">
            <w:pPr>
              <w:tabs>
                <w:tab w:val="left" w:pos="-1440"/>
                <w:tab w:val="left" w:pos="-720"/>
              </w:tabs>
              <w:ind w:left="720"/>
              <w:rPr>
                <w:sz w:val="20"/>
                <w:szCs w:val="20"/>
              </w:rPr>
            </w:pPr>
            <w:proofErr w:type="spellStart"/>
            <w:r>
              <w:rPr>
                <w:sz w:val="20"/>
                <w:szCs w:val="20"/>
              </w:rPr>
              <w:t>Brauti</w:t>
            </w:r>
            <w:proofErr w:type="spellEnd"/>
            <w:r>
              <w:rPr>
                <w:sz w:val="20"/>
                <w:szCs w:val="20"/>
              </w:rPr>
              <w:t xml:space="preserve"> </w:t>
            </w:r>
            <w:proofErr w:type="spellStart"/>
            <w:r>
              <w:rPr>
                <w:sz w:val="20"/>
                <w:szCs w:val="20"/>
              </w:rPr>
              <w:t>Thorning</w:t>
            </w:r>
            <w:proofErr w:type="spellEnd"/>
            <w:r>
              <w:rPr>
                <w:sz w:val="20"/>
                <w:szCs w:val="20"/>
              </w:rPr>
              <w:t xml:space="preserve"> </w:t>
            </w:r>
            <w:proofErr w:type="spellStart"/>
            <w:r>
              <w:rPr>
                <w:sz w:val="20"/>
                <w:szCs w:val="20"/>
              </w:rPr>
              <w:t>Zibarras</w:t>
            </w:r>
            <w:proofErr w:type="spellEnd"/>
            <w:r>
              <w:rPr>
                <w:sz w:val="20"/>
                <w:szCs w:val="20"/>
              </w:rPr>
              <w:t xml:space="preserve"> LLP</w:t>
            </w:r>
          </w:p>
          <w:p w:rsidR="008F0901" w:rsidRPr="00A40F5B" w:rsidRDefault="008F0901" w:rsidP="008F0901">
            <w:pPr>
              <w:tabs>
                <w:tab w:val="left" w:pos="-1440"/>
                <w:tab w:val="left" w:pos="-720"/>
              </w:tabs>
              <w:rPr>
                <w:sz w:val="20"/>
                <w:szCs w:val="20"/>
              </w:rPr>
            </w:pPr>
          </w:p>
          <w:p w:rsidR="008F0901" w:rsidRPr="00A40F5B" w:rsidRDefault="008F0901" w:rsidP="008F0901">
            <w:pPr>
              <w:tabs>
                <w:tab w:val="left" w:pos="-1440"/>
                <w:tab w:val="left" w:pos="-720"/>
              </w:tabs>
              <w:rPr>
                <w:sz w:val="20"/>
                <w:szCs w:val="20"/>
              </w:rPr>
            </w:pPr>
            <w:r>
              <w:rPr>
                <w:sz w:val="20"/>
                <w:szCs w:val="20"/>
              </w:rPr>
              <w:tab/>
              <w:t>v. (38165)</w:t>
            </w:r>
          </w:p>
          <w:p w:rsidR="008F0901" w:rsidRPr="00A40F5B" w:rsidRDefault="008F0901" w:rsidP="008F0901">
            <w:pPr>
              <w:tabs>
                <w:tab w:val="left" w:pos="-1440"/>
                <w:tab w:val="left" w:pos="-720"/>
              </w:tabs>
              <w:rPr>
                <w:sz w:val="20"/>
                <w:szCs w:val="20"/>
              </w:rPr>
            </w:pPr>
          </w:p>
          <w:p w:rsidR="008F0901" w:rsidRPr="00A935AA" w:rsidRDefault="008F0901" w:rsidP="008F0901">
            <w:pPr>
              <w:tabs>
                <w:tab w:val="left" w:pos="-1440"/>
                <w:tab w:val="left" w:pos="-720"/>
              </w:tabs>
              <w:rPr>
                <w:b/>
                <w:sz w:val="20"/>
                <w:szCs w:val="20"/>
              </w:rPr>
            </w:pPr>
            <w:r>
              <w:rPr>
                <w:b/>
                <w:sz w:val="20"/>
                <w:szCs w:val="20"/>
              </w:rPr>
              <w:t>Her Majesty the Queen</w:t>
            </w:r>
            <w:r w:rsidRPr="00A40F5B">
              <w:rPr>
                <w:sz w:val="20"/>
                <w:szCs w:val="20"/>
              </w:rPr>
              <w:t xml:space="preserve"> </w:t>
            </w:r>
            <w:r w:rsidRPr="00A935AA">
              <w:rPr>
                <w:b/>
                <w:sz w:val="20"/>
                <w:szCs w:val="20"/>
              </w:rPr>
              <w:t>(</w:t>
            </w:r>
            <w:r>
              <w:rPr>
                <w:b/>
                <w:sz w:val="20"/>
                <w:szCs w:val="20"/>
              </w:rPr>
              <w:t>Ont.)</w:t>
            </w:r>
          </w:p>
          <w:p w:rsidR="008F0901" w:rsidRDefault="008F0901" w:rsidP="008F0901">
            <w:pPr>
              <w:tabs>
                <w:tab w:val="left" w:pos="-1440"/>
                <w:tab w:val="left" w:pos="-720"/>
              </w:tabs>
              <w:rPr>
                <w:sz w:val="20"/>
                <w:szCs w:val="20"/>
              </w:rPr>
            </w:pPr>
            <w:r w:rsidRPr="00A935AA">
              <w:rPr>
                <w:sz w:val="20"/>
                <w:szCs w:val="20"/>
              </w:rPr>
              <w:tab/>
            </w:r>
            <w:r>
              <w:rPr>
                <w:sz w:val="20"/>
                <w:szCs w:val="20"/>
              </w:rPr>
              <w:t>Nicholas E. Devlin</w:t>
            </w:r>
          </w:p>
          <w:p w:rsidR="008F0901" w:rsidRPr="00A935AA" w:rsidRDefault="008F0901" w:rsidP="008F0901">
            <w:pPr>
              <w:tabs>
                <w:tab w:val="left" w:pos="-1440"/>
                <w:tab w:val="left" w:pos="-720"/>
              </w:tabs>
              <w:ind w:left="720"/>
              <w:rPr>
                <w:sz w:val="20"/>
                <w:szCs w:val="20"/>
              </w:rPr>
            </w:pPr>
            <w:r>
              <w:rPr>
                <w:sz w:val="20"/>
                <w:szCs w:val="20"/>
              </w:rPr>
              <w:t>Public Prosecution Service of Canada</w:t>
            </w:r>
          </w:p>
          <w:p w:rsidR="008F0901" w:rsidRPr="00A935AA" w:rsidRDefault="008F0901" w:rsidP="008F0901">
            <w:pPr>
              <w:tabs>
                <w:tab w:val="left" w:pos="-1440"/>
                <w:tab w:val="left" w:pos="-720"/>
              </w:tabs>
              <w:rPr>
                <w:sz w:val="20"/>
                <w:szCs w:val="20"/>
              </w:rPr>
            </w:pPr>
          </w:p>
          <w:p w:rsidR="008F0901" w:rsidRPr="00A935AA" w:rsidRDefault="008F0901" w:rsidP="008F0901">
            <w:pPr>
              <w:rPr>
                <w:sz w:val="20"/>
                <w:szCs w:val="20"/>
              </w:rPr>
            </w:pPr>
            <w:r w:rsidRPr="00A935AA">
              <w:rPr>
                <w:sz w:val="20"/>
                <w:szCs w:val="20"/>
              </w:rPr>
              <w:t xml:space="preserve">FILING DATE: </w:t>
            </w:r>
            <w:r>
              <w:rPr>
                <w:sz w:val="20"/>
                <w:szCs w:val="20"/>
              </w:rPr>
              <w:t>10</w:t>
            </w:r>
            <w:r w:rsidRPr="00A935AA">
              <w:rPr>
                <w:sz w:val="20"/>
                <w:szCs w:val="20"/>
              </w:rPr>
              <w:t>.</w:t>
            </w:r>
            <w:r>
              <w:rPr>
                <w:sz w:val="20"/>
                <w:szCs w:val="20"/>
              </w:rPr>
              <w:t>09</w:t>
            </w:r>
            <w:r w:rsidRPr="00A935AA">
              <w:rPr>
                <w:sz w:val="20"/>
                <w:szCs w:val="20"/>
              </w:rPr>
              <w:t>.</w:t>
            </w:r>
            <w:r>
              <w:rPr>
                <w:sz w:val="20"/>
                <w:szCs w:val="20"/>
              </w:rPr>
              <w:t>2018</w:t>
            </w:r>
          </w:p>
          <w:p w:rsidR="00801E07" w:rsidRDefault="00F13243" w:rsidP="008F0901">
            <w:pPr>
              <w:rPr>
                <w:b/>
                <w:sz w:val="20"/>
                <w:szCs w:val="20"/>
              </w:rPr>
            </w:pPr>
            <w:r>
              <w:rPr>
                <w:sz w:val="20"/>
                <w:szCs w:val="20"/>
                <w:lang w:val="fr-CA"/>
              </w:rPr>
              <w:pict>
                <v:rect id="_x0000_i1045" style="width:108pt;height:1pt" o:hrpct="0" o:hralign="center" o:hrstd="t" o:hrnoshade="t" o:hr="t" fillcolor="black [3213]" stroked="f"/>
              </w:pict>
            </w:r>
          </w:p>
        </w:tc>
      </w:tr>
    </w:tbl>
    <w:p w:rsidR="00242AEE" w:rsidRDefault="00242AEE" w:rsidP="0095096B">
      <w:pPr>
        <w:tabs>
          <w:tab w:val="right" w:pos="9360"/>
        </w:tabs>
        <w:rPr>
          <w:sz w:val="20"/>
          <w:szCs w:val="20"/>
        </w:rPr>
      </w:pPr>
    </w:p>
    <w:p w:rsidR="00C01FCB" w:rsidRDefault="00C01FCB" w:rsidP="0095096B">
      <w:pPr>
        <w:tabs>
          <w:tab w:val="right" w:pos="9360"/>
        </w:tabs>
        <w:rPr>
          <w:sz w:val="20"/>
          <w:szCs w:val="20"/>
        </w:rPr>
      </w:pPr>
    </w:p>
    <w:p w:rsidR="00C01FCB" w:rsidRDefault="00C01FCB" w:rsidP="0095096B">
      <w:pPr>
        <w:tabs>
          <w:tab w:val="right" w:pos="9360"/>
        </w:tabs>
        <w:rPr>
          <w:sz w:val="20"/>
          <w:szCs w:val="20"/>
        </w:rPr>
      </w:pPr>
    </w:p>
    <w:p w:rsidR="00CE1E9A" w:rsidRDefault="00CE1E9A" w:rsidP="0095096B">
      <w:pPr>
        <w:tabs>
          <w:tab w:val="right" w:pos="9360"/>
        </w:tabs>
        <w:rPr>
          <w:sz w:val="20"/>
          <w:szCs w:val="20"/>
        </w:rPr>
      </w:pPr>
    </w:p>
    <w:p w:rsidR="00CE1E9A" w:rsidRPr="00CE1E9A" w:rsidRDefault="00CE1E9A" w:rsidP="00CE1E9A">
      <w:pPr>
        <w:rPr>
          <w:sz w:val="20"/>
          <w:szCs w:val="20"/>
        </w:rPr>
      </w:pPr>
    </w:p>
    <w:p w:rsidR="00CE1E9A" w:rsidRPr="00CE1E9A" w:rsidRDefault="00CE1E9A" w:rsidP="00CE1E9A">
      <w:pPr>
        <w:rPr>
          <w:sz w:val="20"/>
          <w:szCs w:val="20"/>
        </w:rPr>
      </w:pPr>
    </w:p>
    <w:p w:rsidR="00CE1E9A" w:rsidRPr="00CE1E9A" w:rsidRDefault="00CE1E9A" w:rsidP="00CE1E9A">
      <w:pPr>
        <w:rPr>
          <w:sz w:val="20"/>
          <w:szCs w:val="20"/>
        </w:rPr>
      </w:pPr>
    </w:p>
    <w:p w:rsidR="00CE1E9A" w:rsidRDefault="00CE1E9A" w:rsidP="00CE1E9A">
      <w:pPr>
        <w:rPr>
          <w:sz w:val="20"/>
          <w:szCs w:val="20"/>
        </w:rPr>
      </w:pPr>
    </w:p>
    <w:p w:rsidR="00CE1E9A" w:rsidRDefault="008F141E" w:rsidP="00CE1E9A">
      <w:pPr>
        <w:jc w:val="center"/>
        <w:rPr>
          <w:sz w:val="20"/>
          <w:szCs w:val="20"/>
        </w:rPr>
      </w:pPr>
      <w:r>
        <w:rPr>
          <w:sz w:val="20"/>
          <w:szCs w:val="20"/>
        </w:rPr>
        <w:tab/>
      </w:r>
    </w:p>
    <w:p w:rsidR="00CE1E9A" w:rsidRDefault="00CE1E9A" w:rsidP="00CE1E9A">
      <w:pPr>
        <w:rPr>
          <w:sz w:val="20"/>
          <w:szCs w:val="20"/>
        </w:rPr>
      </w:pPr>
    </w:p>
    <w:p w:rsidR="00242AEE" w:rsidRPr="00CE1E9A" w:rsidRDefault="00242AEE" w:rsidP="00CE1E9A">
      <w:pPr>
        <w:rPr>
          <w:sz w:val="20"/>
          <w:szCs w:val="20"/>
        </w:rPr>
        <w:sectPr w:rsidR="00242AEE" w:rsidRPr="00CE1E9A" w:rsidSect="00CE1E9A">
          <w:headerReference w:type="default" r:id="rId11"/>
          <w:footerReference w:type="default" r:id="rId12"/>
          <w:headerReference w:type="first" r:id="rId13"/>
          <w:footerReference w:type="first" r:id="rId14"/>
          <w:pgSz w:w="12240" w:h="15840"/>
          <w:pgMar w:top="720" w:right="965" w:bottom="1080" w:left="1656" w:header="706" w:footer="706" w:gutter="0"/>
          <w:pgNumType w:start="1265"/>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DB1C5D"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w:t>
            </w:r>
            <w:r w:rsidR="003E5F3E">
              <w:rPr>
                <w:b/>
                <w:szCs w:val="24"/>
              </w:rPr>
              <w:t xml:space="preserve"> THE</w:t>
            </w:r>
            <w:r w:rsidRPr="001D0D5F">
              <w:rPr>
                <w:b/>
                <w:szCs w:val="24"/>
              </w:rPr>
              <w:t xml:space="preserve">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D17E89">
              <w:rPr>
                <w:b/>
                <w:szCs w:val="24"/>
                <w:lang w:val="fr-CA"/>
              </w:rPr>
              <w:t xml:space="preserve">DEMANDES SOUMISES À LA COUR DEPUIS LA DERNIÈRE </w:t>
            </w:r>
            <w:r w:rsidRPr="001D0D5F">
              <w:rPr>
                <w:b/>
                <w:szCs w:val="24"/>
                <w:lang w:val="fr-CA"/>
              </w:rPr>
              <w:t>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D17E89" w:rsidP="00CB3520">
      <w:pPr>
        <w:widowControl w:val="0"/>
        <w:rPr>
          <w:b/>
          <w:sz w:val="20"/>
          <w:szCs w:val="20"/>
        </w:rPr>
      </w:pPr>
      <w:r>
        <w:rPr>
          <w:b/>
          <w:sz w:val="20"/>
          <w:szCs w:val="20"/>
        </w:rPr>
        <w:t>OCTOBER</w:t>
      </w:r>
      <w:r w:rsidR="00CB3520">
        <w:rPr>
          <w:b/>
          <w:sz w:val="20"/>
          <w:szCs w:val="20"/>
        </w:rPr>
        <w:t xml:space="preserve"> </w:t>
      </w:r>
      <w:r>
        <w:rPr>
          <w:b/>
          <w:sz w:val="20"/>
          <w:szCs w:val="20"/>
        </w:rPr>
        <w:t>9</w:t>
      </w:r>
      <w:r w:rsidR="00CB3520" w:rsidRPr="00C50A5C">
        <w:rPr>
          <w:b/>
          <w:sz w:val="20"/>
          <w:szCs w:val="20"/>
        </w:rPr>
        <w:t>, 201</w:t>
      </w:r>
      <w:r w:rsidR="00195F99">
        <w:rPr>
          <w:b/>
          <w:sz w:val="20"/>
          <w:szCs w:val="20"/>
        </w:rPr>
        <w:t>8</w:t>
      </w:r>
      <w:r w:rsidR="00CB3520" w:rsidRPr="00C50A5C">
        <w:rPr>
          <w:b/>
          <w:sz w:val="20"/>
          <w:szCs w:val="20"/>
        </w:rPr>
        <w:t xml:space="preserve"> / LE </w:t>
      </w:r>
      <w:r>
        <w:rPr>
          <w:b/>
          <w:sz w:val="20"/>
          <w:szCs w:val="20"/>
        </w:rPr>
        <w:t>9</w:t>
      </w:r>
      <w:r w:rsidR="00CB3520">
        <w:rPr>
          <w:b/>
          <w:sz w:val="20"/>
          <w:szCs w:val="20"/>
        </w:rPr>
        <w:t xml:space="preserve"> </w:t>
      </w:r>
      <w:r>
        <w:rPr>
          <w:b/>
          <w:sz w:val="20"/>
          <w:szCs w:val="20"/>
        </w:rPr>
        <w:t>OCTOBRE</w:t>
      </w:r>
      <w:r w:rsidR="00CB3520" w:rsidRPr="00C50A5C">
        <w:rPr>
          <w:b/>
          <w:sz w:val="20"/>
          <w:szCs w:val="20"/>
        </w:rPr>
        <w:t xml:space="preserve"> 201</w:t>
      </w:r>
      <w:r w:rsidR="00195F99">
        <w:rPr>
          <w:b/>
          <w:sz w:val="20"/>
          <w:szCs w:val="20"/>
        </w:rPr>
        <w:t>8</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w:t>
      </w:r>
      <w:r w:rsidR="00195F99">
        <w:rPr>
          <w:b/>
          <w:sz w:val="20"/>
          <w:szCs w:val="20"/>
        </w:rPr>
        <w:t>Wagner and Rowe</w:t>
      </w:r>
      <w:r w:rsidR="00253236">
        <w:rPr>
          <w:b/>
          <w:sz w:val="20"/>
          <w:szCs w:val="20"/>
        </w:rPr>
        <w:t xml:space="preserve"> </w:t>
      </w:r>
      <w:r w:rsidR="00195F99">
        <w:rPr>
          <w:b/>
          <w:sz w:val="20"/>
          <w:szCs w:val="20"/>
        </w:rPr>
        <w:t>and Martin</w:t>
      </w:r>
      <w:r w:rsidR="00FA3373">
        <w:rPr>
          <w:b/>
          <w:sz w:val="20"/>
          <w:szCs w:val="20"/>
        </w:rPr>
        <w:t xml:space="preserve">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L</w:t>
      </w:r>
      <w:r w:rsidR="00195F99">
        <w:rPr>
          <w:b/>
          <w:sz w:val="20"/>
          <w:szCs w:val="20"/>
          <w:lang w:val="fr-CA"/>
        </w:rPr>
        <w:t>e juge en chef Wagner</w:t>
      </w:r>
      <w:r w:rsidRPr="00C50A5C">
        <w:rPr>
          <w:b/>
          <w:sz w:val="20"/>
          <w:szCs w:val="20"/>
          <w:lang w:val="fr-CA"/>
        </w:rPr>
        <w:t xml:space="preserve"> et les juges</w:t>
      </w:r>
      <w:r w:rsidR="00195F99">
        <w:rPr>
          <w:b/>
          <w:sz w:val="20"/>
          <w:szCs w:val="20"/>
          <w:lang w:val="fr-CA"/>
        </w:rPr>
        <w:t xml:space="preserve"> Rowe et Martin</w:t>
      </w:r>
    </w:p>
    <w:p w:rsidR="00CB3520" w:rsidRPr="00C50A5C" w:rsidRDefault="00CB3520" w:rsidP="00CB3520">
      <w:pPr>
        <w:widowControl w:val="0"/>
        <w:rPr>
          <w:sz w:val="20"/>
          <w:szCs w:val="20"/>
          <w:lang w:val="fr-CA"/>
        </w:rPr>
      </w:pPr>
    </w:p>
    <w:p w:rsidR="00CB3520" w:rsidRPr="00C50A5C" w:rsidRDefault="00CB3520" w:rsidP="00CB3520">
      <w:pPr>
        <w:pStyle w:val="ListParagraph"/>
        <w:widowControl w:val="0"/>
        <w:numPr>
          <w:ilvl w:val="0"/>
          <w:numId w:val="1"/>
        </w:numPr>
        <w:ind w:hanging="720"/>
        <w:jc w:val="both"/>
        <w:rPr>
          <w:sz w:val="20"/>
          <w:szCs w:val="20"/>
        </w:rPr>
      </w:pPr>
      <w:r w:rsidRPr="009C5D38">
        <w:rPr>
          <w:i/>
          <w:sz w:val="20"/>
          <w:szCs w:val="20"/>
        </w:rPr>
        <w:t>Her Majesty the Queen</w:t>
      </w:r>
      <w:r w:rsidR="0029559A">
        <w:rPr>
          <w:i/>
          <w:sz w:val="20"/>
          <w:szCs w:val="20"/>
        </w:rPr>
        <w:t xml:space="preserve"> in Right of Canada</w:t>
      </w:r>
      <w:r w:rsidRPr="009C5D38">
        <w:rPr>
          <w:i/>
          <w:sz w:val="20"/>
          <w:szCs w:val="20"/>
        </w:rPr>
        <w:t xml:space="preserve"> v.</w:t>
      </w:r>
      <w:r w:rsidR="0029559A">
        <w:rPr>
          <w:i/>
          <w:sz w:val="20"/>
          <w:szCs w:val="20"/>
        </w:rPr>
        <w:t xml:space="preserve"> Alassia Newships Management Inc.</w:t>
      </w:r>
      <w:r w:rsidRPr="009C5D38">
        <w:rPr>
          <w:sz w:val="20"/>
          <w:szCs w:val="20"/>
        </w:rPr>
        <w:t xml:space="preserve"> (</w:t>
      </w:r>
      <w:r w:rsidR="0029559A">
        <w:rPr>
          <w:sz w:val="20"/>
          <w:szCs w:val="20"/>
        </w:rPr>
        <w:t>B</w:t>
      </w:r>
      <w:r w:rsidRPr="009C5D38">
        <w:rPr>
          <w:sz w:val="20"/>
          <w:szCs w:val="20"/>
        </w:rPr>
        <w:t>.</w:t>
      </w:r>
      <w:r w:rsidR="0029559A">
        <w:rPr>
          <w:sz w:val="20"/>
          <w:szCs w:val="20"/>
        </w:rPr>
        <w:t>C.</w:t>
      </w:r>
      <w:r w:rsidRPr="009C5D38">
        <w:rPr>
          <w:sz w:val="20"/>
          <w:szCs w:val="20"/>
        </w:rPr>
        <w:t>) (Crim.) (By Leave)</w:t>
      </w:r>
      <w:r w:rsidRPr="00C50A5C">
        <w:rPr>
          <w:sz w:val="20"/>
          <w:szCs w:val="20"/>
        </w:rPr>
        <w:t xml:space="preserve"> (3</w:t>
      </w:r>
      <w:r w:rsidR="0029559A">
        <w:rPr>
          <w:sz w:val="20"/>
          <w:szCs w:val="20"/>
        </w:rPr>
        <w:t>8083</w:t>
      </w:r>
      <w:r w:rsidRPr="00C50A5C">
        <w:rPr>
          <w:sz w:val="20"/>
          <w:szCs w:val="20"/>
        </w:rPr>
        <w:t>)</w:t>
      </w:r>
    </w:p>
    <w:p w:rsidR="00CB3520" w:rsidRPr="00C50A5C" w:rsidRDefault="00CB3520" w:rsidP="00CB3520">
      <w:pPr>
        <w:widowControl w:val="0"/>
        <w:jc w:val="both"/>
        <w:rPr>
          <w:sz w:val="20"/>
          <w:szCs w:val="20"/>
        </w:rPr>
      </w:pPr>
    </w:p>
    <w:p w:rsidR="00CB3520" w:rsidRPr="00C612D0" w:rsidRDefault="00D82B05" w:rsidP="00D82B05">
      <w:pPr>
        <w:pStyle w:val="ListParagraph"/>
        <w:widowControl w:val="0"/>
        <w:numPr>
          <w:ilvl w:val="0"/>
          <w:numId w:val="1"/>
        </w:numPr>
        <w:ind w:hanging="720"/>
        <w:jc w:val="both"/>
        <w:rPr>
          <w:sz w:val="20"/>
          <w:szCs w:val="20"/>
        </w:rPr>
      </w:pPr>
      <w:r w:rsidRPr="00D82B05">
        <w:rPr>
          <w:i/>
          <w:sz w:val="20"/>
          <w:szCs w:val="20"/>
        </w:rPr>
        <w:t xml:space="preserve">Her Majesty the Queen </w:t>
      </w:r>
      <w:r w:rsidR="00CB3520" w:rsidRPr="009C5D38">
        <w:rPr>
          <w:i/>
          <w:sz w:val="20"/>
          <w:szCs w:val="20"/>
        </w:rPr>
        <w:t xml:space="preserve">v. </w:t>
      </w:r>
      <w:r>
        <w:rPr>
          <w:i/>
          <w:sz w:val="20"/>
          <w:szCs w:val="20"/>
        </w:rPr>
        <w:t>Kristjan H. Pierone</w:t>
      </w:r>
      <w:r w:rsidR="00CB3520" w:rsidRPr="009C5D38">
        <w:rPr>
          <w:sz w:val="20"/>
          <w:szCs w:val="20"/>
        </w:rPr>
        <w:t xml:space="preserve"> (</w:t>
      </w:r>
      <w:r>
        <w:rPr>
          <w:sz w:val="20"/>
          <w:szCs w:val="20"/>
        </w:rPr>
        <w:t>Sask.)</w:t>
      </w:r>
      <w:r w:rsidR="00CB3520" w:rsidRPr="009C5D38">
        <w:rPr>
          <w:sz w:val="20"/>
          <w:szCs w:val="20"/>
        </w:rPr>
        <w:t xml:space="preserve"> (C</w:t>
      </w:r>
      <w:r>
        <w:rPr>
          <w:sz w:val="20"/>
          <w:szCs w:val="20"/>
        </w:rPr>
        <w:t>r</w:t>
      </w:r>
      <w:r w:rsidR="00CB3520" w:rsidRPr="009C5D38">
        <w:rPr>
          <w:sz w:val="20"/>
          <w:szCs w:val="20"/>
        </w:rPr>
        <w:t>i</w:t>
      </w:r>
      <w:r>
        <w:rPr>
          <w:sz w:val="20"/>
          <w:szCs w:val="20"/>
        </w:rPr>
        <w:t>m.</w:t>
      </w:r>
      <w:r w:rsidR="00CB3520" w:rsidRPr="009C5D38">
        <w:rPr>
          <w:sz w:val="20"/>
          <w:szCs w:val="20"/>
        </w:rPr>
        <w:t>) (By Leave)</w:t>
      </w:r>
      <w:r w:rsidR="00CB3520" w:rsidRPr="00C612D0">
        <w:rPr>
          <w:sz w:val="20"/>
          <w:szCs w:val="20"/>
        </w:rPr>
        <w:t xml:space="preserve"> (3</w:t>
      </w:r>
      <w:r>
        <w:rPr>
          <w:sz w:val="20"/>
          <w:szCs w:val="20"/>
        </w:rPr>
        <w:t>8182</w:t>
      </w:r>
      <w:r w:rsidR="00CB3520" w:rsidRPr="00C612D0">
        <w:rPr>
          <w:sz w:val="20"/>
          <w:szCs w:val="20"/>
        </w:rPr>
        <w:t>)</w:t>
      </w:r>
    </w:p>
    <w:p w:rsidR="00CB3520" w:rsidRPr="00C612D0" w:rsidRDefault="00CB3520" w:rsidP="00CB3520">
      <w:pPr>
        <w:widowControl w:val="0"/>
        <w:jc w:val="both"/>
        <w:rPr>
          <w:sz w:val="20"/>
          <w:szCs w:val="20"/>
        </w:rPr>
      </w:pPr>
    </w:p>
    <w:p w:rsidR="00CB3520" w:rsidRPr="00C50A5C" w:rsidRDefault="000251FC" w:rsidP="00CB3520">
      <w:pPr>
        <w:pStyle w:val="ListParagraph"/>
        <w:widowControl w:val="0"/>
        <w:numPr>
          <w:ilvl w:val="0"/>
          <w:numId w:val="1"/>
        </w:numPr>
        <w:ind w:hanging="720"/>
        <w:jc w:val="both"/>
        <w:rPr>
          <w:sz w:val="20"/>
          <w:szCs w:val="20"/>
        </w:rPr>
      </w:pPr>
      <w:r w:rsidRPr="000251FC">
        <w:rPr>
          <w:i/>
          <w:sz w:val="20"/>
          <w:szCs w:val="20"/>
          <w:lang w:val="fr-CA"/>
        </w:rPr>
        <w:t>Paul Duncan Reilly</w:t>
      </w:r>
      <w:r w:rsidR="00CB3520" w:rsidRPr="000251FC">
        <w:rPr>
          <w:i/>
          <w:sz w:val="20"/>
          <w:szCs w:val="20"/>
          <w:lang w:val="fr-CA"/>
        </w:rPr>
        <w:t xml:space="preserve"> v.</w:t>
      </w:r>
      <w:r w:rsidRPr="000251FC">
        <w:rPr>
          <w:i/>
          <w:sz w:val="20"/>
          <w:szCs w:val="20"/>
          <w:lang w:val="fr-CA"/>
        </w:rPr>
        <w:t xml:space="preserve"> Elaine Lynn Priest</w:t>
      </w:r>
      <w:r w:rsidR="00CB3520" w:rsidRPr="000251FC">
        <w:rPr>
          <w:sz w:val="20"/>
          <w:szCs w:val="20"/>
          <w:lang w:val="fr-CA"/>
        </w:rPr>
        <w:t xml:space="preserve"> (</w:t>
      </w:r>
      <w:r w:rsidRPr="000251FC">
        <w:rPr>
          <w:sz w:val="20"/>
          <w:szCs w:val="20"/>
          <w:lang w:val="fr-CA"/>
        </w:rPr>
        <w:t>Ont</w:t>
      </w:r>
      <w:r w:rsidR="00CB3520" w:rsidRPr="000251FC">
        <w:rPr>
          <w:sz w:val="20"/>
          <w:szCs w:val="20"/>
          <w:lang w:val="fr-CA"/>
        </w:rPr>
        <w:t xml:space="preserve">.) </w:t>
      </w:r>
      <w:r w:rsidR="00CB3520" w:rsidRPr="009C5D38">
        <w:rPr>
          <w:sz w:val="20"/>
          <w:szCs w:val="20"/>
        </w:rPr>
        <w:t>(Civil) (By Leave)</w:t>
      </w:r>
      <w:r w:rsidR="00CB3520" w:rsidRPr="00940CAD">
        <w:rPr>
          <w:sz w:val="20"/>
          <w:szCs w:val="20"/>
        </w:rPr>
        <w:t xml:space="preserve"> (</w:t>
      </w:r>
      <w:r>
        <w:rPr>
          <w:sz w:val="20"/>
          <w:szCs w:val="20"/>
        </w:rPr>
        <w:t>38216</w:t>
      </w:r>
      <w:r w:rsidR="00CB3520" w:rsidRPr="00940CAD">
        <w:rPr>
          <w:sz w:val="20"/>
          <w:szCs w:val="20"/>
        </w:rPr>
        <w:t>)</w:t>
      </w:r>
    </w:p>
    <w:p w:rsidR="00CB3520" w:rsidRPr="00C50A5C" w:rsidRDefault="00CB3520" w:rsidP="00CB3520">
      <w:pPr>
        <w:widowControl w:val="0"/>
        <w:rPr>
          <w:sz w:val="20"/>
          <w:szCs w:val="20"/>
        </w:rPr>
      </w:pPr>
    </w:p>
    <w:p w:rsidR="00CB3520" w:rsidRPr="00C50A5C" w:rsidRDefault="00CB3520" w:rsidP="00CB3520">
      <w:pPr>
        <w:pStyle w:val="ListParagraph"/>
        <w:widowControl w:val="0"/>
        <w:numPr>
          <w:ilvl w:val="0"/>
          <w:numId w:val="1"/>
        </w:numPr>
        <w:ind w:hanging="720"/>
        <w:jc w:val="both"/>
        <w:rPr>
          <w:sz w:val="20"/>
          <w:szCs w:val="20"/>
        </w:rPr>
      </w:pPr>
      <w:r w:rsidRPr="009C5D38">
        <w:rPr>
          <w:i/>
          <w:sz w:val="20"/>
          <w:szCs w:val="20"/>
        </w:rPr>
        <w:t xml:space="preserve">Chin </w:t>
      </w:r>
      <w:r w:rsidR="00BB5174">
        <w:rPr>
          <w:i/>
          <w:sz w:val="20"/>
          <w:szCs w:val="20"/>
        </w:rPr>
        <w:t>Fong Woon</w:t>
      </w:r>
      <w:r w:rsidRPr="009C5D38">
        <w:rPr>
          <w:i/>
          <w:sz w:val="20"/>
          <w:szCs w:val="20"/>
        </w:rPr>
        <w:t xml:space="preserve"> v. </w:t>
      </w:r>
      <w:r w:rsidR="00BB5174">
        <w:rPr>
          <w:i/>
          <w:sz w:val="20"/>
          <w:szCs w:val="20"/>
        </w:rPr>
        <w:t>Technicon Industries Ltd.</w:t>
      </w:r>
      <w:r w:rsidRPr="009C5D38">
        <w:rPr>
          <w:sz w:val="20"/>
          <w:szCs w:val="20"/>
        </w:rPr>
        <w:t xml:space="preserve"> (</w:t>
      </w:r>
      <w:r w:rsidR="00BB5174">
        <w:rPr>
          <w:sz w:val="20"/>
          <w:szCs w:val="20"/>
        </w:rPr>
        <w:t>B.C</w:t>
      </w:r>
      <w:r w:rsidRPr="009C5D38">
        <w:rPr>
          <w:sz w:val="20"/>
          <w:szCs w:val="20"/>
        </w:rPr>
        <w:t>.) (Civil) (By Leave)</w:t>
      </w:r>
      <w:r w:rsidRPr="00C50A5C">
        <w:rPr>
          <w:sz w:val="20"/>
          <w:szCs w:val="20"/>
        </w:rPr>
        <w:t xml:space="preserve"> (3</w:t>
      </w:r>
      <w:r w:rsidR="00BB5174">
        <w:rPr>
          <w:sz w:val="20"/>
          <w:szCs w:val="20"/>
        </w:rPr>
        <w:t>7982</w:t>
      </w:r>
      <w:r w:rsidRPr="00C50A5C">
        <w:rPr>
          <w:sz w:val="20"/>
          <w:szCs w:val="20"/>
        </w:rPr>
        <w:t>)</w:t>
      </w:r>
    </w:p>
    <w:p w:rsidR="00CB3520" w:rsidRPr="009C5D38" w:rsidRDefault="00CB3520" w:rsidP="00CB3520">
      <w:pPr>
        <w:widowControl w:val="0"/>
        <w:rPr>
          <w:sz w:val="20"/>
          <w:szCs w:val="20"/>
        </w:rPr>
      </w:pPr>
    </w:p>
    <w:p w:rsidR="00CB3520" w:rsidRPr="009C5D38" w:rsidRDefault="00CB3520" w:rsidP="00CB3520">
      <w:pPr>
        <w:widowControl w:val="0"/>
        <w:rPr>
          <w:sz w:val="20"/>
          <w:szCs w:val="20"/>
        </w:rPr>
      </w:pPr>
    </w:p>
    <w:p w:rsidR="00CB3520" w:rsidRPr="00E942C2" w:rsidRDefault="00CB3520" w:rsidP="00CB3520">
      <w:pPr>
        <w:widowControl w:val="0"/>
        <w:jc w:val="center"/>
        <w:rPr>
          <w:b/>
          <w:sz w:val="20"/>
          <w:szCs w:val="20"/>
          <w:lang w:val="en-US"/>
        </w:rPr>
      </w:pPr>
      <w:r w:rsidRPr="00E942C2">
        <w:rPr>
          <w:b/>
          <w:sz w:val="20"/>
          <w:szCs w:val="20"/>
          <w:lang w:val="en-US"/>
        </w:rPr>
        <w:t xml:space="preserve">CORAM: </w:t>
      </w:r>
      <w:r w:rsidR="00FA3373" w:rsidRPr="00E942C2">
        <w:rPr>
          <w:b/>
          <w:sz w:val="20"/>
          <w:szCs w:val="20"/>
          <w:lang w:val="en-US"/>
        </w:rPr>
        <w:t>Abella</w:t>
      </w:r>
      <w:r w:rsidRPr="00E942C2">
        <w:rPr>
          <w:b/>
          <w:sz w:val="20"/>
          <w:szCs w:val="20"/>
          <w:lang w:val="en-US"/>
        </w:rPr>
        <w:t xml:space="preserve">, </w:t>
      </w:r>
      <w:r w:rsidR="00195F99">
        <w:rPr>
          <w:b/>
          <w:sz w:val="20"/>
          <w:szCs w:val="20"/>
          <w:lang w:val="en-US"/>
        </w:rPr>
        <w:t>Gascon</w:t>
      </w:r>
      <w:r w:rsidRPr="00E942C2">
        <w:rPr>
          <w:b/>
          <w:sz w:val="20"/>
          <w:szCs w:val="20"/>
          <w:lang w:val="en-US"/>
        </w:rPr>
        <w:t xml:space="preserve"> and </w:t>
      </w:r>
      <w:r w:rsidR="00E942C2" w:rsidRPr="00E942C2">
        <w:rPr>
          <w:b/>
          <w:sz w:val="20"/>
          <w:szCs w:val="20"/>
          <w:lang w:val="en-US"/>
        </w:rPr>
        <w:t>Brown</w:t>
      </w:r>
      <w:r w:rsidRPr="00E942C2">
        <w:rPr>
          <w:b/>
          <w:sz w:val="20"/>
          <w:szCs w:val="20"/>
          <w:lang w:val="en-US"/>
        </w:rPr>
        <w:t xml:space="preserve"> JJ.</w:t>
      </w:r>
    </w:p>
    <w:p w:rsidR="00CB3520" w:rsidRPr="00C070FF" w:rsidRDefault="00CB3520" w:rsidP="00CB3520">
      <w:pPr>
        <w:widowControl w:val="0"/>
        <w:jc w:val="center"/>
        <w:rPr>
          <w:b/>
          <w:sz w:val="20"/>
          <w:szCs w:val="20"/>
          <w:lang w:val="fr-CA"/>
        </w:rPr>
      </w:pPr>
      <w:r w:rsidRPr="00C070FF">
        <w:rPr>
          <w:b/>
          <w:sz w:val="20"/>
          <w:szCs w:val="20"/>
          <w:lang w:val="fr-CA"/>
        </w:rPr>
        <w:t xml:space="preserve">Les juges </w:t>
      </w:r>
      <w:r w:rsidR="00FA3373" w:rsidRPr="00C070FF">
        <w:rPr>
          <w:b/>
          <w:sz w:val="20"/>
          <w:szCs w:val="20"/>
          <w:lang w:val="fr-CA"/>
        </w:rPr>
        <w:t>Abella</w:t>
      </w:r>
      <w:r w:rsidRPr="00C070FF">
        <w:rPr>
          <w:b/>
          <w:sz w:val="20"/>
          <w:szCs w:val="20"/>
          <w:lang w:val="fr-CA"/>
        </w:rPr>
        <w:t xml:space="preserve">, </w:t>
      </w:r>
      <w:r w:rsidR="00195F99" w:rsidRPr="00C070FF">
        <w:rPr>
          <w:b/>
          <w:sz w:val="20"/>
          <w:szCs w:val="20"/>
          <w:lang w:val="fr-CA"/>
        </w:rPr>
        <w:t>Gascon</w:t>
      </w:r>
      <w:r w:rsidRPr="00C070FF">
        <w:rPr>
          <w:b/>
          <w:sz w:val="20"/>
          <w:szCs w:val="20"/>
          <w:lang w:val="fr-CA"/>
        </w:rPr>
        <w:t xml:space="preserve"> et </w:t>
      </w:r>
      <w:r w:rsidR="00E942C2" w:rsidRPr="00C070FF">
        <w:rPr>
          <w:b/>
          <w:sz w:val="20"/>
          <w:szCs w:val="20"/>
          <w:lang w:val="fr-CA"/>
        </w:rPr>
        <w:t>Brown</w:t>
      </w:r>
    </w:p>
    <w:p w:rsidR="00CB3520" w:rsidRPr="00C070FF" w:rsidRDefault="00CB3520" w:rsidP="00CB3520">
      <w:pPr>
        <w:widowControl w:val="0"/>
        <w:jc w:val="both"/>
        <w:rPr>
          <w:sz w:val="20"/>
          <w:szCs w:val="20"/>
          <w:lang w:val="fr-CA"/>
        </w:rPr>
      </w:pPr>
    </w:p>
    <w:p w:rsidR="00CB3520" w:rsidRPr="00400F0D" w:rsidRDefault="00400F0D" w:rsidP="00CB3520">
      <w:pPr>
        <w:pStyle w:val="ListParagraph"/>
        <w:widowControl w:val="0"/>
        <w:numPr>
          <w:ilvl w:val="0"/>
          <w:numId w:val="1"/>
        </w:numPr>
        <w:ind w:hanging="720"/>
        <w:jc w:val="both"/>
        <w:rPr>
          <w:sz w:val="20"/>
          <w:szCs w:val="20"/>
          <w:lang w:val="en-US"/>
        </w:rPr>
      </w:pPr>
      <w:r>
        <w:rPr>
          <w:i/>
          <w:sz w:val="20"/>
          <w:szCs w:val="20"/>
          <w:lang w:val="en-US"/>
        </w:rPr>
        <w:t>L.H.E.</w:t>
      </w:r>
      <w:r w:rsidR="00CB3520" w:rsidRPr="009C5D38">
        <w:rPr>
          <w:i/>
          <w:sz w:val="20"/>
          <w:szCs w:val="20"/>
        </w:rPr>
        <w:t xml:space="preserve"> v. </w:t>
      </w:r>
      <w:r>
        <w:rPr>
          <w:i/>
          <w:sz w:val="20"/>
          <w:szCs w:val="20"/>
        </w:rPr>
        <w:t>Her Majesty the Queen</w:t>
      </w:r>
      <w:r w:rsidR="00CB3520" w:rsidRPr="009C5D38">
        <w:rPr>
          <w:sz w:val="20"/>
          <w:szCs w:val="20"/>
        </w:rPr>
        <w:t xml:space="preserve"> (</w:t>
      </w:r>
      <w:r>
        <w:rPr>
          <w:sz w:val="20"/>
          <w:szCs w:val="20"/>
        </w:rPr>
        <w:t>Ont</w:t>
      </w:r>
      <w:r w:rsidR="00CB3520" w:rsidRPr="009C5D38">
        <w:rPr>
          <w:sz w:val="20"/>
          <w:szCs w:val="20"/>
        </w:rPr>
        <w:t>.) (C</w:t>
      </w:r>
      <w:r>
        <w:rPr>
          <w:sz w:val="20"/>
          <w:szCs w:val="20"/>
        </w:rPr>
        <w:t>r</w:t>
      </w:r>
      <w:r w:rsidR="00CB3520" w:rsidRPr="009C5D38">
        <w:rPr>
          <w:sz w:val="20"/>
          <w:szCs w:val="20"/>
        </w:rPr>
        <w:t>i</w:t>
      </w:r>
      <w:r>
        <w:rPr>
          <w:sz w:val="20"/>
          <w:szCs w:val="20"/>
        </w:rPr>
        <w:t>m.</w:t>
      </w:r>
      <w:r w:rsidR="00CB3520" w:rsidRPr="009C5D38">
        <w:rPr>
          <w:sz w:val="20"/>
          <w:szCs w:val="20"/>
        </w:rPr>
        <w:t>) (By Leave)</w:t>
      </w:r>
      <w:r w:rsidR="00CB3520" w:rsidRPr="00400F0D">
        <w:rPr>
          <w:sz w:val="20"/>
          <w:szCs w:val="20"/>
          <w:lang w:val="en-US"/>
        </w:rPr>
        <w:t xml:space="preserve"> (3</w:t>
      </w:r>
      <w:r>
        <w:rPr>
          <w:sz w:val="20"/>
          <w:szCs w:val="20"/>
          <w:lang w:val="en-US"/>
        </w:rPr>
        <w:t>8158</w:t>
      </w:r>
      <w:r w:rsidR="00CB3520" w:rsidRPr="00400F0D">
        <w:rPr>
          <w:sz w:val="20"/>
          <w:szCs w:val="20"/>
          <w:lang w:val="en-US"/>
        </w:rPr>
        <w:t>)</w:t>
      </w:r>
    </w:p>
    <w:p w:rsidR="00CB3520" w:rsidRPr="00400F0D" w:rsidRDefault="00CB3520" w:rsidP="00CB3520">
      <w:pPr>
        <w:widowControl w:val="0"/>
        <w:jc w:val="both"/>
        <w:rPr>
          <w:sz w:val="20"/>
          <w:szCs w:val="20"/>
          <w:lang w:val="en-US"/>
        </w:rPr>
      </w:pPr>
    </w:p>
    <w:p w:rsidR="00CB3520" w:rsidRPr="009C5D38" w:rsidRDefault="00C158A1" w:rsidP="00CB3520">
      <w:pPr>
        <w:pStyle w:val="ListParagraph"/>
        <w:widowControl w:val="0"/>
        <w:numPr>
          <w:ilvl w:val="0"/>
          <w:numId w:val="1"/>
        </w:numPr>
        <w:ind w:hanging="720"/>
        <w:jc w:val="both"/>
        <w:rPr>
          <w:sz w:val="20"/>
          <w:szCs w:val="20"/>
        </w:rPr>
      </w:pPr>
      <w:r>
        <w:rPr>
          <w:i/>
          <w:sz w:val="20"/>
          <w:szCs w:val="20"/>
        </w:rPr>
        <w:t>Elizabeth Bernard</w:t>
      </w:r>
      <w:r w:rsidR="00CB3520" w:rsidRPr="009C5D38">
        <w:rPr>
          <w:i/>
          <w:sz w:val="20"/>
          <w:szCs w:val="20"/>
        </w:rPr>
        <w:t xml:space="preserve"> v. Canada </w:t>
      </w:r>
      <w:r>
        <w:rPr>
          <w:i/>
          <w:sz w:val="20"/>
          <w:szCs w:val="20"/>
        </w:rPr>
        <w:t>Revenue Agency</w:t>
      </w:r>
      <w:r w:rsidR="00CB3520" w:rsidRPr="009C5D38">
        <w:rPr>
          <w:sz w:val="20"/>
          <w:szCs w:val="20"/>
        </w:rPr>
        <w:t xml:space="preserve"> (</w:t>
      </w:r>
      <w:r>
        <w:rPr>
          <w:sz w:val="20"/>
          <w:szCs w:val="20"/>
        </w:rPr>
        <w:t>F.C</w:t>
      </w:r>
      <w:r w:rsidR="00CB3520" w:rsidRPr="009C5D38">
        <w:rPr>
          <w:sz w:val="20"/>
          <w:szCs w:val="20"/>
        </w:rPr>
        <w:t>.) (Civil) (By Leave) (3</w:t>
      </w:r>
      <w:r>
        <w:rPr>
          <w:sz w:val="20"/>
          <w:szCs w:val="20"/>
        </w:rPr>
        <w:t>8092</w:t>
      </w:r>
      <w:r w:rsidR="00CB3520" w:rsidRPr="009C5D38">
        <w:rPr>
          <w:sz w:val="20"/>
          <w:szCs w:val="20"/>
        </w:rPr>
        <w:t>)</w:t>
      </w:r>
    </w:p>
    <w:p w:rsidR="00CB3520" w:rsidRPr="009C5D38" w:rsidRDefault="00CB3520" w:rsidP="00CB3520">
      <w:pPr>
        <w:widowControl w:val="0"/>
        <w:jc w:val="both"/>
        <w:rPr>
          <w:sz w:val="20"/>
          <w:szCs w:val="20"/>
        </w:rPr>
      </w:pPr>
    </w:p>
    <w:p w:rsidR="00CB3520" w:rsidRPr="00C50A5C" w:rsidRDefault="009D19F6" w:rsidP="00CD617A">
      <w:pPr>
        <w:pStyle w:val="ListParagraph"/>
        <w:widowControl w:val="0"/>
        <w:numPr>
          <w:ilvl w:val="0"/>
          <w:numId w:val="1"/>
        </w:numPr>
        <w:ind w:hanging="720"/>
        <w:jc w:val="both"/>
        <w:rPr>
          <w:sz w:val="20"/>
          <w:szCs w:val="20"/>
          <w:lang w:val="fr-CA"/>
        </w:rPr>
      </w:pPr>
      <w:r w:rsidRPr="009D19F6">
        <w:rPr>
          <w:i/>
          <w:sz w:val="20"/>
          <w:szCs w:val="20"/>
          <w:lang w:val="en-US"/>
        </w:rPr>
        <w:t>Judith Isaac as Estate Trustee of the Estate of Glen Michael Isaac, deceased et al.</w:t>
      </w:r>
      <w:r w:rsidR="00CB3520" w:rsidRPr="009D19F6">
        <w:rPr>
          <w:i/>
          <w:sz w:val="20"/>
          <w:szCs w:val="20"/>
          <w:lang w:val="en-US"/>
        </w:rPr>
        <w:t xml:space="preserve"> </w:t>
      </w:r>
      <w:r w:rsidRPr="009D19F6">
        <w:rPr>
          <w:i/>
          <w:sz w:val="20"/>
          <w:szCs w:val="20"/>
          <w:lang w:val="en-US"/>
        </w:rPr>
        <w:t>v</w:t>
      </w:r>
      <w:r w:rsidR="00CB3520" w:rsidRPr="009D19F6">
        <w:rPr>
          <w:i/>
          <w:sz w:val="20"/>
          <w:szCs w:val="20"/>
          <w:lang w:val="en-US"/>
        </w:rPr>
        <w:t xml:space="preserve">. </w:t>
      </w:r>
      <w:r>
        <w:rPr>
          <w:i/>
          <w:sz w:val="20"/>
          <w:szCs w:val="20"/>
          <w:lang w:val="en-US"/>
        </w:rPr>
        <w:t>Ilona Irena Matuszynska</w:t>
      </w:r>
      <w:r w:rsidRPr="009D19F6">
        <w:rPr>
          <w:i/>
          <w:sz w:val="20"/>
          <w:szCs w:val="20"/>
          <w:lang w:val="en-US"/>
        </w:rPr>
        <w:t xml:space="preserve"> et al.</w:t>
      </w:r>
      <w:r w:rsidR="00CB3520" w:rsidRPr="009D19F6">
        <w:rPr>
          <w:sz w:val="20"/>
          <w:szCs w:val="20"/>
          <w:lang w:val="en-US"/>
        </w:rPr>
        <w:t xml:space="preserve"> </w:t>
      </w:r>
      <w:r w:rsidR="00CB3520" w:rsidRPr="009C5D38">
        <w:rPr>
          <w:sz w:val="20"/>
          <w:szCs w:val="20"/>
          <w:lang w:val="fr-CA"/>
        </w:rPr>
        <w:t>(</w:t>
      </w:r>
      <w:r>
        <w:rPr>
          <w:sz w:val="20"/>
          <w:szCs w:val="20"/>
          <w:lang w:val="fr-CA"/>
        </w:rPr>
        <w:t>Ont.) (Civil</w:t>
      </w:r>
      <w:r w:rsidR="00CB3520" w:rsidRPr="009C5D38">
        <w:rPr>
          <w:sz w:val="20"/>
          <w:szCs w:val="20"/>
          <w:lang w:val="fr-CA"/>
        </w:rPr>
        <w:t>) (</w:t>
      </w:r>
      <w:r>
        <w:rPr>
          <w:sz w:val="20"/>
          <w:szCs w:val="20"/>
          <w:lang w:val="fr-CA"/>
        </w:rPr>
        <w:t>By Leave</w:t>
      </w:r>
      <w:r w:rsidR="00CB3520" w:rsidRPr="009C5D38">
        <w:rPr>
          <w:sz w:val="20"/>
          <w:szCs w:val="20"/>
          <w:lang w:val="fr-CA"/>
        </w:rPr>
        <w:t>)</w:t>
      </w:r>
      <w:r w:rsidR="00CB3520" w:rsidRPr="00C50A5C">
        <w:rPr>
          <w:sz w:val="20"/>
          <w:szCs w:val="20"/>
          <w:lang w:val="fr-CA"/>
        </w:rPr>
        <w:t xml:space="preserve"> (3</w:t>
      </w:r>
      <w:r>
        <w:rPr>
          <w:sz w:val="20"/>
          <w:szCs w:val="20"/>
          <w:lang w:val="fr-CA"/>
        </w:rPr>
        <w:t>8078</w:t>
      </w:r>
      <w:r w:rsidR="00CB3520" w:rsidRPr="00C50A5C">
        <w:rPr>
          <w:sz w:val="20"/>
          <w:szCs w:val="20"/>
          <w:lang w:val="fr-CA"/>
        </w:rPr>
        <w:t>)</w:t>
      </w:r>
    </w:p>
    <w:p w:rsidR="00CB3520" w:rsidRDefault="00CB3520" w:rsidP="00CB3520">
      <w:pPr>
        <w:widowControl w:val="0"/>
        <w:rPr>
          <w:sz w:val="20"/>
          <w:szCs w:val="20"/>
          <w:lang w:val="fr-CA"/>
        </w:rPr>
      </w:pPr>
    </w:p>
    <w:p w:rsidR="00CB3520" w:rsidRDefault="00CB3520" w:rsidP="00CB3520">
      <w:pPr>
        <w:pStyle w:val="ListParagraph"/>
        <w:widowControl w:val="0"/>
        <w:numPr>
          <w:ilvl w:val="0"/>
          <w:numId w:val="1"/>
        </w:numPr>
        <w:ind w:hanging="720"/>
        <w:jc w:val="both"/>
        <w:rPr>
          <w:sz w:val="20"/>
          <w:szCs w:val="20"/>
          <w:lang w:val="fr-CA"/>
        </w:rPr>
      </w:pPr>
      <w:r w:rsidRPr="009C5D38">
        <w:rPr>
          <w:i/>
          <w:sz w:val="20"/>
          <w:szCs w:val="20"/>
          <w:lang w:val="fr-CA"/>
        </w:rPr>
        <w:t>Mi</w:t>
      </w:r>
      <w:r w:rsidR="008917AE">
        <w:rPr>
          <w:i/>
          <w:sz w:val="20"/>
          <w:szCs w:val="20"/>
          <w:lang w:val="fr-CA"/>
        </w:rPr>
        <w:t>cha</w:t>
      </w:r>
      <w:r w:rsidRPr="009C5D38">
        <w:rPr>
          <w:i/>
          <w:sz w:val="20"/>
          <w:szCs w:val="20"/>
          <w:lang w:val="fr-CA"/>
        </w:rPr>
        <w:t>e</w:t>
      </w:r>
      <w:r w:rsidR="008917AE">
        <w:rPr>
          <w:i/>
          <w:sz w:val="20"/>
          <w:szCs w:val="20"/>
          <w:lang w:val="fr-CA"/>
        </w:rPr>
        <w:t>l John Popp et al.</w:t>
      </w:r>
      <w:r w:rsidRPr="009C5D38">
        <w:rPr>
          <w:i/>
          <w:sz w:val="20"/>
          <w:szCs w:val="20"/>
          <w:lang w:val="fr-CA"/>
        </w:rPr>
        <w:t xml:space="preserve"> </w:t>
      </w:r>
      <w:r w:rsidR="008917AE">
        <w:rPr>
          <w:i/>
          <w:sz w:val="20"/>
          <w:szCs w:val="20"/>
          <w:lang w:val="fr-CA"/>
        </w:rPr>
        <w:t>v</w:t>
      </w:r>
      <w:r w:rsidRPr="009C5D38">
        <w:rPr>
          <w:i/>
          <w:sz w:val="20"/>
          <w:szCs w:val="20"/>
          <w:lang w:val="fr-CA"/>
        </w:rPr>
        <w:t xml:space="preserve">. </w:t>
      </w:r>
      <w:r w:rsidR="008917AE">
        <w:rPr>
          <w:i/>
          <w:sz w:val="20"/>
          <w:szCs w:val="20"/>
          <w:lang w:val="fr-CA"/>
        </w:rPr>
        <w:t>Cheryl Angela Mucz et al.</w:t>
      </w:r>
      <w:r w:rsidRPr="009C5D38">
        <w:rPr>
          <w:sz w:val="20"/>
          <w:szCs w:val="20"/>
          <w:lang w:val="fr-CA"/>
        </w:rPr>
        <w:t xml:space="preserve"> (</w:t>
      </w:r>
      <w:r w:rsidR="008917AE">
        <w:rPr>
          <w:sz w:val="20"/>
          <w:szCs w:val="20"/>
          <w:lang w:val="fr-CA"/>
        </w:rPr>
        <w:t>Man.</w:t>
      </w:r>
      <w:r w:rsidRPr="009C5D38">
        <w:rPr>
          <w:sz w:val="20"/>
          <w:szCs w:val="20"/>
          <w:lang w:val="fr-CA"/>
        </w:rPr>
        <w:t>) (Civil) (</w:t>
      </w:r>
      <w:r w:rsidR="008917AE">
        <w:rPr>
          <w:sz w:val="20"/>
          <w:szCs w:val="20"/>
          <w:lang w:val="fr-CA"/>
        </w:rPr>
        <w:t>By Leave</w:t>
      </w:r>
      <w:r w:rsidRPr="009C5D38">
        <w:rPr>
          <w:sz w:val="20"/>
          <w:szCs w:val="20"/>
          <w:lang w:val="fr-CA"/>
        </w:rPr>
        <w:t>) (3</w:t>
      </w:r>
      <w:r w:rsidR="008917AE">
        <w:rPr>
          <w:sz w:val="20"/>
          <w:szCs w:val="20"/>
          <w:lang w:val="fr-CA"/>
        </w:rPr>
        <w:t>8007</w:t>
      </w:r>
      <w:r w:rsidRPr="009C5D38">
        <w:rPr>
          <w:sz w:val="20"/>
          <w:szCs w:val="20"/>
          <w:lang w:val="fr-CA"/>
        </w:rPr>
        <w:t>)</w:t>
      </w:r>
    </w:p>
    <w:p w:rsidR="008917AE" w:rsidRPr="008917AE" w:rsidRDefault="008917AE" w:rsidP="008917AE">
      <w:pPr>
        <w:rPr>
          <w:sz w:val="20"/>
          <w:szCs w:val="20"/>
          <w:lang w:val="fr-CA"/>
        </w:rPr>
      </w:pPr>
    </w:p>
    <w:p w:rsidR="008917AE" w:rsidRPr="008917AE" w:rsidRDefault="008917AE" w:rsidP="008917AE">
      <w:pPr>
        <w:pStyle w:val="ListParagraph"/>
        <w:widowControl w:val="0"/>
        <w:numPr>
          <w:ilvl w:val="0"/>
          <w:numId w:val="1"/>
        </w:numPr>
        <w:ind w:hanging="720"/>
        <w:jc w:val="both"/>
        <w:rPr>
          <w:sz w:val="20"/>
          <w:szCs w:val="20"/>
          <w:lang w:val="en-US"/>
        </w:rPr>
      </w:pPr>
      <w:r w:rsidRPr="008917AE">
        <w:rPr>
          <w:i/>
          <w:sz w:val="20"/>
          <w:szCs w:val="20"/>
          <w:lang w:val="en-US"/>
        </w:rPr>
        <w:t xml:space="preserve">City of Edmonton v. </w:t>
      </w:r>
      <w:r>
        <w:rPr>
          <w:i/>
          <w:sz w:val="20"/>
          <w:szCs w:val="20"/>
          <w:lang w:val="en-US"/>
        </w:rPr>
        <w:t>689799 Alberta Ltd. et al.</w:t>
      </w:r>
      <w:r w:rsidRPr="008917AE">
        <w:rPr>
          <w:sz w:val="20"/>
          <w:szCs w:val="20"/>
          <w:lang w:val="en-US"/>
        </w:rPr>
        <w:t xml:space="preserve"> (</w:t>
      </w:r>
      <w:r>
        <w:rPr>
          <w:sz w:val="20"/>
          <w:szCs w:val="20"/>
          <w:lang w:val="en-US"/>
        </w:rPr>
        <w:t>Alta.)</w:t>
      </w:r>
      <w:r w:rsidRPr="008917AE">
        <w:rPr>
          <w:sz w:val="20"/>
          <w:szCs w:val="20"/>
          <w:lang w:val="en-US"/>
        </w:rPr>
        <w:t xml:space="preserve"> (Civil) (By Leave) (38</w:t>
      </w:r>
      <w:r>
        <w:rPr>
          <w:sz w:val="20"/>
          <w:szCs w:val="20"/>
          <w:lang w:val="en-US"/>
        </w:rPr>
        <w:t>2</w:t>
      </w:r>
      <w:r w:rsidRPr="008917AE">
        <w:rPr>
          <w:sz w:val="20"/>
          <w:szCs w:val="20"/>
          <w:lang w:val="en-US"/>
        </w:rPr>
        <w:t>7</w:t>
      </w:r>
      <w:r>
        <w:rPr>
          <w:sz w:val="20"/>
          <w:szCs w:val="20"/>
          <w:lang w:val="en-US"/>
        </w:rPr>
        <w:t>9</w:t>
      </w:r>
      <w:r w:rsidRPr="008917AE">
        <w:rPr>
          <w:sz w:val="20"/>
          <w:szCs w:val="20"/>
          <w:lang w:val="en-US"/>
        </w:rPr>
        <w:t>)</w:t>
      </w:r>
    </w:p>
    <w:p w:rsidR="00CB3520" w:rsidRPr="008917AE" w:rsidRDefault="00CB3520" w:rsidP="00CB3520">
      <w:pPr>
        <w:widowControl w:val="0"/>
        <w:jc w:val="both"/>
        <w:rPr>
          <w:sz w:val="20"/>
          <w:szCs w:val="20"/>
          <w:lang w:val="en-US"/>
        </w:rPr>
      </w:pPr>
    </w:p>
    <w:p w:rsidR="00CB3520" w:rsidRPr="008917AE" w:rsidRDefault="00CB3520" w:rsidP="00CB3520">
      <w:pPr>
        <w:widowControl w:val="0"/>
        <w:jc w:val="both"/>
        <w:rPr>
          <w:sz w:val="20"/>
          <w:szCs w:val="20"/>
          <w:lang w:val="en-US"/>
        </w:rPr>
      </w:pPr>
    </w:p>
    <w:p w:rsidR="00CB3520" w:rsidRPr="008917AE" w:rsidRDefault="00CB3520" w:rsidP="00CB3520">
      <w:pPr>
        <w:widowControl w:val="0"/>
        <w:jc w:val="center"/>
        <w:rPr>
          <w:b/>
          <w:sz w:val="20"/>
          <w:szCs w:val="20"/>
          <w:lang w:val="en-US"/>
        </w:rPr>
      </w:pPr>
      <w:r w:rsidRPr="008917AE">
        <w:rPr>
          <w:b/>
          <w:sz w:val="20"/>
          <w:szCs w:val="20"/>
          <w:lang w:val="en-US"/>
        </w:rPr>
        <w:t xml:space="preserve">CORAM: </w:t>
      </w:r>
      <w:r w:rsidR="00253236" w:rsidRPr="008917AE">
        <w:rPr>
          <w:b/>
          <w:sz w:val="20"/>
          <w:szCs w:val="20"/>
          <w:lang w:val="en-US"/>
        </w:rPr>
        <w:t>Moldaver</w:t>
      </w:r>
      <w:r w:rsidR="00E942C2" w:rsidRPr="008917AE">
        <w:rPr>
          <w:b/>
          <w:sz w:val="20"/>
          <w:szCs w:val="20"/>
          <w:lang w:val="en-US"/>
        </w:rPr>
        <w:t xml:space="preserve">, </w:t>
      </w:r>
      <w:r w:rsidR="00195F99" w:rsidRPr="008917AE">
        <w:rPr>
          <w:b/>
          <w:sz w:val="20"/>
          <w:szCs w:val="20"/>
          <w:lang w:val="en-US"/>
        </w:rPr>
        <w:t xml:space="preserve">Karakatsanis and </w:t>
      </w:r>
      <w:r w:rsidR="00253236" w:rsidRPr="008917AE">
        <w:rPr>
          <w:b/>
          <w:sz w:val="20"/>
          <w:szCs w:val="20"/>
          <w:lang w:val="en-US"/>
        </w:rPr>
        <w:t>Côté</w:t>
      </w:r>
      <w:r w:rsidR="00195F99" w:rsidRPr="008917AE">
        <w:rPr>
          <w:b/>
          <w:sz w:val="20"/>
          <w:szCs w:val="20"/>
          <w:lang w:val="en-US"/>
        </w:rPr>
        <w:t xml:space="preserve"> </w:t>
      </w:r>
      <w:r w:rsidRPr="008917AE">
        <w:rPr>
          <w:b/>
          <w:sz w:val="20"/>
          <w:szCs w:val="20"/>
          <w:lang w:val="en-US"/>
        </w:rPr>
        <w:t>JJ.</w:t>
      </w:r>
    </w:p>
    <w:p w:rsidR="00CB3520" w:rsidRPr="00C070FF" w:rsidRDefault="00CB3520" w:rsidP="00CB3520">
      <w:pPr>
        <w:widowControl w:val="0"/>
        <w:jc w:val="center"/>
        <w:rPr>
          <w:b/>
          <w:sz w:val="20"/>
          <w:szCs w:val="20"/>
          <w:lang w:val="fr-CA"/>
        </w:rPr>
      </w:pPr>
      <w:r w:rsidRPr="00C070FF">
        <w:rPr>
          <w:b/>
          <w:sz w:val="20"/>
          <w:szCs w:val="20"/>
          <w:lang w:val="fr-CA"/>
        </w:rPr>
        <w:t xml:space="preserve">Les juges </w:t>
      </w:r>
      <w:r w:rsidR="00253236" w:rsidRPr="00C070FF">
        <w:rPr>
          <w:b/>
          <w:sz w:val="20"/>
          <w:szCs w:val="20"/>
          <w:lang w:val="fr-CA"/>
        </w:rPr>
        <w:t>Moldaver</w:t>
      </w:r>
      <w:r w:rsidR="00E942C2" w:rsidRPr="00C070FF">
        <w:rPr>
          <w:b/>
          <w:sz w:val="20"/>
          <w:szCs w:val="20"/>
          <w:lang w:val="fr-CA"/>
        </w:rPr>
        <w:t xml:space="preserve">, </w:t>
      </w:r>
      <w:r w:rsidR="00195F99" w:rsidRPr="00C070FF">
        <w:rPr>
          <w:b/>
          <w:sz w:val="20"/>
          <w:szCs w:val="20"/>
          <w:lang w:val="fr-CA"/>
        </w:rPr>
        <w:t xml:space="preserve">Karakatsanis et </w:t>
      </w:r>
      <w:r w:rsidR="00253236" w:rsidRPr="00C070FF">
        <w:rPr>
          <w:b/>
          <w:sz w:val="20"/>
          <w:szCs w:val="20"/>
          <w:lang w:val="fr-CA"/>
        </w:rPr>
        <w:t>Côté</w:t>
      </w:r>
    </w:p>
    <w:p w:rsidR="00CB3520" w:rsidRPr="00C070FF" w:rsidRDefault="00CB3520" w:rsidP="00CB3520">
      <w:pPr>
        <w:widowControl w:val="0"/>
        <w:jc w:val="both"/>
        <w:rPr>
          <w:sz w:val="20"/>
          <w:szCs w:val="20"/>
          <w:lang w:val="fr-CA"/>
        </w:rPr>
      </w:pPr>
    </w:p>
    <w:p w:rsidR="00CB3520" w:rsidRPr="00115C9E" w:rsidRDefault="000B2AD2" w:rsidP="00CB3520">
      <w:pPr>
        <w:pStyle w:val="ListParagraph"/>
        <w:widowControl w:val="0"/>
        <w:numPr>
          <w:ilvl w:val="0"/>
          <w:numId w:val="1"/>
        </w:numPr>
        <w:ind w:hanging="720"/>
        <w:jc w:val="both"/>
        <w:rPr>
          <w:sz w:val="20"/>
          <w:szCs w:val="20"/>
        </w:rPr>
      </w:pPr>
      <w:r>
        <w:rPr>
          <w:i/>
          <w:sz w:val="20"/>
          <w:szCs w:val="20"/>
          <w:lang w:val="en-US"/>
        </w:rPr>
        <w:t xml:space="preserve">Jonathan Craig </w:t>
      </w:r>
      <w:proofErr w:type="spellStart"/>
      <w:r>
        <w:rPr>
          <w:i/>
          <w:sz w:val="20"/>
          <w:szCs w:val="20"/>
          <w:lang w:val="en-US"/>
        </w:rPr>
        <w:t>Gaudet</w:t>
      </w:r>
      <w:proofErr w:type="spellEnd"/>
      <w:r w:rsidR="00CB3520" w:rsidRPr="008917AE">
        <w:rPr>
          <w:i/>
          <w:sz w:val="20"/>
          <w:szCs w:val="20"/>
          <w:lang w:val="en-US"/>
        </w:rPr>
        <w:t xml:space="preserve"> v. </w:t>
      </w:r>
      <w:r>
        <w:rPr>
          <w:i/>
          <w:sz w:val="20"/>
          <w:szCs w:val="20"/>
          <w:lang w:val="en-US"/>
        </w:rPr>
        <w:t>Her Majesty the Queen</w:t>
      </w:r>
      <w:r w:rsidR="00CB3520" w:rsidRPr="009C5D38">
        <w:rPr>
          <w:sz w:val="20"/>
          <w:szCs w:val="20"/>
        </w:rPr>
        <w:t xml:space="preserve"> (</w:t>
      </w:r>
      <w:r>
        <w:rPr>
          <w:sz w:val="20"/>
          <w:szCs w:val="20"/>
        </w:rPr>
        <w:t>P.E.I</w:t>
      </w:r>
      <w:r w:rsidR="00CB3520" w:rsidRPr="009C5D38">
        <w:rPr>
          <w:sz w:val="20"/>
          <w:szCs w:val="20"/>
        </w:rPr>
        <w:t>.) (C</w:t>
      </w:r>
      <w:r>
        <w:rPr>
          <w:sz w:val="20"/>
          <w:szCs w:val="20"/>
        </w:rPr>
        <w:t>r</w:t>
      </w:r>
      <w:r w:rsidR="00CB3520" w:rsidRPr="009C5D38">
        <w:rPr>
          <w:sz w:val="20"/>
          <w:szCs w:val="20"/>
        </w:rPr>
        <w:t>i</w:t>
      </w:r>
      <w:r>
        <w:rPr>
          <w:sz w:val="20"/>
          <w:szCs w:val="20"/>
        </w:rPr>
        <w:t>m.</w:t>
      </w:r>
      <w:r w:rsidR="00CB3520" w:rsidRPr="009C5D38">
        <w:rPr>
          <w:sz w:val="20"/>
          <w:szCs w:val="20"/>
        </w:rPr>
        <w:t>) (By Leave)</w:t>
      </w:r>
      <w:r w:rsidR="00CB3520" w:rsidRPr="00115C9E">
        <w:rPr>
          <w:sz w:val="20"/>
          <w:szCs w:val="20"/>
        </w:rPr>
        <w:t xml:space="preserve"> (3</w:t>
      </w:r>
      <w:r>
        <w:rPr>
          <w:sz w:val="20"/>
          <w:szCs w:val="20"/>
        </w:rPr>
        <w:t>8257</w:t>
      </w:r>
      <w:r w:rsidR="00CB3520" w:rsidRPr="00115C9E">
        <w:rPr>
          <w:sz w:val="20"/>
          <w:szCs w:val="20"/>
        </w:rPr>
        <w:t>)</w:t>
      </w:r>
    </w:p>
    <w:p w:rsidR="00CB3520" w:rsidRPr="00115C9E" w:rsidRDefault="00CB3520" w:rsidP="00CB3520">
      <w:pPr>
        <w:widowControl w:val="0"/>
        <w:jc w:val="both"/>
        <w:rPr>
          <w:sz w:val="20"/>
          <w:szCs w:val="20"/>
        </w:rPr>
      </w:pPr>
    </w:p>
    <w:p w:rsidR="00CB3520" w:rsidRPr="002669C7" w:rsidRDefault="002669C7" w:rsidP="00EC3F05">
      <w:pPr>
        <w:pStyle w:val="ListParagraph"/>
        <w:widowControl w:val="0"/>
        <w:numPr>
          <w:ilvl w:val="0"/>
          <w:numId w:val="1"/>
        </w:numPr>
        <w:ind w:hanging="720"/>
        <w:jc w:val="both"/>
        <w:rPr>
          <w:sz w:val="20"/>
          <w:szCs w:val="20"/>
          <w:lang w:val="fr-CA"/>
        </w:rPr>
      </w:pPr>
      <w:r w:rsidRPr="002669C7">
        <w:rPr>
          <w:i/>
          <w:sz w:val="20"/>
          <w:szCs w:val="20"/>
          <w:lang w:val="fr-CA"/>
        </w:rPr>
        <w:t>Exploitation agricole et forestière des Laurentides Inc.</w:t>
      </w:r>
      <w:r>
        <w:rPr>
          <w:i/>
          <w:sz w:val="20"/>
          <w:szCs w:val="20"/>
          <w:lang w:val="fr-CA"/>
        </w:rPr>
        <w:t xml:space="preserve"> </w:t>
      </w:r>
      <w:r w:rsidRPr="002669C7">
        <w:rPr>
          <w:i/>
          <w:sz w:val="20"/>
          <w:szCs w:val="20"/>
          <w:lang w:val="fr-CA"/>
        </w:rPr>
        <w:t>c</w:t>
      </w:r>
      <w:r w:rsidR="00CB3520" w:rsidRPr="002669C7">
        <w:rPr>
          <w:i/>
          <w:sz w:val="20"/>
          <w:szCs w:val="20"/>
          <w:lang w:val="fr-CA"/>
        </w:rPr>
        <w:t>.</w:t>
      </w:r>
      <w:r w:rsidRPr="002669C7">
        <w:rPr>
          <w:i/>
          <w:sz w:val="20"/>
          <w:szCs w:val="20"/>
          <w:lang w:val="fr-CA"/>
        </w:rPr>
        <w:t xml:space="preserve"> Ville de Mont-Tremblant</w:t>
      </w:r>
      <w:r w:rsidR="00CB3520" w:rsidRPr="002669C7">
        <w:rPr>
          <w:sz w:val="20"/>
          <w:szCs w:val="20"/>
          <w:lang w:val="fr-CA"/>
        </w:rPr>
        <w:t xml:space="preserve"> (</w:t>
      </w:r>
      <w:r w:rsidRPr="002669C7">
        <w:rPr>
          <w:sz w:val="20"/>
          <w:szCs w:val="20"/>
          <w:lang w:val="fr-CA"/>
        </w:rPr>
        <w:t>Qc</w:t>
      </w:r>
      <w:r w:rsidR="00CB3520" w:rsidRPr="002669C7">
        <w:rPr>
          <w:sz w:val="20"/>
          <w:szCs w:val="20"/>
          <w:lang w:val="fr-CA"/>
        </w:rPr>
        <w:t>) (Civil</w:t>
      </w:r>
      <w:r>
        <w:rPr>
          <w:sz w:val="20"/>
          <w:szCs w:val="20"/>
          <w:lang w:val="fr-CA"/>
        </w:rPr>
        <w:t>e</w:t>
      </w:r>
      <w:r w:rsidR="00CB3520" w:rsidRPr="002669C7">
        <w:rPr>
          <w:sz w:val="20"/>
          <w:szCs w:val="20"/>
          <w:lang w:val="fr-CA"/>
        </w:rPr>
        <w:t>) (</w:t>
      </w:r>
      <w:r>
        <w:rPr>
          <w:sz w:val="20"/>
          <w:szCs w:val="20"/>
          <w:lang w:val="fr-CA"/>
        </w:rPr>
        <w:t>Autorisation</w:t>
      </w:r>
      <w:r w:rsidR="00CB3520" w:rsidRPr="002669C7">
        <w:rPr>
          <w:sz w:val="20"/>
          <w:szCs w:val="20"/>
          <w:lang w:val="fr-CA"/>
        </w:rPr>
        <w:t>) (3</w:t>
      </w:r>
      <w:r>
        <w:rPr>
          <w:sz w:val="20"/>
          <w:szCs w:val="20"/>
          <w:lang w:val="fr-CA"/>
        </w:rPr>
        <w:t>7838</w:t>
      </w:r>
      <w:r w:rsidR="00CB3520" w:rsidRPr="002669C7">
        <w:rPr>
          <w:sz w:val="20"/>
          <w:szCs w:val="20"/>
          <w:lang w:val="fr-CA"/>
        </w:rPr>
        <w:t>)</w:t>
      </w:r>
    </w:p>
    <w:p w:rsidR="00CB3520" w:rsidRPr="002669C7" w:rsidRDefault="00CB3520" w:rsidP="00CB3520">
      <w:pPr>
        <w:widowControl w:val="0"/>
        <w:rPr>
          <w:i/>
          <w:sz w:val="20"/>
          <w:szCs w:val="20"/>
          <w:lang w:val="fr-CA"/>
        </w:rPr>
      </w:pPr>
    </w:p>
    <w:p w:rsidR="00CB3520" w:rsidRPr="009C5D38" w:rsidRDefault="00BF6875" w:rsidP="00CB3520">
      <w:pPr>
        <w:pStyle w:val="ListParagraph"/>
        <w:widowControl w:val="0"/>
        <w:numPr>
          <w:ilvl w:val="0"/>
          <w:numId w:val="1"/>
        </w:numPr>
        <w:ind w:hanging="720"/>
        <w:jc w:val="both"/>
        <w:rPr>
          <w:sz w:val="20"/>
          <w:szCs w:val="20"/>
        </w:rPr>
      </w:pPr>
      <w:r w:rsidRPr="00BF6875">
        <w:rPr>
          <w:i/>
          <w:sz w:val="20"/>
          <w:szCs w:val="20"/>
          <w:lang w:val="en-US"/>
        </w:rPr>
        <w:t>N.W.</w:t>
      </w:r>
      <w:r w:rsidR="00CB3520" w:rsidRPr="00BF6875">
        <w:rPr>
          <w:i/>
          <w:sz w:val="20"/>
          <w:szCs w:val="20"/>
          <w:lang w:val="en-US"/>
        </w:rPr>
        <w:t xml:space="preserve"> v. </w:t>
      </w:r>
      <w:r w:rsidRPr="00BF6875">
        <w:rPr>
          <w:i/>
          <w:sz w:val="20"/>
          <w:szCs w:val="20"/>
          <w:lang w:val="en-US"/>
        </w:rPr>
        <w:t>S.</w:t>
      </w:r>
      <w:r>
        <w:rPr>
          <w:i/>
          <w:sz w:val="20"/>
          <w:szCs w:val="20"/>
          <w:lang w:val="en-US"/>
        </w:rPr>
        <w:t>T.</w:t>
      </w:r>
      <w:r w:rsidR="00CB3520" w:rsidRPr="00BF6875">
        <w:rPr>
          <w:sz w:val="20"/>
          <w:szCs w:val="20"/>
          <w:lang w:val="en-US"/>
        </w:rPr>
        <w:t xml:space="preserve"> (</w:t>
      </w:r>
      <w:r>
        <w:rPr>
          <w:sz w:val="20"/>
          <w:szCs w:val="20"/>
          <w:lang w:val="en-US"/>
        </w:rPr>
        <w:t>Que</w:t>
      </w:r>
      <w:r w:rsidR="00CB3520" w:rsidRPr="00BF6875">
        <w:rPr>
          <w:sz w:val="20"/>
          <w:szCs w:val="20"/>
          <w:lang w:val="en-US"/>
        </w:rPr>
        <w:t xml:space="preserve">.) </w:t>
      </w:r>
      <w:r w:rsidR="00CB3520" w:rsidRPr="009C5D38">
        <w:rPr>
          <w:sz w:val="20"/>
          <w:szCs w:val="20"/>
        </w:rPr>
        <w:t>(Civil) (By Leave) (3</w:t>
      </w:r>
      <w:r>
        <w:rPr>
          <w:sz w:val="20"/>
          <w:szCs w:val="20"/>
        </w:rPr>
        <w:t>8212</w:t>
      </w:r>
      <w:r w:rsidR="00CB3520" w:rsidRPr="009C5D38">
        <w:rPr>
          <w:sz w:val="20"/>
          <w:szCs w:val="20"/>
        </w:rPr>
        <w:t>)</w:t>
      </w:r>
    </w:p>
    <w:p w:rsidR="00CB3520" w:rsidRPr="009C5D38" w:rsidRDefault="00CB3520" w:rsidP="00CB3520">
      <w:pPr>
        <w:widowControl w:val="0"/>
        <w:jc w:val="both"/>
        <w:rPr>
          <w:sz w:val="20"/>
          <w:szCs w:val="20"/>
        </w:rPr>
      </w:pPr>
    </w:p>
    <w:p w:rsidR="00CB3520" w:rsidRPr="002669C7" w:rsidRDefault="00BA756F" w:rsidP="0082284E">
      <w:pPr>
        <w:pStyle w:val="ListParagraph"/>
        <w:widowControl w:val="0"/>
        <w:numPr>
          <w:ilvl w:val="0"/>
          <w:numId w:val="1"/>
        </w:numPr>
        <w:ind w:hanging="720"/>
        <w:jc w:val="both"/>
        <w:rPr>
          <w:sz w:val="20"/>
          <w:szCs w:val="20"/>
        </w:rPr>
      </w:pPr>
      <w:r w:rsidRPr="00BA756F">
        <w:rPr>
          <w:i/>
          <w:sz w:val="20"/>
          <w:szCs w:val="20"/>
        </w:rPr>
        <w:t>Adventurer Owner Ltd. Dockendale House, West Bay Street, P.O. Box CB-13048, Nassau, Bahamas et al.</w:t>
      </w:r>
      <w:r w:rsidR="00CB3520" w:rsidRPr="009C5D38">
        <w:rPr>
          <w:i/>
          <w:sz w:val="20"/>
          <w:szCs w:val="20"/>
        </w:rPr>
        <w:t xml:space="preserve"> v. </w:t>
      </w:r>
      <w:r>
        <w:rPr>
          <w:i/>
          <w:sz w:val="20"/>
          <w:szCs w:val="20"/>
        </w:rPr>
        <w:t>Her Majesty the Queen in Right of Canada et al.</w:t>
      </w:r>
      <w:r w:rsidR="00CB3520" w:rsidRPr="009C5D38">
        <w:rPr>
          <w:sz w:val="20"/>
          <w:szCs w:val="20"/>
        </w:rPr>
        <w:t xml:space="preserve"> (</w:t>
      </w:r>
      <w:r>
        <w:rPr>
          <w:sz w:val="20"/>
          <w:szCs w:val="20"/>
        </w:rPr>
        <w:t>F</w:t>
      </w:r>
      <w:r w:rsidR="00CB3520" w:rsidRPr="009C5D38">
        <w:rPr>
          <w:sz w:val="20"/>
          <w:szCs w:val="20"/>
        </w:rPr>
        <w:t>.C.) (Civil) (By Leave)</w:t>
      </w:r>
      <w:r w:rsidR="00CB3520" w:rsidRPr="002669C7">
        <w:rPr>
          <w:sz w:val="20"/>
          <w:szCs w:val="20"/>
        </w:rPr>
        <w:t xml:space="preserve"> (3</w:t>
      </w:r>
      <w:r>
        <w:rPr>
          <w:sz w:val="20"/>
          <w:szCs w:val="20"/>
        </w:rPr>
        <w:t>8046</w:t>
      </w:r>
      <w:r w:rsidR="00CB3520" w:rsidRPr="002669C7">
        <w:rPr>
          <w:sz w:val="20"/>
          <w:szCs w:val="20"/>
        </w:rPr>
        <w:t>)</w:t>
      </w:r>
    </w:p>
    <w:p w:rsidR="003C1CFE" w:rsidRPr="002669C7" w:rsidRDefault="003C1CFE" w:rsidP="003C1CFE">
      <w:pPr>
        <w:rPr>
          <w:sz w:val="20"/>
          <w:szCs w:val="20"/>
        </w:rPr>
      </w:pPr>
    </w:p>
    <w:p w:rsidR="003C1CFE" w:rsidRPr="00910AE1" w:rsidRDefault="00910AE1" w:rsidP="003C1CFE">
      <w:pPr>
        <w:pStyle w:val="ListParagraph"/>
        <w:widowControl w:val="0"/>
        <w:numPr>
          <w:ilvl w:val="0"/>
          <w:numId w:val="1"/>
        </w:numPr>
        <w:ind w:hanging="720"/>
        <w:jc w:val="both"/>
        <w:rPr>
          <w:sz w:val="20"/>
          <w:szCs w:val="20"/>
          <w:lang w:val="en-US"/>
        </w:rPr>
      </w:pPr>
      <w:r>
        <w:rPr>
          <w:i/>
          <w:sz w:val="20"/>
          <w:szCs w:val="20"/>
        </w:rPr>
        <w:t>Yong Wang</w:t>
      </w:r>
      <w:r w:rsidR="003C1CFE" w:rsidRPr="00910AE1">
        <w:rPr>
          <w:i/>
          <w:sz w:val="20"/>
          <w:szCs w:val="20"/>
          <w:lang w:val="en-US"/>
        </w:rPr>
        <w:t xml:space="preserve"> v. </w:t>
      </w:r>
      <w:r w:rsidRPr="00910AE1">
        <w:rPr>
          <w:i/>
          <w:sz w:val="20"/>
          <w:szCs w:val="20"/>
          <w:lang w:val="en-US"/>
        </w:rPr>
        <w:t>Governing Council of the Salvation Army in Canada</w:t>
      </w:r>
      <w:r w:rsidR="003C1CFE" w:rsidRPr="00910AE1">
        <w:rPr>
          <w:sz w:val="20"/>
          <w:szCs w:val="20"/>
          <w:lang w:val="en-US"/>
        </w:rPr>
        <w:t xml:space="preserve"> </w:t>
      </w:r>
      <w:r w:rsidR="003C1CFE" w:rsidRPr="00BF6875">
        <w:rPr>
          <w:sz w:val="20"/>
          <w:szCs w:val="20"/>
          <w:lang w:val="en-US"/>
        </w:rPr>
        <w:t>(</w:t>
      </w:r>
      <w:r>
        <w:rPr>
          <w:sz w:val="20"/>
          <w:szCs w:val="20"/>
          <w:lang w:val="en-US"/>
        </w:rPr>
        <w:t>Ont</w:t>
      </w:r>
      <w:r w:rsidR="003C1CFE" w:rsidRPr="00BF6875">
        <w:rPr>
          <w:sz w:val="20"/>
          <w:szCs w:val="20"/>
          <w:lang w:val="en-US"/>
        </w:rPr>
        <w:t xml:space="preserve">.) </w:t>
      </w:r>
      <w:r w:rsidR="003C1CFE" w:rsidRPr="00910AE1">
        <w:rPr>
          <w:sz w:val="20"/>
          <w:szCs w:val="20"/>
          <w:lang w:val="en-US"/>
        </w:rPr>
        <w:t>(Civil) (By Leave) (3807</w:t>
      </w:r>
      <w:r>
        <w:rPr>
          <w:sz w:val="20"/>
          <w:szCs w:val="20"/>
          <w:lang w:val="en-US"/>
        </w:rPr>
        <w:t>4</w:t>
      </w:r>
      <w:r w:rsidR="003C1CFE" w:rsidRPr="00910AE1">
        <w:rPr>
          <w:sz w:val="20"/>
          <w:szCs w:val="20"/>
          <w:lang w:val="en-US"/>
        </w:rPr>
        <w:t>)</w:t>
      </w:r>
    </w:p>
    <w:p w:rsidR="002E2327" w:rsidRPr="00CB3520" w:rsidRDefault="002E2327" w:rsidP="002E2327">
      <w:pPr>
        <w:widowControl w:val="0"/>
        <w:rPr>
          <w:sz w:val="20"/>
          <w:szCs w:val="20"/>
        </w:rPr>
      </w:pPr>
    </w:p>
    <w:p w:rsidR="002E2327" w:rsidRDefault="00F13243" w:rsidP="002E2327">
      <w:pPr>
        <w:widowControl w:val="0"/>
        <w:rPr>
          <w:sz w:val="20"/>
          <w:szCs w:val="20"/>
        </w:rPr>
      </w:pPr>
      <w:r>
        <w:rPr>
          <w:sz w:val="20"/>
          <w:szCs w:val="20"/>
        </w:rPr>
        <w:pict>
          <v:rect id="_x0000_i1048"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DB1C5D"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1668F8" w:rsidP="000E2959">
      <w:pPr>
        <w:rPr>
          <w:b/>
          <w:sz w:val="20"/>
          <w:szCs w:val="20"/>
        </w:rPr>
      </w:pPr>
      <w:r>
        <w:rPr>
          <w:b/>
          <w:sz w:val="20"/>
          <w:szCs w:val="20"/>
        </w:rPr>
        <w:t>OCTOBER 11</w:t>
      </w:r>
      <w:r w:rsidR="000E2959" w:rsidRPr="00C50A5C">
        <w:rPr>
          <w:b/>
          <w:sz w:val="20"/>
          <w:szCs w:val="20"/>
        </w:rPr>
        <w:t xml:space="preserve">, </w:t>
      </w:r>
      <w:r w:rsidR="0030050B">
        <w:rPr>
          <w:b/>
          <w:sz w:val="20"/>
          <w:szCs w:val="20"/>
        </w:rPr>
        <w:t>201</w:t>
      </w:r>
      <w:r w:rsidR="007B4DFF">
        <w:rPr>
          <w:b/>
          <w:sz w:val="20"/>
          <w:szCs w:val="20"/>
        </w:rPr>
        <w:t>8</w:t>
      </w:r>
      <w:r w:rsidR="000E2959" w:rsidRPr="00C50A5C">
        <w:rPr>
          <w:b/>
          <w:sz w:val="20"/>
          <w:szCs w:val="20"/>
        </w:rPr>
        <w:t xml:space="preserve"> / LE </w:t>
      </w:r>
      <w:r>
        <w:rPr>
          <w:b/>
          <w:sz w:val="20"/>
          <w:szCs w:val="20"/>
        </w:rPr>
        <w:t>11 OCTOBRE</w:t>
      </w:r>
      <w:r w:rsidR="000E2959" w:rsidRPr="00C50A5C">
        <w:rPr>
          <w:b/>
          <w:sz w:val="20"/>
          <w:szCs w:val="20"/>
        </w:rPr>
        <w:t xml:space="preserve"> </w:t>
      </w:r>
      <w:r w:rsidR="0030050B">
        <w:rPr>
          <w:b/>
          <w:sz w:val="20"/>
          <w:szCs w:val="20"/>
        </w:rPr>
        <w:t>201</w:t>
      </w:r>
      <w:r w:rsidR="007B4DFF">
        <w:rPr>
          <w:b/>
          <w:sz w:val="20"/>
          <w:szCs w:val="20"/>
        </w:rPr>
        <w:t>8</w:t>
      </w:r>
    </w:p>
    <w:p w:rsidR="00E8544A" w:rsidRDefault="00E8544A" w:rsidP="00E8544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668F8" w:rsidRPr="001E5989" w:rsidTr="00090708">
        <w:tc>
          <w:tcPr>
            <w:tcW w:w="543" w:type="pct"/>
          </w:tcPr>
          <w:p w:rsidR="001668F8" w:rsidRPr="001E5989" w:rsidRDefault="001668F8" w:rsidP="00090708">
            <w:pPr>
              <w:jc w:val="both"/>
              <w:rPr>
                <w:sz w:val="20"/>
              </w:rPr>
            </w:pPr>
            <w:r w:rsidRPr="001E5989">
              <w:rPr>
                <w:rStyle w:val="SCCFileNumberChar"/>
                <w:sz w:val="20"/>
                <w:szCs w:val="20"/>
              </w:rPr>
              <w:t>38059</w:t>
            </w:r>
          </w:p>
        </w:tc>
        <w:tc>
          <w:tcPr>
            <w:tcW w:w="4457" w:type="pct"/>
            <w:gridSpan w:val="3"/>
          </w:tcPr>
          <w:p w:rsidR="001668F8" w:rsidRPr="00406B46" w:rsidRDefault="001668F8" w:rsidP="00090708">
            <w:pPr>
              <w:pStyle w:val="SCCLsocParty"/>
              <w:jc w:val="both"/>
              <w:rPr>
                <w:b/>
                <w:sz w:val="20"/>
                <w:szCs w:val="20"/>
                <w:lang w:val="en-US"/>
              </w:rPr>
            </w:pPr>
            <w:r w:rsidRPr="00406B46">
              <w:rPr>
                <w:b/>
                <w:sz w:val="20"/>
                <w:szCs w:val="20"/>
                <w:lang w:val="en-US"/>
              </w:rPr>
              <w:t>Attorney General of Canada v. British Columbia Investment Management Corporation and Her Majesty the Queen in Right of the Province of British Columbia</w:t>
            </w:r>
          </w:p>
          <w:p w:rsidR="001668F8" w:rsidRPr="001E5989" w:rsidRDefault="001668F8" w:rsidP="00090708">
            <w:pPr>
              <w:jc w:val="both"/>
              <w:rPr>
                <w:sz w:val="20"/>
              </w:rPr>
            </w:pPr>
            <w:r w:rsidRPr="001E5989">
              <w:rPr>
                <w:sz w:val="20"/>
              </w:rPr>
              <w:t>(B.C.) (Civil) (By Leave)</w:t>
            </w:r>
          </w:p>
        </w:tc>
      </w:tr>
      <w:tr w:rsidR="003C5450" w:rsidRPr="001E5989" w:rsidTr="003C5450">
        <w:tc>
          <w:tcPr>
            <w:tcW w:w="5000" w:type="pct"/>
            <w:gridSpan w:val="4"/>
          </w:tcPr>
          <w:p w:rsidR="003C5450" w:rsidRPr="003C5450" w:rsidRDefault="003C5450" w:rsidP="00090708">
            <w:pPr>
              <w:pStyle w:val="SCCLsocParty"/>
              <w:jc w:val="both"/>
              <w:rPr>
                <w:b/>
                <w:sz w:val="20"/>
                <w:szCs w:val="20"/>
                <w:lang w:val="en-US"/>
              </w:rPr>
            </w:pPr>
            <w:r w:rsidRPr="003C5450">
              <w:rPr>
                <w:sz w:val="20"/>
                <w:lang w:val="en-US"/>
              </w:rPr>
              <w:t>The application for leave to appeal and the conditional application for leave to cross-appeal filed by the respondent, the British Columbia Investment Management Corporation, from the judgment of the Court of Appeal for British Columbia (Vancouver), Number CA44026, 2018 BCCA 47, dated February 7, 2018, are granted with costs in the cause. The schedule for serving and filing materials will be set by the Registrar.</w:t>
            </w:r>
          </w:p>
        </w:tc>
      </w:tr>
      <w:tr w:rsidR="001668F8" w:rsidRPr="001E5989" w:rsidTr="00090708">
        <w:tc>
          <w:tcPr>
            <w:tcW w:w="5000" w:type="pct"/>
            <w:gridSpan w:val="4"/>
          </w:tcPr>
          <w:p w:rsidR="001668F8" w:rsidRPr="001E5989" w:rsidRDefault="001668F8" w:rsidP="00090708">
            <w:pPr>
              <w:jc w:val="both"/>
              <w:rPr>
                <w:sz w:val="20"/>
              </w:rPr>
            </w:pPr>
            <w:r w:rsidRPr="001E5989">
              <w:rPr>
                <w:sz w:val="20"/>
              </w:rPr>
              <w:t>Constitutional law – Interjurisdictional immunity – Taxation – Goods and services tax – Courts – Jurisdiction – Intergovernmental agreements – Lower courts finding British Columbia Investment Management Corporation (“</w:t>
            </w:r>
            <w:proofErr w:type="spellStart"/>
            <w:r w:rsidRPr="001E5989">
              <w:rPr>
                <w:sz w:val="20"/>
              </w:rPr>
              <w:t>bcIMC</w:t>
            </w:r>
            <w:proofErr w:type="spellEnd"/>
            <w:r w:rsidRPr="001E5989">
              <w:rPr>
                <w:sz w:val="20"/>
              </w:rPr>
              <w:t xml:space="preserve">”) immune from taxation by Canada under the </w:t>
            </w:r>
            <w:r w:rsidRPr="001E5989">
              <w:rPr>
                <w:i/>
                <w:sz w:val="20"/>
              </w:rPr>
              <w:t>Excise Tax Act</w:t>
            </w:r>
            <w:r w:rsidRPr="001E5989">
              <w:rPr>
                <w:sz w:val="20"/>
              </w:rPr>
              <w:t xml:space="preserve">, R.S.C. 1985, c. E-15, in respect of assets it holds in pooled investments portfolios – Lower courts also finding </w:t>
            </w:r>
            <w:proofErr w:type="spellStart"/>
            <w:r w:rsidRPr="001E5989">
              <w:rPr>
                <w:sz w:val="20"/>
              </w:rPr>
              <w:t>bcIMC</w:t>
            </w:r>
            <w:proofErr w:type="spellEnd"/>
            <w:r w:rsidRPr="001E5989">
              <w:rPr>
                <w:sz w:val="20"/>
              </w:rPr>
              <w:t xml:space="preserve"> bound by provisions of Reciprocal Taxation Agreement (“RTA”) and the Comprehensive Integrated Tax Coordination Agreement (“CITCA”) respecting those assets – Whether Province of British Columbia’s immunity to federal taxation under s. 125 of the </w:t>
            </w:r>
            <w:r w:rsidRPr="001E5989">
              <w:rPr>
                <w:i/>
                <w:sz w:val="20"/>
              </w:rPr>
              <w:t>Constitution Act, 1867</w:t>
            </w:r>
            <w:r w:rsidRPr="001E5989">
              <w:rPr>
                <w:sz w:val="20"/>
              </w:rPr>
              <w:t xml:space="preserve"> extends to assets held in trust by </w:t>
            </w:r>
            <w:proofErr w:type="spellStart"/>
            <w:r w:rsidRPr="001E5989">
              <w:rPr>
                <w:sz w:val="20"/>
              </w:rPr>
              <w:t>bcIMC</w:t>
            </w:r>
            <w:proofErr w:type="spellEnd"/>
            <w:r w:rsidRPr="001E5989">
              <w:rPr>
                <w:sz w:val="20"/>
              </w:rPr>
              <w:t xml:space="preserve"> in pooled investment portfolios under the </w:t>
            </w:r>
            <w:r w:rsidRPr="001E5989">
              <w:rPr>
                <w:i/>
                <w:sz w:val="20"/>
              </w:rPr>
              <w:t>Public Sector Pension Plans Act</w:t>
            </w:r>
            <w:r w:rsidRPr="001E5989">
              <w:rPr>
                <w:sz w:val="20"/>
              </w:rPr>
              <w:t xml:space="preserve">, S.B.C. 1999, c. 44 and the </w:t>
            </w:r>
            <w:r w:rsidRPr="001E5989">
              <w:rPr>
                <w:i/>
                <w:sz w:val="20"/>
              </w:rPr>
              <w:t>Pooled Investment Portfolios Regulation</w:t>
            </w:r>
            <w:r w:rsidRPr="001E5989">
              <w:rPr>
                <w:sz w:val="20"/>
              </w:rPr>
              <w:t xml:space="preserve">, B.C. Reg. 447/99 – Scope of Province’s immunity to application of  </w:t>
            </w:r>
            <w:r w:rsidRPr="001E5989">
              <w:rPr>
                <w:i/>
                <w:sz w:val="20"/>
              </w:rPr>
              <w:t>Excise Tax Act</w:t>
            </w:r>
            <w:r w:rsidRPr="001E5989">
              <w:rPr>
                <w:sz w:val="20"/>
              </w:rPr>
              <w:t>, when it makes taxable supplies of services in a similar manner as a private, commercial supplier – Whether provincial superior court properly exercised its discretion to exercise its residual constitutional jurisdiction by entertaining this claim – In what circumstances do intergovernmental agreements give rise to enforceable contractual obligations binding the parties – What is required to bind third parties, including crown agents, to provisions of an intergovernmental agreement.</w:t>
            </w:r>
          </w:p>
        </w:tc>
      </w:tr>
      <w:tr w:rsidR="001668F8" w:rsidRPr="001E5989" w:rsidTr="00090708">
        <w:tc>
          <w:tcPr>
            <w:tcW w:w="5000" w:type="pct"/>
            <w:gridSpan w:val="4"/>
          </w:tcPr>
          <w:p w:rsidR="001668F8" w:rsidRPr="001E5989" w:rsidRDefault="001668F8" w:rsidP="00090708">
            <w:pPr>
              <w:jc w:val="both"/>
              <w:rPr>
                <w:sz w:val="20"/>
              </w:rPr>
            </w:pPr>
          </w:p>
        </w:tc>
      </w:tr>
      <w:tr w:rsidR="001668F8" w:rsidRPr="001E5989" w:rsidTr="00090708">
        <w:tc>
          <w:tcPr>
            <w:tcW w:w="5000" w:type="pct"/>
            <w:gridSpan w:val="4"/>
          </w:tcPr>
          <w:p w:rsidR="001668F8" w:rsidRPr="001E5989" w:rsidRDefault="001668F8" w:rsidP="00090708">
            <w:pPr>
              <w:jc w:val="both"/>
              <w:rPr>
                <w:sz w:val="20"/>
              </w:rPr>
            </w:pPr>
            <w:proofErr w:type="spellStart"/>
            <w:proofErr w:type="gramStart"/>
            <w:r w:rsidRPr="001E5989">
              <w:rPr>
                <w:sz w:val="20"/>
              </w:rPr>
              <w:t>bcIMC</w:t>
            </w:r>
            <w:proofErr w:type="spellEnd"/>
            <w:proofErr w:type="gramEnd"/>
            <w:r w:rsidRPr="001E5989">
              <w:rPr>
                <w:sz w:val="20"/>
              </w:rPr>
              <w:t xml:space="preserve"> was incorporated under the </w:t>
            </w:r>
            <w:r w:rsidRPr="001E5989">
              <w:rPr>
                <w:i/>
                <w:sz w:val="20"/>
              </w:rPr>
              <w:t>Public Sector Pension Plans Act</w:t>
            </w:r>
            <w:r w:rsidRPr="001E5989">
              <w:rPr>
                <w:sz w:val="20"/>
              </w:rPr>
              <w:t xml:space="preserve"> as a trust company authorized to provide investment management services as part of a restructuring of the provincial public-sector pension system. </w:t>
            </w:r>
            <w:proofErr w:type="spellStart"/>
            <w:proofErr w:type="gramStart"/>
            <w:r w:rsidRPr="001E5989">
              <w:rPr>
                <w:sz w:val="20"/>
              </w:rPr>
              <w:t>bcIMC</w:t>
            </w:r>
            <w:proofErr w:type="spellEnd"/>
            <w:proofErr w:type="gramEnd"/>
            <w:r w:rsidRPr="001E5989">
              <w:rPr>
                <w:sz w:val="20"/>
              </w:rPr>
              <w:t xml:space="preserve"> manages certain assets in pooled investment portfolios pursuant to the </w:t>
            </w:r>
            <w:r w:rsidRPr="001E5989">
              <w:rPr>
                <w:i/>
                <w:sz w:val="20"/>
              </w:rPr>
              <w:t>Pooled Investment Portfolios Regulation</w:t>
            </w:r>
            <w:r w:rsidRPr="001E5989">
              <w:rPr>
                <w:sz w:val="20"/>
              </w:rPr>
              <w:t xml:space="preserve">. The majority of the funds held by </w:t>
            </w:r>
            <w:proofErr w:type="spellStart"/>
            <w:r w:rsidRPr="001E5989">
              <w:rPr>
                <w:sz w:val="20"/>
              </w:rPr>
              <w:t>bcIMC</w:t>
            </w:r>
            <w:proofErr w:type="spellEnd"/>
            <w:r w:rsidRPr="001E5989">
              <w:rPr>
                <w:sz w:val="20"/>
              </w:rPr>
              <w:t xml:space="preserve"> are investments of the five major B.C. public-sector pension plans. </w:t>
            </w:r>
            <w:proofErr w:type="spellStart"/>
            <w:proofErr w:type="gramStart"/>
            <w:r w:rsidRPr="001E5989">
              <w:rPr>
                <w:sz w:val="20"/>
              </w:rPr>
              <w:t>bcIMC</w:t>
            </w:r>
            <w:proofErr w:type="spellEnd"/>
            <w:proofErr w:type="gramEnd"/>
            <w:r w:rsidRPr="001E5989">
              <w:rPr>
                <w:sz w:val="20"/>
              </w:rPr>
              <w:t xml:space="preserve"> provides investment management for these funds. </w:t>
            </w:r>
          </w:p>
          <w:p w:rsidR="001668F8" w:rsidRPr="001E5989" w:rsidRDefault="001668F8" w:rsidP="00090708">
            <w:pPr>
              <w:jc w:val="both"/>
              <w:rPr>
                <w:sz w:val="20"/>
              </w:rPr>
            </w:pPr>
          </w:p>
          <w:p w:rsidR="001668F8" w:rsidRPr="001E5989" w:rsidRDefault="001668F8" w:rsidP="00090708">
            <w:pPr>
              <w:jc w:val="both"/>
              <w:rPr>
                <w:sz w:val="20"/>
              </w:rPr>
            </w:pPr>
            <w:proofErr w:type="spellStart"/>
            <w:proofErr w:type="gramStart"/>
            <w:r w:rsidRPr="001E5989">
              <w:rPr>
                <w:sz w:val="20"/>
              </w:rPr>
              <w:t>bcIMC</w:t>
            </w:r>
            <w:proofErr w:type="spellEnd"/>
            <w:proofErr w:type="gramEnd"/>
            <w:r w:rsidRPr="001E5989">
              <w:rPr>
                <w:sz w:val="20"/>
              </w:rPr>
              <w:t xml:space="preserve"> was assessed for GST owing in relation to the provision of investment management services for the pooled portfolios at $40,498,754.94, exclusive of interest and penalties. </w:t>
            </w:r>
            <w:proofErr w:type="spellStart"/>
            <w:proofErr w:type="gramStart"/>
            <w:r w:rsidRPr="001E5989">
              <w:rPr>
                <w:sz w:val="20"/>
              </w:rPr>
              <w:t>bcIMC</w:t>
            </w:r>
            <w:proofErr w:type="spellEnd"/>
            <w:proofErr w:type="gramEnd"/>
            <w:r w:rsidRPr="001E5989">
              <w:rPr>
                <w:sz w:val="20"/>
              </w:rPr>
              <w:t xml:space="preserve"> filed without prejudice notices of objection to the assessments, which it was required to do in order to preserve its rights to challenge them. </w:t>
            </w:r>
          </w:p>
          <w:p w:rsidR="001668F8" w:rsidRPr="001E5989" w:rsidRDefault="001668F8" w:rsidP="00090708">
            <w:pPr>
              <w:jc w:val="both"/>
              <w:rPr>
                <w:sz w:val="20"/>
              </w:rPr>
            </w:pPr>
          </w:p>
          <w:p w:rsidR="001668F8" w:rsidRPr="001E5989" w:rsidRDefault="001668F8" w:rsidP="00090708">
            <w:pPr>
              <w:jc w:val="both"/>
              <w:rPr>
                <w:sz w:val="20"/>
              </w:rPr>
            </w:pPr>
            <w:r w:rsidRPr="001E5989">
              <w:rPr>
                <w:sz w:val="20"/>
              </w:rPr>
              <w:t xml:space="preserve">The Supreme Court of British Columbia granted a declaration that the management services performed by </w:t>
            </w:r>
            <w:proofErr w:type="spellStart"/>
            <w:r w:rsidRPr="001E5989">
              <w:rPr>
                <w:sz w:val="20"/>
              </w:rPr>
              <w:t>bcIMC</w:t>
            </w:r>
            <w:proofErr w:type="spellEnd"/>
            <w:r w:rsidRPr="001E5989">
              <w:rPr>
                <w:sz w:val="20"/>
              </w:rPr>
              <w:t xml:space="preserve"> in relation to those assets are not subject to taxation by Canada under the </w:t>
            </w:r>
            <w:r w:rsidRPr="001E5989">
              <w:rPr>
                <w:i/>
                <w:sz w:val="20"/>
              </w:rPr>
              <w:t>Excise Tax Act</w:t>
            </w:r>
            <w:r w:rsidRPr="001E5989">
              <w:rPr>
                <w:sz w:val="20"/>
              </w:rPr>
              <w:t>, R.S.C. 1985, c. E</w:t>
            </w:r>
            <w:r w:rsidRPr="001E5989">
              <w:rPr>
                <w:rFonts w:ascii="MS Mincho" w:hAnsi="MS Mincho" w:cs="MS Mincho"/>
                <w:sz w:val="20"/>
              </w:rPr>
              <w:t>‑</w:t>
            </w:r>
            <w:r w:rsidRPr="001E5989">
              <w:rPr>
                <w:sz w:val="20"/>
              </w:rPr>
              <w:t xml:space="preserve">15. At the same time, a declaration was granted that </w:t>
            </w:r>
            <w:proofErr w:type="spellStart"/>
            <w:r w:rsidRPr="001E5989">
              <w:rPr>
                <w:sz w:val="20"/>
              </w:rPr>
              <w:t>bcIMC</w:t>
            </w:r>
            <w:proofErr w:type="spellEnd"/>
            <w:r w:rsidRPr="001E5989">
              <w:rPr>
                <w:sz w:val="20"/>
              </w:rPr>
              <w:t xml:space="preserve"> is bound by the provisions of two agreements between Canada and British Columbia, the RTA and the CITCA, that may require </w:t>
            </w:r>
            <w:proofErr w:type="spellStart"/>
            <w:r w:rsidRPr="001E5989">
              <w:rPr>
                <w:sz w:val="20"/>
              </w:rPr>
              <w:t>bcIMC</w:t>
            </w:r>
            <w:proofErr w:type="spellEnd"/>
            <w:r w:rsidRPr="001E5989">
              <w:rPr>
                <w:sz w:val="20"/>
              </w:rPr>
              <w:t xml:space="preserve"> to collect and remit certain taxes. </w:t>
            </w:r>
          </w:p>
          <w:p w:rsidR="001668F8" w:rsidRPr="001E5989" w:rsidRDefault="001668F8" w:rsidP="00090708">
            <w:pPr>
              <w:jc w:val="both"/>
              <w:rPr>
                <w:sz w:val="20"/>
              </w:rPr>
            </w:pPr>
          </w:p>
          <w:p w:rsidR="001668F8" w:rsidRPr="001E5989" w:rsidRDefault="001668F8" w:rsidP="00090708">
            <w:pPr>
              <w:jc w:val="both"/>
              <w:rPr>
                <w:sz w:val="20"/>
              </w:rPr>
            </w:pPr>
            <w:r w:rsidRPr="001E5989">
              <w:rPr>
                <w:sz w:val="20"/>
              </w:rPr>
              <w:t xml:space="preserve">The Attorney General of Canada appealed the former declaration and </w:t>
            </w:r>
            <w:proofErr w:type="spellStart"/>
            <w:r w:rsidRPr="001E5989">
              <w:rPr>
                <w:sz w:val="20"/>
              </w:rPr>
              <w:t>bcIMC</w:t>
            </w:r>
            <w:proofErr w:type="spellEnd"/>
            <w:r w:rsidRPr="001E5989">
              <w:rPr>
                <w:sz w:val="20"/>
              </w:rPr>
              <w:t xml:space="preserve"> cross-appealed the latter to the Court of Appeal. The Court of Appeal dismissed the appeal and the cross-appeal. </w:t>
            </w:r>
          </w:p>
          <w:p w:rsidR="001668F8" w:rsidRPr="001E5989" w:rsidRDefault="001668F8" w:rsidP="00090708">
            <w:pPr>
              <w:jc w:val="both"/>
              <w:rPr>
                <w:sz w:val="20"/>
              </w:rPr>
            </w:pPr>
          </w:p>
        </w:tc>
      </w:tr>
      <w:tr w:rsidR="001668F8" w:rsidRPr="001E5989" w:rsidTr="00090708">
        <w:tc>
          <w:tcPr>
            <w:tcW w:w="2427" w:type="pct"/>
            <w:gridSpan w:val="2"/>
          </w:tcPr>
          <w:p w:rsidR="001668F8" w:rsidRPr="001E5989" w:rsidRDefault="001668F8" w:rsidP="00090708">
            <w:pPr>
              <w:jc w:val="both"/>
              <w:rPr>
                <w:sz w:val="20"/>
              </w:rPr>
            </w:pPr>
            <w:r w:rsidRPr="001E5989">
              <w:rPr>
                <w:sz w:val="20"/>
              </w:rPr>
              <w:t>September 30, 2016</w:t>
            </w:r>
          </w:p>
          <w:p w:rsidR="001668F8" w:rsidRPr="001E5989" w:rsidRDefault="001668F8" w:rsidP="00090708">
            <w:pPr>
              <w:jc w:val="both"/>
              <w:rPr>
                <w:sz w:val="20"/>
              </w:rPr>
            </w:pPr>
            <w:r w:rsidRPr="001E5989">
              <w:rPr>
                <w:sz w:val="20"/>
              </w:rPr>
              <w:t>Supreme Court of British Columbia</w:t>
            </w:r>
          </w:p>
          <w:p w:rsidR="001668F8" w:rsidRPr="001E5989" w:rsidRDefault="001668F8" w:rsidP="00090708">
            <w:pPr>
              <w:jc w:val="both"/>
              <w:rPr>
                <w:sz w:val="20"/>
              </w:rPr>
            </w:pPr>
            <w:r w:rsidRPr="001E5989">
              <w:rPr>
                <w:sz w:val="20"/>
              </w:rPr>
              <w:t>(</w:t>
            </w:r>
            <w:proofErr w:type="spellStart"/>
            <w:r w:rsidRPr="001E5989">
              <w:rPr>
                <w:sz w:val="20"/>
              </w:rPr>
              <w:t>Weatherill</w:t>
            </w:r>
            <w:proofErr w:type="spellEnd"/>
            <w:r w:rsidRPr="001E5989">
              <w:rPr>
                <w:sz w:val="20"/>
              </w:rPr>
              <w:t xml:space="preserve"> J.)</w:t>
            </w:r>
          </w:p>
          <w:p w:rsidR="001668F8" w:rsidRPr="001E5989" w:rsidRDefault="00F13243" w:rsidP="00090708">
            <w:pPr>
              <w:jc w:val="both"/>
              <w:rPr>
                <w:sz w:val="20"/>
              </w:rPr>
            </w:pPr>
            <w:hyperlink r:id="rId19" w:history="1">
              <w:r w:rsidR="001668F8" w:rsidRPr="001E5989">
                <w:rPr>
                  <w:rStyle w:val="Hyperlink"/>
                  <w:sz w:val="20"/>
                </w:rPr>
                <w:t>2016 BCSC 1803</w:t>
              </w:r>
            </w:hyperlink>
          </w:p>
          <w:p w:rsidR="001668F8" w:rsidRPr="001E5989" w:rsidRDefault="001668F8" w:rsidP="00090708">
            <w:pPr>
              <w:jc w:val="both"/>
              <w:rPr>
                <w:sz w:val="20"/>
              </w:rPr>
            </w:pPr>
          </w:p>
        </w:tc>
        <w:tc>
          <w:tcPr>
            <w:tcW w:w="243" w:type="pct"/>
          </w:tcPr>
          <w:p w:rsidR="001668F8" w:rsidRPr="001E5989" w:rsidRDefault="001668F8" w:rsidP="00090708">
            <w:pPr>
              <w:jc w:val="both"/>
              <w:rPr>
                <w:sz w:val="20"/>
              </w:rPr>
            </w:pPr>
          </w:p>
        </w:tc>
        <w:tc>
          <w:tcPr>
            <w:tcW w:w="2330" w:type="pct"/>
          </w:tcPr>
          <w:p w:rsidR="001668F8" w:rsidRPr="001E5989" w:rsidRDefault="001668F8" w:rsidP="00090708">
            <w:pPr>
              <w:jc w:val="both"/>
              <w:rPr>
                <w:sz w:val="20"/>
              </w:rPr>
            </w:pPr>
            <w:proofErr w:type="spellStart"/>
            <w:proofErr w:type="gramStart"/>
            <w:r w:rsidRPr="001E5989">
              <w:rPr>
                <w:sz w:val="20"/>
              </w:rPr>
              <w:t>bcIMC</w:t>
            </w:r>
            <w:proofErr w:type="spellEnd"/>
            <w:proofErr w:type="gramEnd"/>
            <w:r w:rsidRPr="001E5989">
              <w:rPr>
                <w:sz w:val="20"/>
              </w:rPr>
              <w:t xml:space="preserve"> is immune from taxation by Canada under the </w:t>
            </w:r>
            <w:r w:rsidRPr="001E5989">
              <w:rPr>
                <w:i/>
                <w:sz w:val="20"/>
              </w:rPr>
              <w:t>Excise Tax Act</w:t>
            </w:r>
            <w:r w:rsidRPr="001E5989">
              <w:rPr>
                <w:sz w:val="20"/>
              </w:rPr>
              <w:t xml:space="preserve">, in respect of assets it holds in pooled investments portfolios pursuant to the </w:t>
            </w:r>
            <w:r w:rsidRPr="001E5989">
              <w:rPr>
                <w:i/>
                <w:sz w:val="20"/>
              </w:rPr>
              <w:t>Pooled Investment Portfolios Regulation</w:t>
            </w:r>
            <w:r w:rsidRPr="001E5989">
              <w:rPr>
                <w:sz w:val="20"/>
              </w:rPr>
              <w:t xml:space="preserve">; </w:t>
            </w:r>
            <w:proofErr w:type="spellStart"/>
            <w:r w:rsidRPr="001E5989">
              <w:rPr>
                <w:sz w:val="20"/>
              </w:rPr>
              <w:t>bcIMC</w:t>
            </w:r>
            <w:proofErr w:type="spellEnd"/>
            <w:r w:rsidRPr="001E5989">
              <w:rPr>
                <w:sz w:val="20"/>
              </w:rPr>
              <w:t xml:space="preserve"> is bound by the provisions of the RTA and CITCA respecting those assets. </w:t>
            </w:r>
          </w:p>
          <w:p w:rsidR="001668F8" w:rsidRPr="001E5989" w:rsidRDefault="001668F8" w:rsidP="00090708">
            <w:pPr>
              <w:jc w:val="both"/>
              <w:rPr>
                <w:sz w:val="20"/>
              </w:rPr>
            </w:pPr>
          </w:p>
        </w:tc>
      </w:tr>
      <w:tr w:rsidR="001668F8" w:rsidRPr="001E5989" w:rsidTr="00090708">
        <w:tc>
          <w:tcPr>
            <w:tcW w:w="2427" w:type="pct"/>
            <w:gridSpan w:val="2"/>
          </w:tcPr>
          <w:p w:rsidR="001668F8" w:rsidRPr="001E5989" w:rsidRDefault="001668F8" w:rsidP="00090708">
            <w:pPr>
              <w:jc w:val="both"/>
              <w:rPr>
                <w:sz w:val="20"/>
              </w:rPr>
            </w:pPr>
            <w:r w:rsidRPr="001E5989">
              <w:rPr>
                <w:sz w:val="20"/>
              </w:rPr>
              <w:t>February 7, 2018</w:t>
            </w:r>
          </w:p>
          <w:p w:rsidR="001668F8" w:rsidRPr="001E5989" w:rsidRDefault="001668F8" w:rsidP="00090708">
            <w:pPr>
              <w:jc w:val="both"/>
              <w:rPr>
                <w:sz w:val="20"/>
              </w:rPr>
            </w:pPr>
            <w:r w:rsidRPr="001E5989">
              <w:rPr>
                <w:sz w:val="20"/>
              </w:rPr>
              <w:t xml:space="preserve">Court of Appeal for British Columbia </w:t>
            </w:r>
          </w:p>
          <w:p w:rsidR="001668F8" w:rsidRPr="001E5989" w:rsidRDefault="001668F8" w:rsidP="00090708">
            <w:pPr>
              <w:jc w:val="both"/>
              <w:rPr>
                <w:sz w:val="20"/>
              </w:rPr>
            </w:pPr>
            <w:r w:rsidRPr="001E5989">
              <w:rPr>
                <w:sz w:val="20"/>
              </w:rPr>
              <w:lastRenderedPageBreak/>
              <w:t>(Vancouver)</w:t>
            </w:r>
          </w:p>
          <w:p w:rsidR="001668F8" w:rsidRPr="001E5989" w:rsidRDefault="001668F8" w:rsidP="00090708">
            <w:pPr>
              <w:jc w:val="both"/>
              <w:rPr>
                <w:sz w:val="20"/>
              </w:rPr>
            </w:pPr>
            <w:r w:rsidRPr="001E5989">
              <w:rPr>
                <w:sz w:val="20"/>
              </w:rPr>
              <w:t xml:space="preserve">(Smith, </w:t>
            </w:r>
            <w:proofErr w:type="spellStart"/>
            <w:r w:rsidRPr="001E5989">
              <w:rPr>
                <w:sz w:val="20"/>
              </w:rPr>
              <w:t>Willcock</w:t>
            </w:r>
            <w:proofErr w:type="spellEnd"/>
            <w:r w:rsidRPr="001E5989">
              <w:rPr>
                <w:sz w:val="20"/>
              </w:rPr>
              <w:t xml:space="preserve"> and </w:t>
            </w:r>
            <w:proofErr w:type="spellStart"/>
            <w:r w:rsidRPr="001E5989">
              <w:rPr>
                <w:sz w:val="20"/>
              </w:rPr>
              <w:t>Goepel</w:t>
            </w:r>
            <w:proofErr w:type="spellEnd"/>
            <w:r w:rsidRPr="001E5989">
              <w:rPr>
                <w:sz w:val="20"/>
              </w:rPr>
              <w:t xml:space="preserve"> JJ.A.)</w:t>
            </w:r>
          </w:p>
          <w:p w:rsidR="001668F8" w:rsidRPr="001E5989" w:rsidRDefault="00F13243" w:rsidP="00090708">
            <w:pPr>
              <w:jc w:val="both"/>
              <w:rPr>
                <w:sz w:val="20"/>
              </w:rPr>
            </w:pPr>
            <w:hyperlink r:id="rId20" w:history="1">
              <w:r w:rsidR="001668F8" w:rsidRPr="001E5989">
                <w:rPr>
                  <w:rStyle w:val="Hyperlink"/>
                  <w:sz w:val="20"/>
                </w:rPr>
                <w:t>2018 BCCA 47</w:t>
              </w:r>
            </w:hyperlink>
          </w:p>
          <w:p w:rsidR="001668F8" w:rsidRPr="001E5989" w:rsidRDefault="001668F8" w:rsidP="00090708">
            <w:pPr>
              <w:jc w:val="both"/>
              <w:rPr>
                <w:sz w:val="20"/>
              </w:rPr>
            </w:pPr>
            <w:r w:rsidRPr="001E5989">
              <w:rPr>
                <w:sz w:val="20"/>
              </w:rPr>
              <w:t>File No.: CA44026</w:t>
            </w:r>
          </w:p>
          <w:p w:rsidR="001668F8" w:rsidRPr="001E5989" w:rsidRDefault="001668F8" w:rsidP="00090708">
            <w:pPr>
              <w:jc w:val="both"/>
              <w:rPr>
                <w:sz w:val="20"/>
              </w:rPr>
            </w:pPr>
          </w:p>
        </w:tc>
        <w:tc>
          <w:tcPr>
            <w:tcW w:w="243" w:type="pct"/>
          </w:tcPr>
          <w:p w:rsidR="001668F8" w:rsidRPr="001E5989" w:rsidRDefault="001668F8" w:rsidP="00090708">
            <w:pPr>
              <w:jc w:val="both"/>
              <w:rPr>
                <w:sz w:val="20"/>
              </w:rPr>
            </w:pPr>
          </w:p>
        </w:tc>
        <w:tc>
          <w:tcPr>
            <w:tcW w:w="2330" w:type="pct"/>
          </w:tcPr>
          <w:p w:rsidR="001668F8" w:rsidRPr="001E5989" w:rsidRDefault="001668F8" w:rsidP="00090708">
            <w:pPr>
              <w:jc w:val="both"/>
              <w:rPr>
                <w:sz w:val="20"/>
              </w:rPr>
            </w:pPr>
            <w:r w:rsidRPr="001E5989">
              <w:rPr>
                <w:sz w:val="20"/>
              </w:rPr>
              <w:t>Appeal and cross-appeal dismissed.</w:t>
            </w:r>
          </w:p>
          <w:p w:rsidR="001668F8" w:rsidRPr="001E5989" w:rsidRDefault="001668F8" w:rsidP="00090708">
            <w:pPr>
              <w:jc w:val="both"/>
              <w:rPr>
                <w:sz w:val="20"/>
              </w:rPr>
            </w:pPr>
          </w:p>
        </w:tc>
      </w:tr>
      <w:tr w:rsidR="001668F8" w:rsidRPr="001E5989" w:rsidTr="00090708">
        <w:tc>
          <w:tcPr>
            <w:tcW w:w="2427" w:type="pct"/>
            <w:gridSpan w:val="2"/>
          </w:tcPr>
          <w:p w:rsidR="001668F8" w:rsidRPr="001E5989" w:rsidRDefault="001668F8" w:rsidP="00090708">
            <w:pPr>
              <w:jc w:val="both"/>
              <w:rPr>
                <w:sz w:val="20"/>
              </w:rPr>
            </w:pPr>
            <w:r w:rsidRPr="001E5989">
              <w:rPr>
                <w:sz w:val="20"/>
              </w:rPr>
              <w:t>April 9, 2018</w:t>
            </w:r>
          </w:p>
          <w:p w:rsidR="001668F8" w:rsidRPr="001E5989" w:rsidRDefault="001668F8" w:rsidP="00090708">
            <w:pPr>
              <w:jc w:val="both"/>
              <w:rPr>
                <w:sz w:val="20"/>
              </w:rPr>
            </w:pPr>
            <w:r w:rsidRPr="001E5989">
              <w:rPr>
                <w:sz w:val="20"/>
              </w:rPr>
              <w:t>Supreme Court of Canada</w:t>
            </w:r>
          </w:p>
          <w:p w:rsidR="001668F8" w:rsidRPr="001E5989" w:rsidRDefault="001668F8" w:rsidP="00090708">
            <w:pPr>
              <w:jc w:val="both"/>
              <w:rPr>
                <w:sz w:val="20"/>
              </w:rPr>
            </w:pPr>
          </w:p>
        </w:tc>
        <w:tc>
          <w:tcPr>
            <w:tcW w:w="243" w:type="pct"/>
          </w:tcPr>
          <w:p w:rsidR="001668F8" w:rsidRPr="001E5989" w:rsidRDefault="001668F8" w:rsidP="00090708">
            <w:pPr>
              <w:jc w:val="both"/>
              <w:rPr>
                <w:sz w:val="20"/>
              </w:rPr>
            </w:pPr>
          </w:p>
        </w:tc>
        <w:tc>
          <w:tcPr>
            <w:tcW w:w="2330" w:type="pct"/>
          </w:tcPr>
          <w:p w:rsidR="001668F8" w:rsidRPr="001E5989" w:rsidRDefault="001668F8" w:rsidP="00090708">
            <w:pPr>
              <w:jc w:val="both"/>
              <w:rPr>
                <w:sz w:val="20"/>
              </w:rPr>
            </w:pPr>
            <w:r w:rsidRPr="001E5989">
              <w:rPr>
                <w:sz w:val="20"/>
              </w:rPr>
              <w:t>Application for leave to appeal filed.</w:t>
            </w:r>
          </w:p>
          <w:p w:rsidR="001668F8" w:rsidRPr="001E5989" w:rsidRDefault="001668F8" w:rsidP="00090708">
            <w:pPr>
              <w:jc w:val="both"/>
              <w:rPr>
                <w:sz w:val="20"/>
              </w:rPr>
            </w:pPr>
          </w:p>
        </w:tc>
      </w:tr>
      <w:tr w:rsidR="001668F8" w:rsidRPr="001E5989" w:rsidTr="00090708">
        <w:tc>
          <w:tcPr>
            <w:tcW w:w="2427" w:type="pct"/>
            <w:gridSpan w:val="2"/>
          </w:tcPr>
          <w:p w:rsidR="001668F8" w:rsidRPr="001E5989" w:rsidRDefault="001668F8" w:rsidP="00090708">
            <w:pPr>
              <w:jc w:val="both"/>
              <w:rPr>
                <w:sz w:val="20"/>
              </w:rPr>
            </w:pPr>
            <w:r w:rsidRPr="001E5989">
              <w:rPr>
                <w:sz w:val="20"/>
              </w:rPr>
              <w:t>May 14, 2018</w:t>
            </w:r>
          </w:p>
          <w:p w:rsidR="001668F8" w:rsidRPr="001E5989" w:rsidRDefault="001668F8" w:rsidP="00090708">
            <w:pPr>
              <w:jc w:val="both"/>
              <w:rPr>
                <w:sz w:val="20"/>
              </w:rPr>
            </w:pPr>
            <w:r w:rsidRPr="001E5989">
              <w:rPr>
                <w:sz w:val="20"/>
              </w:rPr>
              <w:t>Supreme Court of Canada</w:t>
            </w:r>
          </w:p>
        </w:tc>
        <w:tc>
          <w:tcPr>
            <w:tcW w:w="243" w:type="pct"/>
          </w:tcPr>
          <w:p w:rsidR="001668F8" w:rsidRPr="001E5989" w:rsidRDefault="001668F8" w:rsidP="00090708">
            <w:pPr>
              <w:jc w:val="both"/>
              <w:rPr>
                <w:sz w:val="20"/>
              </w:rPr>
            </w:pPr>
          </w:p>
        </w:tc>
        <w:tc>
          <w:tcPr>
            <w:tcW w:w="2330" w:type="pct"/>
          </w:tcPr>
          <w:p w:rsidR="001668F8" w:rsidRPr="001E5989" w:rsidRDefault="001668F8" w:rsidP="00090708">
            <w:pPr>
              <w:jc w:val="both"/>
              <w:rPr>
                <w:sz w:val="20"/>
              </w:rPr>
            </w:pPr>
            <w:r w:rsidRPr="001E5989">
              <w:rPr>
                <w:sz w:val="20"/>
              </w:rPr>
              <w:t>Conditional application for leave to cross-appeal filed.</w:t>
            </w:r>
          </w:p>
        </w:tc>
      </w:tr>
    </w:tbl>
    <w:p w:rsidR="001668F8" w:rsidRDefault="001668F8" w:rsidP="001668F8">
      <w:pPr>
        <w:jc w:val="both"/>
        <w:rPr>
          <w:sz w:val="20"/>
        </w:rPr>
      </w:pPr>
    </w:p>
    <w:p w:rsidR="001668F8" w:rsidRPr="001E5989" w:rsidRDefault="001668F8" w:rsidP="001668F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668F8" w:rsidRPr="00DB1C5D" w:rsidTr="00090708">
        <w:tc>
          <w:tcPr>
            <w:tcW w:w="543" w:type="pct"/>
          </w:tcPr>
          <w:p w:rsidR="001668F8" w:rsidRPr="001E5989" w:rsidRDefault="001668F8" w:rsidP="00090708">
            <w:pPr>
              <w:jc w:val="both"/>
              <w:rPr>
                <w:sz w:val="20"/>
              </w:rPr>
            </w:pPr>
            <w:r w:rsidRPr="001E5989">
              <w:rPr>
                <w:rStyle w:val="SCCFileNumberChar"/>
                <w:sz w:val="20"/>
                <w:szCs w:val="20"/>
              </w:rPr>
              <w:t>38059</w:t>
            </w:r>
          </w:p>
        </w:tc>
        <w:tc>
          <w:tcPr>
            <w:tcW w:w="4457" w:type="pct"/>
            <w:gridSpan w:val="3"/>
          </w:tcPr>
          <w:p w:rsidR="001668F8" w:rsidRPr="00406B46" w:rsidRDefault="001668F8" w:rsidP="00090708">
            <w:pPr>
              <w:pStyle w:val="SCCLsocParty"/>
              <w:jc w:val="both"/>
              <w:rPr>
                <w:b/>
                <w:sz w:val="20"/>
                <w:szCs w:val="20"/>
              </w:rPr>
            </w:pPr>
            <w:r w:rsidRPr="00406B46">
              <w:rPr>
                <w:b/>
                <w:sz w:val="20"/>
                <w:szCs w:val="20"/>
              </w:rPr>
              <w:t>Procureur général du Canada c. British Columbia Investment Management Corporation et Sa Majesté la Reine du chef de la province de la Colombie-Britannique</w:t>
            </w:r>
          </w:p>
          <w:p w:rsidR="001668F8" w:rsidRPr="001E5989" w:rsidRDefault="001668F8" w:rsidP="00090708">
            <w:pPr>
              <w:jc w:val="both"/>
              <w:rPr>
                <w:sz w:val="20"/>
                <w:lang w:val="fr-CA"/>
              </w:rPr>
            </w:pPr>
            <w:r w:rsidRPr="001E5989">
              <w:rPr>
                <w:sz w:val="20"/>
                <w:lang w:val="fr-CA"/>
              </w:rPr>
              <w:t>(C.-B.) (Civile) (Sur autorisation)</w:t>
            </w:r>
          </w:p>
        </w:tc>
      </w:tr>
      <w:tr w:rsidR="00BF250F" w:rsidRPr="00DB1C5D" w:rsidTr="00BF250F">
        <w:tc>
          <w:tcPr>
            <w:tcW w:w="5000" w:type="pct"/>
            <w:gridSpan w:val="4"/>
          </w:tcPr>
          <w:p w:rsidR="00BF250F" w:rsidRPr="00BF250F" w:rsidRDefault="00BF250F" w:rsidP="00090708">
            <w:pPr>
              <w:pStyle w:val="SCCLsocParty"/>
              <w:jc w:val="both"/>
              <w:rPr>
                <w:b/>
                <w:sz w:val="20"/>
                <w:szCs w:val="20"/>
              </w:rPr>
            </w:pPr>
            <w:r w:rsidRPr="00BF250F">
              <w:rPr>
                <w:rFonts w:cstheme="minorBidi"/>
                <w:sz w:val="20"/>
              </w:rPr>
              <w:t>L</w:t>
            </w:r>
            <w:r w:rsidRPr="00BF250F">
              <w:rPr>
                <w:sz w:val="20"/>
              </w:rPr>
              <w:t>a demande d’autorisation d’appel et l</w:t>
            </w:r>
            <w:r w:rsidRPr="00BF250F">
              <w:rPr>
                <w:rFonts w:cstheme="minorBidi"/>
                <w:sz w:val="20"/>
              </w:rPr>
              <w:t xml:space="preserve">a demande conditionnelle d’autorisation d’appel incident déposée par l’intimée, la British Columbia Investment Management Corporation, </w:t>
            </w:r>
            <w:r w:rsidRPr="00BF250F">
              <w:rPr>
                <w:sz w:val="20"/>
              </w:rPr>
              <w:t>de l’arrêt de la Cour d’appel de la Colombie-Britannique (Vancouver), numéro CA44026, 2018 BCCA 47, daté du 7 février 2018, sont accueillies avec dépens suivant l’issue de la cause. L’échéancier pour la signification et le dépôt des documents sera fixé par le registraire.</w:t>
            </w:r>
          </w:p>
        </w:tc>
      </w:tr>
      <w:tr w:rsidR="001668F8" w:rsidRPr="00DB1C5D" w:rsidTr="00090708">
        <w:tc>
          <w:tcPr>
            <w:tcW w:w="5000" w:type="pct"/>
            <w:gridSpan w:val="4"/>
          </w:tcPr>
          <w:p w:rsidR="001668F8" w:rsidRPr="001E5989" w:rsidRDefault="001668F8" w:rsidP="00090708">
            <w:pPr>
              <w:jc w:val="both"/>
              <w:rPr>
                <w:sz w:val="20"/>
                <w:lang w:val="fr-CA"/>
              </w:rPr>
            </w:pPr>
            <w:r w:rsidRPr="001E5989">
              <w:rPr>
                <w:sz w:val="20"/>
                <w:lang w:val="fr-CA"/>
              </w:rPr>
              <w:t>Droit constitutionnel – Doctrine de l’exclusivité des compétences – Droit fiscal – Taxe sur les produits et services – Tribunaux – Compétence – Accords intergouvernementaux – Conclusion des juridictions inférieures que la British Columbia Investment Management Corporation (« </w:t>
            </w:r>
            <w:proofErr w:type="spellStart"/>
            <w:r w:rsidRPr="001E5989">
              <w:rPr>
                <w:sz w:val="20"/>
                <w:lang w:val="fr-CA"/>
              </w:rPr>
              <w:t>bcIMC</w:t>
            </w:r>
            <w:proofErr w:type="spellEnd"/>
            <w:r w:rsidRPr="001E5989">
              <w:rPr>
                <w:sz w:val="20"/>
                <w:lang w:val="fr-CA"/>
              </w:rPr>
              <w:t xml:space="preserve"> ») est à l’abri de la taxation canadienne en vertu de la </w:t>
            </w:r>
            <w:r w:rsidRPr="001E5989">
              <w:rPr>
                <w:i/>
                <w:sz w:val="20"/>
                <w:lang w:val="fr-CA"/>
              </w:rPr>
              <w:t>Loi sur la taxe d’accise</w:t>
            </w:r>
            <w:r w:rsidRPr="001E5989">
              <w:rPr>
                <w:sz w:val="20"/>
                <w:lang w:val="fr-CA"/>
              </w:rPr>
              <w:t xml:space="preserve">, L.R.C. 1985, c. E-15, à l’égard des éléments d’actif qu’elle détient dans des fonds communs de placement – Juridictions inférieures concluant aussi que </w:t>
            </w:r>
            <w:proofErr w:type="spellStart"/>
            <w:r w:rsidRPr="001E5989">
              <w:rPr>
                <w:sz w:val="20"/>
                <w:lang w:val="fr-CA"/>
              </w:rPr>
              <w:t>bcIMC</w:t>
            </w:r>
            <w:proofErr w:type="spellEnd"/>
            <w:r w:rsidRPr="001E5989">
              <w:rPr>
                <w:sz w:val="20"/>
                <w:lang w:val="fr-CA"/>
              </w:rPr>
              <w:t xml:space="preserve"> est liée par les dispositions de l’Accord de réciprocité fiscale (« ARF ») et de l’Entente intégrée globale de coordination fiscale (« EIGCF ») à propos de ces éléments d’actif – L’immunité de taxation fédérale accordée à la province de la Colombie-Britannique par l’art. 125 de la </w:t>
            </w:r>
            <w:r w:rsidRPr="001E5989">
              <w:rPr>
                <w:i/>
                <w:sz w:val="20"/>
                <w:lang w:val="fr-CA"/>
              </w:rPr>
              <w:t>Loi constitutionnelle de 1867</w:t>
            </w:r>
            <w:r w:rsidRPr="001E5989">
              <w:rPr>
                <w:sz w:val="20"/>
                <w:lang w:val="fr-CA"/>
              </w:rPr>
              <w:t xml:space="preserve"> s’étend-elle aux éléments d’actif détenus en fiducie par </w:t>
            </w:r>
            <w:proofErr w:type="spellStart"/>
            <w:r w:rsidRPr="001E5989">
              <w:rPr>
                <w:sz w:val="20"/>
                <w:lang w:val="fr-CA"/>
              </w:rPr>
              <w:t>bcIMC</w:t>
            </w:r>
            <w:proofErr w:type="spellEnd"/>
            <w:r w:rsidRPr="001E5989">
              <w:rPr>
                <w:sz w:val="20"/>
                <w:lang w:val="fr-CA"/>
              </w:rPr>
              <w:t xml:space="preserve"> dans des fonds communs de placement conformément à la </w:t>
            </w:r>
            <w:r w:rsidRPr="001E5989">
              <w:rPr>
                <w:i/>
                <w:sz w:val="20"/>
                <w:lang w:val="fr-CA"/>
              </w:rPr>
              <w:t xml:space="preserve">Public </w:t>
            </w:r>
            <w:proofErr w:type="spellStart"/>
            <w:r w:rsidRPr="001E5989">
              <w:rPr>
                <w:i/>
                <w:sz w:val="20"/>
                <w:lang w:val="fr-CA"/>
              </w:rPr>
              <w:t>Sector</w:t>
            </w:r>
            <w:proofErr w:type="spellEnd"/>
            <w:r w:rsidRPr="001E5989">
              <w:rPr>
                <w:i/>
                <w:sz w:val="20"/>
                <w:lang w:val="fr-CA"/>
              </w:rPr>
              <w:t xml:space="preserve"> Pension Plans </w:t>
            </w:r>
            <w:proofErr w:type="spellStart"/>
            <w:r w:rsidRPr="001E5989">
              <w:rPr>
                <w:i/>
                <w:sz w:val="20"/>
                <w:lang w:val="fr-CA"/>
              </w:rPr>
              <w:t>Act</w:t>
            </w:r>
            <w:proofErr w:type="spellEnd"/>
            <w:r w:rsidRPr="001E5989">
              <w:rPr>
                <w:sz w:val="20"/>
                <w:lang w:val="fr-CA"/>
              </w:rPr>
              <w:t xml:space="preserve">, S.B.C. 1999, c. 44, et au </w:t>
            </w:r>
            <w:proofErr w:type="spellStart"/>
            <w:r w:rsidRPr="001E5989">
              <w:rPr>
                <w:i/>
                <w:sz w:val="20"/>
                <w:lang w:val="fr-CA"/>
              </w:rPr>
              <w:t>Pooled</w:t>
            </w:r>
            <w:proofErr w:type="spellEnd"/>
            <w:r w:rsidRPr="001E5989">
              <w:rPr>
                <w:i/>
                <w:sz w:val="20"/>
                <w:lang w:val="fr-CA"/>
              </w:rPr>
              <w:t xml:space="preserve"> Investment Portfolios </w:t>
            </w:r>
            <w:proofErr w:type="spellStart"/>
            <w:r w:rsidRPr="001E5989">
              <w:rPr>
                <w:i/>
                <w:sz w:val="20"/>
                <w:lang w:val="fr-CA"/>
              </w:rPr>
              <w:t>Regulation</w:t>
            </w:r>
            <w:proofErr w:type="spellEnd"/>
            <w:r w:rsidRPr="001E5989">
              <w:rPr>
                <w:sz w:val="20"/>
                <w:lang w:val="fr-CA"/>
              </w:rPr>
              <w:t xml:space="preserve">, B.C. Reg. 447/99? – Étendue de la protection accordée à la Province contre l’application de la </w:t>
            </w:r>
            <w:r w:rsidRPr="001E5989">
              <w:rPr>
                <w:i/>
                <w:sz w:val="20"/>
                <w:lang w:val="fr-CA"/>
              </w:rPr>
              <w:t>Loi sur la taxe d’accise</w:t>
            </w:r>
            <w:r w:rsidRPr="001E5989">
              <w:rPr>
                <w:sz w:val="20"/>
                <w:lang w:val="fr-CA"/>
              </w:rPr>
              <w:t xml:space="preserve"> lorsqu’elle fournit des services taxables comme le ferait un fournisseur commercial du secteur privé? – La cour supérieure provinciale a-t-elle correctement exercé son pouvoir discrétionnaire d’exercer la compétence résiduelle qu’elle tient de la Constitution en entendant cette demande? – Dans quelles circonstances les accords intergouvernementaux </w:t>
            </w:r>
            <w:proofErr w:type="spellStart"/>
            <w:r w:rsidRPr="001E5989">
              <w:rPr>
                <w:sz w:val="20"/>
                <w:lang w:val="fr-CA"/>
              </w:rPr>
              <w:t>font-ils</w:t>
            </w:r>
            <w:proofErr w:type="spellEnd"/>
            <w:r w:rsidRPr="001E5989">
              <w:rPr>
                <w:sz w:val="20"/>
                <w:lang w:val="fr-CA"/>
              </w:rPr>
              <w:t xml:space="preserve"> naître des obligations contractuelles exécutoires pour les parties? – Qu’est-ce qui </w:t>
            </w:r>
            <w:proofErr w:type="gramStart"/>
            <w:r w:rsidRPr="001E5989">
              <w:rPr>
                <w:sz w:val="20"/>
                <w:lang w:val="fr-CA"/>
              </w:rPr>
              <w:t>est</w:t>
            </w:r>
            <w:proofErr w:type="gramEnd"/>
            <w:r w:rsidRPr="001E5989">
              <w:rPr>
                <w:sz w:val="20"/>
                <w:lang w:val="fr-CA"/>
              </w:rPr>
              <w:t xml:space="preserve"> requis pour lier des tiers, notamment des mandataires de l’État, aux dispositions d’un accord intergouvernemental? </w:t>
            </w:r>
          </w:p>
        </w:tc>
      </w:tr>
      <w:tr w:rsidR="001668F8" w:rsidRPr="00DB1C5D" w:rsidTr="00090708">
        <w:tc>
          <w:tcPr>
            <w:tcW w:w="5000" w:type="pct"/>
            <w:gridSpan w:val="4"/>
          </w:tcPr>
          <w:p w:rsidR="001668F8" w:rsidRPr="001E5989" w:rsidRDefault="001668F8" w:rsidP="00090708">
            <w:pPr>
              <w:jc w:val="both"/>
              <w:rPr>
                <w:sz w:val="20"/>
                <w:lang w:val="fr-CA"/>
              </w:rPr>
            </w:pPr>
          </w:p>
        </w:tc>
      </w:tr>
      <w:tr w:rsidR="001668F8" w:rsidRPr="001E5989" w:rsidTr="00090708">
        <w:tc>
          <w:tcPr>
            <w:tcW w:w="5000" w:type="pct"/>
            <w:gridSpan w:val="4"/>
          </w:tcPr>
          <w:p w:rsidR="001668F8" w:rsidRPr="001E5989" w:rsidRDefault="001668F8" w:rsidP="00090708">
            <w:pPr>
              <w:jc w:val="both"/>
              <w:rPr>
                <w:sz w:val="20"/>
                <w:lang w:val="fr-CA"/>
              </w:rPr>
            </w:pPr>
            <w:proofErr w:type="spellStart"/>
            <w:r w:rsidRPr="001E5989">
              <w:rPr>
                <w:sz w:val="20"/>
                <w:lang w:val="fr-CA"/>
              </w:rPr>
              <w:t>bcIMC</w:t>
            </w:r>
            <w:proofErr w:type="spellEnd"/>
            <w:r w:rsidRPr="001E5989">
              <w:rPr>
                <w:sz w:val="20"/>
                <w:lang w:val="fr-CA"/>
              </w:rPr>
              <w:t xml:space="preserve"> a été constituée en application de la </w:t>
            </w:r>
            <w:r w:rsidRPr="001E5989">
              <w:rPr>
                <w:i/>
                <w:sz w:val="20"/>
                <w:lang w:val="fr-CA"/>
              </w:rPr>
              <w:t xml:space="preserve">Public </w:t>
            </w:r>
            <w:proofErr w:type="spellStart"/>
            <w:r w:rsidRPr="001E5989">
              <w:rPr>
                <w:i/>
                <w:sz w:val="20"/>
                <w:lang w:val="fr-CA"/>
              </w:rPr>
              <w:t>Sector</w:t>
            </w:r>
            <w:proofErr w:type="spellEnd"/>
            <w:r w:rsidRPr="001E5989">
              <w:rPr>
                <w:i/>
                <w:sz w:val="20"/>
                <w:lang w:val="fr-CA"/>
              </w:rPr>
              <w:t xml:space="preserve"> Pension Plans </w:t>
            </w:r>
            <w:proofErr w:type="spellStart"/>
            <w:r w:rsidRPr="001E5989">
              <w:rPr>
                <w:i/>
                <w:sz w:val="20"/>
                <w:lang w:val="fr-CA"/>
              </w:rPr>
              <w:t>Act</w:t>
            </w:r>
            <w:proofErr w:type="spellEnd"/>
            <w:r w:rsidRPr="001E5989">
              <w:rPr>
                <w:sz w:val="20"/>
                <w:lang w:val="fr-CA"/>
              </w:rPr>
              <w:t xml:space="preserve"> comme société de fiducie autorisée à offrir des services de gestion de placement dans le cadre d’une restructuration du régime de pension de la fonction publique provinciale. </w:t>
            </w:r>
            <w:proofErr w:type="spellStart"/>
            <w:r w:rsidRPr="001E5989">
              <w:rPr>
                <w:sz w:val="20"/>
                <w:lang w:val="fr-CA"/>
              </w:rPr>
              <w:t>bcIMC</w:t>
            </w:r>
            <w:proofErr w:type="spellEnd"/>
            <w:r w:rsidRPr="001E5989">
              <w:rPr>
                <w:sz w:val="20"/>
                <w:lang w:val="fr-CA"/>
              </w:rPr>
              <w:t xml:space="preserve"> gère certains éléments d’actif dans des fonds communs de placement conformément au </w:t>
            </w:r>
            <w:proofErr w:type="spellStart"/>
            <w:r w:rsidRPr="001E5989">
              <w:rPr>
                <w:i/>
                <w:sz w:val="20"/>
                <w:lang w:val="fr-CA"/>
              </w:rPr>
              <w:t>Pooled</w:t>
            </w:r>
            <w:proofErr w:type="spellEnd"/>
            <w:r w:rsidRPr="001E5989">
              <w:rPr>
                <w:i/>
                <w:sz w:val="20"/>
                <w:lang w:val="fr-CA"/>
              </w:rPr>
              <w:t xml:space="preserve"> Investment Portfolios </w:t>
            </w:r>
            <w:proofErr w:type="spellStart"/>
            <w:r w:rsidRPr="001E5989">
              <w:rPr>
                <w:i/>
                <w:sz w:val="20"/>
                <w:lang w:val="fr-CA"/>
              </w:rPr>
              <w:t>Regulation</w:t>
            </w:r>
            <w:proofErr w:type="spellEnd"/>
            <w:r w:rsidRPr="001E5989">
              <w:rPr>
                <w:sz w:val="20"/>
                <w:lang w:val="fr-CA"/>
              </w:rPr>
              <w:t xml:space="preserve">. La majorité des fonds détenus par </w:t>
            </w:r>
            <w:proofErr w:type="spellStart"/>
            <w:r w:rsidRPr="001E5989">
              <w:rPr>
                <w:sz w:val="20"/>
                <w:lang w:val="fr-CA"/>
              </w:rPr>
              <w:t>bcIMC</w:t>
            </w:r>
            <w:proofErr w:type="spellEnd"/>
            <w:r w:rsidRPr="001E5989">
              <w:rPr>
                <w:sz w:val="20"/>
                <w:lang w:val="fr-CA"/>
              </w:rPr>
              <w:t xml:space="preserve"> sont des placements des cinq principaux régimes de pension de la fonction publique </w:t>
            </w:r>
            <w:proofErr w:type="spellStart"/>
            <w:r w:rsidRPr="001E5989">
              <w:rPr>
                <w:sz w:val="20"/>
                <w:lang w:val="fr-CA"/>
              </w:rPr>
              <w:t>britanno</w:t>
            </w:r>
            <w:proofErr w:type="spellEnd"/>
            <w:r w:rsidRPr="001E5989">
              <w:rPr>
                <w:sz w:val="20"/>
                <w:lang w:val="fr-CA"/>
              </w:rPr>
              <w:t xml:space="preserve">-colombienne. </w:t>
            </w:r>
            <w:proofErr w:type="spellStart"/>
            <w:r w:rsidRPr="001E5989">
              <w:rPr>
                <w:sz w:val="20"/>
                <w:lang w:val="fr-CA"/>
              </w:rPr>
              <w:t>bcIMC</w:t>
            </w:r>
            <w:proofErr w:type="spellEnd"/>
            <w:r w:rsidRPr="001E5989">
              <w:rPr>
                <w:sz w:val="20"/>
                <w:lang w:val="fr-CA"/>
              </w:rPr>
              <w:t xml:space="preserve"> s’occupe de la gestion de placement pour ces fonds.  </w:t>
            </w:r>
          </w:p>
          <w:p w:rsidR="001668F8" w:rsidRPr="001E5989" w:rsidRDefault="001668F8" w:rsidP="00090708">
            <w:pPr>
              <w:jc w:val="both"/>
              <w:rPr>
                <w:sz w:val="20"/>
                <w:lang w:val="fr-CA"/>
              </w:rPr>
            </w:pPr>
          </w:p>
          <w:p w:rsidR="001668F8" w:rsidRPr="001E5989" w:rsidRDefault="001668F8" w:rsidP="00090708">
            <w:pPr>
              <w:jc w:val="both"/>
              <w:rPr>
                <w:sz w:val="20"/>
                <w:lang w:val="fr-CA"/>
              </w:rPr>
            </w:pPr>
            <w:proofErr w:type="spellStart"/>
            <w:r w:rsidRPr="001E5989">
              <w:rPr>
                <w:sz w:val="20"/>
                <w:lang w:val="fr-CA"/>
              </w:rPr>
              <w:t>bcIMC</w:t>
            </w:r>
            <w:proofErr w:type="spellEnd"/>
            <w:r w:rsidRPr="001E5989">
              <w:rPr>
                <w:sz w:val="20"/>
                <w:lang w:val="fr-CA"/>
              </w:rPr>
              <w:t xml:space="preserve"> a reçu un avis de cotisation établissant à 40 498 754,94 $, à l’exclusion de l’intérêt et des pénalités, la TPS due sur la prestation de services de gestion de placement pour les fonds communs. </w:t>
            </w:r>
            <w:proofErr w:type="spellStart"/>
            <w:r w:rsidRPr="001E5989">
              <w:rPr>
                <w:sz w:val="20"/>
                <w:lang w:val="fr-CA"/>
              </w:rPr>
              <w:t>bcIMC</w:t>
            </w:r>
            <w:proofErr w:type="spellEnd"/>
            <w:r w:rsidRPr="001E5989">
              <w:rPr>
                <w:sz w:val="20"/>
                <w:lang w:val="fr-CA"/>
              </w:rPr>
              <w:t xml:space="preserve"> a déposé, sans préjudice de ses droits, des avis d’opposition aux cotisations, ce qu’elle devait faire en vue de conserver son droit de les contester.   </w:t>
            </w:r>
          </w:p>
          <w:p w:rsidR="001668F8" w:rsidRPr="001E5989" w:rsidRDefault="001668F8" w:rsidP="00090708">
            <w:pPr>
              <w:jc w:val="both"/>
              <w:rPr>
                <w:sz w:val="20"/>
                <w:lang w:val="fr-CA"/>
              </w:rPr>
            </w:pPr>
          </w:p>
          <w:p w:rsidR="001668F8" w:rsidRPr="001E5989" w:rsidRDefault="001668F8" w:rsidP="00090708">
            <w:pPr>
              <w:jc w:val="both"/>
              <w:rPr>
                <w:sz w:val="20"/>
                <w:lang w:val="fr-CA"/>
              </w:rPr>
            </w:pPr>
            <w:r w:rsidRPr="001E5989">
              <w:rPr>
                <w:sz w:val="20"/>
                <w:lang w:val="fr-CA"/>
              </w:rPr>
              <w:t xml:space="preserve">La Cour suprême de la Colombie-Britannique a rendu un jugement déclarant que les services de gestion offerts par </w:t>
            </w:r>
            <w:proofErr w:type="spellStart"/>
            <w:r w:rsidRPr="001E5989">
              <w:rPr>
                <w:sz w:val="20"/>
                <w:lang w:val="fr-CA"/>
              </w:rPr>
              <w:t>bcIMC</w:t>
            </w:r>
            <w:proofErr w:type="spellEnd"/>
            <w:r w:rsidRPr="001E5989">
              <w:rPr>
                <w:sz w:val="20"/>
                <w:lang w:val="fr-CA"/>
              </w:rPr>
              <w:t xml:space="preserve"> relativement à ces éléments d’actif ne sont pas assujettis à la taxation canadienne en vertu de la </w:t>
            </w:r>
            <w:r w:rsidRPr="001E5989">
              <w:rPr>
                <w:i/>
                <w:sz w:val="20"/>
                <w:lang w:val="fr-CA"/>
              </w:rPr>
              <w:t>Loi sur la taxe d’accise</w:t>
            </w:r>
            <w:r w:rsidRPr="001E5989">
              <w:rPr>
                <w:sz w:val="20"/>
                <w:lang w:val="fr-CA"/>
              </w:rPr>
              <w:t>, L.R.C. 1985, c. E</w:t>
            </w:r>
            <w:r w:rsidRPr="001E5989">
              <w:rPr>
                <w:rFonts w:ascii="MS Mincho" w:hAnsi="MS Mincho" w:cs="MS Mincho"/>
                <w:sz w:val="20"/>
                <w:lang w:val="fr-CA"/>
              </w:rPr>
              <w:t>‑</w:t>
            </w:r>
            <w:r w:rsidRPr="001E5989">
              <w:rPr>
                <w:sz w:val="20"/>
                <w:lang w:val="fr-CA"/>
              </w:rPr>
              <w:t xml:space="preserve">15. Elle a rendu au même moment un jugement portant que </w:t>
            </w:r>
            <w:proofErr w:type="spellStart"/>
            <w:r w:rsidRPr="001E5989">
              <w:rPr>
                <w:sz w:val="20"/>
                <w:lang w:val="fr-CA"/>
              </w:rPr>
              <w:t>bcIMC</w:t>
            </w:r>
            <w:proofErr w:type="spellEnd"/>
            <w:r w:rsidRPr="001E5989">
              <w:rPr>
                <w:sz w:val="20"/>
                <w:lang w:val="fr-CA"/>
              </w:rPr>
              <w:t xml:space="preserve"> est liée par les dispositions des deux accords intervenus entre le Canada et la Colombie-Britannique, soit l’ARF et l’EIGCF, qui obligent peut-être </w:t>
            </w:r>
            <w:proofErr w:type="spellStart"/>
            <w:r w:rsidRPr="001E5989">
              <w:rPr>
                <w:sz w:val="20"/>
                <w:lang w:val="fr-CA"/>
              </w:rPr>
              <w:t>bcIMC</w:t>
            </w:r>
            <w:proofErr w:type="spellEnd"/>
            <w:r w:rsidRPr="001E5989">
              <w:rPr>
                <w:sz w:val="20"/>
                <w:lang w:val="fr-CA"/>
              </w:rPr>
              <w:t xml:space="preserve">  à percevoir et à remettre certaines taxes. </w:t>
            </w:r>
          </w:p>
          <w:p w:rsidR="001668F8" w:rsidRPr="001E5989" w:rsidRDefault="001668F8" w:rsidP="00090708">
            <w:pPr>
              <w:jc w:val="both"/>
              <w:rPr>
                <w:sz w:val="20"/>
                <w:lang w:val="fr-CA"/>
              </w:rPr>
            </w:pPr>
          </w:p>
          <w:p w:rsidR="001668F8" w:rsidRPr="001E5989" w:rsidRDefault="001668F8" w:rsidP="00090708">
            <w:pPr>
              <w:jc w:val="both"/>
              <w:rPr>
                <w:sz w:val="20"/>
                <w:lang w:val="fr-CA"/>
              </w:rPr>
            </w:pPr>
            <w:r w:rsidRPr="001E5989">
              <w:rPr>
                <w:sz w:val="20"/>
                <w:lang w:val="fr-CA"/>
              </w:rPr>
              <w:t xml:space="preserve">Le procureur général du Canada a interjeté appel du premier jugement déclaratoire et </w:t>
            </w:r>
            <w:proofErr w:type="spellStart"/>
            <w:r w:rsidRPr="001E5989">
              <w:rPr>
                <w:sz w:val="20"/>
                <w:lang w:val="fr-CA"/>
              </w:rPr>
              <w:t>bcIMC</w:t>
            </w:r>
            <w:proofErr w:type="spellEnd"/>
            <w:r w:rsidRPr="001E5989">
              <w:rPr>
                <w:sz w:val="20"/>
                <w:lang w:val="fr-CA"/>
              </w:rPr>
              <w:t xml:space="preserve"> a formé un appel incident contre le deuxième en Cour d’appel.  La Cour d’appel a rejeté l’appel et l’appel incident.  </w:t>
            </w:r>
          </w:p>
          <w:p w:rsidR="001668F8" w:rsidRPr="001E5989" w:rsidRDefault="001668F8" w:rsidP="00090708">
            <w:pPr>
              <w:jc w:val="both"/>
              <w:rPr>
                <w:sz w:val="20"/>
                <w:lang w:val="fr-CA"/>
              </w:rPr>
            </w:pPr>
          </w:p>
        </w:tc>
      </w:tr>
      <w:tr w:rsidR="001668F8" w:rsidRPr="00DB1C5D" w:rsidTr="00090708">
        <w:tc>
          <w:tcPr>
            <w:tcW w:w="2427" w:type="pct"/>
            <w:gridSpan w:val="2"/>
          </w:tcPr>
          <w:p w:rsidR="001668F8" w:rsidRPr="001E5989" w:rsidRDefault="001668F8" w:rsidP="00090708">
            <w:pPr>
              <w:jc w:val="both"/>
              <w:rPr>
                <w:sz w:val="20"/>
                <w:lang w:val="fr-CA"/>
              </w:rPr>
            </w:pPr>
            <w:r w:rsidRPr="001E5989">
              <w:rPr>
                <w:sz w:val="20"/>
                <w:lang w:val="fr-CA"/>
              </w:rPr>
              <w:lastRenderedPageBreak/>
              <w:t>30 septembre 2016</w:t>
            </w:r>
          </w:p>
          <w:p w:rsidR="001668F8" w:rsidRPr="001E5989" w:rsidRDefault="001668F8" w:rsidP="00090708">
            <w:pPr>
              <w:jc w:val="both"/>
              <w:rPr>
                <w:sz w:val="20"/>
                <w:lang w:val="fr-CA"/>
              </w:rPr>
            </w:pPr>
            <w:r w:rsidRPr="001E5989">
              <w:rPr>
                <w:sz w:val="20"/>
                <w:lang w:val="fr-CA"/>
              </w:rPr>
              <w:t>Cour suprême de la Colombie-Britannique</w:t>
            </w:r>
          </w:p>
          <w:p w:rsidR="001668F8" w:rsidRPr="001E5989" w:rsidRDefault="001668F8" w:rsidP="00090708">
            <w:pPr>
              <w:jc w:val="both"/>
              <w:rPr>
                <w:sz w:val="20"/>
              </w:rPr>
            </w:pPr>
            <w:r w:rsidRPr="001E5989">
              <w:rPr>
                <w:sz w:val="20"/>
              </w:rPr>
              <w:t xml:space="preserve">(Juge </w:t>
            </w:r>
            <w:proofErr w:type="spellStart"/>
            <w:r w:rsidRPr="001E5989">
              <w:rPr>
                <w:sz w:val="20"/>
              </w:rPr>
              <w:t>Weatherill</w:t>
            </w:r>
            <w:proofErr w:type="spellEnd"/>
            <w:r w:rsidRPr="001E5989">
              <w:rPr>
                <w:sz w:val="20"/>
              </w:rPr>
              <w:t>)</w:t>
            </w:r>
          </w:p>
          <w:p w:rsidR="001668F8" w:rsidRPr="001E5989" w:rsidRDefault="00F13243" w:rsidP="00090708">
            <w:pPr>
              <w:jc w:val="both"/>
              <w:rPr>
                <w:sz w:val="20"/>
              </w:rPr>
            </w:pPr>
            <w:hyperlink r:id="rId21" w:history="1">
              <w:r w:rsidR="001668F8" w:rsidRPr="001E5989">
                <w:rPr>
                  <w:rStyle w:val="Hyperlink"/>
                  <w:sz w:val="20"/>
                </w:rPr>
                <w:t>2016 BCSC 1803</w:t>
              </w:r>
            </w:hyperlink>
          </w:p>
          <w:p w:rsidR="001668F8" w:rsidRPr="001E5989" w:rsidRDefault="001668F8" w:rsidP="00090708">
            <w:pPr>
              <w:jc w:val="both"/>
              <w:rPr>
                <w:sz w:val="20"/>
              </w:rPr>
            </w:pPr>
          </w:p>
        </w:tc>
        <w:tc>
          <w:tcPr>
            <w:tcW w:w="243" w:type="pct"/>
          </w:tcPr>
          <w:p w:rsidR="001668F8" w:rsidRPr="001E5989" w:rsidRDefault="001668F8" w:rsidP="00090708">
            <w:pPr>
              <w:jc w:val="both"/>
              <w:rPr>
                <w:sz w:val="20"/>
              </w:rPr>
            </w:pPr>
          </w:p>
        </w:tc>
        <w:tc>
          <w:tcPr>
            <w:tcW w:w="2330" w:type="pct"/>
          </w:tcPr>
          <w:p w:rsidR="001668F8" w:rsidRPr="001E5989" w:rsidRDefault="001668F8" w:rsidP="00090708">
            <w:pPr>
              <w:jc w:val="both"/>
              <w:rPr>
                <w:sz w:val="20"/>
                <w:lang w:val="fr-CA"/>
              </w:rPr>
            </w:pPr>
            <w:proofErr w:type="spellStart"/>
            <w:r w:rsidRPr="001E5989">
              <w:rPr>
                <w:sz w:val="20"/>
                <w:lang w:val="fr-CA"/>
              </w:rPr>
              <w:t>bcIMC</w:t>
            </w:r>
            <w:proofErr w:type="spellEnd"/>
            <w:r w:rsidRPr="001E5989">
              <w:rPr>
                <w:sz w:val="20"/>
                <w:lang w:val="fr-CA"/>
              </w:rPr>
              <w:t xml:space="preserve"> est à l’abri de la taxation canadienne en vertu de la </w:t>
            </w:r>
            <w:r w:rsidRPr="001E5989">
              <w:rPr>
                <w:i/>
                <w:sz w:val="20"/>
                <w:lang w:val="fr-CA"/>
              </w:rPr>
              <w:t xml:space="preserve">Loi sur la taxe d’accise </w:t>
            </w:r>
            <w:r w:rsidRPr="001E5989">
              <w:rPr>
                <w:sz w:val="20"/>
                <w:lang w:val="fr-CA"/>
              </w:rPr>
              <w:t xml:space="preserve">en ce qui concerne les éléments d’actif qu’elle détient dans des fonds commun de placement conformément au </w:t>
            </w:r>
            <w:proofErr w:type="spellStart"/>
            <w:r w:rsidRPr="001E5989">
              <w:rPr>
                <w:i/>
                <w:sz w:val="20"/>
                <w:lang w:val="fr-CA"/>
              </w:rPr>
              <w:t>Pooled</w:t>
            </w:r>
            <w:proofErr w:type="spellEnd"/>
            <w:r w:rsidRPr="001E5989">
              <w:rPr>
                <w:i/>
                <w:sz w:val="20"/>
                <w:lang w:val="fr-CA"/>
              </w:rPr>
              <w:t xml:space="preserve"> Investment Portfolios </w:t>
            </w:r>
            <w:proofErr w:type="spellStart"/>
            <w:r w:rsidRPr="001E5989">
              <w:rPr>
                <w:i/>
                <w:sz w:val="20"/>
                <w:lang w:val="fr-CA"/>
              </w:rPr>
              <w:t>Regulation</w:t>
            </w:r>
            <w:proofErr w:type="spellEnd"/>
            <w:r w:rsidRPr="001E5989">
              <w:rPr>
                <w:sz w:val="20"/>
                <w:lang w:val="fr-CA"/>
              </w:rPr>
              <w:t xml:space="preserve">; </w:t>
            </w:r>
            <w:proofErr w:type="spellStart"/>
            <w:r w:rsidRPr="001E5989">
              <w:rPr>
                <w:sz w:val="20"/>
                <w:lang w:val="fr-CA"/>
              </w:rPr>
              <w:t>bcIMC</w:t>
            </w:r>
            <w:proofErr w:type="spellEnd"/>
            <w:r w:rsidRPr="001E5989">
              <w:rPr>
                <w:sz w:val="20"/>
                <w:lang w:val="fr-CA"/>
              </w:rPr>
              <w:t xml:space="preserve"> est liée par les dispositions de l’ARF et de l’EIGCF relatives à ces éléments d’actif.  </w:t>
            </w:r>
          </w:p>
          <w:p w:rsidR="001668F8" w:rsidRPr="001E5989" w:rsidRDefault="001668F8" w:rsidP="00090708">
            <w:pPr>
              <w:jc w:val="both"/>
              <w:rPr>
                <w:sz w:val="20"/>
                <w:lang w:val="fr-CA"/>
              </w:rPr>
            </w:pPr>
          </w:p>
        </w:tc>
      </w:tr>
      <w:tr w:rsidR="001668F8" w:rsidRPr="00DB1C5D" w:rsidTr="00090708">
        <w:tc>
          <w:tcPr>
            <w:tcW w:w="2427" w:type="pct"/>
            <w:gridSpan w:val="2"/>
          </w:tcPr>
          <w:p w:rsidR="001668F8" w:rsidRPr="001E5989" w:rsidRDefault="001668F8" w:rsidP="00090708">
            <w:pPr>
              <w:jc w:val="both"/>
              <w:rPr>
                <w:sz w:val="20"/>
                <w:lang w:val="fr-CA"/>
              </w:rPr>
            </w:pPr>
            <w:r w:rsidRPr="001E5989">
              <w:rPr>
                <w:sz w:val="20"/>
                <w:lang w:val="fr-CA"/>
              </w:rPr>
              <w:t>7 février 2018</w:t>
            </w:r>
          </w:p>
          <w:p w:rsidR="001668F8" w:rsidRPr="001E5989" w:rsidRDefault="001668F8" w:rsidP="00090708">
            <w:pPr>
              <w:jc w:val="both"/>
              <w:rPr>
                <w:sz w:val="20"/>
                <w:lang w:val="fr-CA"/>
              </w:rPr>
            </w:pPr>
            <w:r w:rsidRPr="001E5989">
              <w:rPr>
                <w:sz w:val="20"/>
                <w:lang w:val="fr-CA"/>
              </w:rPr>
              <w:t xml:space="preserve">Cour d’appel de la Colombie-Britannique </w:t>
            </w:r>
          </w:p>
          <w:p w:rsidR="001668F8" w:rsidRPr="001E5989" w:rsidRDefault="001668F8" w:rsidP="00090708">
            <w:pPr>
              <w:jc w:val="both"/>
              <w:rPr>
                <w:sz w:val="20"/>
                <w:lang w:val="fr-CA"/>
              </w:rPr>
            </w:pPr>
            <w:r w:rsidRPr="001E5989">
              <w:rPr>
                <w:sz w:val="20"/>
                <w:lang w:val="fr-CA"/>
              </w:rPr>
              <w:t>(Vancouver)</w:t>
            </w:r>
          </w:p>
          <w:p w:rsidR="001668F8" w:rsidRPr="001E5989" w:rsidRDefault="001668F8" w:rsidP="00090708">
            <w:pPr>
              <w:jc w:val="both"/>
              <w:rPr>
                <w:sz w:val="20"/>
                <w:lang w:val="fr-CA"/>
              </w:rPr>
            </w:pPr>
            <w:r w:rsidRPr="001E5989">
              <w:rPr>
                <w:sz w:val="20"/>
                <w:lang w:val="fr-CA"/>
              </w:rPr>
              <w:t xml:space="preserve">(Juges Smith, </w:t>
            </w:r>
            <w:proofErr w:type="spellStart"/>
            <w:r w:rsidRPr="001E5989">
              <w:rPr>
                <w:sz w:val="20"/>
                <w:lang w:val="fr-CA"/>
              </w:rPr>
              <w:t>Willcock</w:t>
            </w:r>
            <w:proofErr w:type="spellEnd"/>
            <w:r w:rsidRPr="001E5989">
              <w:rPr>
                <w:sz w:val="20"/>
                <w:lang w:val="fr-CA"/>
              </w:rPr>
              <w:t xml:space="preserve"> et </w:t>
            </w:r>
            <w:proofErr w:type="spellStart"/>
            <w:r w:rsidRPr="001E5989">
              <w:rPr>
                <w:sz w:val="20"/>
                <w:lang w:val="fr-CA"/>
              </w:rPr>
              <w:t>Goepel</w:t>
            </w:r>
            <w:proofErr w:type="spellEnd"/>
            <w:r w:rsidRPr="001E5989">
              <w:rPr>
                <w:sz w:val="20"/>
                <w:lang w:val="fr-CA"/>
              </w:rPr>
              <w:t>)</w:t>
            </w:r>
          </w:p>
          <w:p w:rsidR="001668F8" w:rsidRPr="001E5989" w:rsidRDefault="00F13243" w:rsidP="00090708">
            <w:pPr>
              <w:jc w:val="both"/>
              <w:rPr>
                <w:sz w:val="20"/>
              </w:rPr>
            </w:pPr>
            <w:hyperlink r:id="rId22" w:history="1">
              <w:r w:rsidR="001668F8" w:rsidRPr="001E5989">
                <w:rPr>
                  <w:rStyle w:val="Hyperlink"/>
                  <w:sz w:val="20"/>
                </w:rPr>
                <w:t>2018 BCCA 47</w:t>
              </w:r>
            </w:hyperlink>
          </w:p>
          <w:p w:rsidR="001668F8" w:rsidRPr="001E5989" w:rsidRDefault="001668F8" w:rsidP="00090708">
            <w:pPr>
              <w:jc w:val="both"/>
              <w:rPr>
                <w:sz w:val="20"/>
                <w:lang w:val="fr-CA"/>
              </w:rPr>
            </w:pPr>
            <w:r w:rsidRPr="001E5989">
              <w:rPr>
                <w:sz w:val="20"/>
                <w:lang w:val="fr-CA"/>
              </w:rPr>
              <w:t>N</w:t>
            </w:r>
            <w:r w:rsidRPr="001E5989">
              <w:rPr>
                <w:sz w:val="20"/>
                <w:vertAlign w:val="superscript"/>
                <w:lang w:val="fr-CA"/>
              </w:rPr>
              <w:t>o</w:t>
            </w:r>
            <w:r w:rsidRPr="001E5989">
              <w:rPr>
                <w:sz w:val="20"/>
                <w:lang w:val="fr-CA"/>
              </w:rPr>
              <w:t xml:space="preserve"> de dossier : CA44026</w:t>
            </w:r>
          </w:p>
          <w:p w:rsidR="001668F8" w:rsidRPr="001E5989" w:rsidRDefault="001668F8" w:rsidP="00090708">
            <w:pPr>
              <w:jc w:val="both"/>
              <w:rPr>
                <w:sz w:val="20"/>
                <w:lang w:val="fr-CA"/>
              </w:rPr>
            </w:pPr>
          </w:p>
        </w:tc>
        <w:tc>
          <w:tcPr>
            <w:tcW w:w="243" w:type="pct"/>
          </w:tcPr>
          <w:p w:rsidR="001668F8" w:rsidRPr="001E5989" w:rsidRDefault="001668F8" w:rsidP="00090708">
            <w:pPr>
              <w:jc w:val="both"/>
              <w:rPr>
                <w:sz w:val="20"/>
                <w:lang w:val="fr-CA"/>
              </w:rPr>
            </w:pPr>
          </w:p>
        </w:tc>
        <w:tc>
          <w:tcPr>
            <w:tcW w:w="2330" w:type="pct"/>
          </w:tcPr>
          <w:p w:rsidR="001668F8" w:rsidRPr="001E5989" w:rsidRDefault="001668F8" w:rsidP="00090708">
            <w:pPr>
              <w:jc w:val="both"/>
              <w:rPr>
                <w:sz w:val="20"/>
                <w:lang w:val="fr-CA"/>
              </w:rPr>
            </w:pPr>
            <w:r w:rsidRPr="001E5989">
              <w:rPr>
                <w:sz w:val="20"/>
                <w:lang w:val="fr-CA"/>
              </w:rPr>
              <w:t>Rejet de l’appel et de l’appel incident.</w:t>
            </w:r>
          </w:p>
          <w:p w:rsidR="001668F8" w:rsidRPr="001E5989" w:rsidRDefault="001668F8" w:rsidP="00090708">
            <w:pPr>
              <w:jc w:val="both"/>
              <w:rPr>
                <w:sz w:val="20"/>
                <w:lang w:val="fr-CA"/>
              </w:rPr>
            </w:pPr>
          </w:p>
        </w:tc>
      </w:tr>
      <w:tr w:rsidR="001668F8" w:rsidRPr="00DB1C5D" w:rsidTr="00090708">
        <w:tc>
          <w:tcPr>
            <w:tcW w:w="2427" w:type="pct"/>
            <w:gridSpan w:val="2"/>
          </w:tcPr>
          <w:p w:rsidR="001668F8" w:rsidRPr="001E5989" w:rsidRDefault="001668F8" w:rsidP="00090708">
            <w:pPr>
              <w:jc w:val="both"/>
              <w:rPr>
                <w:sz w:val="20"/>
                <w:lang w:val="fr-CA"/>
              </w:rPr>
            </w:pPr>
            <w:r w:rsidRPr="001E5989">
              <w:rPr>
                <w:sz w:val="20"/>
                <w:lang w:val="fr-CA"/>
              </w:rPr>
              <w:t>9 avril 2018</w:t>
            </w:r>
          </w:p>
          <w:p w:rsidR="001668F8" w:rsidRPr="001E5989" w:rsidRDefault="001668F8" w:rsidP="00090708">
            <w:pPr>
              <w:jc w:val="both"/>
              <w:rPr>
                <w:sz w:val="20"/>
                <w:lang w:val="fr-CA"/>
              </w:rPr>
            </w:pPr>
            <w:r w:rsidRPr="001E5989">
              <w:rPr>
                <w:sz w:val="20"/>
                <w:lang w:val="fr-CA"/>
              </w:rPr>
              <w:t>Cour suprême du Canada</w:t>
            </w:r>
          </w:p>
          <w:p w:rsidR="001668F8" w:rsidRPr="001E5989" w:rsidRDefault="001668F8" w:rsidP="00090708">
            <w:pPr>
              <w:jc w:val="both"/>
              <w:rPr>
                <w:sz w:val="20"/>
                <w:lang w:val="fr-CA"/>
              </w:rPr>
            </w:pPr>
          </w:p>
        </w:tc>
        <w:tc>
          <w:tcPr>
            <w:tcW w:w="243" w:type="pct"/>
          </w:tcPr>
          <w:p w:rsidR="001668F8" w:rsidRPr="001E5989" w:rsidRDefault="001668F8" w:rsidP="00090708">
            <w:pPr>
              <w:jc w:val="both"/>
              <w:rPr>
                <w:sz w:val="20"/>
                <w:lang w:val="fr-CA"/>
              </w:rPr>
            </w:pPr>
          </w:p>
        </w:tc>
        <w:tc>
          <w:tcPr>
            <w:tcW w:w="2330" w:type="pct"/>
          </w:tcPr>
          <w:p w:rsidR="001668F8" w:rsidRPr="001E5989" w:rsidRDefault="001668F8" w:rsidP="00090708">
            <w:pPr>
              <w:jc w:val="both"/>
              <w:rPr>
                <w:sz w:val="20"/>
                <w:lang w:val="fr-CA"/>
              </w:rPr>
            </w:pPr>
            <w:r w:rsidRPr="001E5989">
              <w:rPr>
                <w:sz w:val="20"/>
                <w:lang w:val="fr-CA"/>
              </w:rPr>
              <w:t>Dépôt de la demande d’autorisation d’appel.</w:t>
            </w:r>
          </w:p>
          <w:p w:rsidR="001668F8" w:rsidRPr="001E5989" w:rsidRDefault="001668F8" w:rsidP="00090708">
            <w:pPr>
              <w:jc w:val="both"/>
              <w:rPr>
                <w:sz w:val="20"/>
                <w:lang w:val="fr-CA"/>
              </w:rPr>
            </w:pPr>
          </w:p>
        </w:tc>
      </w:tr>
      <w:tr w:rsidR="001668F8" w:rsidRPr="00DB1C5D" w:rsidTr="00090708">
        <w:tc>
          <w:tcPr>
            <w:tcW w:w="2427" w:type="pct"/>
            <w:gridSpan w:val="2"/>
          </w:tcPr>
          <w:p w:rsidR="001668F8" w:rsidRPr="001E5989" w:rsidRDefault="001668F8" w:rsidP="00090708">
            <w:pPr>
              <w:jc w:val="both"/>
              <w:rPr>
                <w:sz w:val="20"/>
                <w:lang w:val="fr-CA"/>
              </w:rPr>
            </w:pPr>
            <w:r w:rsidRPr="001E5989">
              <w:rPr>
                <w:sz w:val="20"/>
                <w:lang w:val="fr-CA"/>
              </w:rPr>
              <w:t>14 mai 2018</w:t>
            </w:r>
          </w:p>
          <w:p w:rsidR="001668F8" w:rsidRPr="001E5989" w:rsidRDefault="001668F8" w:rsidP="00090708">
            <w:pPr>
              <w:jc w:val="both"/>
              <w:rPr>
                <w:sz w:val="20"/>
                <w:lang w:val="fr-CA"/>
              </w:rPr>
            </w:pPr>
            <w:r w:rsidRPr="001E5989">
              <w:rPr>
                <w:sz w:val="20"/>
                <w:lang w:val="fr-CA"/>
              </w:rPr>
              <w:t xml:space="preserve">Cour suprême du Canada </w:t>
            </w:r>
          </w:p>
        </w:tc>
        <w:tc>
          <w:tcPr>
            <w:tcW w:w="243" w:type="pct"/>
          </w:tcPr>
          <w:p w:rsidR="001668F8" w:rsidRPr="001E5989" w:rsidRDefault="001668F8" w:rsidP="00090708">
            <w:pPr>
              <w:jc w:val="both"/>
              <w:rPr>
                <w:sz w:val="20"/>
                <w:lang w:val="fr-CA"/>
              </w:rPr>
            </w:pPr>
          </w:p>
        </w:tc>
        <w:tc>
          <w:tcPr>
            <w:tcW w:w="2330" w:type="pct"/>
          </w:tcPr>
          <w:p w:rsidR="001668F8" w:rsidRPr="001E5989" w:rsidRDefault="001668F8" w:rsidP="00090708">
            <w:pPr>
              <w:jc w:val="both"/>
              <w:rPr>
                <w:sz w:val="20"/>
                <w:lang w:val="fr-CA"/>
              </w:rPr>
            </w:pPr>
            <w:r w:rsidRPr="001E5989">
              <w:rPr>
                <w:sz w:val="20"/>
                <w:lang w:val="fr-CA"/>
              </w:rPr>
              <w:t>Dépôt de la demande conditionnelle d’appel incident.</w:t>
            </w:r>
          </w:p>
        </w:tc>
      </w:tr>
    </w:tbl>
    <w:p w:rsidR="001668F8" w:rsidRPr="001E5989" w:rsidRDefault="001668F8" w:rsidP="001668F8">
      <w:pPr>
        <w:jc w:val="both"/>
        <w:rPr>
          <w:sz w:val="20"/>
          <w:lang w:val="fr-CA"/>
        </w:rPr>
      </w:pPr>
    </w:p>
    <w:p w:rsidR="001668F8" w:rsidRPr="001E5989" w:rsidRDefault="001668F8" w:rsidP="001668F8">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668F8" w:rsidRPr="001E5989" w:rsidTr="00090708">
        <w:tc>
          <w:tcPr>
            <w:tcW w:w="543" w:type="pct"/>
          </w:tcPr>
          <w:p w:rsidR="001668F8" w:rsidRPr="001E5989" w:rsidRDefault="001668F8" w:rsidP="00090708">
            <w:pPr>
              <w:jc w:val="both"/>
              <w:rPr>
                <w:sz w:val="20"/>
              </w:rPr>
            </w:pPr>
            <w:r w:rsidRPr="001E5989">
              <w:rPr>
                <w:rStyle w:val="SCCFileNumberChar"/>
                <w:sz w:val="20"/>
                <w:szCs w:val="20"/>
              </w:rPr>
              <w:t>38000</w:t>
            </w:r>
          </w:p>
        </w:tc>
        <w:tc>
          <w:tcPr>
            <w:tcW w:w="4457" w:type="pct"/>
            <w:gridSpan w:val="3"/>
          </w:tcPr>
          <w:p w:rsidR="001668F8" w:rsidRPr="00406B46" w:rsidRDefault="001668F8" w:rsidP="00090708">
            <w:pPr>
              <w:pStyle w:val="SCCLsocParty"/>
              <w:jc w:val="both"/>
              <w:rPr>
                <w:b/>
                <w:sz w:val="20"/>
                <w:szCs w:val="20"/>
                <w:lang w:val="en-CA"/>
              </w:rPr>
            </w:pPr>
            <w:r w:rsidRPr="00406B46">
              <w:rPr>
                <w:b/>
                <w:sz w:val="20"/>
                <w:szCs w:val="20"/>
                <w:lang w:val="en-CA"/>
              </w:rPr>
              <w:t>Aldège Banville v. Her Majesty the Queen</w:t>
            </w:r>
          </w:p>
          <w:p w:rsidR="001668F8" w:rsidRPr="001E5989" w:rsidRDefault="001668F8" w:rsidP="00090708">
            <w:pPr>
              <w:jc w:val="both"/>
              <w:rPr>
                <w:sz w:val="20"/>
              </w:rPr>
            </w:pPr>
            <w:r w:rsidRPr="001E5989">
              <w:rPr>
                <w:sz w:val="20"/>
              </w:rPr>
              <w:t>(F.C.) (Civil) (By Leave)</w:t>
            </w:r>
          </w:p>
        </w:tc>
      </w:tr>
      <w:tr w:rsidR="00C77A52" w:rsidRPr="00C77A52" w:rsidTr="00C77A52">
        <w:tc>
          <w:tcPr>
            <w:tcW w:w="5000" w:type="pct"/>
            <w:gridSpan w:val="4"/>
          </w:tcPr>
          <w:p w:rsidR="00C77A52" w:rsidRPr="00C77A52" w:rsidRDefault="00C77A52" w:rsidP="00C77A52">
            <w:pPr>
              <w:spacing w:line="276" w:lineRule="auto"/>
              <w:jc w:val="both"/>
              <w:rPr>
                <w:b/>
                <w:sz w:val="20"/>
                <w:szCs w:val="20"/>
              </w:rPr>
            </w:pPr>
            <w:r w:rsidRPr="00C77A52">
              <w:rPr>
                <w:sz w:val="20"/>
                <w:lang w:eastAsia="en-CA"/>
              </w:rPr>
              <w:t>The respondent’s motion for extension of time to serve the response is granted. The applicant’s motion for an extension of time to serve and file the application for leave to appeal from the judgment of the Federal Court of Appeal, Number A-482-14, 2015 FCA 285, dated December 14, 2015, is dismissed.</w:t>
            </w:r>
          </w:p>
        </w:tc>
      </w:tr>
      <w:tr w:rsidR="001668F8" w:rsidRPr="001E5989" w:rsidTr="00090708">
        <w:tc>
          <w:tcPr>
            <w:tcW w:w="5000" w:type="pct"/>
            <w:gridSpan w:val="4"/>
          </w:tcPr>
          <w:p w:rsidR="001668F8" w:rsidRPr="001E5989" w:rsidRDefault="001668F8" w:rsidP="00090708">
            <w:pPr>
              <w:jc w:val="both"/>
              <w:rPr>
                <w:sz w:val="20"/>
              </w:rPr>
            </w:pPr>
            <w:r w:rsidRPr="001E5989">
              <w:rPr>
                <w:sz w:val="20"/>
              </w:rPr>
              <w:t xml:space="preserve">Civil procedure – Motions to set aside – Authority of </w:t>
            </w:r>
            <w:r w:rsidRPr="001E5989">
              <w:rPr>
                <w:i/>
                <w:sz w:val="20"/>
              </w:rPr>
              <w:t>res judicata</w:t>
            </w:r>
            <w:r w:rsidRPr="001E5989">
              <w:rPr>
                <w:sz w:val="20"/>
              </w:rPr>
              <w:t xml:space="preserve"> – Whether courts below erred in finding that there was </w:t>
            </w:r>
            <w:r w:rsidRPr="001E5989">
              <w:rPr>
                <w:i/>
                <w:iCs/>
                <w:sz w:val="20"/>
                <w:lang w:val="en"/>
              </w:rPr>
              <w:t xml:space="preserve">res judicata </w:t>
            </w:r>
            <w:r w:rsidRPr="001E5989">
              <w:rPr>
                <w:sz w:val="20"/>
              </w:rPr>
              <w:t xml:space="preserve">and that applicant’s motion to set aside did not meet requirements of r. 399(2) of </w:t>
            </w:r>
            <w:r w:rsidRPr="001E5989">
              <w:rPr>
                <w:i/>
                <w:sz w:val="20"/>
              </w:rPr>
              <w:t>Federal Courts Rules</w:t>
            </w:r>
            <w:r w:rsidRPr="001E5989">
              <w:rPr>
                <w:sz w:val="20"/>
              </w:rPr>
              <w:t>, SOR/98-106.</w:t>
            </w:r>
          </w:p>
          <w:p w:rsidR="001668F8" w:rsidRPr="001E5989" w:rsidRDefault="001668F8" w:rsidP="00090708">
            <w:pPr>
              <w:jc w:val="both"/>
              <w:rPr>
                <w:sz w:val="20"/>
              </w:rPr>
            </w:pPr>
          </w:p>
        </w:tc>
      </w:tr>
      <w:tr w:rsidR="001668F8" w:rsidRPr="001E5989" w:rsidTr="00090708">
        <w:tc>
          <w:tcPr>
            <w:tcW w:w="5000" w:type="pct"/>
            <w:gridSpan w:val="4"/>
          </w:tcPr>
          <w:p w:rsidR="001668F8" w:rsidRPr="001E5989" w:rsidRDefault="001668F8" w:rsidP="00090708">
            <w:pPr>
              <w:jc w:val="both"/>
              <w:rPr>
                <w:sz w:val="20"/>
              </w:rPr>
            </w:pPr>
            <w:r w:rsidRPr="001E5989">
              <w:rPr>
                <w:sz w:val="20"/>
              </w:rPr>
              <w:t>The applicant Mr. Banville is not represented by counsel. In the Federal Court, he applied to set aside two judgments: one rendered by the Federal Court in 1998 (</w:t>
            </w:r>
            <w:proofErr w:type="spellStart"/>
            <w:r w:rsidRPr="001E5989">
              <w:rPr>
                <w:i/>
                <w:sz w:val="20"/>
              </w:rPr>
              <w:t>Entreprises</w:t>
            </w:r>
            <w:proofErr w:type="spellEnd"/>
            <w:r w:rsidRPr="001E5989">
              <w:rPr>
                <w:i/>
                <w:sz w:val="20"/>
              </w:rPr>
              <w:t xml:space="preserve"> A.B. Rimouski Inc. v. Canada</w:t>
            </w:r>
            <w:r w:rsidRPr="001E5989">
              <w:rPr>
                <w:sz w:val="20"/>
              </w:rPr>
              <w:t>, T</w:t>
            </w:r>
            <w:r w:rsidRPr="001E5989">
              <w:rPr>
                <w:sz w:val="20"/>
              </w:rPr>
              <w:noBreakHyphen/>
              <w:t>2674</w:t>
            </w:r>
            <w:r w:rsidRPr="001E5989">
              <w:rPr>
                <w:sz w:val="20"/>
              </w:rPr>
              <w:noBreakHyphen/>
              <w:t>92) and a second rendered by the same court in 2005 (</w:t>
            </w:r>
            <w:proofErr w:type="spellStart"/>
            <w:r w:rsidRPr="001E5989">
              <w:rPr>
                <w:i/>
                <w:sz w:val="20"/>
              </w:rPr>
              <w:t>Entreprises</w:t>
            </w:r>
            <w:proofErr w:type="spellEnd"/>
            <w:r w:rsidRPr="001E5989">
              <w:rPr>
                <w:i/>
                <w:sz w:val="20"/>
              </w:rPr>
              <w:t xml:space="preserve"> A.B. Rimouski Inc. v. Canada</w:t>
            </w:r>
            <w:r w:rsidRPr="001E5989">
              <w:rPr>
                <w:sz w:val="20"/>
              </w:rPr>
              <w:t xml:space="preserve">, </w:t>
            </w:r>
            <w:hyperlink r:id="rId23" w:history="1">
              <w:r w:rsidRPr="001E5989">
                <w:rPr>
                  <w:rStyle w:val="Hyperlink"/>
                  <w:sz w:val="20"/>
                </w:rPr>
                <w:t>2005 FC 115</w:t>
              </w:r>
            </w:hyperlink>
            <w:r w:rsidRPr="001E5989">
              <w:rPr>
                <w:sz w:val="20"/>
              </w:rPr>
              <w:t xml:space="preserve">). The Federal Court dismissed the motion on the ground that there was </w:t>
            </w:r>
            <w:r w:rsidRPr="001E5989">
              <w:rPr>
                <w:i/>
                <w:sz w:val="20"/>
              </w:rPr>
              <w:t>res judicata</w:t>
            </w:r>
            <w:r w:rsidRPr="001E5989">
              <w:rPr>
                <w:sz w:val="20"/>
              </w:rPr>
              <w:t xml:space="preserve"> and that the motion did not meet the requirements of r. 399(2) of the </w:t>
            </w:r>
            <w:r w:rsidRPr="001E5989">
              <w:rPr>
                <w:i/>
                <w:sz w:val="20"/>
              </w:rPr>
              <w:t>Federal Courts Rules</w:t>
            </w:r>
            <w:r w:rsidRPr="001E5989">
              <w:rPr>
                <w:sz w:val="20"/>
              </w:rPr>
              <w:t>, SOR/98</w:t>
            </w:r>
            <w:r w:rsidRPr="001E5989">
              <w:rPr>
                <w:sz w:val="20"/>
              </w:rPr>
              <w:noBreakHyphen/>
              <w:t>106. The Federal Court of Appeal dismissed the appeal.</w:t>
            </w:r>
          </w:p>
        </w:tc>
      </w:tr>
      <w:tr w:rsidR="001668F8" w:rsidRPr="001E5989" w:rsidTr="00090708">
        <w:tc>
          <w:tcPr>
            <w:tcW w:w="5000" w:type="pct"/>
            <w:gridSpan w:val="4"/>
          </w:tcPr>
          <w:p w:rsidR="001668F8" w:rsidRPr="001E5989" w:rsidRDefault="001668F8" w:rsidP="00090708">
            <w:pPr>
              <w:jc w:val="both"/>
              <w:rPr>
                <w:sz w:val="20"/>
              </w:rPr>
            </w:pPr>
          </w:p>
        </w:tc>
      </w:tr>
      <w:tr w:rsidR="001668F8" w:rsidRPr="001E5989" w:rsidTr="00090708">
        <w:tc>
          <w:tcPr>
            <w:tcW w:w="2427" w:type="pct"/>
            <w:gridSpan w:val="2"/>
          </w:tcPr>
          <w:p w:rsidR="001668F8" w:rsidRPr="001E5989" w:rsidRDefault="001668F8" w:rsidP="00090708">
            <w:pPr>
              <w:jc w:val="both"/>
              <w:rPr>
                <w:sz w:val="20"/>
              </w:rPr>
            </w:pPr>
            <w:r w:rsidRPr="001E5989">
              <w:rPr>
                <w:sz w:val="20"/>
              </w:rPr>
              <w:t>October 1, 2014</w:t>
            </w:r>
          </w:p>
          <w:p w:rsidR="001668F8" w:rsidRPr="001E5989" w:rsidRDefault="001668F8" w:rsidP="00090708">
            <w:pPr>
              <w:jc w:val="both"/>
              <w:rPr>
                <w:sz w:val="20"/>
              </w:rPr>
            </w:pPr>
            <w:r w:rsidRPr="001E5989">
              <w:rPr>
                <w:sz w:val="20"/>
              </w:rPr>
              <w:t>Federal Court</w:t>
            </w:r>
          </w:p>
          <w:p w:rsidR="001668F8" w:rsidRPr="001E5989" w:rsidRDefault="001668F8" w:rsidP="00090708">
            <w:pPr>
              <w:jc w:val="both"/>
              <w:rPr>
                <w:sz w:val="20"/>
              </w:rPr>
            </w:pPr>
            <w:r w:rsidRPr="001E5989">
              <w:rPr>
                <w:sz w:val="20"/>
              </w:rPr>
              <w:t>(Martineau J.)</w:t>
            </w:r>
          </w:p>
          <w:p w:rsidR="001668F8" w:rsidRPr="001E5989" w:rsidRDefault="001668F8" w:rsidP="00090708">
            <w:pPr>
              <w:jc w:val="both"/>
              <w:rPr>
                <w:sz w:val="20"/>
              </w:rPr>
            </w:pPr>
            <w:r w:rsidRPr="001E5989">
              <w:rPr>
                <w:sz w:val="20"/>
              </w:rPr>
              <w:t>T-2674-92</w:t>
            </w:r>
          </w:p>
          <w:p w:rsidR="001668F8" w:rsidRPr="001E5989" w:rsidRDefault="001668F8" w:rsidP="00090708">
            <w:pPr>
              <w:jc w:val="both"/>
              <w:rPr>
                <w:sz w:val="20"/>
              </w:rPr>
            </w:pPr>
          </w:p>
        </w:tc>
        <w:tc>
          <w:tcPr>
            <w:tcW w:w="243" w:type="pct"/>
          </w:tcPr>
          <w:p w:rsidR="001668F8" w:rsidRPr="001E5989" w:rsidRDefault="001668F8" w:rsidP="00090708">
            <w:pPr>
              <w:jc w:val="both"/>
              <w:rPr>
                <w:sz w:val="20"/>
              </w:rPr>
            </w:pPr>
          </w:p>
        </w:tc>
        <w:tc>
          <w:tcPr>
            <w:tcW w:w="2330" w:type="pct"/>
          </w:tcPr>
          <w:p w:rsidR="001668F8" w:rsidRPr="001E5989" w:rsidRDefault="001668F8" w:rsidP="00090708">
            <w:pPr>
              <w:jc w:val="both"/>
              <w:rPr>
                <w:sz w:val="20"/>
              </w:rPr>
            </w:pPr>
            <w:r w:rsidRPr="001E5989">
              <w:rPr>
                <w:sz w:val="20"/>
              </w:rPr>
              <w:t>Motion to set aside judgments dismissed</w:t>
            </w:r>
          </w:p>
        </w:tc>
      </w:tr>
      <w:tr w:rsidR="001668F8" w:rsidRPr="001E5989" w:rsidTr="00090708">
        <w:tc>
          <w:tcPr>
            <w:tcW w:w="2427" w:type="pct"/>
            <w:gridSpan w:val="2"/>
          </w:tcPr>
          <w:p w:rsidR="001668F8" w:rsidRPr="001E5989" w:rsidRDefault="001668F8" w:rsidP="00090708">
            <w:pPr>
              <w:jc w:val="both"/>
              <w:rPr>
                <w:sz w:val="20"/>
              </w:rPr>
            </w:pPr>
            <w:r w:rsidRPr="001E5989">
              <w:rPr>
                <w:sz w:val="20"/>
              </w:rPr>
              <w:t>December 14, 2015</w:t>
            </w:r>
          </w:p>
          <w:p w:rsidR="001668F8" w:rsidRPr="001E5989" w:rsidRDefault="001668F8" w:rsidP="00090708">
            <w:pPr>
              <w:jc w:val="both"/>
              <w:rPr>
                <w:sz w:val="20"/>
              </w:rPr>
            </w:pPr>
            <w:r w:rsidRPr="001E5989">
              <w:rPr>
                <w:sz w:val="20"/>
              </w:rPr>
              <w:t>Federal Court of Appeal</w:t>
            </w:r>
          </w:p>
          <w:p w:rsidR="001668F8" w:rsidRPr="001E5989" w:rsidRDefault="001668F8" w:rsidP="00090708">
            <w:pPr>
              <w:jc w:val="both"/>
              <w:rPr>
                <w:sz w:val="20"/>
              </w:rPr>
            </w:pPr>
            <w:r w:rsidRPr="001E5989">
              <w:rPr>
                <w:sz w:val="20"/>
              </w:rPr>
              <w:t>(</w:t>
            </w:r>
            <w:proofErr w:type="spellStart"/>
            <w:r w:rsidRPr="001E5989">
              <w:rPr>
                <w:sz w:val="20"/>
              </w:rPr>
              <w:t>Trudel</w:t>
            </w:r>
            <w:proofErr w:type="spellEnd"/>
            <w:r w:rsidRPr="001E5989">
              <w:rPr>
                <w:sz w:val="20"/>
              </w:rPr>
              <w:t xml:space="preserve">, Scott and </w:t>
            </w:r>
            <w:proofErr w:type="spellStart"/>
            <w:r w:rsidRPr="001E5989">
              <w:rPr>
                <w:sz w:val="20"/>
              </w:rPr>
              <w:t>Nadon</w:t>
            </w:r>
            <w:proofErr w:type="spellEnd"/>
            <w:r w:rsidRPr="001E5989">
              <w:rPr>
                <w:sz w:val="20"/>
              </w:rPr>
              <w:t xml:space="preserve"> JJ.A.)</w:t>
            </w:r>
          </w:p>
          <w:p w:rsidR="001668F8" w:rsidRPr="001E5989" w:rsidRDefault="00F13243" w:rsidP="00090708">
            <w:pPr>
              <w:jc w:val="both"/>
              <w:rPr>
                <w:sz w:val="20"/>
              </w:rPr>
            </w:pPr>
            <w:hyperlink r:id="rId24" w:history="1">
              <w:r w:rsidR="001668F8" w:rsidRPr="001E5989">
                <w:rPr>
                  <w:rStyle w:val="Hyperlink"/>
                  <w:sz w:val="20"/>
                </w:rPr>
                <w:t>2015 FCA 285</w:t>
              </w:r>
            </w:hyperlink>
          </w:p>
          <w:p w:rsidR="001668F8" w:rsidRPr="001E5989" w:rsidRDefault="001668F8" w:rsidP="00090708">
            <w:pPr>
              <w:jc w:val="both"/>
              <w:rPr>
                <w:sz w:val="20"/>
              </w:rPr>
            </w:pPr>
          </w:p>
        </w:tc>
        <w:tc>
          <w:tcPr>
            <w:tcW w:w="243" w:type="pct"/>
          </w:tcPr>
          <w:p w:rsidR="001668F8" w:rsidRPr="001E5989" w:rsidRDefault="001668F8" w:rsidP="00090708">
            <w:pPr>
              <w:jc w:val="both"/>
              <w:rPr>
                <w:sz w:val="20"/>
              </w:rPr>
            </w:pPr>
          </w:p>
        </w:tc>
        <w:tc>
          <w:tcPr>
            <w:tcW w:w="2330" w:type="pct"/>
          </w:tcPr>
          <w:p w:rsidR="001668F8" w:rsidRPr="001E5989" w:rsidRDefault="001668F8" w:rsidP="00090708">
            <w:pPr>
              <w:jc w:val="both"/>
              <w:rPr>
                <w:sz w:val="20"/>
              </w:rPr>
            </w:pPr>
            <w:r w:rsidRPr="001E5989">
              <w:rPr>
                <w:sz w:val="20"/>
              </w:rPr>
              <w:t>Appeal dismissed</w:t>
            </w:r>
          </w:p>
        </w:tc>
      </w:tr>
      <w:tr w:rsidR="001668F8" w:rsidRPr="001E5989" w:rsidTr="00090708">
        <w:tc>
          <w:tcPr>
            <w:tcW w:w="2427" w:type="pct"/>
            <w:gridSpan w:val="2"/>
          </w:tcPr>
          <w:p w:rsidR="001668F8" w:rsidRPr="001E5989" w:rsidRDefault="001668F8" w:rsidP="00090708">
            <w:pPr>
              <w:jc w:val="both"/>
              <w:rPr>
                <w:sz w:val="20"/>
              </w:rPr>
            </w:pPr>
            <w:r w:rsidRPr="001E5989">
              <w:rPr>
                <w:sz w:val="20"/>
              </w:rPr>
              <w:t>September 12, 2017</w:t>
            </w:r>
          </w:p>
          <w:p w:rsidR="001668F8" w:rsidRPr="001E5989" w:rsidRDefault="001668F8" w:rsidP="00090708">
            <w:pPr>
              <w:jc w:val="both"/>
              <w:rPr>
                <w:sz w:val="20"/>
              </w:rPr>
            </w:pPr>
            <w:r w:rsidRPr="001E5989">
              <w:rPr>
                <w:sz w:val="20"/>
              </w:rPr>
              <w:t>Supreme Court of Canada</w:t>
            </w:r>
          </w:p>
        </w:tc>
        <w:tc>
          <w:tcPr>
            <w:tcW w:w="243" w:type="pct"/>
          </w:tcPr>
          <w:p w:rsidR="001668F8" w:rsidRPr="001E5989" w:rsidRDefault="001668F8" w:rsidP="00090708">
            <w:pPr>
              <w:jc w:val="both"/>
              <w:rPr>
                <w:sz w:val="20"/>
              </w:rPr>
            </w:pPr>
          </w:p>
        </w:tc>
        <w:tc>
          <w:tcPr>
            <w:tcW w:w="2330" w:type="pct"/>
          </w:tcPr>
          <w:p w:rsidR="001668F8" w:rsidRPr="001E5989" w:rsidRDefault="001668F8" w:rsidP="00090708">
            <w:pPr>
              <w:jc w:val="both"/>
              <w:rPr>
                <w:sz w:val="20"/>
              </w:rPr>
            </w:pPr>
            <w:r w:rsidRPr="001E5989">
              <w:rPr>
                <w:sz w:val="20"/>
              </w:rPr>
              <w:t>Motion to extend time and application for leave to appeal filed</w:t>
            </w:r>
          </w:p>
        </w:tc>
      </w:tr>
    </w:tbl>
    <w:p w:rsidR="001668F8" w:rsidRDefault="001668F8" w:rsidP="001668F8">
      <w:pPr>
        <w:jc w:val="both"/>
        <w:rPr>
          <w:sz w:val="20"/>
        </w:rPr>
      </w:pPr>
    </w:p>
    <w:p w:rsidR="001668F8" w:rsidRPr="001E5989" w:rsidRDefault="001668F8" w:rsidP="001668F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668F8" w:rsidRPr="00406B46" w:rsidTr="00090708">
        <w:tc>
          <w:tcPr>
            <w:tcW w:w="543" w:type="pct"/>
          </w:tcPr>
          <w:p w:rsidR="001668F8" w:rsidRPr="001E5989" w:rsidRDefault="001668F8" w:rsidP="00090708">
            <w:pPr>
              <w:jc w:val="both"/>
              <w:rPr>
                <w:sz w:val="20"/>
              </w:rPr>
            </w:pPr>
            <w:r w:rsidRPr="001E5989">
              <w:rPr>
                <w:rStyle w:val="SCCFileNumberChar"/>
                <w:sz w:val="20"/>
                <w:szCs w:val="20"/>
              </w:rPr>
              <w:t>38000</w:t>
            </w:r>
          </w:p>
        </w:tc>
        <w:tc>
          <w:tcPr>
            <w:tcW w:w="4457" w:type="pct"/>
            <w:gridSpan w:val="3"/>
          </w:tcPr>
          <w:p w:rsidR="001668F8" w:rsidRPr="00406B46" w:rsidRDefault="001668F8" w:rsidP="00090708">
            <w:pPr>
              <w:pStyle w:val="SCCLsocParty"/>
              <w:jc w:val="both"/>
              <w:rPr>
                <w:b/>
                <w:sz w:val="20"/>
                <w:szCs w:val="20"/>
              </w:rPr>
            </w:pPr>
            <w:r w:rsidRPr="00406B46">
              <w:rPr>
                <w:b/>
                <w:sz w:val="20"/>
                <w:szCs w:val="20"/>
              </w:rPr>
              <w:t>Aldège Banville c. Sa Majesté la Reine</w:t>
            </w:r>
          </w:p>
          <w:p w:rsidR="001668F8" w:rsidRPr="00406B46" w:rsidRDefault="001668F8" w:rsidP="00090708">
            <w:pPr>
              <w:jc w:val="both"/>
              <w:rPr>
                <w:sz w:val="20"/>
                <w:lang w:val="fr-CA"/>
              </w:rPr>
            </w:pPr>
            <w:r w:rsidRPr="00406B46">
              <w:rPr>
                <w:sz w:val="20"/>
                <w:lang w:val="fr-CA"/>
              </w:rPr>
              <w:t>(C.F.) (Civile) (Autorisation)</w:t>
            </w:r>
          </w:p>
        </w:tc>
      </w:tr>
      <w:tr w:rsidR="00C77A52" w:rsidRPr="00DB1C5D" w:rsidTr="00C77A52">
        <w:tc>
          <w:tcPr>
            <w:tcW w:w="5000" w:type="pct"/>
            <w:gridSpan w:val="4"/>
          </w:tcPr>
          <w:p w:rsidR="00C77A52" w:rsidRPr="00C77A52" w:rsidRDefault="00C77A52" w:rsidP="00090708">
            <w:pPr>
              <w:pStyle w:val="SCCLsocParty"/>
              <w:jc w:val="both"/>
              <w:rPr>
                <w:b/>
                <w:sz w:val="20"/>
                <w:szCs w:val="20"/>
              </w:rPr>
            </w:pPr>
            <w:r w:rsidRPr="00C77A52">
              <w:rPr>
                <w:sz w:val="20"/>
                <w:lang w:eastAsia="en-CA"/>
              </w:rPr>
              <w:t>La requête de l’intimée en prorogation du délai de signification de la réponse est accueillie. La requête du demandeur en prorogation du délai de signification et de dépôt de la demande d’autorisation d’appel de l’arrêt de la Cour d’appel fédérale, numéro A-482-14, 2015 CAF 285, daté du 14 décembre 2015, est rejetée.</w:t>
            </w:r>
          </w:p>
        </w:tc>
      </w:tr>
      <w:tr w:rsidR="001668F8" w:rsidRPr="00DB1C5D" w:rsidTr="00090708">
        <w:tc>
          <w:tcPr>
            <w:tcW w:w="5000" w:type="pct"/>
            <w:gridSpan w:val="4"/>
          </w:tcPr>
          <w:p w:rsidR="001668F8" w:rsidRPr="001E5989" w:rsidRDefault="001668F8" w:rsidP="00090708">
            <w:pPr>
              <w:jc w:val="both"/>
              <w:rPr>
                <w:sz w:val="20"/>
                <w:lang w:val="fr-FR"/>
              </w:rPr>
            </w:pPr>
            <w:r w:rsidRPr="001E5989">
              <w:rPr>
                <w:sz w:val="20"/>
                <w:lang w:val="fr-CA"/>
              </w:rPr>
              <w:t xml:space="preserve">Procédure civile – Requêtes en annulation – Autorité de la chose jugée – Les cours inférieures </w:t>
            </w:r>
            <w:proofErr w:type="spellStart"/>
            <w:r w:rsidRPr="001E5989">
              <w:rPr>
                <w:sz w:val="20"/>
                <w:lang w:val="fr-CA"/>
              </w:rPr>
              <w:t>ont-elles</w:t>
            </w:r>
            <w:proofErr w:type="spellEnd"/>
            <w:r w:rsidRPr="001E5989">
              <w:rPr>
                <w:sz w:val="20"/>
                <w:lang w:val="fr-CA"/>
              </w:rPr>
              <w:t xml:space="preserve"> fait erreur en concluant qu’il y avait chose jugée et que la requête du demandeur en annulation ne rencontrait pas les exigences du par. 399(2) </w:t>
            </w:r>
            <w:r w:rsidRPr="001E5989">
              <w:rPr>
                <w:sz w:val="20"/>
                <w:lang w:val="fr-FR"/>
              </w:rPr>
              <w:t xml:space="preserve">des </w:t>
            </w:r>
            <w:r w:rsidRPr="001E5989">
              <w:rPr>
                <w:i/>
                <w:sz w:val="20"/>
                <w:lang w:val="fr-FR"/>
              </w:rPr>
              <w:t>Règles des Cours fédérales</w:t>
            </w:r>
            <w:r w:rsidRPr="001E5989">
              <w:rPr>
                <w:sz w:val="20"/>
                <w:lang w:val="fr-FR"/>
              </w:rPr>
              <w:t>, DORS/98-106?</w:t>
            </w:r>
          </w:p>
          <w:p w:rsidR="001668F8" w:rsidRPr="001E5989" w:rsidRDefault="001668F8" w:rsidP="00090708">
            <w:pPr>
              <w:jc w:val="both"/>
              <w:rPr>
                <w:sz w:val="20"/>
                <w:lang w:val="fr-FR"/>
              </w:rPr>
            </w:pPr>
          </w:p>
        </w:tc>
      </w:tr>
      <w:tr w:rsidR="001668F8" w:rsidRPr="001E5989" w:rsidTr="00090708">
        <w:tc>
          <w:tcPr>
            <w:tcW w:w="5000" w:type="pct"/>
            <w:gridSpan w:val="4"/>
          </w:tcPr>
          <w:p w:rsidR="001668F8" w:rsidRPr="001E5989" w:rsidRDefault="001668F8" w:rsidP="00090708">
            <w:pPr>
              <w:jc w:val="both"/>
              <w:rPr>
                <w:sz w:val="20"/>
                <w:lang w:val="fr-FR"/>
              </w:rPr>
            </w:pPr>
            <w:r w:rsidRPr="001E5989">
              <w:rPr>
                <w:sz w:val="20"/>
                <w:lang w:val="fr-CA"/>
              </w:rPr>
              <w:t>Monsieur Banville, demandeur, n’est pas représenté par procureur. Devant la Cour fédérale, il a demandé l’annulation de deux jugements : la première rendue par la Cour fédérale en 1998 (</w:t>
            </w:r>
            <w:r w:rsidRPr="001E5989">
              <w:rPr>
                <w:i/>
                <w:sz w:val="20"/>
                <w:lang w:val="fr-CA"/>
              </w:rPr>
              <w:t>Entreprises A.B. Rimouski Inc. c. Canada</w:t>
            </w:r>
            <w:r w:rsidRPr="001E5989">
              <w:rPr>
                <w:sz w:val="20"/>
                <w:lang w:val="fr-CA"/>
              </w:rPr>
              <w:t>, T-2674-92) et la deuxième rendue par la même cour en 2005 (</w:t>
            </w:r>
            <w:r w:rsidRPr="001E5989">
              <w:rPr>
                <w:i/>
                <w:sz w:val="20"/>
                <w:lang w:val="fr-FR"/>
              </w:rPr>
              <w:t>Entreprises A. B. Rimouski Inc. c. Canada</w:t>
            </w:r>
            <w:r w:rsidRPr="001E5989">
              <w:rPr>
                <w:sz w:val="20"/>
                <w:lang w:val="fr-FR"/>
              </w:rPr>
              <w:t xml:space="preserve">, </w:t>
            </w:r>
            <w:hyperlink r:id="rId25" w:history="1">
              <w:r w:rsidRPr="001E5989">
                <w:rPr>
                  <w:rStyle w:val="Hyperlink"/>
                  <w:sz w:val="20"/>
                  <w:lang w:val="fr-FR"/>
                </w:rPr>
                <w:t>2005 CF 115</w:t>
              </w:r>
            </w:hyperlink>
            <w:r w:rsidRPr="001E5989">
              <w:rPr>
                <w:sz w:val="20"/>
                <w:lang w:val="fr-FR"/>
              </w:rPr>
              <w:t xml:space="preserve">). La cour a rejeté la requête au motif qu’il y avait chose jugée et que la requête ne rencontrait pas les exigences du par. 399(2) des </w:t>
            </w:r>
            <w:r w:rsidRPr="001E5989">
              <w:rPr>
                <w:i/>
                <w:sz w:val="20"/>
                <w:lang w:val="fr-FR"/>
              </w:rPr>
              <w:t>Règles des Cours fédérales</w:t>
            </w:r>
            <w:r w:rsidRPr="001E5989">
              <w:rPr>
                <w:sz w:val="20"/>
                <w:lang w:val="fr-FR"/>
              </w:rPr>
              <w:t>, DORS/98-106. La Cour d’appel fédérale a rejeté l’appel.</w:t>
            </w:r>
          </w:p>
        </w:tc>
      </w:tr>
      <w:tr w:rsidR="001668F8" w:rsidRPr="001E5989" w:rsidTr="00090708">
        <w:tc>
          <w:tcPr>
            <w:tcW w:w="5000" w:type="pct"/>
            <w:gridSpan w:val="4"/>
          </w:tcPr>
          <w:p w:rsidR="001668F8" w:rsidRPr="001E5989" w:rsidRDefault="001668F8" w:rsidP="00090708">
            <w:pPr>
              <w:jc w:val="both"/>
              <w:rPr>
                <w:sz w:val="20"/>
              </w:rPr>
            </w:pPr>
          </w:p>
        </w:tc>
      </w:tr>
      <w:tr w:rsidR="001668F8" w:rsidRPr="00DB1C5D" w:rsidTr="00090708">
        <w:tc>
          <w:tcPr>
            <w:tcW w:w="2427" w:type="pct"/>
            <w:gridSpan w:val="2"/>
          </w:tcPr>
          <w:p w:rsidR="001668F8" w:rsidRPr="001E5989" w:rsidRDefault="001668F8" w:rsidP="00090708">
            <w:pPr>
              <w:jc w:val="both"/>
              <w:rPr>
                <w:sz w:val="20"/>
                <w:lang w:val="fr-CA"/>
              </w:rPr>
            </w:pPr>
            <w:r w:rsidRPr="001E5989">
              <w:rPr>
                <w:sz w:val="20"/>
                <w:lang w:val="fr-CA"/>
              </w:rPr>
              <w:t>Le 1 octobre 2014</w:t>
            </w:r>
          </w:p>
          <w:p w:rsidR="001668F8" w:rsidRPr="001E5989" w:rsidRDefault="001668F8" w:rsidP="00090708">
            <w:pPr>
              <w:jc w:val="both"/>
              <w:rPr>
                <w:sz w:val="20"/>
                <w:lang w:val="fr-CA"/>
              </w:rPr>
            </w:pPr>
            <w:r w:rsidRPr="001E5989">
              <w:rPr>
                <w:sz w:val="20"/>
                <w:lang w:val="fr-CA"/>
              </w:rPr>
              <w:t>Cour fédérale</w:t>
            </w:r>
          </w:p>
          <w:p w:rsidR="001668F8" w:rsidRPr="001E5989" w:rsidRDefault="001668F8" w:rsidP="00090708">
            <w:pPr>
              <w:jc w:val="both"/>
              <w:rPr>
                <w:sz w:val="20"/>
                <w:lang w:val="fr-CA"/>
              </w:rPr>
            </w:pPr>
            <w:r w:rsidRPr="001E5989">
              <w:rPr>
                <w:sz w:val="20"/>
                <w:lang w:val="fr-CA"/>
              </w:rPr>
              <w:t>(Le juge Martineau)</w:t>
            </w:r>
          </w:p>
          <w:p w:rsidR="001668F8" w:rsidRPr="001E5989" w:rsidRDefault="001668F8" w:rsidP="00090708">
            <w:pPr>
              <w:jc w:val="both"/>
              <w:rPr>
                <w:sz w:val="20"/>
              </w:rPr>
            </w:pPr>
            <w:r w:rsidRPr="001E5989">
              <w:rPr>
                <w:sz w:val="20"/>
              </w:rPr>
              <w:t>T-2674-92</w:t>
            </w:r>
          </w:p>
          <w:p w:rsidR="001668F8" w:rsidRPr="001E5989" w:rsidRDefault="001668F8" w:rsidP="00090708">
            <w:pPr>
              <w:jc w:val="both"/>
              <w:rPr>
                <w:sz w:val="20"/>
              </w:rPr>
            </w:pPr>
          </w:p>
        </w:tc>
        <w:tc>
          <w:tcPr>
            <w:tcW w:w="243" w:type="pct"/>
          </w:tcPr>
          <w:p w:rsidR="001668F8" w:rsidRPr="001E5989" w:rsidRDefault="001668F8" w:rsidP="00090708">
            <w:pPr>
              <w:jc w:val="both"/>
              <w:rPr>
                <w:sz w:val="20"/>
              </w:rPr>
            </w:pPr>
          </w:p>
        </w:tc>
        <w:tc>
          <w:tcPr>
            <w:tcW w:w="2330" w:type="pct"/>
          </w:tcPr>
          <w:p w:rsidR="001668F8" w:rsidRPr="001E5989" w:rsidRDefault="001668F8" w:rsidP="00090708">
            <w:pPr>
              <w:jc w:val="both"/>
              <w:rPr>
                <w:sz w:val="20"/>
                <w:lang w:val="fr-CA"/>
              </w:rPr>
            </w:pPr>
            <w:r w:rsidRPr="001E5989">
              <w:rPr>
                <w:sz w:val="20"/>
                <w:lang w:val="fr-CA"/>
              </w:rPr>
              <w:t>Requête en annulation de jugements rejetée</w:t>
            </w:r>
          </w:p>
        </w:tc>
      </w:tr>
      <w:tr w:rsidR="001668F8" w:rsidRPr="001E5989" w:rsidTr="00090708">
        <w:tc>
          <w:tcPr>
            <w:tcW w:w="2427" w:type="pct"/>
            <w:gridSpan w:val="2"/>
          </w:tcPr>
          <w:p w:rsidR="001668F8" w:rsidRPr="001E5989" w:rsidRDefault="001668F8" w:rsidP="00090708">
            <w:pPr>
              <w:jc w:val="both"/>
              <w:rPr>
                <w:sz w:val="20"/>
                <w:lang w:val="fr-CA"/>
              </w:rPr>
            </w:pPr>
            <w:r w:rsidRPr="001E5989">
              <w:rPr>
                <w:sz w:val="20"/>
                <w:lang w:val="fr-CA"/>
              </w:rPr>
              <w:t>Le 14 décembre 2015</w:t>
            </w:r>
          </w:p>
          <w:p w:rsidR="001668F8" w:rsidRPr="001E5989" w:rsidRDefault="001668F8" w:rsidP="00090708">
            <w:pPr>
              <w:jc w:val="both"/>
              <w:rPr>
                <w:sz w:val="20"/>
                <w:lang w:val="fr-CA"/>
              </w:rPr>
            </w:pPr>
            <w:r w:rsidRPr="001E5989">
              <w:rPr>
                <w:sz w:val="20"/>
                <w:lang w:val="fr-CA"/>
              </w:rPr>
              <w:t>Cour d’appel fédérale</w:t>
            </w:r>
          </w:p>
          <w:p w:rsidR="001668F8" w:rsidRPr="001E5989" w:rsidRDefault="001668F8" w:rsidP="00090708">
            <w:pPr>
              <w:jc w:val="both"/>
              <w:rPr>
                <w:sz w:val="20"/>
                <w:lang w:val="fr-CA"/>
              </w:rPr>
            </w:pPr>
            <w:r w:rsidRPr="001E5989">
              <w:rPr>
                <w:sz w:val="20"/>
                <w:lang w:val="fr-CA"/>
              </w:rPr>
              <w:t>(Les juges Trudel, Scott et Nadon)</w:t>
            </w:r>
          </w:p>
          <w:p w:rsidR="001668F8" w:rsidRPr="001E5989" w:rsidRDefault="00F13243" w:rsidP="00090708">
            <w:pPr>
              <w:jc w:val="both"/>
              <w:rPr>
                <w:sz w:val="20"/>
              </w:rPr>
            </w:pPr>
            <w:hyperlink r:id="rId26" w:history="1">
              <w:r w:rsidR="001668F8" w:rsidRPr="001E5989">
                <w:rPr>
                  <w:rStyle w:val="Hyperlink"/>
                  <w:sz w:val="20"/>
                </w:rPr>
                <w:t>2015 CAF 285</w:t>
              </w:r>
            </w:hyperlink>
          </w:p>
          <w:p w:rsidR="001668F8" w:rsidRPr="001E5989" w:rsidRDefault="001668F8" w:rsidP="00090708">
            <w:pPr>
              <w:jc w:val="both"/>
              <w:rPr>
                <w:sz w:val="20"/>
              </w:rPr>
            </w:pPr>
          </w:p>
        </w:tc>
        <w:tc>
          <w:tcPr>
            <w:tcW w:w="243" w:type="pct"/>
          </w:tcPr>
          <w:p w:rsidR="001668F8" w:rsidRPr="001E5989" w:rsidRDefault="001668F8" w:rsidP="00090708">
            <w:pPr>
              <w:jc w:val="both"/>
              <w:rPr>
                <w:sz w:val="20"/>
              </w:rPr>
            </w:pPr>
          </w:p>
        </w:tc>
        <w:tc>
          <w:tcPr>
            <w:tcW w:w="2330" w:type="pct"/>
          </w:tcPr>
          <w:p w:rsidR="001668F8" w:rsidRPr="001E5989" w:rsidRDefault="001668F8" w:rsidP="00090708">
            <w:pPr>
              <w:jc w:val="both"/>
              <w:rPr>
                <w:sz w:val="20"/>
              </w:rPr>
            </w:pPr>
            <w:r w:rsidRPr="001E5989">
              <w:rPr>
                <w:sz w:val="20"/>
              </w:rPr>
              <w:t xml:space="preserve">Appel </w:t>
            </w:r>
            <w:proofErr w:type="spellStart"/>
            <w:r w:rsidRPr="001E5989">
              <w:rPr>
                <w:sz w:val="20"/>
              </w:rPr>
              <w:t>rejeté</w:t>
            </w:r>
            <w:proofErr w:type="spellEnd"/>
          </w:p>
        </w:tc>
      </w:tr>
      <w:tr w:rsidR="001668F8" w:rsidRPr="00DB1C5D" w:rsidTr="00090708">
        <w:tc>
          <w:tcPr>
            <w:tcW w:w="2427" w:type="pct"/>
            <w:gridSpan w:val="2"/>
          </w:tcPr>
          <w:p w:rsidR="001668F8" w:rsidRPr="001E5989" w:rsidRDefault="001668F8" w:rsidP="00090708">
            <w:pPr>
              <w:jc w:val="both"/>
              <w:rPr>
                <w:sz w:val="20"/>
                <w:lang w:val="fr-CA"/>
              </w:rPr>
            </w:pPr>
            <w:r w:rsidRPr="001E5989">
              <w:rPr>
                <w:sz w:val="20"/>
                <w:lang w:val="fr-CA"/>
              </w:rPr>
              <w:t>Le 12 septembre 2017</w:t>
            </w:r>
          </w:p>
          <w:p w:rsidR="001668F8" w:rsidRPr="001E5989" w:rsidRDefault="001668F8" w:rsidP="00090708">
            <w:pPr>
              <w:jc w:val="both"/>
              <w:rPr>
                <w:sz w:val="20"/>
                <w:lang w:val="fr-CA"/>
              </w:rPr>
            </w:pPr>
            <w:r w:rsidRPr="001E5989">
              <w:rPr>
                <w:sz w:val="20"/>
                <w:lang w:val="fr-CA"/>
              </w:rPr>
              <w:t>Cour suprême du Canada</w:t>
            </w:r>
          </w:p>
        </w:tc>
        <w:tc>
          <w:tcPr>
            <w:tcW w:w="243" w:type="pct"/>
          </w:tcPr>
          <w:p w:rsidR="001668F8" w:rsidRPr="001E5989" w:rsidRDefault="001668F8" w:rsidP="00090708">
            <w:pPr>
              <w:jc w:val="both"/>
              <w:rPr>
                <w:sz w:val="20"/>
                <w:lang w:val="fr-CA"/>
              </w:rPr>
            </w:pPr>
          </w:p>
        </w:tc>
        <w:tc>
          <w:tcPr>
            <w:tcW w:w="2330" w:type="pct"/>
          </w:tcPr>
          <w:p w:rsidR="001668F8" w:rsidRPr="001E5989" w:rsidRDefault="001668F8" w:rsidP="00090708">
            <w:pPr>
              <w:jc w:val="both"/>
              <w:rPr>
                <w:sz w:val="20"/>
                <w:lang w:val="fr-CA"/>
              </w:rPr>
            </w:pPr>
            <w:r w:rsidRPr="001E5989">
              <w:rPr>
                <w:sz w:val="20"/>
                <w:lang w:val="fr-CA"/>
              </w:rPr>
              <w:t xml:space="preserve">Requête en prorogation de délai et demande d’autorisation </w:t>
            </w:r>
            <w:proofErr w:type="gramStart"/>
            <w:r w:rsidRPr="001E5989">
              <w:rPr>
                <w:sz w:val="20"/>
                <w:lang w:val="fr-CA"/>
              </w:rPr>
              <w:t>d’appel déposées</w:t>
            </w:r>
            <w:proofErr w:type="gramEnd"/>
          </w:p>
        </w:tc>
      </w:tr>
    </w:tbl>
    <w:p w:rsidR="001668F8" w:rsidRPr="001E5989" w:rsidRDefault="001668F8" w:rsidP="001668F8">
      <w:pPr>
        <w:jc w:val="both"/>
        <w:rPr>
          <w:sz w:val="20"/>
          <w:lang w:val="fr-CA"/>
        </w:rPr>
      </w:pPr>
    </w:p>
    <w:p w:rsidR="001668F8" w:rsidRPr="001E5989" w:rsidRDefault="001668F8" w:rsidP="001668F8">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668F8" w:rsidRPr="001E5989" w:rsidTr="00090708">
        <w:tc>
          <w:tcPr>
            <w:tcW w:w="543" w:type="pct"/>
          </w:tcPr>
          <w:p w:rsidR="001668F8" w:rsidRPr="001E5989" w:rsidRDefault="001668F8" w:rsidP="00090708">
            <w:pPr>
              <w:jc w:val="both"/>
              <w:rPr>
                <w:sz w:val="20"/>
              </w:rPr>
            </w:pPr>
            <w:r w:rsidRPr="001E5989">
              <w:rPr>
                <w:rStyle w:val="SCCFileNumberChar"/>
                <w:sz w:val="20"/>
                <w:szCs w:val="20"/>
              </w:rPr>
              <w:t>37911</w:t>
            </w:r>
          </w:p>
        </w:tc>
        <w:tc>
          <w:tcPr>
            <w:tcW w:w="4457" w:type="pct"/>
            <w:gridSpan w:val="3"/>
          </w:tcPr>
          <w:p w:rsidR="001668F8" w:rsidRPr="00034463" w:rsidRDefault="001668F8" w:rsidP="00090708">
            <w:pPr>
              <w:pStyle w:val="SCCLsocParty"/>
              <w:jc w:val="both"/>
              <w:rPr>
                <w:b/>
                <w:sz w:val="20"/>
                <w:szCs w:val="20"/>
                <w:lang w:val="en-CA"/>
              </w:rPr>
            </w:pPr>
            <w:r w:rsidRPr="00034463">
              <w:rPr>
                <w:b/>
                <w:sz w:val="20"/>
                <w:szCs w:val="20"/>
                <w:lang w:val="en-CA"/>
              </w:rPr>
              <w:t xml:space="preserve">Albert Duterville v. D. Ian Glen, Pierre Bernier, Yves </w:t>
            </w:r>
            <w:proofErr w:type="spellStart"/>
            <w:r w:rsidRPr="00034463">
              <w:rPr>
                <w:b/>
                <w:sz w:val="20"/>
                <w:szCs w:val="20"/>
                <w:lang w:val="en-CA"/>
              </w:rPr>
              <w:t>Fafard</w:t>
            </w:r>
            <w:proofErr w:type="spellEnd"/>
            <w:r w:rsidRPr="00034463">
              <w:rPr>
                <w:b/>
                <w:sz w:val="20"/>
                <w:szCs w:val="20"/>
                <w:lang w:val="en-CA"/>
              </w:rPr>
              <w:t xml:space="preserve"> and Attorney General of Canada</w:t>
            </w:r>
          </w:p>
          <w:p w:rsidR="001668F8" w:rsidRPr="001E5989" w:rsidRDefault="001668F8" w:rsidP="00090708">
            <w:pPr>
              <w:jc w:val="both"/>
              <w:rPr>
                <w:sz w:val="20"/>
              </w:rPr>
            </w:pPr>
            <w:r w:rsidRPr="001E5989">
              <w:rPr>
                <w:sz w:val="20"/>
              </w:rPr>
              <w:t>(F</w:t>
            </w:r>
            <w:r>
              <w:rPr>
                <w:sz w:val="20"/>
              </w:rPr>
              <w:t>.</w:t>
            </w:r>
            <w:r w:rsidRPr="001E5989">
              <w:rPr>
                <w:sz w:val="20"/>
              </w:rPr>
              <w:t>C</w:t>
            </w:r>
            <w:r>
              <w:rPr>
                <w:sz w:val="20"/>
              </w:rPr>
              <w:t>.</w:t>
            </w:r>
            <w:r w:rsidRPr="001E5989">
              <w:rPr>
                <w:sz w:val="20"/>
              </w:rPr>
              <w:t>) (Civil) (By Leave)</w:t>
            </w:r>
          </w:p>
        </w:tc>
      </w:tr>
      <w:tr w:rsidR="00C77A52" w:rsidRPr="001E5989" w:rsidTr="00C77A52">
        <w:tc>
          <w:tcPr>
            <w:tcW w:w="5000" w:type="pct"/>
            <w:gridSpan w:val="4"/>
          </w:tcPr>
          <w:p w:rsidR="00C77A52" w:rsidRPr="00C77A52" w:rsidRDefault="00C77A52" w:rsidP="00090708">
            <w:pPr>
              <w:pStyle w:val="SCCLsocParty"/>
              <w:jc w:val="both"/>
              <w:rPr>
                <w:b/>
                <w:sz w:val="20"/>
                <w:szCs w:val="20"/>
                <w:lang w:val="en-CA"/>
              </w:rPr>
            </w:pPr>
            <w:r w:rsidRPr="00C77A52">
              <w:rPr>
                <w:sz w:val="20"/>
                <w:lang w:val="en-CA"/>
              </w:rPr>
              <w:t>The motion for an extension of time to serve and file the application for leave to appeal is granted. The application for leave to appeal from the judgment of the Federal Court of Appeal, Number A-179-16, dated September 13, 2016, is dismissed.</w:t>
            </w:r>
          </w:p>
        </w:tc>
      </w:tr>
      <w:tr w:rsidR="001668F8" w:rsidRPr="001E5989" w:rsidTr="00090708">
        <w:tc>
          <w:tcPr>
            <w:tcW w:w="5000" w:type="pct"/>
            <w:gridSpan w:val="4"/>
          </w:tcPr>
          <w:p w:rsidR="001668F8" w:rsidRPr="001E5989" w:rsidRDefault="001668F8" w:rsidP="00090708">
            <w:pPr>
              <w:jc w:val="both"/>
              <w:rPr>
                <w:sz w:val="20"/>
              </w:rPr>
            </w:pPr>
            <w:r w:rsidRPr="001E5989">
              <w:rPr>
                <w:sz w:val="20"/>
              </w:rPr>
              <w:t xml:space="preserve">Appeals – Order that no further proceedings be instituted – Whether correctional service should classify applicant at maximum security level – Whether s. 40(5) of </w:t>
            </w:r>
            <w:r w:rsidRPr="001E5989">
              <w:rPr>
                <w:i/>
                <w:sz w:val="20"/>
              </w:rPr>
              <w:t>Federal Courts Act</w:t>
            </w:r>
            <w:r w:rsidRPr="001E5989">
              <w:rPr>
                <w:sz w:val="20"/>
              </w:rPr>
              <w:t xml:space="preserve"> is constitutional –</w:t>
            </w:r>
            <w:r w:rsidRPr="001E5989">
              <w:rPr>
                <w:i/>
                <w:sz w:val="20"/>
              </w:rPr>
              <w:t xml:space="preserve"> Federal Courts Act</w:t>
            </w:r>
            <w:r w:rsidRPr="001E5989">
              <w:rPr>
                <w:sz w:val="20"/>
              </w:rPr>
              <w:t xml:space="preserve">, R.S.C. (1985), c. F-7, s. 40 </w:t>
            </w:r>
          </w:p>
        </w:tc>
      </w:tr>
      <w:tr w:rsidR="001668F8" w:rsidRPr="001E5989" w:rsidTr="00090708">
        <w:tc>
          <w:tcPr>
            <w:tcW w:w="5000" w:type="pct"/>
            <w:gridSpan w:val="4"/>
          </w:tcPr>
          <w:p w:rsidR="001668F8" w:rsidRPr="001E5989" w:rsidRDefault="001668F8" w:rsidP="00090708">
            <w:pPr>
              <w:jc w:val="both"/>
              <w:rPr>
                <w:sz w:val="20"/>
              </w:rPr>
            </w:pPr>
          </w:p>
          <w:p w:rsidR="001668F8" w:rsidRPr="001E5989" w:rsidRDefault="001668F8" w:rsidP="00090708">
            <w:pPr>
              <w:jc w:val="both"/>
              <w:rPr>
                <w:sz w:val="20"/>
              </w:rPr>
            </w:pPr>
            <w:r w:rsidRPr="001E5989">
              <w:rPr>
                <w:sz w:val="20"/>
              </w:rPr>
              <w:t>The Federal Court refused to rescind an order that no further proceedings be instituted by Mr. Duterville. The Federal Court of Appeal ordered that Mr. </w:t>
            </w:r>
            <w:proofErr w:type="spellStart"/>
            <w:r w:rsidRPr="001E5989">
              <w:rPr>
                <w:sz w:val="20"/>
              </w:rPr>
              <w:t>Duterville’s</w:t>
            </w:r>
            <w:proofErr w:type="spellEnd"/>
            <w:r w:rsidRPr="001E5989">
              <w:rPr>
                <w:sz w:val="20"/>
              </w:rPr>
              <w:t xml:space="preserve"> appeal be dismissed.</w:t>
            </w:r>
          </w:p>
        </w:tc>
      </w:tr>
      <w:tr w:rsidR="001668F8" w:rsidRPr="001E5989" w:rsidTr="00090708">
        <w:tc>
          <w:tcPr>
            <w:tcW w:w="5000" w:type="pct"/>
            <w:gridSpan w:val="4"/>
          </w:tcPr>
          <w:p w:rsidR="001668F8" w:rsidRPr="001E5989" w:rsidRDefault="001668F8" w:rsidP="00090708">
            <w:pPr>
              <w:jc w:val="both"/>
              <w:rPr>
                <w:sz w:val="20"/>
              </w:rPr>
            </w:pPr>
          </w:p>
        </w:tc>
      </w:tr>
      <w:tr w:rsidR="001668F8" w:rsidRPr="001E5989" w:rsidTr="00090708">
        <w:tc>
          <w:tcPr>
            <w:tcW w:w="2427" w:type="pct"/>
            <w:gridSpan w:val="2"/>
          </w:tcPr>
          <w:p w:rsidR="001668F8" w:rsidRPr="001E5989" w:rsidRDefault="001668F8" w:rsidP="00090708">
            <w:pPr>
              <w:jc w:val="both"/>
              <w:rPr>
                <w:sz w:val="20"/>
              </w:rPr>
            </w:pPr>
            <w:r w:rsidRPr="001E5989">
              <w:rPr>
                <w:sz w:val="20"/>
              </w:rPr>
              <w:lastRenderedPageBreak/>
              <w:t>April 25, 2016</w:t>
            </w:r>
          </w:p>
          <w:p w:rsidR="001668F8" w:rsidRPr="001E5989" w:rsidRDefault="001668F8" w:rsidP="00090708">
            <w:pPr>
              <w:jc w:val="both"/>
              <w:rPr>
                <w:sz w:val="20"/>
              </w:rPr>
            </w:pPr>
            <w:r w:rsidRPr="001E5989">
              <w:rPr>
                <w:sz w:val="20"/>
              </w:rPr>
              <w:t>Federal Court</w:t>
            </w:r>
          </w:p>
          <w:p w:rsidR="001668F8" w:rsidRPr="001E5989" w:rsidRDefault="001668F8" w:rsidP="00090708">
            <w:pPr>
              <w:jc w:val="both"/>
              <w:rPr>
                <w:sz w:val="20"/>
              </w:rPr>
            </w:pPr>
            <w:r w:rsidRPr="001E5989">
              <w:rPr>
                <w:sz w:val="20"/>
              </w:rPr>
              <w:t>(Tremblay-Lamer J.)</w:t>
            </w:r>
          </w:p>
          <w:p w:rsidR="001668F8" w:rsidRPr="001E5989" w:rsidRDefault="00F13243" w:rsidP="00090708">
            <w:pPr>
              <w:jc w:val="both"/>
              <w:rPr>
                <w:sz w:val="20"/>
              </w:rPr>
            </w:pPr>
            <w:hyperlink r:id="rId27" w:history="1">
              <w:r w:rsidR="001668F8" w:rsidRPr="001E5989">
                <w:rPr>
                  <w:rStyle w:val="Hyperlink"/>
                  <w:sz w:val="20"/>
                </w:rPr>
                <w:t>2016 FC 455</w:t>
              </w:r>
            </w:hyperlink>
          </w:p>
          <w:p w:rsidR="001668F8" w:rsidRPr="001E5989" w:rsidRDefault="001668F8" w:rsidP="00090708">
            <w:pPr>
              <w:jc w:val="both"/>
              <w:rPr>
                <w:sz w:val="20"/>
              </w:rPr>
            </w:pPr>
          </w:p>
        </w:tc>
        <w:tc>
          <w:tcPr>
            <w:tcW w:w="243" w:type="pct"/>
          </w:tcPr>
          <w:p w:rsidR="001668F8" w:rsidRPr="001E5989" w:rsidRDefault="001668F8" w:rsidP="00090708">
            <w:pPr>
              <w:jc w:val="both"/>
              <w:rPr>
                <w:sz w:val="20"/>
              </w:rPr>
            </w:pPr>
          </w:p>
        </w:tc>
        <w:tc>
          <w:tcPr>
            <w:tcW w:w="2330" w:type="pct"/>
          </w:tcPr>
          <w:p w:rsidR="001668F8" w:rsidRPr="001E5989" w:rsidRDefault="001668F8" w:rsidP="00090708">
            <w:pPr>
              <w:jc w:val="both"/>
              <w:rPr>
                <w:sz w:val="20"/>
              </w:rPr>
            </w:pPr>
            <w:r w:rsidRPr="001E5989">
              <w:rPr>
                <w:sz w:val="20"/>
              </w:rPr>
              <w:t>Motion for rescission of order that no further proceedings be instituted or continued dismissed</w:t>
            </w:r>
          </w:p>
          <w:p w:rsidR="001668F8" w:rsidRPr="001E5989" w:rsidRDefault="001668F8" w:rsidP="00090708">
            <w:pPr>
              <w:jc w:val="both"/>
              <w:rPr>
                <w:sz w:val="20"/>
              </w:rPr>
            </w:pPr>
          </w:p>
        </w:tc>
      </w:tr>
      <w:tr w:rsidR="001668F8" w:rsidRPr="001E5989" w:rsidTr="00090708">
        <w:tc>
          <w:tcPr>
            <w:tcW w:w="2427" w:type="pct"/>
            <w:gridSpan w:val="2"/>
          </w:tcPr>
          <w:p w:rsidR="001668F8" w:rsidRPr="001E5989" w:rsidRDefault="001668F8" w:rsidP="00090708">
            <w:pPr>
              <w:jc w:val="both"/>
              <w:rPr>
                <w:sz w:val="20"/>
              </w:rPr>
            </w:pPr>
            <w:r w:rsidRPr="001E5989">
              <w:rPr>
                <w:sz w:val="20"/>
              </w:rPr>
              <w:t>September 13, 2016</w:t>
            </w:r>
          </w:p>
          <w:p w:rsidR="001668F8" w:rsidRPr="001E5989" w:rsidRDefault="001668F8" w:rsidP="00090708">
            <w:pPr>
              <w:jc w:val="both"/>
              <w:rPr>
                <w:sz w:val="20"/>
              </w:rPr>
            </w:pPr>
            <w:r w:rsidRPr="001E5989">
              <w:rPr>
                <w:sz w:val="20"/>
              </w:rPr>
              <w:t>Federal Court of Appeal</w:t>
            </w:r>
          </w:p>
          <w:p w:rsidR="001668F8" w:rsidRPr="001E5989" w:rsidRDefault="001668F8" w:rsidP="00090708">
            <w:pPr>
              <w:jc w:val="both"/>
              <w:rPr>
                <w:sz w:val="20"/>
              </w:rPr>
            </w:pPr>
            <w:r w:rsidRPr="001E5989">
              <w:rPr>
                <w:sz w:val="20"/>
              </w:rPr>
              <w:t>(</w:t>
            </w:r>
            <w:proofErr w:type="spellStart"/>
            <w:r w:rsidRPr="001E5989">
              <w:rPr>
                <w:sz w:val="20"/>
              </w:rPr>
              <w:t>Nadon</w:t>
            </w:r>
            <w:proofErr w:type="spellEnd"/>
            <w:r w:rsidRPr="001E5989">
              <w:rPr>
                <w:sz w:val="20"/>
              </w:rPr>
              <w:t xml:space="preserve"> C.J. and Gauthier and </w:t>
            </w:r>
          </w:p>
          <w:p w:rsidR="001668F8" w:rsidRPr="001E5989" w:rsidRDefault="001668F8" w:rsidP="00090708">
            <w:pPr>
              <w:jc w:val="both"/>
              <w:rPr>
                <w:sz w:val="20"/>
              </w:rPr>
            </w:pPr>
            <w:r w:rsidRPr="001E5989">
              <w:rPr>
                <w:sz w:val="20"/>
              </w:rPr>
              <w:t>Scott JJ.A.)</w:t>
            </w:r>
          </w:p>
          <w:p w:rsidR="001668F8" w:rsidRPr="001E5989" w:rsidRDefault="001668F8" w:rsidP="00090708">
            <w:pPr>
              <w:jc w:val="both"/>
              <w:rPr>
                <w:sz w:val="20"/>
              </w:rPr>
            </w:pPr>
            <w:r w:rsidRPr="001E5989">
              <w:rPr>
                <w:sz w:val="20"/>
              </w:rPr>
              <w:t>File No.: A-179-16</w:t>
            </w:r>
          </w:p>
          <w:p w:rsidR="001668F8" w:rsidRPr="001E5989" w:rsidRDefault="001668F8" w:rsidP="00090708">
            <w:pPr>
              <w:jc w:val="both"/>
              <w:rPr>
                <w:sz w:val="20"/>
              </w:rPr>
            </w:pPr>
          </w:p>
        </w:tc>
        <w:tc>
          <w:tcPr>
            <w:tcW w:w="243" w:type="pct"/>
          </w:tcPr>
          <w:p w:rsidR="001668F8" w:rsidRPr="001E5989" w:rsidRDefault="001668F8" w:rsidP="00090708">
            <w:pPr>
              <w:jc w:val="both"/>
              <w:rPr>
                <w:sz w:val="20"/>
              </w:rPr>
            </w:pPr>
          </w:p>
        </w:tc>
        <w:tc>
          <w:tcPr>
            <w:tcW w:w="2330" w:type="pct"/>
          </w:tcPr>
          <w:p w:rsidR="001668F8" w:rsidRPr="001E5989" w:rsidRDefault="001668F8" w:rsidP="00090708">
            <w:pPr>
              <w:jc w:val="both"/>
              <w:rPr>
                <w:sz w:val="20"/>
              </w:rPr>
            </w:pPr>
            <w:r w:rsidRPr="001E5989">
              <w:rPr>
                <w:sz w:val="20"/>
              </w:rPr>
              <w:t>Dismissal of appeal ordered</w:t>
            </w:r>
          </w:p>
          <w:p w:rsidR="001668F8" w:rsidRPr="001E5989" w:rsidRDefault="001668F8" w:rsidP="00090708">
            <w:pPr>
              <w:jc w:val="both"/>
              <w:rPr>
                <w:sz w:val="20"/>
              </w:rPr>
            </w:pPr>
          </w:p>
        </w:tc>
      </w:tr>
      <w:tr w:rsidR="001668F8" w:rsidRPr="001E5989" w:rsidTr="00090708">
        <w:tc>
          <w:tcPr>
            <w:tcW w:w="2427" w:type="pct"/>
            <w:gridSpan w:val="2"/>
          </w:tcPr>
          <w:p w:rsidR="001668F8" w:rsidRPr="001E5989" w:rsidRDefault="001668F8" w:rsidP="00090708">
            <w:pPr>
              <w:jc w:val="both"/>
              <w:rPr>
                <w:sz w:val="20"/>
              </w:rPr>
            </w:pPr>
            <w:r w:rsidRPr="001E5989">
              <w:rPr>
                <w:sz w:val="20"/>
              </w:rPr>
              <w:t>December 8, 2016</w:t>
            </w:r>
          </w:p>
          <w:p w:rsidR="001668F8" w:rsidRPr="001E5989" w:rsidRDefault="001668F8" w:rsidP="00090708">
            <w:pPr>
              <w:jc w:val="both"/>
              <w:rPr>
                <w:sz w:val="20"/>
              </w:rPr>
            </w:pPr>
            <w:r w:rsidRPr="001E5989">
              <w:rPr>
                <w:sz w:val="20"/>
              </w:rPr>
              <w:t>Supreme Court of Canada</w:t>
            </w:r>
          </w:p>
          <w:p w:rsidR="001668F8" w:rsidRPr="001E5989" w:rsidRDefault="001668F8" w:rsidP="00090708">
            <w:pPr>
              <w:jc w:val="both"/>
              <w:rPr>
                <w:sz w:val="20"/>
              </w:rPr>
            </w:pPr>
          </w:p>
        </w:tc>
        <w:tc>
          <w:tcPr>
            <w:tcW w:w="243" w:type="pct"/>
          </w:tcPr>
          <w:p w:rsidR="001668F8" w:rsidRPr="001E5989" w:rsidRDefault="001668F8" w:rsidP="00090708">
            <w:pPr>
              <w:jc w:val="both"/>
              <w:rPr>
                <w:sz w:val="20"/>
              </w:rPr>
            </w:pPr>
          </w:p>
        </w:tc>
        <w:tc>
          <w:tcPr>
            <w:tcW w:w="2330" w:type="pct"/>
          </w:tcPr>
          <w:p w:rsidR="001668F8" w:rsidRPr="001E5989" w:rsidRDefault="001668F8" w:rsidP="00090708">
            <w:pPr>
              <w:jc w:val="both"/>
              <w:rPr>
                <w:sz w:val="20"/>
              </w:rPr>
            </w:pPr>
            <w:r w:rsidRPr="001E5989">
              <w:rPr>
                <w:sz w:val="20"/>
              </w:rPr>
              <w:t>Application for leave to appeal filed</w:t>
            </w:r>
          </w:p>
          <w:p w:rsidR="001668F8" w:rsidRPr="001E5989" w:rsidRDefault="001668F8" w:rsidP="00090708">
            <w:pPr>
              <w:jc w:val="both"/>
              <w:rPr>
                <w:sz w:val="20"/>
              </w:rPr>
            </w:pPr>
          </w:p>
        </w:tc>
      </w:tr>
      <w:tr w:rsidR="001668F8" w:rsidRPr="001E5989" w:rsidTr="00090708">
        <w:tc>
          <w:tcPr>
            <w:tcW w:w="2427" w:type="pct"/>
            <w:gridSpan w:val="2"/>
          </w:tcPr>
          <w:p w:rsidR="001668F8" w:rsidRPr="001E5989" w:rsidRDefault="001668F8" w:rsidP="00090708">
            <w:pPr>
              <w:jc w:val="both"/>
              <w:rPr>
                <w:sz w:val="20"/>
              </w:rPr>
            </w:pPr>
            <w:r w:rsidRPr="001E5989">
              <w:rPr>
                <w:sz w:val="20"/>
              </w:rPr>
              <w:t>December 21, 2017</w:t>
            </w:r>
          </w:p>
          <w:p w:rsidR="001668F8" w:rsidRPr="001E5989" w:rsidRDefault="001668F8" w:rsidP="00090708">
            <w:pPr>
              <w:jc w:val="both"/>
              <w:rPr>
                <w:sz w:val="20"/>
              </w:rPr>
            </w:pPr>
            <w:r w:rsidRPr="001E5989">
              <w:rPr>
                <w:sz w:val="20"/>
              </w:rPr>
              <w:t>Supreme Court of Canada</w:t>
            </w:r>
          </w:p>
        </w:tc>
        <w:tc>
          <w:tcPr>
            <w:tcW w:w="243" w:type="pct"/>
          </w:tcPr>
          <w:p w:rsidR="001668F8" w:rsidRPr="001E5989" w:rsidRDefault="001668F8" w:rsidP="00090708">
            <w:pPr>
              <w:jc w:val="both"/>
              <w:rPr>
                <w:sz w:val="20"/>
              </w:rPr>
            </w:pPr>
          </w:p>
        </w:tc>
        <w:tc>
          <w:tcPr>
            <w:tcW w:w="2330" w:type="pct"/>
          </w:tcPr>
          <w:p w:rsidR="001668F8" w:rsidRPr="001E5989" w:rsidRDefault="001668F8" w:rsidP="00090708">
            <w:pPr>
              <w:jc w:val="both"/>
              <w:rPr>
                <w:sz w:val="20"/>
              </w:rPr>
            </w:pPr>
            <w:r w:rsidRPr="001E5989">
              <w:rPr>
                <w:sz w:val="20"/>
              </w:rPr>
              <w:t>Motion for extension of time to serve and file application for leave to appeal filed</w:t>
            </w:r>
          </w:p>
        </w:tc>
      </w:tr>
    </w:tbl>
    <w:p w:rsidR="001668F8" w:rsidRPr="001E5989" w:rsidRDefault="001668F8" w:rsidP="001668F8">
      <w:pPr>
        <w:jc w:val="both"/>
        <w:rPr>
          <w:sz w:val="20"/>
        </w:rPr>
      </w:pPr>
    </w:p>
    <w:p w:rsidR="001668F8" w:rsidRPr="001E5989" w:rsidRDefault="001668F8" w:rsidP="001668F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668F8" w:rsidRPr="001E5989" w:rsidTr="00090708">
        <w:tc>
          <w:tcPr>
            <w:tcW w:w="543" w:type="pct"/>
          </w:tcPr>
          <w:p w:rsidR="001668F8" w:rsidRPr="001E5989" w:rsidRDefault="001668F8" w:rsidP="00090708">
            <w:pPr>
              <w:jc w:val="both"/>
              <w:rPr>
                <w:sz w:val="20"/>
              </w:rPr>
            </w:pPr>
            <w:r w:rsidRPr="001E5989">
              <w:rPr>
                <w:rStyle w:val="SCCFileNumberChar"/>
                <w:sz w:val="20"/>
                <w:szCs w:val="20"/>
              </w:rPr>
              <w:t>37911</w:t>
            </w:r>
          </w:p>
        </w:tc>
        <w:tc>
          <w:tcPr>
            <w:tcW w:w="4457" w:type="pct"/>
            <w:gridSpan w:val="3"/>
          </w:tcPr>
          <w:p w:rsidR="001668F8" w:rsidRPr="00034463" w:rsidRDefault="001668F8" w:rsidP="00090708">
            <w:pPr>
              <w:pStyle w:val="SCCLsocParty"/>
              <w:jc w:val="both"/>
              <w:rPr>
                <w:b/>
                <w:sz w:val="20"/>
                <w:szCs w:val="20"/>
              </w:rPr>
            </w:pPr>
            <w:r w:rsidRPr="00034463">
              <w:rPr>
                <w:b/>
                <w:sz w:val="20"/>
                <w:szCs w:val="20"/>
              </w:rPr>
              <w:t xml:space="preserve">Albert Duterville c. D. Ian Glen, Pierre Bernier, Yves </w:t>
            </w:r>
            <w:proofErr w:type="spellStart"/>
            <w:r w:rsidRPr="00034463">
              <w:rPr>
                <w:b/>
                <w:sz w:val="20"/>
                <w:szCs w:val="20"/>
              </w:rPr>
              <w:t>Fafard</w:t>
            </w:r>
            <w:proofErr w:type="spellEnd"/>
            <w:r w:rsidRPr="00034463">
              <w:rPr>
                <w:b/>
                <w:sz w:val="20"/>
                <w:szCs w:val="20"/>
              </w:rPr>
              <w:t xml:space="preserve"> et procureur général du Canada</w:t>
            </w:r>
          </w:p>
          <w:p w:rsidR="001668F8" w:rsidRPr="001E5989" w:rsidRDefault="001668F8" w:rsidP="00090708">
            <w:pPr>
              <w:jc w:val="both"/>
              <w:rPr>
                <w:sz w:val="20"/>
              </w:rPr>
            </w:pPr>
            <w:r w:rsidRPr="001E5989">
              <w:rPr>
                <w:sz w:val="20"/>
              </w:rPr>
              <w:t>(C</w:t>
            </w:r>
            <w:r>
              <w:rPr>
                <w:sz w:val="20"/>
              </w:rPr>
              <w:t>.</w:t>
            </w:r>
            <w:r w:rsidRPr="001E5989">
              <w:rPr>
                <w:sz w:val="20"/>
              </w:rPr>
              <w:t>F</w:t>
            </w:r>
            <w:r>
              <w:rPr>
                <w:sz w:val="20"/>
              </w:rPr>
              <w:t>.</w:t>
            </w:r>
            <w:r w:rsidRPr="001E5989">
              <w:rPr>
                <w:sz w:val="20"/>
              </w:rPr>
              <w:t>) (Civile) (Autorisation)</w:t>
            </w:r>
          </w:p>
        </w:tc>
      </w:tr>
      <w:tr w:rsidR="00C77A52" w:rsidRPr="00DB1C5D" w:rsidTr="00C77A52">
        <w:tc>
          <w:tcPr>
            <w:tcW w:w="5000" w:type="pct"/>
            <w:gridSpan w:val="4"/>
          </w:tcPr>
          <w:p w:rsidR="00C77A52" w:rsidRPr="00DB1C5D" w:rsidRDefault="00C77A52" w:rsidP="00C77A52">
            <w:pPr>
              <w:jc w:val="both"/>
              <w:rPr>
                <w:b/>
                <w:sz w:val="20"/>
                <w:szCs w:val="20"/>
                <w:lang w:val="fr-CA"/>
              </w:rPr>
            </w:pPr>
            <w:r w:rsidRPr="00C77A52">
              <w:rPr>
                <w:rFonts w:cs="Times New Roman"/>
                <w:sz w:val="20"/>
                <w:szCs w:val="24"/>
                <w:lang w:val="fr-CA"/>
              </w:rPr>
              <w:t xml:space="preserve">La requête en prorogation du délai de signification et de dépôt de la demande d’autorisation d’appel est accueillie. </w:t>
            </w:r>
            <w:r w:rsidRPr="00C77A52">
              <w:rPr>
                <w:sz w:val="20"/>
                <w:lang w:val="fr-CA"/>
              </w:rPr>
              <w:t>La demande d’autorisation d’appel de l’arrêt de la Cour d’appel fédérale, numéro A-179-16, daté du 13 septembre 2016, est rejetée.</w:t>
            </w:r>
          </w:p>
        </w:tc>
      </w:tr>
      <w:tr w:rsidR="001668F8" w:rsidRPr="00C77A52" w:rsidTr="00090708">
        <w:tc>
          <w:tcPr>
            <w:tcW w:w="5000" w:type="pct"/>
            <w:gridSpan w:val="4"/>
          </w:tcPr>
          <w:p w:rsidR="001668F8" w:rsidRPr="00034463" w:rsidRDefault="001668F8" w:rsidP="00090708">
            <w:pPr>
              <w:jc w:val="both"/>
              <w:rPr>
                <w:sz w:val="20"/>
                <w:lang w:val="fr-CA"/>
              </w:rPr>
            </w:pPr>
            <w:r w:rsidRPr="001E5989">
              <w:rPr>
                <w:sz w:val="20"/>
                <w:lang w:val="fr-CA"/>
              </w:rPr>
              <w:t xml:space="preserve">Appels – Interdiction d’engager d’autres instances – Le service correctionnel devrait-il attribuer une cote de sécurité maximale au demandeur? – Le par. 40(5) de la </w:t>
            </w:r>
            <w:r w:rsidRPr="001E5989">
              <w:rPr>
                <w:i/>
                <w:sz w:val="20"/>
                <w:lang w:val="fr-CA"/>
              </w:rPr>
              <w:t>Loi sur les Cours fédérales</w:t>
            </w:r>
            <w:r w:rsidRPr="001E5989">
              <w:rPr>
                <w:sz w:val="20"/>
                <w:lang w:val="fr-CA"/>
              </w:rPr>
              <w:t xml:space="preserve"> est-il constitutionnel? –</w:t>
            </w:r>
            <w:r w:rsidRPr="001E5989">
              <w:rPr>
                <w:i/>
                <w:sz w:val="20"/>
                <w:lang w:val="fr-CA"/>
              </w:rPr>
              <w:t xml:space="preserve"> Loi sur les Cours fédérales</w:t>
            </w:r>
            <w:r w:rsidRPr="001E5989">
              <w:rPr>
                <w:sz w:val="20"/>
                <w:lang w:val="fr-CA"/>
              </w:rPr>
              <w:t>, L.R.C. (1985), ch. </w:t>
            </w:r>
            <w:r w:rsidRPr="00034463">
              <w:rPr>
                <w:sz w:val="20"/>
                <w:lang w:val="fr-CA"/>
              </w:rPr>
              <w:t xml:space="preserve">F-7, art. 40 </w:t>
            </w:r>
          </w:p>
        </w:tc>
      </w:tr>
      <w:tr w:rsidR="001668F8" w:rsidRPr="00DB1C5D" w:rsidTr="00090708">
        <w:tc>
          <w:tcPr>
            <w:tcW w:w="5000" w:type="pct"/>
            <w:gridSpan w:val="4"/>
          </w:tcPr>
          <w:p w:rsidR="001668F8" w:rsidRPr="00034463" w:rsidRDefault="001668F8" w:rsidP="00090708">
            <w:pPr>
              <w:jc w:val="both"/>
              <w:rPr>
                <w:sz w:val="20"/>
                <w:lang w:val="fr-CA"/>
              </w:rPr>
            </w:pPr>
          </w:p>
          <w:p w:rsidR="001668F8" w:rsidRPr="001E5989" w:rsidRDefault="001668F8" w:rsidP="00090708">
            <w:pPr>
              <w:jc w:val="both"/>
              <w:rPr>
                <w:sz w:val="20"/>
                <w:lang w:val="fr-CA"/>
              </w:rPr>
            </w:pPr>
            <w:r w:rsidRPr="001E5989">
              <w:rPr>
                <w:sz w:val="20"/>
                <w:lang w:val="fr-CA"/>
              </w:rPr>
              <w:t>La Cour fédérale refuse de lever l’interdiction prononcée contre M. Duterville d’engager d’autres instances. La Cour d’appel fédérale ordonne le rejet de l’appel interjeté par M. Duterville.</w:t>
            </w:r>
          </w:p>
        </w:tc>
      </w:tr>
      <w:tr w:rsidR="001668F8" w:rsidRPr="00DB1C5D" w:rsidTr="00090708">
        <w:tc>
          <w:tcPr>
            <w:tcW w:w="5000" w:type="pct"/>
            <w:gridSpan w:val="4"/>
          </w:tcPr>
          <w:p w:rsidR="001668F8" w:rsidRPr="001E5989" w:rsidRDefault="001668F8" w:rsidP="00090708">
            <w:pPr>
              <w:jc w:val="both"/>
              <w:rPr>
                <w:sz w:val="20"/>
                <w:lang w:val="fr-CA"/>
              </w:rPr>
            </w:pPr>
          </w:p>
        </w:tc>
      </w:tr>
      <w:tr w:rsidR="001668F8" w:rsidRPr="00DB1C5D" w:rsidTr="00090708">
        <w:tc>
          <w:tcPr>
            <w:tcW w:w="2427" w:type="pct"/>
            <w:gridSpan w:val="2"/>
          </w:tcPr>
          <w:p w:rsidR="001668F8" w:rsidRPr="001E5989" w:rsidRDefault="001668F8" w:rsidP="00090708">
            <w:pPr>
              <w:jc w:val="both"/>
              <w:rPr>
                <w:sz w:val="20"/>
                <w:lang w:val="fr-CA"/>
              </w:rPr>
            </w:pPr>
            <w:r w:rsidRPr="001E5989">
              <w:rPr>
                <w:sz w:val="20"/>
                <w:lang w:val="fr-CA"/>
              </w:rPr>
              <w:t>Le 25 avril 2016</w:t>
            </w:r>
          </w:p>
          <w:p w:rsidR="001668F8" w:rsidRPr="001E5989" w:rsidRDefault="001668F8" w:rsidP="00090708">
            <w:pPr>
              <w:jc w:val="both"/>
              <w:rPr>
                <w:sz w:val="20"/>
                <w:lang w:val="fr-CA"/>
              </w:rPr>
            </w:pPr>
            <w:r w:rsidRPr="001E5989">
              <w:rPr>
                <w:sz w:val="20"/>
                <w:lang w:val="fr-CA"/>
              </w:rPr>
              <w:t>Cour fédérale</w:t>
            </w:r>
          </w:p>
          <w:p w:rsidR="001668F8" w:rsidRPr="001E5989" w:rsidRDefault="001668F8" w:rsidP="00090708">
            <w:pPr>
              <w:jc w:val="both"/>
              <w:rPr>
                <w:sz w:val="20"/>
                <w:lang w:val="fr-CA"/>
              </w:rPr>
            </w:pPr>
            <w:r w:rsidRPr="001E5989">
              <w:rPr>
                <w:sz w:val="20"/>
                <w:lang w:val="fr-CA"/>
              </w:rPr>
              <w:t>(la juge Tremblay-Lamer)</w:t>
            </w:r>
          </w:p>
          <w:p w:rsidR="001668F8" w:rsidRPr="001E5989" w:rsidRDefault="00F13243" w:rsidP="00090708">
            <w:pPr>
              <w:jc w:val="both"/>
              <w:rPr>
                <w:sz w:val="20"/>
              </w:rPr>
            </w:pPr>
            <w:hyperlink r:id="rId28" w:history="1">
              <w:r w:rsidR="001668F8" w:rsidRPr="001E5989">
                <w:rPr>
                  <w:rStyle w:val="Hyperlink"/>
                  <w:sz w:val="20"/>
                </w:rPr>
                <w:t>2016 CF 455</w:t>
              </w:r>
            </w:hyperlink>
          </w:p>
          <w:p w:rsidR="001668F8" w:rsidRPr="001E5989" w:rsidRDefault="001668F8" w:rsidP="00090708">
            <w:pPr>
              <w:jc w:val="both"/>
              <w:rPr>
                <w:sz w:val="20"/>
              </w:rPr>
            </w:pPr>
          </w:p>
        </w:tc>
        <w:tc>
          <w:tcPr>
            <w:tcW w:w="243" w:type="pct"/>
          </w:tcPr>
          <w:p w:rsidR="001668F8" w:rsidRPr="001E5989" w:rsidRDefault="001668F8" w:rsidP="00090708">
            <w:pPr>
              <w:jc w:val="both"/>
              <w:rPr>
                <w:sz w:val="20"/>
              </w:rPr>
            </w:pPr>
          </w:p>
        </w:tc>
        <w:tc>
          <w:tcPr>
            <w:tcW w:w="2330" w:type="pct"/>
          </w:tcPr>
          <w:p w:rsidR="001668F8" w:rsidRPr="001E5989" w:rsidRDefault="001668F8" w:rsidP="00090708">
            <w:pPr>
              <w:jc w:val="both"/>
              <w:rPr>
                <w:sz w:val="20"/>
                <w:lang w:val="fr-CA"/>
              </w:rPr>
            </w:pPr>
            <w:r w:rsidRPr="001E5989">
              <w:rPr>
                <w:sz w:val="20"/>
                <w:lang w:val="fr-CA"/>
              </w:rPr>
              <w:t>Requête pour lever l’interdiction d’engager ou de continuer des procédures rejetée</w:t>
            </w:r>
          </w:p>
          <w:p w:rsidR="001668F8" w:rsidRPr="001E5989" w:rsidRDefault="001668F8" w:rsidP="00090708">
            <w:pPr>
              <w:jc w:val="both"/>
              <w:rPr>
                <w:sz w:val="20"/>
                <w:lang w:val="fr-CA"/>
              </w:rPr>
            </w:pPr>
          </w:p>
        </w:tc>
      </w:tr>
      <w:tr w:rsidR="001668F8" w:rsidRPr="001E5989" w:rsidTr="00090708">
        <w:tc>
          <w:tcPr>
            <w:tcW w:w="2427" w:type="pct"/>
            <w:gridSpan w:val="2"/>
          </w:tcPr>
          <w:p w:rsidR="001668F8" w:rsidRPr="001E5989" w:rsidRDefault="001668F8" w:rsidP="00090708">
            <w:pPr>
              <w:jc w:val="both"/>
              <w:rPr>
                <w:sz w:val="20"/>
                <w:lang w:val="fr-CA"/>
              </w:rPr>
            </w:pPr>
            <w:r w:rsidRPr="001E5989">
              <w:rPr>
                <w:sz w:val="20"/>
                <w:lang w:val="fr-CA"/>
              </w:rPr>
              <w:t>Le 13 septembre 2016</w:t>
            </w:r>
          </w:p>
          <w:p w:rsidR="001668F8" w:rsidRPr="001E5989" w:rsidRDefault="001668F8" w:rsidP="00090708">
            <w:pPr>
              <w:jc w:val="both"/>
              <w:rPr>
                <w:sz w:val="20"/>
                <w:lang w:val="fr-CA"/>
              </w:rPr>
            </w:pPr>
            <w:r w:rsidRPr="001E5989">
              <w:rPr>
                <w:sz w:val="20"/>
                <w:lang w:val="fr-CA"/>
              </w:rPr>
              <w:t>Cour d’appel fédérale</w:t>
            </w:r>
          </w:p>
          <w:p w:rsidR="001668F8" w:rsidRPr="001E5989" w:rsidRDefault="001668F8" w:rsidP="00090708">
            <w:pPr>
              <w:jc w:val="both"/>
              <w:rPr>
                <w:sz w:val="20"/>
                <w:lang w:val="fr-CA"/>
              </w:rPr>
            </w:pPr>
            <w:r w:rsidRPr="001E5989">
              <w:rPr>
                <w:sz w:val="20"/>
                <w:lang w:val="fr-CA"/>
              </w:rPr>
              <w:t xml:space="preserve">(le juge en chef Nadon, et les juges Gauthier et </w:t>
            </w:r>
          </w:p>
          <w:p w:rsidR="001668F8" w:rsidRPr="001E5989" w:rsidRDefault="001668F8" w:rsidP="00090708">
            <w:pPr>
              <w:jc w:val="both"/>
              <w:rPr>
                <w:sz w:val="20"/>
              </w:rPr>
            </w:pPr>
            <w:r w:rsidRPr="001E5989">
              <w:rPr>
                <w:sz w:val="20"/>
              </w:rPr>
              <w:t>Scott)</w:t>
            </w:r>
          </w:p>
          <w:p w:rsidR="001668F8" w:rsidRPr="001E5989" w:rsidRDefault="001668F8" w:rsidP="00090708">
            <w:pPr>
              <w:jc w:val="both"/>
              <w:rPr>
                <w:sz w:val="20"/>
              </w:rPr>
            </w:pPr>
            <w:r w:rsidRPr="001E5989">
              <w:rPr>
                <w:sz w:val="20"/>
              </w:rPr>
              <w:t>Dossier : A-179-16</w:t>
            </w:r>
          </w:p>
          <w:p w:rsidR="001668F8" w:rsidRPr="001E5989" w:rsidRDefault="001668F8" w:rsidP="00090708">
            <w:pPr>
              <w:jc w:val="both"/>
              <w:rPr>
                <w:sz w:val="20"/>
              </w:rPr>
            </w:pPr>
          </w:p>
        </w:tc>
        <w:tc>
          <w:tcPr>
            <w:tcW w:w="243" w:type="pct"/>
          </w:tcPr>
          <w:p w:rsidR="001668F8" w:rsidRPr="001E5989" w:rsidRDefault="001668F8" w:rsidP="00090708">
            <w:pPr>
              <w:jc w:val="both"/>
              <w:rPr>
                <w:sz w:val="20"/>
              </w:rPr>
            </w:pPr>
          </w:p>
        </w:tc>
        <w:tc>
          <w:tcPr>
            <w:tcW w:w="2330" w:type="pct"/>
          </w:tcPr>
          <w:p w:rsidR="001668F8" w:rsidRPr="001E5989" w:rsidRDefault="001668F8" w:rsidP="00090708">
            <w:pPr>
              <w:jc w:val="both"/>
              <w:rPr>
                <w:sz w:val="20"/>
              </w:rPr>
            </w:pPr>
            <w:proofErr w:type="spellStart"/>
            <w:r w:rsidRPr="001E5989">
              <w:rPr>
                <w:sz w:val="20"/>
              </w:rPr>
              <w:t>Rejet</w:t>
            </w:r>
            <w:proofErr w:type="spellEnd"/>
            <w:r w:rsidRPr="001E5989">
              <w:rPr>
                <w:sz w:val="20"/>
              </w:rPr>
              <w:t xml:space="preserve"> </w:t>
            </w:r>
            <w:proofErr w:type="spellStart"/>
            <w:r w:rsidRPr="001E5989">
              <w:rPr>
                <w:sz w:val="20"/>
              </w:rPr>
              <w:t>d’appel</w:t>
            </w:r>
            <w:proofErr w:type="spellEnd"/>
            <w:r w:rsidRPr="001E5989">
              <w:rPr>
                <w:sz w:val="20"/>
              </w:rPr>
              <w:t xml:space="preserve"> </w:t>
            </w:r>
            <w:proofErr w:type="spellStart"/>
            <w:r w:rsidRPr="001E5989">
              <w:rPr>
                <w:sz w:val="20"/>
              </w:rPr>
              <w:t>ordonné</w:t>
            </w:r>
            <w:proofErr w:type="spellEnd"/>
          </w:p>
          <w:p w:rsidR="001668F8" w:rsidRPr="001E5989" w:rsidRDefault="001668F8" w:rsidP="00090708">
            <w:pPr>
              <w:jc w:val="both"/>
              <w:rPr>
                <w:sz w:val="20"/>
              </w:rPr>
            </w:pPr>
          </w:p>
        </w:tc>
      </w:tr>
      <w:tr w:rsidR="001668F8" w:rsidRPr="001E5989" w:rsidTr="00090708">
        <w:tc>
          <w:tcPr>
            <w:tcW w:w="2427" w:type="pct"/>
            <w:gridSpan w:val="2"/>
          </w:tcPr>
          <w:p w:rsidR="001668F8" w:rsidRPr="001E5989" w:rsidRDefault="001668F8" w:rsidP="00090708">
            <w:pPr>
              <w:jc w:val="both"/>
              <w:rPr>
                <w:sz w:val="20"/>
                <w:lang w:val="fr-CA"/>
              </w:rPr>
            </w:pPr>
            <w:r w:rsidRPr="001E5989">
              <w:rPr>
                <w:sz w:val="20"/>
                <w:lang w:val="fr-CA"/>
              </w:rPr>
              <w:t>Le 8 décembre 2016</w:t>
            </w:r>
          </w:p>
          <w:p w:rsidR="001668F8" w:rsidRPr="001E5989" w:rsidRDefault="001668F8" w:rsidP="00090708">
            <w:pPr>
              <w:jc w:val="both"/>
              <w:rPr>
                <w:sz w:val="20"/>
                <w:lang w:val="fr-CA"/>
              </w:rPr>
            </w:pPr>
            <w:r w:rsidRPr="001E5989">
              <w:rPr>
                <w:sz w:val="20"/>
                <w:lang w:val="fr-CA"/>
              </w:rPr>
              <w:t>Cour suprême du Canada</w:t>
            </w:r>
          </w:p>
          <w:p w:rsidR="001668F8" w:rsidRPr="001E5989" w:rsidRDefault="001668F8" w:rsidP="00090708">
            <w:pPr>
              <w:jc w:val="both"/>
              <w:rPr>
                <w:sz w:val="20"/>
                <w:lang w:val="fr-CA"/>
              </w:rPr>
            </w:pPr>
          </w:p>
        </w:tc>
        <w:tc>
          <w:tcPr>
            <w:tcW w:w="243" w:type="pct"/>
          </w:tcPr>
          <w:p w:rsidR="001668F8" w:rsidRPr="001E5989" w:rsidRDefault="001668F8" w:rsidP="00090708">
            <w:pPr>
              <w:jc w:val="both"/>
              <w:rPr>
                <w:sz w:val="20"/>
                <w:lang w:val="fr-CA"/>
              </w:rPr>
            </w:pPr>
          </w:p>
        </w:tc>
        <w:tc>
          <w:tcPr>
            <w:tcW w:w="2330" w:type="pct"/>
          </w:tcPr>
          <w:p w:rsidR="001668F8" w:rsidRPr="001E5989" w:rsidRDefault="001668F8" w:rsidP="00090708">
            <w:pPr>
              <w:jc w:val="both"/>
              <w:rPr>
                <w:sz w:val="20"/>
              </w:rPr>
            </w:pPr>
            <w:proofErr w:type="spellStart"/>
            <w:r w:rsidRPr="001E5989">
              <w:rPr>
                <w:sz w:val="20"/>
              </w:rPr>
              <w:t>Demande</w:t>
            </w:r>
            <w:proofErr w:type="spellEnd"/>
            <w:r w:rsidRPr="001E5989">
              <w:rPr>
                <w:sz w:val="20"/>
              </w:rPr>
              <w:t xml:space="preserve"> </w:t>
            </w:r>
            <w:proofErr w:type="spellStart"/>
            <w:r w:rsidRPr="001E5989">
              <w:rPr>
                <w:sz w:val="20"/>
              </w:rPr>
              <w:t>d’autorisation</w:t>
            </w:r>
            <w:proofErr w:type="spellEnd"/>
            <w:r w:rsidRPr="001E5989">
              <w:rPr>
                <w:sz w:val="20"/>
              </w:rPr>
              <w:t xml:space="preserve"> </w:t>
            </w:r>
            <w:proofErr w:type="spellStart"/>
            <w:r w:rsidRPr="001E5989">
              <w:rPr>
                <w:sz w:val="20"/>
              </w:rPr>
              <w:t>d’appel</w:t>
            </w:r>
            <w:proofErr w:type="spellEnd"/>
            <w:r w:rsidRPr="001E5989">
              <w:rPr>
                <w:sz w:val="20"/>
              </w:rPr>
              <w:t xml:space="preserve"> </w:t>
            </w:r>
            <w:proofErr w:type="spellStart"/>
            <w:r w:rsidRPr="001E5989">
              <w:rPr>
                <w:sz w:val="20"/>
              </w:rPr>
              <w:t>déposée</w:t>
            </w:r>
            <w:proofErr w:type="spellEnd"/>
          </w:p>
          <w:p w:rsidR="001668F8" w:rsidRPr="001E5989" w:rsidRDefault="001668F8" w:rsidP="00090708">
            <w:pPr>
              <w:jc w:val="both"/>
              <w:rPr>
                <w:sz w:val="20"/>
              </w:rPr>
            </w:pPr>
          </w:p>
        </w:tc>
      </w:tr>
      <w:tr w:rsidR="001668F8" w:rsidRPr="00DB1C5D" w:rsidTr="00090708">
        <w:tc>
          <w:tcPr>
            <w:tcW w:w="2427" w:type="pct"/>
            <w:gridSpan w:val="2"/>
          </w:tcPr>
          <w:p w:rsidR="001668F8" w:rsidRPr="001E5989" w:rsidRDefault="001668F8" w:rsidP="00090708">
            <w:pPr>
              <w:jc w:val="both"/>
              <w:rPr>
                <w:sz w:val="20"/>
                <w:lang w:val="fr-CA"/>
              </w:rPr>
            </w:pPr>
            <w:r w:rsidRPr="001E5989">
              <w:rPr>
                <w:sz w:val="20"/>
                <w:lang w:val="fr-CA"/>
              </w:rPr>
              <w:t>Le 21 décembre 2017</w:t>
            </w:r>
          </w:p>
          <w:p w:rsidR="001668F8" w:rsidRPr="001E5989" w:rsidRDefault="001668F8" w:rsidP="00090708">
            <w:pPr>
              <w:jc w:val="both"/>
              <w:rPr>
                <w:sz w:val="20"/>
                <w:lang w:val="fr-CA"/>
              </w:rPr>
            </w:pPr>
            <w:r w:rsidRPr="001E5989">
              <w:rPr>
                <w:sz w:val="20"/>
                <w:lang w:val="fr-CA"/>
              </w:rPr>
              <w:t>Cour suprême du Canada</w:t>
            </w:r>
          </w:p>
        </w:tc>
        <w:tc>
          <w:tcPr>
            <w:tcW w:w="243" w:type="pct"/>
          </w:tcPr>
          <w:p w:rsidR="001668F8" w:rsidRPr="001E5989" w:rsidRDefault="001668F8" w:rsidP="00090708">
            <w:pPr>
              <w:jc w:val="both"/>
              <w:rPr>
                <w:sz w:val="20"/>
                <w:lang w:val="fr-CA"/>
              </w:rPr>
            </w:pPr>
          </w:p>
        </w:tc>
        <w:tc>
          <w:tcPr>
            <w:tcW w:w="2330" w:type="pct"/>
          </w:tcPr>
          <w:p w:rsidR="001668F8" w:rsidRPr="001E5989" w:rsidRDefault="001668F8" w:rsidP="00090708">
            <w:pPr>
              <w:jc w:val="both"/>
              <w:rPr>
                <w:sz w:val="20"/>
                <w:lang w:val="fr-CA"/>
              </w:rPr>
            </w:pPr>
            <w:r w:rsidRPr="001E5989">
              <w:rPr>
                <w:sz w:val="20"/>
                <w:lang w:val="fr-CA"/>
              </w:rPr>
              <w:t>Requête en prorogation du délai de signification et de dépôt de la demande d’autorisation d’appel déposée</w:t>
            </w:r>
          </w:p>
        </w:tc>
      </w:tr>
    </w:tbl>
    <w:p w:rsidR="001668F8" w:rsidRPr="001E5989" w:rsidRDefault="001668F8" w:rsidP="001668F8">
      <w:pPr>
        <w:jc w:val="both"/>
        <w:rPr>
          <w:sz w:val="20"/>
          <w:lang w:val="fr-CA"/>
        </w:rPr>
      </w:pPr>
    </w:p>
    <w:p w:rsidR="001668F8" w:rsidRPr="001E5989" w:rsidRDefault="001668F8" w:rsidP="001668F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668F8" w:rsidRPr="001E5989" w:rsidTr="00090708">
        <w:tc>
          <w:tcPr>
            <w:tcW w:w="543" w:type="pct"/>
          </w:tcPr>
          <w:p w:rsidR="001668F8" w:rsidRPr="001E5989" w:rsidRDefault="001668F8" w:rsidP="00090708">
            <w:pPr>
              <w:jc w:val="both"/>
              <w:rPr>
                <w:sz w:val="20"/>
              </w:rPr>
            </w:pPr>
            <w:r w:rsidRPr="001E5989">
              <w:rPr>
                <w:rStyle w:val="SCCFileNumberChar"/>
                <w:sz w:val="20"/>
                <w:szCs w:val="20"/>
              </w:rPr>
              <w:lastRenderedPageBreak/>
              <w:t>37892</w:t>
            </w:r>
          </w:p>
        </w:tc>
        <w:tc>
          <w:tcPr>
            <w:tcW w:w="4457" w:type="pct"/>
            <w:gridSpan w:val="3"/>
          </w:tcPr>
          <w:p w:rsidR="001668F8" w:rsidRPr="00034463" w:rsidRDefault="001668F8" w:rsidP="00090708">
            <w:pPr>
              <w:pStyle w:val="SCCLsocParty"/>
              <w:jc w:val="both"/>
              <w:rPr>
                <w:b/>
                <w:sz w:val="20"/>
                <w:szCs w:val="20"/>
                <w:lang w:val="en-US"/>
              </w:rPr>
            </w:pPr>
            <w:r w:rsidRPr="00034463">
              <w:rPr>
                <w:b/>
                <w:sz w:val="20"/>
                <w:szCs w:val="20"/>
                <w:lang w:val="en-US"/>
              </w:rPr>
              <w:t>Arbutus Bay Estates Ltd. v. Attorney General of Canada, Capital Regional District and Her Majesty the Queen in Right of the Province of British Columbia</w:t>
            </w:r>
          </w:p>
          <w:p w:rsidR="001668F8" w:rsidRPr="001E5989" w:rsidRDefault="001668F8" w:rsidP="00090708">
            <w:pPr>
              <w:jc w:val="both"/>
              <w:rPr>
                <w:sz w:val="20"/>
              </w:rPr>
            </w:pPr>
            <w:r w:rsidRPr="001E5989">
              <w:rPr>
                <w:sz w:val="20"/>
              </w:rPr>
              <w:t>(B.C.) (Civil) (By Leave)</w:t>
            </w:r>
          </w:p>
        </w:tc>
      </w:tr>
      <w:tr w:rsidR="00C77A52" w:rsidRPr="001E5989" w:rsidTr="00C77A52">
        <w:tc>
          <w:tcPr>
            <w:tcW w:w="5000" w:type="pct"/>
            <w:gridSpan w:val="4"/>
          </w:tcPr>
          <w:p w:rsidR="00C77A52" w:rsidRPr="00C77A52" w:rsidRDefault="00C77A52" w:rsidP="00090708">
            <w:pPr>
              <w:pStyle w:val="SCCLsocParty"/>
              <w:jc w:val="both"/>
              <w:rPr>
                <w:b/>
                <w:sz w:val="20"/>
                <w:szCs w:val="20"/>
                <w:lang w:val="en-US"/>
              </w:rPr>
            </w:pPr>
            <w:r w:rsidRPr="00C77A52">
              <w:rPr>
                <w:sz w:val="20"/>
                <w:lang w:val="en-US"/>
              </w:rPr>
              <w:t>The application for leave to appeal from the judgment of the Court of Appeal for British Columbia (Vancouver), Number CA44087, 2017 BCCA 374, dated October 27, 2017, with a supplementary judgment dated June 25, 2018, 2018 BCCA 259, is dismissed with costs.</w:t>
            </w:r>
          </w:p>
        </w:tc>
      </w:tr>
      <w:tr w:rsidR="001668F8" w:rsidRPr="001E5989" w:rsidTr="00090708">
        <w:tc>
          <w:tcPr>
            <w:tcW w:w="5000" w:type="pct"/>
            <w:gridSpan w:val="4"/>
          </w:tcPr>
          <w:p w:rsidR="001668F8" w:rsidRPr="001E5989" w:rsidRDefault="001668F8" w:rsidP="00090708">
            <w:pPr>
              <w:jc w:val="both"/>
              <w:rPr>
                <w:sz w:val="20"/>
              </w:rPr>
            </w:pPr>
            <w:r w:rsidRPr="001E5989">
              <w:rPr>
                <w:sz w:val="20"/>
              </w:rPr>
              <w:t xml:space="preserve">Property — Real property — Land registration — Easements — Easement registered on title rectified to allow use of footpath to access public wharf but not to trespass on other lot or park — Whether terms left out or incorrectly recorded in an instrument, are properly considered “unregistered interests” in land, such that s. 29 of British Columbia’s </w:t>
            </w:r>
            <w:r w:rsidRPr="001E5989">
              <w:rPr>
                <w:i/>
                <w:sz w:val="20"/>
              </w:rPr>
              <w:t>Land Title Act</w:t>
            </w:r>
            <w:r w:rsidRPr="001E5989">
              <w:rPr>
                <w:sz w:val="20"/>
              </w:rPr>
              <w:t xml:space="preserve"> and comparable provisions in other Canadian jurisdictions would bar rectification of the instrument against a subsequent purchaser — </w:t>
            </w:r>
            <w:r w:rsidRPr="001E5989">
              <w:rPr>
                <w:i/>
                <w:sz w:val="20"/>
              </w:rPr>
              <w:t>Land Title Act</w:t>
            </w:r>
            <w:r w:rsidRPr="001E5989">
              <w:rPr>
                <w:sz w:val="20"/>
              </w:rPr>
              <w:t xml:space="preserve">, R.S.B.C. 1996, c. 250. </w:t>
            </w:r>
          </w:p>
        </w:tc>
      </w:tr>
      <w:tr w:rsidR="001668F8" w:rsidRPr="001E5989" w:rsidTr="00090708">
        <w:tc>
          <w:tcPr>
            <w:tcW w:w="5000" w:type="pct"/>
            <w:gridSpan w:val="4"/>
          </w:tcPr>
          <w:p w:rsidR="001668F8" w:rsidRPr="001E5989" w:rsidRDefault="001668F8" w:rsidP="00090708">
            <w:pPr>
              <w:jc w:val="both"/>
              <w:rPr>
                <w:sz w:val="20"/>
              </w:rPr>
            </w:pPr>
          </w:p>
          <w:p w:rsidR="001668F8" w:rsidRPr="001E5989" w:rsidRDefault="001668F8" w:rsidP="00090708">
            <w:pPr>
              <w:jc w:val="both"/>
              <w:rPr>
                <w:sz w:val="20"/>
              </w:rPr>
            </w:pPr>
            <w:r w:rsidRPr="001E5989">
              <w:rPr>
                <w:sz w:val="20"/>
              </w:rPr>
              <w:t>This issue in this case stems from an easement granted by a predecessor in title to the applicant, Arbutus Bay Estates Ltd., to the respondent, Her Majesty the Queen in right of the Province of British Columbia. The easement relates to a public wharf located in a water lot in Horton Bay off Mayne Island held by the Government of Canada and managed by the respondent, Capital Regional District (CRD).</w:t>
            </w:r>
          </w:p>
          <w:p w:rsidR="001668F8" w:rsidRPr="001E5989" w:rsidRDefault="001668F8" w:rsidP="00090708">
            <w:pPr>
              <w:jc w:val="both"/>
              <w:rPr>
                <w:sz w:val="20"/>
              </w:rPr>
            </w:pPr>
          </w:p>
          <w:p w:rsidR="001668F8" w:rsidRPr="001E5989" w:rsidRDefault="001668F8" w:rsidP="00090708">
            <w:pPr>
              <w:jc w:val="both"/>
              <w:rPr>
                <w:sz w:val="20"/>
              </w:rPr>
            </w:pPr>
            <w:r w:rsidRPr="001E5989">
              <w:rPr>
                <w:sz w:val="20"/>
              </w:rPr>
              <w:t>The applicant commenced an action seeking a declaration that the operation of the wharf facilities interferes with its riparian rights, damages for breach of its riparian rights, an injunction restraining the respondents from interfering with its riparian rights, damages for nuisance and trespass, as well as other relief, including the cancellation of the registered easement over its lands. The applicant took the position that the wharf is also unlawful because the registered easement expired when the wharf was expanded and when the federal government turned its operation over to the CRD. The respondents, the Attorney General of Canada, the CRD and the Province opposed the applicant’s claims.</w:t>
            </w:r>
          </w:p>
          <w:p w:rsidR="001668F8" w:rsidRPr="001E5989" w:rsidRDefault="001668F8" w:rsidP="00090708">
            <w:pPr>
              <w:jc w:val="both"/>
              <w:rPr>
                <w:sz w:val="20"/>
              </w:rPr>
            </w:pPr>
          </w:p>
          <w:p w:rsidR="001668F8" w:rsidRPr="001E5989" w:rsidRDefault="001668F8" w:rsidP="00090708">
            <w:pPr>
              <w:jc w:val="both"/>
              <w:rPr>
                <w:sz w:val="20"/>
              </w:rPr>
            </w:pPr>
            <w:r w:rsidRPr="001E5989">
              <w:rPr>
                <w:sz w:val="20"/>
              </w:rPr>
              <w:t>The trial judge held the easement gave the public the right of access across the applicant’s land to the wharf, as well as the ancillary right to park vehicles on the applicant’s property on the side of the road. She also held that the easement implicitly gave consent to the interference with the applicant’s riparian right to access the water from its property. In the alternative, if the easement did not give these rights, the trial judge rectified the easement to provide for the rights. She also rectified the easement so that the easement area coincided with the actual location of the wharf and the footpath leading to it, and she awarded damages of $7,500 for the infringement of the applicant’s rights in this regard. Finally, the judge ruled that the easement did not expire when the CRD took over management of the wharf.</w:t>
            </w:r>
          </w:p>
          <w:p w:rsidR="001668F8" w:rsidRPr="001E5989" w:rsidRDefault="001668F8" w:rsidP="00090708">
            <w:pPr>
              <w:jc w:val="both"/>
              <w:rPr>
                <w:sz w:val="20"/>
              </w:rPr>
            </w:pPr>
          </w:p>
          <w:p w:rsidR="001668F8" w:rsidRPr="001E5989" w:rsidRDefault="001668F8" w:rsidP="00090708">
            <w:pPr>
              <w:jc w:val="both"/>
              <w:rPr>
                <w:sz w:val="20"/>
              </w:rPr>
            </w:pPr>
            <w:r w:rsidRPr="001E5989">
              <w:rPr>
                <w:sz w:val="20"/>
              </w:rPr>
              <w:t>The applicant appealed the judge’s rulings regarding the interpretation, rectification and non-expiry of the easement. Canada and the CRD cross-appealed the $7,500 damage award.</w:t>
            </w:r>
          </w:p>
          <w:p w:rsidR="001668F8" w:rsidRPr="001E5989" w:rsidRDefault="001668F8" w:rsidP="00090708">
            <w:pPr>
              <w:jc w:val="both"/>
              <w:rPr>
                <w:sz w:val="20"/>
              </w:rPr>
            </w:pPr>
          </w:p>
          <w:p w:rsidR="001668F8" w:rsidRPr="001E5989" w:rsidRDefault="001668F8" w:rsidP="00090708">
            <w:pPr>
              <w:jc w:val="both"/>
              <w:rPr>
                <w:sz w:val="20"/>
              </w:rPr>
            </w:pPr>
            <w:r w:rsidRPr="001E5989">
              <w:rPr>
                <w:sz w:val="20"/>
              </w:rPr>
              <w:t>The Court of Appeal held the trial judge erred in interpreting the easement to provide for public access to the wharf, but upheld her holdings with respect to rectification. The appeal was allowed to the limited extent of holding that the easement did not include an ancillary right to park on the applicant’s property outside the easement area. The cross-appeal was allowed and the $7,500 damages award set aside.</w:t>
            </w:r>
          </w:p>
          <w:p w:rsidR="001668F8" w:rsidRPr="001E5989" w:rsidRDefault="001668F8" w:rsidP="00090708">
            <w:pPr>
              <w:jc w:val="both"/>
              <w:rPr>
                <w:sz w:val="20"/>
              </w:rPr>
            </w:pPr>
          </w:p>
          <w:p w:rsidR="001668F8" w:rsidRPr="001E5989" w:rsidRDefault="001668F8" w:rsidP="00090708">
            <w:pPr>
              <w:jc w:val="both"/>
              <w:rPr>
                <w:sz w:val="20"/>
              </w:rPr>
            </w:pPr>
            <w:r w:rsidRPr="001E5989">
              <w:rPr>
                <w:sz w:val="20"/>
              </w:rPr>
              <w:t xml:space="preserve">In supplementary reasons, the applicant’s application to reopen the appeal was allowed. The Court of Appeal found CRD liable in trespass for the parking of its employee’s vehicle on the applicant’s land and awarded damages for the trespass in the amount of $2,000. The applicant’s trespass claims against the Province and Canada were dismissed. </w:t>
            </w:r>
          </w:p>
        </w:tc>
      </w:tr>
      <w:tr w:rsidR="001668F8" w:rsidRPr="001E5989" w:rsidTr="00090708">
        <w:tc>
          <w:tcPr>
            <w:tcW w:w="5000" w:type="pct"/>
            <w:gridSpan w:val="4"/>
          </w:tcPr>
          <w:p w:rsidR="001668F8" w:rsidRPr="001E5989" w:rsidRDefault="001668F8" w:rsidP="00090708">
            <w:pPr>
              <w:jc w:val="both"/>
              <w:rPr>
                <w:sz w:val="20"/>
              </w:rPr>
            </w:pPr>
          </w:p>
        </w:tc>
      </w:tr>
      <w:tr w:rsidR="001668F8" w:rsidRPr="001E5989" w:rsidTr="00090708">
        <w:tc>
          <w:tcPr>
            <w:tcW w:w="2427" w:type="pct"/>
            <w:gridSpan w:val="2"/>
          </w:tcPr>
          <w:p w:rsidR="001668F8" w:rsidRPr="001E5989" w:rsidRDefault="001668F8" w:rsidP="00090708">
            <w:pPr>
              <w:jc w:val="both"/>
              <w:rPr>
                <w:sz w:val="20"/>
              </w:rPr>
            </w:pPr>
            <w:r w:rsidRPr="001E5989">
              <w:rPr>
                <w:sz w:val="20"/>
              </w:rPr>
              <w:t>November 14, 2016</w:t>
            </w:r>
          </w:p>
          <w:p w:rsidR="001668F8" w:rsidRPr="001E5989" w:rsidRDefault="001668F8" w:rsidP="00090708">
            <w:pPr>
              <w:jc w:val="both"/>
              <w:rPr>
                <w:sz w:val="20"/>
              </w:rPr>
            </w:pPr>
            <w:r w:rsidRPr="001E5989">
              <w:rPr>
                <w:sz w:val="20"/>
              </w:rPr>
              <w:t>Supreme Court of British Columbia</w:t>
            </w:r>
          </w:p>
          <w:p w:rsidR="001668F8" w:rsidRPr="001E5989" w:rsidRDefault="001668F8" w:rsidP="00090708">
            <w:pPr>
              <w:jc w:val="both"/>
              <w:rPr>
                <w:sz w:val="20"/>
              </w:rPr>
            </w:pPr>
            <w:r w:rsidRPr="001E5989">
              <w:rPr>
                <w:sz w:val="20"/>
              </w:rPr>
              <w:t>(</w:t>
            </w:r>
            <w:proofErr w:type="spellStart"/>
            <w:r w:rsidRPr="001E5989">
              <w:rPr>
                <w:sz w:val="20"/>
              </w:rPr>
              <w:t>Gerow</w:t>
            </w:r>
            <w:proofErr w:type="spellEnd"/>
            <w:r w:rsidRPr="001E5989">
              <w:rPr>
                <w:sz w:val="20"/>
              </w:rPr>
              <w:t xml:space="preserve"> J.)</w:t>
            </w:r>
          </w:p>
          <w:p w:rsidR="001668F8" w:rsidRPr="001E5989" w:rsidRDefault="00F13243" w:rsidP="00090708">
            <w:pPr>
              <w:jc w:val="both"/>
              <w:rPr>
                <w:sz w:val="20"/>
              </w:rPr>
            </w:pPr>
            <w:hyperlink r:id="rId29" w:history="1">
              <w:r w:rsidR="001668F8" w:rsidRPr="001E5989">
                <w:rPr>
                  <w:rStyle w:val="Hyperlink"/>
                  <w:sz w:val="20"/>
                </w:rPr>
                <w:t>2016 BCSC 2083</w:t>
              </w:r>
            </w:hyperlink>
          </w:p>
          <w:p w:rsidR="001668F8" w:rsidRPr="001E5989" w:rsidRDefault="001668F8" w:rsidP="00090708">
            <w:pPr>
              <w:jc w:val="both"/>
              <w:rPr>
                <w:sz w:val="20"/>
              </w:rPr>
            </w:pPr>
          </w:p>
        </w:tc>
        <w:tc>
          <w:tcPr>
            <w:tcW w:w="243" w:type="pct"/>
          </w:tcPr>
          <w:p w:rsidR="001668F8" w:rsidRPr="001E5989" w:rsidRDefault="001668F8" w:rsidP="00090708">
            <w:pPr>
              <w:jc w:val="both"/>
              <w:rPr>
                <w:sz w:val="20"/>
              </w:rPr>
            </w:pPr>
          </w:p>
        </w:tc>
        <w:tc>
          <w:tcPr>
            <w:tcW w:w="2330" w:type="pct"/>
          </w:tcPr>
          <w:p w:rsidR="001668F8" w:rsidRPr="001E5989" w:rsidRDefault="001668F8" w:rsidP="00090708">
            <w:pPr>
              <w:jc w:val="both"/>
              <w:rPr>
                <w:sz w:val="20"/>
              </w:rPr>
            </w:pPr>
            <w:r w:rsidRPr="001E5989">
              <w:rPr>
                <w:sz w:val="20"/>
              </w:rPr>
              <w:t xml:space="preserve">Action allowed in part. Easement allows respondents and members of the public to use footpath to access public wharf and authorizes any impairment of riparian rights. Ancillary right for reasonable parking while accessing wharf facilities found. Applicant awarded damages of $7,500 as a result of footpath and wharf structure being outside of easement. Rectification of easement ordered. </w:t>
            </w:r>
          </w:p>
          <w:p w:rsidR="001668F8" w:rsidRPr="001E5989" w:rsidRDefault="001668F8" w:rsidP="00090708">
            <w:pPr>
              <w:jc w:val="both"/>
              <w:rPr>
                <w:sz w:val="20"/>
              </w:rPr>
            </w:pPr>
          </w:p>
        </w:tc>
      </w:tr>
      <w:tr w:rsidR="001668F8" w:rsidRPr="001E5989" w:rsidTr="00090708">
        <w:tc>
          <w:tcPr>
            <w:tcW w:w="2427" w:type="pct"/>
            <w:gridSpan w:val="2"/>
          </w:tcPr>
          <w:p w:rsidR="001668F8" w:rsidRPr="001E5989" w:rsidRDefault="001668F8" w:rsidP="00090708">
            <w:pPr>
              <w:jc w:val="both"/>
              <w:rPr>
                <w:sz w:val="20"/>
              </w:rPr>
            </w:pPr>
            <w:r w:rsidRPr="001E5989">
              <w:rPr>
                <w:sz w:val="20"/>
              </w:rPr>
              <w:lastRenderedPageBreak/>
              <w:t>October 27, 2017</w:t>
            </w:r>
          </w:p>
          <w:p w:rsidR="001668F8" w:rsidRPr="001E5989" w:rsidRDefault="001668F8" w:rsidP="00090708">
            <w:pPr>
              <w:jc w:val="both"/>
              <w:rPr>
                <w:sz w:val="20"/>
              </w:rPr>
            </w:pPr>
            <w:r w:rsidRPr="001E5989">
              <w:rPr>
                <w:sz w:val="20"/>
              </w:rPr>
              <w:t xml:space="preserve">Court of Appeal for British Columbia </w:t>
            </w:r>
          </w:p>
          <w:p w:rsidR="001668F8" w:rsidRPr="001E5989" w:rsidRDefault="001668F8" w:rsidP="00090708">
            <w:pPr>
              <w:jc w:val="both"/>
              <w:rPr>
                <w:sz w:val="20"/>
              </w:rPr>
            </w:pPr>
            <w:r w:rsidRPr="001E5989">
              <w:rPr>
                <w:sz w:val="20"/>
              </w:rPr>
              <w:t>(Vancouver)</w:t>
            </w:r>
          </w:p>
          <w:p w:rsidR="001668F8" w:rsidRPr="001E5989" w:rsidRDefault="001668F8" w:rsidP="00090708">
            <w:pPr>
              <w:jc w:val="both"/>
              <w:rPr>
                <w:sz w:val="20"/>
              </w:rPr>
            </w:pPr>
            <w:r w:rsidRPr="001E5989">
              <w:rPr>
                <w:sz w:val="20"/>
              </w:rPr>
              <w:t>(</w:t>
            </w:r>
            <w:proofErr w:type="spellStart"/>
            <w:r w:rsidRPr="001E5989">
              <w:rPr>
                <w:sz w:val="20"/>
              </w:rPr>
              <w:t>Tysoe</w:t>
            </w:r>
            <w:proofErr w:type="spellEnd"/>
            <w:r w:rsidRPr="001E5989">
              <w:rPr>
                <w:sz w:val="20"/>
              </w:rPr>
              <w:t>, Fitch and Hunter JJ.A.)</w:t>
            </w:r>
          </w:p>
          <w:p w:rsidR="001668F8" w:rsidRPr="001E5989" w:rsidRDefault="00F13243" w:rsidP="00090708">
            <w:pPr>
              <w:jc w:val="both"/>
              <w:rPr>
                <w:sz w:val="20"/>
              </w:rPr>
            </w:pPr>
            <w:hyperlink r:id="rId30" w:history="1">
              <w:r w:rsidR="001668F8" w:rsidRPr="001E5989">
                <w:rPr>
                  <w:rStyle w:val="Hyperlink"/>
                  <w:sz w:val="20"/>
                </w:rPr>
                <w:t>2017 BCCA 374</w:t>
              </w:r>
            </w:hyperlink>
          </w:p>
          <w:p w:rsidR="001668F8" w:rsidRPr="001E5989" w:rsidRDefault="001668F8" w:rsidP="00090708">
            <w:pPr>
              <w:jc w:val="both"/>
              <w:rPr>
                <w:sz w:val="20"/>
              </w:rPr>
            </w:pPr>
            <w:r w:rsidRPr="001E5989">
              <w:rPr>
                <w:sz w:val="20"/>
              </w:rPr>
              <w:t>File No.: CA44087</w:t>
            </w:r>
          </w:p>
          <w:p w:rsidR="001668F8" w:rsidRPr="001E5989" w:rsidRDefault="001668F8" w:rsidP="00090708">
            <w:pPr>
              <w:jc w:val="both"/>
              <w:rPr>
                <w:sz w:val="20"/>
              </w:rPr>
            </w:pPr>
          </w:p>
        </w:tc>
        <w:tc>
          <w:tcPr>
            <w:tcW w:w="243" w:type="pct"/>
          </w:tcPr>
          <w:p w:rsidR="001668F8" w:rsidRPr="001E5989" w:rsidRDefault="001668F8" w:rsidP="00090708">
            <w:pPr>
              <w:jc w:val="both"/>
              <w:rPr>
                <w:sz w:val="20"/>
              </w:rPr>
            </w:pPr>
          </w:p>
        </w:tc>
        <w:tc>
          <w:tcPr>
            <w:tcW w:w="2330" w:type="pct"/>
          </w:tcPr>
          <w:p w:rsidR="001668F8" w:rsidRPr="001E5989" w:rsidRDefault="001668F8" w:rsidP="00090708">
            <w:pPr>
              <w:jc w:val="both"/>
              <w:rPr>
                <w:sz w:val="20"/>
              </w:rPr>
            </w:pPr>
            <w:r w:rsidRPr="001E5989">
              <w:rPr>
                <w:sz w:val="20"/>
              </w:rPr>
              <w:t xml:space="preserve">Appeal dismissed except on the issue of parking. Cross-appeal of damage award allowed. </w:t>
            </w:r>
          </w:p>
        </w:tc>
      </w:tr>
      <w:tr w:rsidR="001668F8" w:rsidRPr="001E5989" w:rsidTr="00090708">
        <w:tc>
          <w:tcPr>
            <w:tcW w:w="2427" w:type="pct"/>
            <w:gridSpan w:val="2"/>
          </w:tcPr>
          <w:p w:rsidR="001668F8" w:rsidRPr="001E5989" w:rsidRDefault="001668F8" w:rsidP="00090708">
            <w:pPr>
              <w:jc w:val="both"/>
              <w:rPr>
                <w:sz w:val="20"/>
              </w:rPr>
            </w:pPr>
            <w:r w:rsidRPr="001E5989">
              <w:rPr>
                <w:sz w:val="20"/>
              </w:rPr>
              <w:t>June 25, 2018</w:t>
            </w:r>
          </w:p>
          <w:p w:rsidR="001668F8" w:rsidRPr="001E5989" w:rsidRDefault="001668F8" w:rsidP="00090708">
            <w:pPr>
              <w:jc w:val="both"/>
              <w:rPr>
                <w:sz w:val="20"/>
              </w:rPr>
            </w:pPr>
            <w:r w:rsidRPr="001E5989">
              <w:rPr>
                <w:sz w:val="20"/>
              </w:rPr>
              <w:t xml:space="preserve">Court of Appeal for British Columbia </w:t>
            </w:r>
          </w:p>
          <w:p w:rsidR="001668F8" w:rsidRPr="001E5989" w:rsidRDefault="001668F8" w:rsidP="00090708">
            <w:pPr>
              <w:jc w:val="both"/>
              <w:rPr>
                <w:sz w:val="20"/>
              </w:rPr>
            </w:pPr>
            <w:r w:rsidRPr="001E5989">
              <w:rPr>
                <w:sz w:val="20"/>
              </w:rPr>
              <w:t>Supplemental reasons (Vancouver)</w:t>
            </w:r>
          </w:p>
          <w:p w:rsidR="001668F8" w:rsidRPr="001E5989" w:rsidRDefault="001668F8" w:rsidP="00090708">
            <w:pPr>
              <w:jc w:val="both"/>
              <w:rPr>
                <w:sz w:val="20"/>
              </w:rPr>
            </w:pPr>
            <w:r w:rsidRPr="001E5989">
              <w:rPr>
                <w:sz w:val="20"/>
              </w:rPr>
              <w:t>(</w:t>
            </w:r>
            <w:proofErr w:type="spellStart"/>
            <w:r w:rsidRPr="001E5989">
              <w:rPr>
                <w:sz w:val="20"/>
              </w:rPr>
              <w:t>Tysoe</w:t>
            </w:r>
            <w:proofErr w:type="spellEnd"/>
            <w:r w:rsidRPr="001E5989">
              <w:rPr>
                <w:sz w:val="20"/>
              </w:rPr>
              <w:t>, Fitch and Hunter JJ.A.)</w:t>
            </w:r>
          </w:p>
          <w:p w:rsidR="001668F8" w:rsidRPr="001E5989" w:rsidRDefault="00F13243" w:rsidP="00090708">
            <w:pPr>
              <w:jc w:val="both"/>
              <w:rPr>
                <w:sz w:val="20"/>
              </w:rPr>
            </w:pPr>
            <w:hyperlink r:id="rId31" w:history="1">
              <w:r w:rsidR="001668F8" w:rsidRPr="001E5989">
                <w:rPr>
                  <w:rStyle w:val="Hyperlink"/>
                  <w:sz w:val="20"/>
                </w:rPr>
                <w:t>2018 BCCA 259</w:t>
              </w:r>
            </w:hyperlink>
          </w:p>
          <w:p w:rsidR="001668F8" w:rsidRPr="001E5989" w:rsidRDefault="001668F8" w:rsidP="00090708">
            <w:pPr>
              <w:jc w:val="both"/>
              <w:rPr>
                <w:sz w:val="20"/>
              </w:rPr>
            </w:pPr>
            <w:r w:rsidRPr="001E5989">
              <w:rPr>
                <w:sz w:val="20"/>
              </w:rPr>
              <w:t>File No.: CA44087</w:t>
            </w:r>
          </w:p>
          <w:p w:rsidR="001668F8" w:rsidRPr="001E5989" w:rsidRDefault="001668F8" w:rsidP="00090708">
            <w:pPr>
              <w:jc w:val="both"/>
              <w:rPr>
                <w:sz w:val="20"/>
              </w:rPr>
            </w:pPr>
          </w:p>
        </w:tc>
        <w:tc>
          <w:tcPr>
            <w:tcW w:w="243" w:type="pct"/>
          </w:tcPr>
          <w:p w:rsidR="001668F8" w:rsidRPr="001E5989" w:rsidRDefault="001668F8" w:rsidP="00090708">
            <w:pPr>
              <w:jc w:val="both"/>
              <w:rPr>
                <w:sz w:val="20"/>
              </w:rPr>
            </w:pPr>
          </w:p>
        </w:tc>
        <w:tc>
          <w:tcPr>
            <w:tcW w:w="2330" w:type="pct"/>
          </w:tcPr>
          <w:p w:rsidR="001668F8" w:rsidRPr="001E5989" w:rsidRDefault="001668F8" w:rsidP="00090708">
            <w:pPr>
              <w:jc w:val="both"/>
              <w:rPr>
                <w:sz w:val="20"/>
              </w:rPr>
            </w:pPr>
            <w:r w:rsidRPr="001E5989">
              <w:rPr>
                <w:sz w:val="20"/>
              </w:rPr>
              <w:t>Appeal is otherwise dismissed except: Capital Regional District is liable in trespass and damages of $2,000 awarded; Arbutus Bay has liberty to apply for an injunction if CRD employees or agents park vehicles on Lot A; Easement registered on title rectified to allow use of footpath to access public wharf but not to trespass on Lot A, including parking.</w:t>
            </w:r>
          </w:p>
          <w:p w:rsidR="001668F8" w:rsidRPr="001E5989" w:rsidRDefault="001668F8" w:rsidP="00090708">
            <w:pPr>
              <w:jc w:val="both"/>
              <w:rPr>
                <w:sz w:val="20"/>
              </w:rPr>
            </w:pPr>
            <w:r w:rsidRPr="001E5989">
              <w:rPr>
                <w:sz w:val="20"/>
              </w:rPr>
              <w:t xml:space="preserve">Cross-appeal allowed. </w:t>
            </w:r>
          </w:p>
          <w:p w:rsidR="001668F8" w:rsidRPr="001E5989" w:rsidRDefault="001668F8" w:rsidP="00090708">
            <w:pPr>
              <w:jc w:val="both"/>
              <w:rPr>
                <w:sz w:val="20"/>
              </w:rPr>
            </w:pPr>
          </w:p>
        </w:tc>
      </w:tr>
      <w:tr w:rsidR="001668F8" w:rsidRPr="001E5989" w:rsidTr="00090708">
        <w:tc>
          <w:tcPr>
            <w:tcW w:w="2427" w:type="pct"/>
            <w:gridSpan w:val="2"/>
          </w:tcPr>
          <w:p w:rsidR="001668F8" w:rsidRPr="001E5989" w:rsidRDefault="001668F8" w:rsidP="00090708">
            <w:pPr>
              <w:jc w:val="both"/>
              <w:rPr>
                <w:sz w:val="20"/>
              </w:rPr>
            </w:pPr>
            <w:r w:rsidRPr="001E5989">
              <w:rPr>
                <w:sz w:val="20"/>
              </w:rPr>
              <w:t>December 22, 2017</w:t>
            </w:r>
          </w:p>
          <w:p w:rsidR="001668F8" w:rsidRPr="001E5989" w:rsidRDefault="001668F8" w:rsidP="00090708">
            <w:pPr>
              <w:jc w:val="both"/>
              <w:rPr>
                <w:sz w:val="20"/>
              </w:rPr>
            </w:pPr>
            <w:r w:rsidRPr="001E5989">
              <w:rPr>
                <w:sz w:val="20"/>
              </w:rPr>
              <w:t>Supreme Court of Canada</w:t>
            </w:r>
          </w:p>
        </w:tc>
        <w:tc>
          <w:tcPr>
            <w:tcW w:w="243" w:type="pct"/>
          </w:tcPr>
          <w:p w:rsidR="001668F8" w:rsidRPr="001E5989" w:rsidRDefault="001668F8" w:rsidP="00090708">
            <w:pPr>
              <w:jc w:val="both"/>
              <w:rPr>
                <w:sz w:val="20"/>
              </w:rPr>
            </w:pPr>
          </w:p>
        </w:tc>
        <w:tc>
          <w:tcPr>
            <w:tcW w:w="2330" w:type="pct"/>
          </w:tcPr>
          <w:p w:rsidR="001668F8" w:rsidRPr="001E5989" w:rsidRDefault="001668F8" w:rsidP="00090708">
            <w:pPr>
              <w:jc w:val="both"/>
              <w:rPr>
                <w:sz w:val="20"/>
              </w:rPr>
            </w:pPr>
            <w:r w:rsidRPr="001E5989">
              <w:rPr>
                <w:sz w:val="20"/>
              </w:rPr>
              <w:t>Application for leave to appeal filed.</w:t>
            </w:r>
          </w:p>
        </w:tc>
      </w:tr>
    </w:tbl>
    <w:p w:rsidR="001668F8" w:rsidRDefault="001668F8" w:rsidP="001668F8">
      <w:pPr>
        <w:jc w:val="both"/>
        <w:rPr>
          <w:sz w:val="20"/>
        </w:rPr>
      </w:pPr>
    </w:p>
    <w:p w:rsidR="001668F8" w:rsidRPr="001E5989" w:rsidRDefault="001668F8" w:rsidP="001668F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668F8" w:rsidRPr="001E5989" w:rsidTr="00090708">
        <w:tc>
          <w:tcPr>
            <w:tcW w:w="543" w:type="pct"/>
          </w:tcPr>
          <w:p w:rsidR="001668F8" w:rsidRPr="001E5989" w:rsidRDefault="001668F8" w:rsidP="00090708">
            <w:pPr>
              <w:jc w:val="both"/>
              <w:rPr>
                <w:sz w:val="20"/>
                <w:lang w:val="fr-CA"/>
              </w:rPr>
            </w:pPr>
            <w:r w:rsidRPr="001E5989">
              <w:rPr>
                <w:rStyle w:val="SCCFileNumberChar"/>
                <w:sz w:val="20"/>
                <w:szCs w:val="20"/>
                <w:lang w:val="fr-CA"/>
              </w:rPr>
              <w:t>37892</w:t>
            </w:r>
          </w:p>
        </w:tc>
        <w:tc>
          <w:tcPr>
            <w:tcW w:w="4457" w:type="pct"/>
            <w:gridSpan w:val="3"/>
          </w:tcPr>
          <w:p w:rsidR="001668F8" w:rsidRPr="00034463" w:rsidRDefault="001668F8" w:rsidP="00090708">
            <w:pPr>
              <w:pStyle w:val="SCCLsocParty"/>
              <w:jc w:val="both"/>
              <w:rPr>
                <w:b/>
                <w:sz w:val="20"/>
                <w:szCs w:val="20"/>
              </w:rPr>
            </w:pPr>
            <w:proofErr w:type="spellStart"/>
            <w:r w:rsidRPr="00034463">
              <w:rPr>
                <w:b/>
                <w:sz w:val="20"/>
                <w:szCs w:val="20"/>
              </w:rPr>
              <w:t>Arbutus</w:t>
            </w:r>
            <w:proofErr w:type="spellEnd"/>
            <w:r w:rsidRPr="00034463">
              <w:rPr>
                <w:b/>
                <w:sz w:val="20"/>
                <w:szCs w:val="20"/>
              </w:rPr>
              <w:t xml:space="preserve"> </w:t>
            </w:r>
            <w:proofErr w:type="spellStart"/>
            <w:r w:rsidRPr="00034463">
              <w:rPr>
                <w:b/>
                <w:sz w:val="20"/>
                <w:szCs w:val="20"/>
              </w:rPr>
              <w:t>Bay</w:t>
            </w:r>
            <w:proofErr w:type="spellEnd"/>
            <w:r w:rsidRPr="00034463">
              <w:rPr>
                <w:b/>
                <w:sz w:val="20"/>
                <w:szCs w:val="20"/>
              </w:rPr>
              <w:t xml:space="preserve"> </w:t>
            </w:r>
            <w:proofErr w:type="spellStart"/>
            <w:r w:rsidRPr="00034463">
              <w:rPr>
                <w:b/>
                <w:sz w:val="20"/>
                <w:szCs w:val="20"/>
              </w:rPr>
              <w:t>Estates</w:t>
            </w:r>
            <w:proofErr w:type="spellEnd"/>
            <w:r w:rsidRPr="00034463">
              <w:rPr>
                <w:b/>
                <w:sz w:val="20"/>
                <w:szCs w:val="20"/>
              </w:rPr>
              <w:t xml:space="preserve"> Ltd. c. Procureur général du Canada, Capital </w:t>
            </w:r>
            <w:proofErr w:type="spellStart"/>
            <w:r w:rsidRPr="00034463">
              <w:rPr>
                <w:b/>
                <w:sz w:val="20"/>
                <w:szCs w:val="20"/>
              </w:rPr>
              <w:t>Regional</w:t>
            </w:r>
            <w:proofErr w:type="spellEnd"/>
            <w:r w:rsidRPr="00034463">
              <w:rPr>
                <w:b/>
                <w:sz w:val="20"/>
                <w:szCs w:val="20"/>
              </w:rPr>
              <w:t xml:space="preserve"> District et Sa Majesté la Reine du chef de la province de la Colombie-Britannique</w:t>
            </w:r>
          </w:p>
          <w:p w:rsidR="001668F8" w:rsidRPr="001E5989" w:rsidRDefault="001668F8" w:rsidP="00090708">
            <w:pPr>
              <w:jc w:val="both"/>
              <w:rPr>
                <w:sz w:val="20"/>
                <w:lang w:val="fr-CA"/>
              </w:rPr>
            </w:pPr>
            <w:r w:rsidRPr="001E5989">
              <w:rPr>
                <w:sz w:val="20"/>
                <w:lang w:val="fr-CA"/>
              </w:rPr>
              <w:t>(C.-B.) (Civile) (Autorisation)</w:t>
            </w:r>
          </w:p>
        </w:tc>
      </w:tr>
      <w:tr w:rsidR="00290BF2" w:rsidRPr="00DB1C5D" w:rsidTr="00290BF2">
        <w:tc>
          <w:tcPr>
            <w:tcW w:w="5000" w:type="pct"/>
            <w:gridSpan w:val="4"/>
          </w:tcPr>
          <w:p w:rsidR="00290BF2" w:rsidRPr="00290BF2" w:rsidRDefault="00290BF2" w:rsidP="00090708">
            <w:pPr>
              <w:pStyle w:val="SCCLsocParty"/>
              <w:jc w:val="both"/>
              <w:rPr>
                <w:b/>
                <w:sz w:val="20"/>
                <w:szCs w:val="20"/>
              </w:rPr>
            </w:pPr>
            <w:r w:rsidRPr="00290BF2">
              <w:rPr>
                <w:sz w:val="20"/>
              </w:rPr>
              <w:t>La demande d’autorisation d’appel de l’arrêt de la Cour d’appel de la Colombie-Britannique (Vancouver), numéro CA44087, 2017 BCCA 374, daté du 27 octobre 2017, et du jugement supplémentaire daté du 25 juin 2018, 2018 BCCA 259, est rejetée avec dépens.</w:t>
            </w:r>
          </w:p>
        </w:tc>
      </w:tr>
      <w:tr w:rsidR="001668F8" w:rsidRPr="00DB1C5D" w:rsidTr="00090708">
        <w:tc>
          <w:tcPr>
            <w:tcW w:w="5000" w:type="pct"/>
            <w:gridSpan w:val="4"/>
          </w:tcPr>
          <w:p w:rsidR="001668F8" w:rsidRPr="001E5989" w:rsidRDefault="001668F8" w:rsidP="00090708">
            <w:pPr>
              <w:jc w:val="both"/>
              <w:rPr>
                <w:sz w:val="20"/>
                <w:lang w:val="fr-CA"/>
              </w:rPr>
            </w:pPr>
            <w:r w:rsidRPr="001E5989">
              <w:rPr>
                <w:sz w:val="20"/>
                <w:lang w:val="fr-CA"/>
              </w:rPr>
              <w:t>Biens — Biens réels — Enregistrement foncier — Servitudes — Servitude enregistrée contre un titre rectifiée pour permettre l’utilisation d’une allée piétonne afin de donner accès à un quai public, mais non l’intrusion sur un autre lot ou parc  — Des dispositions non inscrites ou mal enregistrées dans un instrument peuvent-elles à bon droit être considérées comme des « droits non enregistrés » (</w:t>
            </w:r>
            <w:proofErr w:type="spellStart"/>
            <w:r w:rsidRPr="001E5989">
              <w:rPr>
                <w:i/>
                <w:sz w:val="20"/>
                <w:lang w:val="fr-CA"/>
              </w:rPr>
              <w:t>unregistered</w:t>
            </w:r>
            <w:proofErr w:type="spellEnd"/>
            <w:r w:rsidRPr="001E5989">
              <w:rPr>
                <w:i/>
                <w:sz w:val="20"/>
                <w:lang w:val="fr-CA"/>
              </w:rPr>
              <w:t xml:space="preserve"> </w:t>
            </w:r>
            <w:proofErr w:type="spellStart"/>
            <w:r w:rsidRPr="001E5989">
              <w:rPr>
                <w:i/>
                <w:sz w:val="20"/>
                <w:lang w:val="fr-CA"/>
              </w:rPr>
              <w:t>interests</w:t>
            </w:r>
            <w:proofErr w:type="spellEnd"/>
            <w:r w:rsidRPr="001E5989">
              <w:rPr>
                <w:sz w:val="20"/>
                <w:lang w:val="fr-CA"/>
              </w:rPr>
              <w:t xml:space="preserve">) à l’égard d’un bien-fonds, faisant en sorte que l’art. 29 de la </w:t>
            </w:r>
            <w:r w:rsidRPr="001E5989">
              <w:rPr>
                <w:i/>
                <w:sz w:val="20"/>
                <w:lang w:val="fr-CA"/>
              </w:rPr>
              <w:t xml:space="preserve">Land </w:t>
            </w:r>
            <w:proofErr w:type="spellStart"/>
            <w:r w:rsidRPr="001E5989">
              <w:rPr>
                <w:i/>
                <w:sz w:val="20"/>
                <w:lang w:val="fr-CA"/>
              </w:rPr>
              <w:t>Title</w:t>
            </w:r>
            <w:proofErr w:type="spellEnd"/>
            <w:r w:rsidRPr="001E5989">
              <w:rPr>
                <w:i/>
                <w:sz w:val="20"/>
                <w:lang w:val="fr-CA"/>
              </w:rPr>
              <w:t xml:space="preserve"> </w:t>
            </w:r>
            <w:proofErr w:type="spellStart"/>
            <w:r w:rsidRPr="001E5989">
              <w:rPr>
                <w:i/>
                <w:sz w:val="20"/>
                <w:lang w:val="fr-CA"/>
              </w:rPr>
              <w:t>Act</w:t>
            </w:r>
            <w:proofErr w:type="spellEnd"/>
            <w:r w:rsidRPr="001E5989">
              <w:rPr>
                <w:sz w:val="20"/>
                <w:lang w:val="fr-CA"/>
              </w:rPr>
              <w:t xml:space="preserve"> de la Colombie-Britannique et d’autres versions comparables dans d’autres provinces ou territoires canadiens empêcheraient la rectification de l’instrument pour valoir contre un acheteur subséquent? — </w:t>
            </w:r>
            <w:r w:rsidRPr="001E5989">
              <w:rPr>
                <w:i/>
                <w:sz w:val="20"/>
                <w:lang w:val="fr-CA"/>
              </w:rPr>
              <w:t xml:space="preserve">Land </w:t>
            </w:r>
            <w:proofErr w:type="spellStart"/>
            <w:r w:rsidRPr="001E5989">
              <w:rPr>
                <w:i/>
                <w:sz w:val="20"/>
                <w:lang w:val="fr-CA"/>
              </w:rPr>
              <w:t>Title</w:t>
            </w:r>
            <w:proofErr w:type="spellEnd"/>
            <w:r w:rsidRPr="001E5989">
              <w:rPr>
                <w:i/>
                <w:sz w:val="20"/>
                <w:lang w:val="fr-CA"/>
              </w:rPr>
              <w:t xml:space="preserve"> </w:t>
            </w:r>
            <w:proofErr w:type="spellStart"/>
            <w:r w:rsidRPr="001E5989">
              <w:rPr>
                <w:i/>
                <w:sz w:val="20"/>
                <w:lang w:val="fr-CA"/>
              </w:rPr>
              <w:t>Act</w:t>
            </w:r>
            <w:proofErr w:type="spellEnd"/>
            <w:r w:rsidRPr="001E5989">
              <w:rPr>
                <w:sz w:val="20"/>
                <w:lang w:val="fr-CA"/>
              </w:rPr>
              <w:t xml:space="preserve">, R.S.B.C. 1996, ch. 250. </w:t>
            </w:r>
          </w:p>
        </w:tc>
      </w:tr>
      <w:tr w:rsidR="001668F8" w:rsidRPr="00DB1C5D" w:rsidTr="00090708">
        <w:tc>
          <w:tcPr>
            <w:tcW w:w="5000" w:type="pct"/>
            <w:gridSpan w:val="4"/>
          </w:tcPr>
          <w:p w:rsidR="001668F8" w:rsidRPr="001E5989" w:rsidRDefault="001668F8" w:rsidP="00090708">
            <w:pPr>
              <w:jc w:val="both"/>
              <w:rPr>
                <w:sz w:val="20"/>
                <w:lang w:val="fr-CA"/>
              </w:rPr>
            </w:pPr>
          </w:p>
          <w:p w:rsidR="001668F8" w:rsidRPr="001E5989" w:rsidRDefault="001668F8" w:rsidP="00090708">
            <w:pPr>
              <w:jc w:val="both"/>
              <w:rPr>
                <w:sz w:val="20"/>
                <w:lang w:val="fr-CA"/>
              </w:rPr>
            </w:pPr>
            <w:r w:rsidRPr="001E5989">
              <w:rPr>
                <w:sz w:val="20"/>
                <w:lang w:val="fr-CA"/>
              </w:rPr>
              <w:t xml:space="preserve">La question en litige en l’espèce découle d’une servitude accordée par le prédécesseur de la demanderesse, </w:t>
            </w:r>
            <w:proofErr w:type="spellStart"/>
            <w:r w:rsidRPr="001E5989">
              <w:rPr>
                <w:sz w:val="20"/>
                <w:lang w:val="fr-CA"/>
              </w:rPr>
              <w:t>Arbutus</w:t>
            </w:r>
            <w:proofErr w:type="spellEnd"/>
            <w:r w:rsidRPr="001E5989">
              <w:rPr>
                <w:sz w:val="20"/>
                <w:lang w:val="fr-CA"/>
              </w:rPr>
              <w:t xml:space="preserve"> </w:t>
            </w:r>
            <w:proofErr w:type="spellStart"/>
            <w:r w:rsidRPr="001E5989">
              <w:rPr>
                <w:sz w:val="20"/>
                <w:lang w:val="fr-CA"/>
              </w:rPr>
              <w:t>Bay</w:t>
            </w:r>
            <w:proofErr w:type="spellEnd"/>
            <w:r w:rsidRPr="001E5989">
              <w:rPr>
                <w:sz w:val="20"/>
                <w:lang w:val="fr-CA"/>
              </w:rPr>
              <w:t xml:space="preserve"> </w:t>
            </w:r>
            <w:proofErr w:type="spellStart"/>
            <w:r w:rsidRPr="001E5989">
              <w:rPr>
                <w:sz w:val="20"/>
                <w:lang w:val="fr-CA"/>
              </w:rPr>
              <w:t>Estates</w:t>
            </w:r>
            <w:proofErr w:type="spellEnd"/>
            <w:r w:rsidRPr="001E5989">
              <w:rPr>
                <w:sz w:val="20"/>
                <w:lang w:val="fr-CA"/>
              </w:rPr>
              <w:t xml:space="preserve"> Ltd., à l’intimée, Sa Majesté du chef de la province de la Colombie-Britannique. La servitude se rapporte à un quai public situé dans un lot d’eau dans Horton </w:t>
            </w:r>
            <w:proofErr w:type="spellStart"/>
            <w:r w:rsidRPr="001E5989">
              <w:rPr>
                <w:sz w:val="20"/>
                <w:lang w:val="fr-CA"/>
              </w:rPr>
              <w:t>Bay</w:t>
            </w:r>
            <w:proofErr w:type="spellEnd"/>
            <w:r w:rsidRPr="001E5989">
              <w:rPr>
                <w:sz w:val="20"/>
                <w:lang w:val="fr-CA"/>
              </w:rPr>
              <w:t xml:space="preserve"> au large de </w:t>
            </w:r>
            <w:proofErr w:type="spellStart"/>
            <w:r w:rsidRPr="001E5989">
              <w:rPr>
                <w:sz w:val="20"/>
                <w:lang w:val="fr-CA"/>
              </w:rPr>
              <w:t>Mayne</w:t>
            </w:r>
            <w:proofErr w:type="spellEnd"/>
            <w:r w:rsidRPr="001E5989">
              <w:rPr>
                <w:sz w:val="20"/>
                <w:lang w:val="fr-CA"/>
              </w:rPr>
              <w:t xml:space="preserve"> Island, détenu par le gouvernement du Canada et géré par l’intimé, Capital </w:t>
            </w:r>
            <w:proofErr w:type="spellStart"/>
            <w:r w:rsidRPr="001E5989">
              <w:rPr>
                <w:sz w:val="20"/>
                <w:lang w:val="fr-CA"/>
              </w:rPr>
              <w:t>Regional</w:t>
            </w:r>
            <w:proofErr w:type="spellEnd"/>
            <w:r w:rsidRPr="001E5989">
              <w:rPr>
                <w:sz w:val="20"/>
                <w:lang w:val="fr-CA"/>
              </w:rPr>
              <w:t xml:space="preserve"> District (CRD).</w:t>
            </w:r>
          </w:p>
          <w:p w:rsidR="001668F8" w:rsidRPr="001E5989" w:rsidRDefault="001668F8" w:rsidP="00090708">
            <w:pPr>
              <w:jc w:val="both"/>
              <w:rPr>
                <w:sz w:val="20"/>
                <w:lang w:val="fr-CA"/>
              </w:rPr>
            </w:pPr>
          </w:p>
          <w:p w:rsidR="001668F8" w:rsidRPr="001E5989" w:rsidRDefault="001668F8" w:rsidP="00090708">
            <w:pPr>
              <w:jc w:val="both"/>
              <w:rPr>
                <w:sz w:val="20"/>
                <w:lang w:val="fr-CA"/>
              </w:rPr>
            </w:pPr>
            <w:r w:rsidRPr="001E5989">
              <w:rPr>
                <w:sz w:val="20"/>
                <w:lang w:val="fr-CA"/>
              </w:rPr>
              <w:t xml:space="preserve">La demanderesse a intenté une action en vue d’obtenir un jugement déclarant que l’exploitation des installations du quai porte atteinte à ses droits de riverain, des dommages-intérêts pour violation de ses droits de riverain, une injonction empêchant les intimés de porter atteinte à ses droits de riverain, des dommages-intérêts pour nuisance et intrusion et d’autres mesures de redressement, y compris l’annulation de la servitude enregistrée sur ses biens-fonds. La </w:t>
            </w:r>
            <w:proofErr w:type="gramStart"/>
            <w:r w:rsidRPr="001E5989">
              <w:rPr>
                <w:sz w:val="20"/>
                <w:lang w:val="fr-CA"/>
              </w:rPr>
              <w:t>demanderesse prétend</w:t>
            </w:r>
            <w:proofErr w:type="gramEnd"/>
            <w:r w:rsidRPr="001E5989">
              <w:rPr>
                <w:sz w:val="20"/>
                <w:lang w:val="fr-CA"/>
              </w:rPr>
              <w:t xml:space="preserve"> que le quai est illégal lui aussi, parce que la servitude enregistrée a expiré lorsque le quai a été agrandi et lorsque le gouvernement fédéral en a confié l’exploitation au CRD. Les intimés, c’est-à-dire le procureur général du Canada, le CRD et la Province se sont opposés aux revendications de la demanderesse.</w:t>
            </w:r>
          </w:p>
          <w:p w:rsidR="001668F8" w:rsidRPr="001E5989" w:rsidRDefault="001668F8" w:rsidP="00090708">
            <w:pPr>
              <w:jc w:val="both"/>
              <w:rPr>
                <w:sz w:val="20"/>
                <w:lang w:val="fr-CA"/>
              </w:rPr>
            </w:pPr>
          </w:p>
          <w:p w:rsidR="001668F8" w:rsidRPr="001E5989" w:rsidRDefault="001668F8" w:rsidP="00090708">
            <w:pPr>
              <w:jc w:val="both"/>
              <w:rPr>
                <w:sz w:val="20"/>
                <w:lang w:val="fr-CA"/>
              </w:rPr>
            </w:pPr>
            <w:r w:rsidRPr="001E5989">
              <w:rPr>
                <w:sz w:val="20"/>
                <w:lang w:val="fr-CA"/>
              </w:rPr>
              <w:t xml:space="preserve">La juge de première instance a statué que la servitude donnait au public le droit d’accès au quai, en passant sur le bien-fonds de la demanderesse, ainsi que le droit accessoire de stationner des véhicules sur la propriété de la demanderesse en bordure du chemin. Elle a également statué que la servitude donnait implicitement le consentement à l’atteinte aux </w:t>
            </w:r>
            <w:r w:rsidRPr="001E5989">
              <w:rPr>
                <w:sz w:val="20"/>
                <w:lang w:val="fr-CA"/>
              </w:rPr>
              <w:lastRenderedPageBreak/>
              <w:t>droits de riverain de la demanderesse pour avoir accès à l’eau à partir de sa propriété. Subsidiairement, si la servitude n’accordait pas ces droits, la juge de première instance rectifiait la servitude pour les prévoir. Elle a également rectifié la servitude pour que l’assiette de la servitude coïncide avec l’emplacement réel du quai et de l’allée piétonne qui y mène et elle a accordé des dommages-intérêts de 7 500 $ au titre de l’atteinte des droits de la demanderesse à cet égard. Enfin, la juge de première instance a statué que la servitude n’avait pas expiré lorsque CRD a pris en charge la gestion du quai.</w:t>
            </w:r>
          </w:p>
          <w:p w:rsidR="001668F8" w:rsidRPr="001E5989" w:rsidRDefault="001668F8" w:rsidP="00090708">
            <w:pPr>
              <w:jc w:val="both"/>
              <w:rPr>
                <w:sz w:val="20"/>
                <w:lang w:val="fr-CA"/>
              </w:rPr>
            </w:pPr>
          </w:p>
          <w:p w:rsidR="001668F8" w:rsidRPr="001E5989" w:rsidRDefault="001668F8" w:rsidP="00090708">
            <w:pPr>
              <w:jc w:val="both"/>
              <w:rPr>
                <w:sz w:val="20"/>
                <w:lang w:val="fr-CA"/>
              </w:rPr>
            </w:pPr>
            <w:r w:rsidRPr="001E5989">
              <w:rPr>
                <w:sz w:val="20"/>
                <w:lang w:val="fr-CA"/>
              </w:rPr>
              <w:t>La demanderesse a interjeté appel des décisions de la juge relativement à l’interprétation, à la rectification et à la non-expiration de la servitude. Le Canada et CRD ont interjeté un appel incident de la condamnation aux dommages-intérêts de 7 500 $.</w:t>
            </w:r>
          </w:p>
          <w:p w:rsidR="001668F8" w:rsidRPr="001E5989" w:rsidRDefault="001668F8" w:rsidP="00090708">
            <w:pPr>
              <w:jc w:val="both"/>
              <w:rPr>
                <w:sz w:val="20"/>
                <w:lang w:val="fr-CA"/>
              </w:rPr>
            </w:pPr>
          </w:p>
          <w:p w:rsidR="001668F8" w:rsidRPr="001E5989" w:rsidRDefault="001668F8" w:rsidP="00090708">
            <w:pPr>
              <w:jc w:val="both"/>
              <w:rPr>
                <w:sz w:val="20"/>
                <w:lang w:val="fr-CA"/>
              </w:rPr>
            </w:pPr>
            <w:r w:rsidRPr="001E5989">
              <w:rPr>
                <w:sz w:val="20"/>
                <w:lang w:val="fr-CA"/>
              </w:rPr>
              <w:t>La Cour d’appel a statué que la juge de première instance avait commis une erreur dans l’interprétation de la servitude comme donnant un accès public au quai, mais a confirmé ses conclusions en ce qui concerne la rectification. L’appel a été accueilli en partie, la Cour d’appel se limitant à statuer que la servitude ne comprenait pas un droit accessoire de stationner sur la propriété de la demanderesse à l’extérieur de l’assiette de la servitude. L’appel incident a été accueilli et la condamnation aux dommages-intérêts de 7 500 $ a été annulée.</w:t>
            </w:r>
          </w:p>
          <w:p w:rsidR="001668F8" w:rsidRPr="001E5989" w:rsidRDefault="001668F8" w:rsidP="00090708">
            <w:pPr>
              <w:jc w:val="both"/>
              <w:rPr>
                <w:sz w:val="20"/>
                <w:lang w:val="fr-CA"/>
              </w:rPr>
            </w:pPr>
          </w:p>
          <w:p w:rsidR="001668F8" w:rsidRPr="001E5989" w:rsidRDefault="001668F8" w:rsidP="00090708">
            <w:pPr>
              <w:jc w:val="both"/>
              <w:rPr>
                <w:sz w:val="20"/>
                <w:lang w:val="fr-CA"/>
              </w:rPr>
            </w:pPr>
            <w:r w:rsidRPr="001E5989">
              <w:rPr>
                <w:sz w:val="20"/>
                <w:lang w:val="fr-CA"/>
              </w:rPr>
              <w:t xml:space="preserve">Dans des motifs supplémentaires, la demande de la demanderesse en réouverture de l’appel a été accueillie. La Cour d’appel a jugé que le CRD avait commis une intrusion par le stationnement du véhicule de son employé sur le bien-fonds de la demanderesse et a accordé des dommages-intérêts de 2 000 $ à ce titre. Les demandes de la demanderesse en intrusion intentées contre la Province et le Canada ont été rejetées. </w:t>
            </w:r>
          </w:p>
        </w:tc>
      </w:tr>
      <w:tr w:rsidR="001668F8" w:rsidRPr="00DB1C5D" w:rsidTr="00090708">
        <w:tc>
          <w:tcPr>
            <w:tcW w:w="5000" w:type="pct"/>
            <w:gridSpan w:val="4"/>
          </w:tcPr>
          <w:p w:rsidR="001668F8" w:rsidRPr="001E5989" w:rsidRDefault="001668F8" w:rsidP="00090708">
            <w:pPr>
              <w:jc w:val="both"/>
              <w:rPr>
                <w:sz w:val="20"/>
                <w:lang w:val="fr-CA"/>
              </w:rPr>
            </w:pPr>
          </w:p>
        </w:tc>
      </w:tr>
      <w:tr w:rsidR="001668F8" w:rsidRPr="00DB1C5D" w:rsidTr="00090708">
        <w:tc>
          <w:tcPr>
            <w:tcW w:w="2427" w:type="pct"/>
            <w:gridSpan w:val="2"/>
          </w:tcPr>
          <w:p w:rsidR="001668F8" w:rsidRPr="001E5989" w:rsidRDefault="001668F8" w:rsidP="00090708">
            <w:pPr>
              <w:jc w:val="both"/>
              <w:rPr>
                <w:sz w:val="20"/>
                <w:lang w:val="fr-CA"/>
              </w:rPr>
            </w:pPr>
            <w:r w:rsidRPr="001E5989">
              <w:rPr>
                <w:sz w:val="20"/>
                <w:lang w:val="fr-CA"/>
              </w:rPr>
              <w:t>14 novembre 2016</w:t>
            </w:r>
          </w:p>
          <w:p w:rsidR="001668F8" w:rsidRPr="001E5989" w:rsidRDefault="001668F8" w:rsidP="00090708">
            <w:pPr>
              <w:jc w:val="both"/>
              <w:rPr>
                <w:sz w:val="20"/>
                <w:lang w:val="fr-CA"/>
              </w:rPr>
            </w:pPr>
            <w:r w:rsidRPr="001E5989">
              <w:rPr>
                <w:sz w:val="20"/>
                <w:lang w:val="fr-CA"/>
              </w:rPr>
              <w:t>Cour suprême de la Colombie-Britannique</w:t>
            </w:r>
          </w:p>
          <w:p w:rsidR="001668F8" w:rsidRPr="001E5989" w:rsidRDefault="001668F8" w:rsidP="00090708">
            <w:pPr>
              <w:jc w:val="both"/>
              <w:rPr>
                <w:sz w:val="20"/>
                <w:lang w:val="fr-CA"/>
              </w:rPr>
            </w:pPr>
            <w:r w:rsidRPr="001E5989">
              <w:rPr>
                <w:sz w:val="20"/>
                <w:lang w:val="fr-CA"/>
              </w:rPr>
              <w:t xml:space="preserve">(Juge </w:t>
            </w:r>
            <w:proofErr w:type="spellStart"/>
            <w:r w:rsidRPr="001E5989">
              <w:rPr>
                <w:sz w:val="20"/>
                <w:lang w:val="fr-CA"/>
              </w:rPr>
              <w:t>Gerow</w:t>
            </w:r>
            <w:proofErr w:type="spellEnd"/>
            <w:r w:rsidRPr="001E5989">
              <w:rPr>
                <w:sz w:val="20"/>
                <w:lang w:val="fr-CA"/>
              </w:rPr>
              <w:t>)</w:t>
            </w:r>
          </w:p>
          <w:p w:rsidR="001668F8" w:rsidRPr="001E5989" w:rsidRDefault="00F13243" w:rsidP="00090708">
            <w:pPr>
              <w:jc w:val="both"/>
              <w:rPr>
                <w:sz w:val="20"/>
                <w:lang w:val="fr-CA"/>
              </w:rPr>
            </w:pPr>
            <w:hyperlink r:id="rId32" w:history="1">
              <w:r w:rsidR="001668F8" w:rsidRPr="001E5989">
                <w:rPr>
                  <w:rStyle w:val="Hyperlink"/>
                  <w:sz w:val="20"/>
                  <w:lang w:val="fr-CA"/>
                </w:rPr>
                <w:t>2016 BCSC 2083</w:t>
              </w:r>
            </w:hyperlink>
          </w:p>
          <w:p w:rsidR="001668F8" w:rsidRPr="001E5989" w:rsidRDefault="001668F8" w:rsidP="00090708">
            <w:pPr>
              <w:jc w:val="both"/>
              <w:rPr>
                <w:sz w:val="20"/>
                <w:lang w:val="fr-CA"/>
              </w:rPr>
            </w:pPr>
          </w:p>
        </w:tc>
        <w:tc>
          <w:tcPr>
            <w:tcW w:w="243" w:type="pct"/>
          </w:tcPr>
          <w:p w:rsidR="001668F8" w:rsidRPr="001E5989" w:rsidRDefault="001668F8" w:rsidP="00090708">
            <w:pPr>
              <w:jc w:val="both"/>
              <w:rPr>
                <w:sz w:val="20"/>
                <w:lang w:val="fr-CA"/>
              </w:rPr>
            </w:pPr>
          </w:p>
        </w:tc>
        <w:tc>
          <w:tcPr>
            <w:tcW w:w="2330" w:type="pct"/>
          </w:tcPr>
          <w:p w:rsidR="001668F8" w:rsidRPr="001E5989" w:rsidRDefault="001668F8" w:rsidP="00090708">
            <w:pPr>
              <w:jc w:val="both"/>
              <w:rPr>
                <w:sz w:val="20"/>
                <w:lang w:val="fr-CA"/>
              </w:rPr>
            </w:pPr>
            <w:r w:rsidRPr="001E5989">
              <w:rPr>
                <w:sz w:val="20"/>
                <w:lang w:val="fr-CA"/>
              </w:rPr>
              <w:t xml:space="preserve">Jugement accueillant l’action en partie et statuant que la servitude permet aux intimés et au public d’utiliser l’allée piétonne pour avoir accès au quai public et autorise toute atteinte aux droits de riverain, concluant à l’existence d’un droit accessoire de stationnement raisonnable pendant l’accès aux installations du quai, accordant à la demanderesse des dommages-intérêts de 7 500 $ du fait que l’allée piétonne et la structure du quai se trouvent à l’extérieur de l’assiette de la servitude et ordonnant la rectification de la servitude. </w:t>
            </w:r>
          </w:p>
          <w:p w:rsidR="001668F8" w:rsidRPr="001E5989" w:rsidRDefault="001668F8" w:rsidP="00090708">
            <w:pPr>
              <w:jc w:val="both"/>
              <w:rPr>
                <w:sz w:val="20"/>
                <w:lang w:val="fr-CA"/>
              </w:rPr>
            </w:pPr>
          </w:p>
        </w:tc>
      </w:tr>
      <w:tr w:rsidR="001668F8" w:rsidRPr="00DB1C5D" w:rsidTr="00090708">
        <w:tc>
          <w:tcPr>
            <w:tcW w:w="2427" w:type="pct"/>
            <w:gridSpan w:val="2"/>
          </w:tcPr>
          <w:p w:rsidR="001668F8" w:rsidRPr="001E5989" w:rsidRDefault="001668F8" w:rsidP="00090708">
            <w:pPr>
              <w:jc w:val="both"/>
              <w:rPr>
                <w:sz w:val="20"/>
                <w:lang w:val="fr-CA"/>
              </w:rPr>
            </w:pPr>
            <w:r w:rsidRPr="001E5989">
              <w:rPr>
                <w:sz w:val="20"/>
                <w:lang w:val="fr-CA"/>
              </w:rPr>
              <w:t>27 octobre 2017</w:t>
            </w:r>
          </w:p>
          <w:p w:rsidR="001668F8" w:rsidRPr="001E5989" w:rsidRDefault="001668F8" w:rsidP="00090708">
            <w:pPr>
              <w:jc w:val="both"/>
              <w:rPr>
                <w:sz w:val="20"/>
                <w:lang w:val="fr-CA"/>
              </w:rPr>
            </w:pPr>
            <w:r w:rsidRPr="001E5989">
              <w:rPr>
                <w:sz w:val="20"/>
                <w:lang w:val="fr-CA"/>
              </w:rPr>
              <w:t>Cour d’appel de la Colombie-Britannique</w:t>
            </w:r>
          </w:p>
          <w:p w:rsidR="001668F8" w:rsidRPr="001E5989" w:rsidRDefault="001668F8" w:rsidP="00090708">
            <w:pPr>
              <w:jc w:val="both"/>
              <w:rPr>
                <w:sz w:val="20"/>
                <w:lang w:val="fr-CA"/>
              </w:rPr>
            </w:pPr>
            <w:r w:rsidRPr="001E5989">
              <w:rPr>
                <w:sz w:val="20"/>
                <w:lang w:val="fr-CA"/>
              </w:rPr>
              <w:t>(Vancouver)</w:t>
            </w:r>
          </w:p>
          <w:p w:rsidR="001668F8" w:rsidRPr="001E5989" w:rsidRDefault="001668F8" w:rsidP="00090708">
            <w:pPr>
              <w:jc w:val="both"/>
              <w:rPr>
                <w:sz w:val="20"/>
                <w:lang w:val="fr-CA"/>
              </w:rPr>
            </w:pPr>
            <w:r w:rsidRPr="001E5989">
              <w:rPr>
                <w:sz w:val="20"/>
                <w:lang w:val="fr-CA"/>
              </w:rPr>
              <w:t xml:space="preserve">(Juges </w:t>
            </w:r>
            <w:proofErr w:type="spellStart"/>
            <w:r w:rsidRPr="001E5989">
              <w:rPr>
                <w:sz w:val="20"/>
                <w:lang w:val="fr-CA"/>
              </w:rPr>
              <w:t>Tysoe</w:t>
            </w:r>
            <w:proofErr w:type="spellEnd"/>
            <w:r w:rsidRPr="001E5989">
              <w:rPr>
                <w:sz w:val="20"/>
                <w:lang w:val="fr-CA"/>
              </w:rPr>
              <w:t xml:space="preserve">, </w:t>
            </w:r>
            <w:proofErr w:type="spellStart"/>
            <w:r w:rsidRPr="001E5989">
              <w:rPr>
                <w:sz w:val="20"/>
                <w:lang w:val="fr-CA"/>
              </w:rPr>
              <w:t>Fitch</w:t>
            </w:r>
            <w:proofErr w:type="spellEnd"/>
            <w:r w:rsidRPr="001E5989">
              <w:rPr>
                <w:sz w:val="20"/>
                <w:lang w:val="fr-CA"/>
              </w:rPr>
              <w:t xml:space="preserve"> et Hunter)</w:t>
            </w:r>
          </w:p>
          <w:p w:rsidR="001668F8" w:rsidRPr="001E5989" w:rsidRDefault="00F13243" w:rsidP="00090708">
            <w:pPr>
              <w:jc w:val="both"/>
              <w:rPr>
                <w:sz w:val="20"/>
                <w:lang w:val="fr-CA"/>
              </w:rPr>
            </w:pPr>
            <w:hyperlink r:id="rId33" w:history="1">
              <w:r w:rsidR="001668F8" w:rsidRPr="001E5989">
                <w:rPr>
                  <w:rStyle w:val="Hyperlink"/>
                  <w:sz w:val="20"/>
                  <w:lang w:val="fr-CA"/>
                </w:rPr>
                <w:t>2017 BCCA 374</w:t>
              </w:r>
            </w:hyperlink>
          </w:p>
          <w:p w:rsidR="001668F8" w:rsidRPr="001E5989" w:rsidRDefault="001668F8" w:rsidP="00090708">
            <w:pPr>
              <w:jc w:val="both"/>
              <w:rPr>
                <w:sz w:val="20"/>
                <w:lang w:val="fr-CA"/>
              </w:rPr>
            </w:pPr>
            <w:r w:rsidRPr="001E5989">
              <w:rPr>
                <w:sz w:val="20"/>
                <w:lang w:val="fr-CA"/>
              </w:rPr>
              <w:t>N</w:t>
            </w:r>
            <w:r w:rsidRPr="001E5989">
              <w:rPr>
                <w:sz w:val="20"/>
                <w:vertAlign w:val="superscript"/>
                <w:lang w:val="fr-CA"/>
              </w:rPr>
              <w:t>o</w:t>
            </w:r>
            <w:r w:rsidRPr="001E5989">
              <w:rPr>
                <w:sz w:val="20"/>
                <w:lang w:val="fr-CA"/>
              </w:rPr>
              <w:t xml:space="preserve"> de dossier : CA44087</w:t>
            </w:r>
          </w:p>
          <w:p w:rsidR="001668F8" w:rsidRPr="001E5989" w:rsidRDefault="001668F8" w:rsidP="00090708">
            <w:pPr>
              <w:jc w:val="both"/>
              <w:rPr>
                <w:sz w:val="20"/>
                <w:lang w:val="fr-CA"/>
              </w:rPr>
            </w:pPr>
          </w:p>
        </w:tc>
        <w:tc>
          <w:tcPr>
            <w:tcW w:w="243" w:type="pct"/>
          </w:tcPr>
          <w:p w:rsidR="001668F8" w:rsidRPr="001E5989" w:rsidRDefault="001668F8" w:rsidP="00090708">
            <w:pPr>
              <w:jc w:val="both"/>
              <w:rPr>
                <w:sz w:val="20"/>
                <w:lang w:val="fr-CA"/>
              </w:rPr>
            </w:pPr>
          </w:p>
        </w:tc>
        <w:tc>
          <w:tcPr>
            <w:tcW w:w="2330" w:type="pct"/>
          </w:tcPr>
          <w:p w:rsidR="001668F8" w:rsidRPr="001E5989" w:rsidRDefault="001668F8" w:rsidP="00090708">
            <w:pPr>
              <w:jc w:val="both"/>
              <w:rPr>
                <w:sz w:val="20"/>
                <w:lang w:val="fr-CA"/>
              </w:rPr>
            </w:pPr>
            <w:r w:rsidRPr="001E5989">
              <w:rPr>
                <w:sz w:val="20"/>
                <w:lang w:val="fr-CA"/>
              </w:rPr>
              <w:t xml:space="preserve">Arrêt rejetant l’appel à l’exception de la question du stationnement et accueillant l’appel incident de la condamnation aux dommages-intérêts. </w:t>
            </w:r>
          </w:p>
        </w:tc>
      </w:tr>
      <w:tr w:rsidR="001668F8" w:rsidRPr="001E5989" w:rsidTr="00090708">
        <w:tc>
          <w:tcPr>
            <w:tcW w:w="2427" w:type="pct"/>
            <w:gridSpan w:val="2"/>
          </w:tcPr>
          <w:p w:rsidR="001668F8" w:rsidRPr="001E5989" w:rsidRDefault="001668F8" w:rsidP="00090708">
            <w:pPr>
              <w:jc w:val="both"/>
              <w:rPr>
                <w:sz w:val="20"/>
                <w:lang w:val="fr-CA"/>
              </w:rPr>
            </w:pPr>
            <w:r w:rsidRPr="001E5989">
              <w:rPr>
                <w:sz w:val="20"/>
                <w:lang w:val="fr-CA"/>
              </w:rPr>
              <w:t>25 juin 2018</w:t>
            </w:r>
          </w:p>
          <w:p w:rsidR="001668F8" w:rsidRPr="001E5989" w:rsidRDefault="001668F8" w:rsidP="00090708">
            <w:pPr>
              <w:jc w:val="both"/>
              <w:rPr>
                <w:sz w:val="20"/>
                <w:lang w:val="fr-CA"/>
              </w:rPr>
            </w:pPr>
            <w:r w:rsidRPr="001E5989">
              <w:rPr>
                <w:sz w:val="20"/>
                <w:lang w:val="fr-CA"/>
              </w:rPr>
              <w:t xml:space="preserve">Cour d’appel de la Colombie-Britannique </w:t>
            </w:r>
          </w:p>
          <w:p w:rsidR="001668F8" w:rsidRPr="001E5989" w:rsidRDefault="001668F8" w:rsidP="00090708">
            <w:pPr>
              <w:jc w:val="both"/>
              <w:rPr>
                <w:sz w:val="20"/>
                <w:lang w:val="fr-CA"/>
              </w:rPr>
            </w:pPr>
            <w:r w:rsidRPr="001E5989">
              <w:rPr>
                <w:sz w:val="20"/>
                <w:lang w:val="fr-CA"/>
              </w:rPr>
              <w:t>Motifs supplémentaires (Vancouver)</w:t>
            </w:r>
          </w:p>
          <w:p w:rsidR="001668F8" w:rsidRPr="001E5989" w:rsidRDefault="001668F8" w:rsidP="00090708">
            <w:pPr>
              <w:jc w:val="both"/>
              <w:rPr>
                <w:sz w:val="20"/>
                <w:lang w:val="fr-CA"/>
              </w:rPr>
            </w:pPr>
            <w:r w:rsidRPr="001E5989">
              <w:rPr>
                <w:sz w:val="20"/>
                <w:lang w:val="fr-CA"/>
              </w:rPr>
              <w:t xml:space="preserve">(Juges </w:t>
            </w:r>
            <w:proofErr w:type="spellStart"/>
            <w:r w:rsidRPr="001E5989">
              <w:rPr>
                <w:sz w:val="20"/>
                <w:lang w:val="fr-CA"/>
              </w:rPr>
              <w:t>Tysoe</w:t>
            </w:r>
            <w:proofErr w:type="spellEnd"/>
            <w:r w:rsidRPr="001E5989">
              <w:rPr>
                <w:sz w:val="20"/>
                <w:lang w:val="fr-CA"/>
              </w:rPr>
              <w:t xml:space="preserve">, </w:t>
            </w:r>
            <w:proofErr w:type="spellStart"/>
            <w:r w:rsidRPr="001E5989">
              <w:rPr>
                <w:sz w:val="20"/>
                <w:lang w:val="fr-CA"/>
              </w:rPr>
              <w:t>Fitch</w:t>
            </w:r>
            <w:proofErr w:type="spellEnd"/>
            <w:r w:rsidRPr="001E5989">
              <w:rPr>
                <w:sz w:val="20"/>
                <w:lang w:val="fr-CA"/>
              </w:rPr>
              <w:t xml:space="preserve"> et Hunter)</w:t>
            </w:r>
          </w:p>
          <w:p w:rsidR="001668F8" w:rsidRPr="001E5989" w:rsidRDefault="00F13243" w:rsidP="00090708">
            <w:pPr>
              <w:jc w:val="both"/>
              <w:rPr>
                <w:sz w:val="20"/>
                <w:lang w:val="fr-CA"/>
              </w:rPr>
            </w:pPr>
            <w:hyperlink r:id="rId34" w:history="1">
              <w:r w:rsidR="001668F8" w:rsidRPr="001E5989">
                <w:rPr>
                  <w:rStyle w:val="Hyperlink"/>
                  <w:sz w:val="20"/>
                  <w:lang w:val="fr-CA"/>
                </w:rPr>
                <w:t>2018 BCCA 259</w:t>
              </w:r>
            </w:hyperlink>
          </w:p>
          <w:p w:rsidR="001668F8" w:rsidRPr="001E5989" w:rsidRDefault="001668F8" w:rsidP="00090708">
            <w:pPr>
              <w:jc w:val="both"/>
              <w:rPr>
                <w:sz w:val="20"/>
                <w:lang w:val="fr-CA"/>
              </w:rPr>
            </w:pPr>
            <w:r w:rsidRPr="001E5989">
              <w:rPr>
                <w:sz w:val="20"/>
                <w:lang w:val="fr-CA"/>
              </w:rPr>
              <w:t>N</w:t>
            </w:r>
            <w:r w:rsidRPr="001E5989">
              <w:rPr>
                <w:sz w:val="20"/>
                <w:vertAlign w:val="superscript"/>
                <w:lang w:val="fr-CA"/>
              </w:rPr>
              <w:t>o</w:t>
            </w:r>
            <w:r w:rsidRPr="001E5989">
              <w:rPr>
                <w:sz w:val="20"/>
                <w:lang w:val="fr-CA"/>
              </w:rPr>
              <w:t xml:space="preserve"> de dossier : CA44087</w:t>
            </w:r>
          </w:p>
          <w:p w:rsidR="001668F8" w:rsidRPr="001E5989" w:rsidRDefault="001668F8" w:rsidP="00090708">
            <w:pPr>
              <w:jc w:val="both"/>
              <w:rPr>
                <w:sz w:val="20"/>
                <w:lang w:val="fr-CA"/>
              </w:rPr>
            </w:pPr>
          </w:p>
        </w:tc>
        <w:tc>
          <w:tcPr>
            <w:tcW w:w="243" w:type="pct"/>
          </w:tcPr>
          <w:p w:rsidR="001668F8" w:rsidRPr="001E5989" w:rsidRDefault="001668F8" w:rsidP="00090708">
            <w:pPr>
              <w:jc w:val="both"/>
              <w:rPr>
                <w:sz w:val="20"/>
                <w:lang w:val="fr-CA"/>
              </w:rPr>
            </w:pPr>
          </w:p>
        </w:tc>
        <w:tc>
          <w:tcPr>
            <w:tcW w:w="2330" w:type="pct"/>
          </w:tcPr>
          <w:p w:rsidR="001668F8" w:rsidRPr="001E5989" w:rsidRDefault="001668F8" w:rsidP="00090708">
            <w:pPr>
              <w:jc w:val="both"/>
              <w:rPr>
                <w:sz w:val="20"/>
                <w:lang w:val="fr-CA"/>
              </w:rPr>
            </w:pPr>
            <w:r w:rsidRPr="001E5989">
              <w:rPr>
                <w:sz w:val="20"/>
                <w:lang w:val="fr-CA"/>
              </w:rPr>
              <w:t xml:space="preserve">Rejet de l’appel à l’exception de ce qui suit : Capital </w:t>
            </w:r>
            <w:proofErr w:type="spellStart"/>
            <w:r w:rsidRPr="001E5989">
              <w:rPr>
                <w:sz w:val="20"/>
                <w:lang w:val="fr-CA"/>
              </w:rPr>
              <w:t>Regional</w:t>
            </w:r>
            <w:proofErr w:type="spellEnd"/>
            <w:r w:rsidRPr="001E5989">
              <w:rPr>
                <w:sz w:val="20"/>
                <w:lang w:val="fr-CA"/>
              </w:rPr>
              <w:t xml:space="preserve"> District est responsable d’intrusion et condamné à des dommages-intérêts de 2 000 $; il est loisible à </w:t>
            </w:r>
            <w:proofErr w:type="spellStart"/>
            <w:r w:rsidRPr="001E5989">
              <w:rPr>
                <w:sz w:val="20"/>
                <w:lang w:val="fr-CA"/>
              </w:rPr>
              <w:t>Arbutus</w:t>
            </w:r>
            <w:proofErr w:type="spellEnd"/>
            <w:r w:rsidRPr="001E5989">
              <w:rPr>
                <w:sz w:val="20"/>
                <w:lang w:val="fr-CA"/>
              </w:rPr>
              <w:t xml:space="preserve"> </w:t>
            </w:r>
            <w:proofErr w:type="spellStart"/>
            <w:r w:rsidRPr="001E5989">
              <w:rPr>
                <w:sz w:val="20"/>
                <w:lang w:val="fr-CA"/>
              </w:rPr>
              <w:t>Bay</w:t>
            </w:r>
            <w:proofErr w:type="spellEnd"/>
            <w:r w:rsidRPr="001E5989">
              <w:rPr>
                <w:sz w:val="20"/>
                <w:lang w:val="fr-CA"/>
              </w:rPr>
              <w:t xml:space="preserve"> de demander une injonction si des employés ou des mandataires du CRD ou des agents du parc stationnent des véhicules sur le Lot A; servitude enregistrée sur le titre rectifiée pour permettre l’utilisation de l’allée piétonne afin d’avoir accès au quai public, mais non pour commettre une intrusion sur le Lot A, notamment en stationnant.</w:t>
            </w:r>
          </w:p>
          <w:p w:rsidR="001668F8" w:rsidRPr="001E5989" w:rsidRDefault="001668F8" w:rsidP="00090708">
            <w:pPr>
              <w:jc w:val="both"/>
              <w:rPr>
                <w:sz w:val="20"/>
                <w:lang w:val="fr-CA"/>
              </w:rPr>
            </w:pPr>
            <w:r w:rsidRPr="001E5989">
              <w:rPr>
                <w:sz w:val="20"/>
                <w:lang w:val="fr-CA"/>
              </w:rPr>
              <w:t xml:space="preserve">Arrêt accueillant l’appel incident. </w:t>
            </w:r>
          </w:p>
          <w:p w:rsidR="001668F8" w:rsidRPr="001E5989" w:rsidRDefault="001668F8" w:rsidP="00090708">
            <w:pPr>
              <w:jc w:val="both"/>
              <w:rPr>
                <w:sz w:val="20"/>
                <w:lang w:val="fr-CA"/>
              </w:rPr>
            </w:pPr>
          </w:p>
        </w:tc>
      </w:tr>
      <w:tr w:rsidR="001668F8" w:rsidRPr="00DB1C5D" w:rsidTr="00090708">
        <w:tc>
          <w:tcPr>
            <w:tcW w:w="2427" w:type="pct"/>
            <w:gridSpan w:val="2"/>
          </w:tcPr>
          <w:p w:rsidR="001668F8" w:rsidRPr="001E5989" w:rsidRDefault="001668F8" w:rsidP="00090708">
            <w:pPr>
              <w:jc w:val="both"/>
              <w:rPr>
                <w:sz w:val="20"/>
                <w:lang w:val="fr-CA"/>
              </w:rPr>
            </w:pPr>
            <w:r w:rsidRPr="001E5989">
              <w:rPr>
                <w:sz w:val="20"/>
                <w:lang w:val="fr-CA"/>
              </w:rPr>
              <w:lastRenderedPageBreak/>
              <w:t>22 décembre 2017</w:t>
            </w:r>
          </w:p>
          <w:p w:rsidR="001668F8" w:rsidRPr="001E5989" w:rsidRDefault="001668F8" w:rsidP="00090708">
            <w:pPr>
              <w:jc w:val="both"/>
              <w:rPr>
                <w:sz w:val="20"/>
                <w:lang w:val="fr-CA"/>
              </w:rPr>
            </w:pPr>
            <w:r w:rsidRPr="001E5989">
              <w:rPr>
                <w:sz w:val="20"/>
                <w:lang w:val="fr-CA"/>
              </w:rPr>
              <w:t>Cour suprême du Canada</w:t>
            </w:r>
          </w:p>
        </w:tc>
        <w:tc>
          <w:tcPr>
            <w:tcW w:w="243" w:type="pct"/>
          </w:tcPr>
          <w:p w:rsidR="001668F8" w:rsidRPr="001E5989" w:rsidRDefault="001668F8" w:rsidP="00090708">
            <w:pPr>
              <w:jc w:val="both"/>
              <w:rPr>
                <w:sz w:val="20"/>
                <w:lang w:val="fr-CA"/>
              </w:rPr>
            </w:pPr>
          </w:p>
        </w:tc>
        <w:tc>
          <w:tcPr>
            <w:tcW w:w="2330" w:type="pct"/>
          </w:tcPr>
          <w:p w:rsidR="001668F8" w:rsidRPr="001E5989" w:rsidRDefault="001668F8" w:rsidP="00090708">
            <w:pPr>
              <w:jc w:val="both"/>
              <w:rPr>
                <w:sz w:val="20"/>
                <w:lang w:val="fr-CA"/>
              </w:rPr>
            </w:pPr>
            <w:r w:rsidRPr="001E5989">
              <w:rPr>
                <w:sz w:val="20"/>
                <w:lang w:val="fr-CA"/>
              </w:rPr>
              <w:t>Dépôt de la demande d’autorisation d’appel.</w:t>
            </w:r>
          </w:p>
        </w:tc>
      </w:tr>
    </w:tbl>
    <w:p w:rsidR="001668F8" w:rsidRPr="001E5989" w:rsidRDefault="001668F8" w:rsidP="001668F8">
      <w:pPr>
        <w:jc w:val="both"/>
        <w:rPr>
          <w:sz w:val="20"/>
          <w:lang w:val="fr-CA"/>
        </w:rPr>
      </w:pPr>
    </w:p>
    <w:p w:rsidR="001668F8" w:rsidRPr="001E5989" w:rsidRDefault="001668F8" w:rsidP="001668F8">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668F8" w:rsidRPr="001E5989" w:rsidTr="00090708">
        <w:tc>
          <w:tcPr>
            <w:tcW w:w="543" w:type="pct"/>
          </w:tcPr>
          <w:p w:rsidR="001668F8" w:rsidRPr="001E5989" w:rsidRDefault="001668F8" w:rsidP="00090708">
            <w:pPr>
              <w:jc w:val="both"/>
              <w:rPr>
                <w:sz w:val="20"/>
              </w:rPr>
            </w:pPr>
            <w:r w:rsidRPr="001E5989">
              <w:rPr>
                <w:rStyle w:val="SCCFileNumberChar"/>
                <w:sz w:val="20"/>
                <w:szCs w:val="20"/>
              </w:rPr>
              <w:t>38034</w:t>
            </w:r>
          </w:p>
        </w:tc>
        <w:tc>
          <w:tcPr>
            <w:tcW w:w="4457" w:type="pct"/>
            <w:gridSpan w:val="3"/>
          </w:tcPr>
          <w:p w:rsidR="001668F8" w:rsidRPr="00034463" w:rsidRDefault="001668F8" w:rsidP="00090708">
            <w:pPr>
              <w:pStyle w:val="SCCLsocParty"/>
              <w:jc w:val="both"/>
              <w:rPr>
                <w:b/>
                <w:sz w:val="20"/>
                <w:szCs w:val="20"/>
                <w:lang w:val="en-CA"/>
              </w:rPr>
            </w:pPr>
            <w:r w:rsidRPr="00034463">
              <w:rPr>
                <w:b/>
                <w:sz w:val="20"/>
                <w:szCs w:val="20"/>
                <w:lang w:val="en-CA"/>
              </w:rPr>
              <w:t>X v. Her Majesty the Queen</w:t>
            </w:r>
          </w:p>
          <w:p w:rsidR="001668F8" w:rsidRPr="001E5989" w:rsidRDefault="001668F8" w:rsidP="00090708">
            <w:pPr>
              <w:jc w:val="both"/>
              <w:rPr>
                <w:sz w:val="20"/>
              </w:rPr>
            </w:pPr>
            <w:r w:rsidRPr="001E5989">
              <w:rPr>
                <w:sz w:val="20"/>
              </w:rPr>
              <w:t>(Que.) (Criminal) (By Leave)</w:t>
            </w:r>
          </w:p>
        </w:tc>
      </w:tr>
      <w:tr w:rsidR="00255553" w:rsidRPr="00DB1C5D" w:rsidTr="00255553">
        <w:tc>
          <w:tcPr>
            <w:tcW w:w="5000" w:type="pct"/>
            <w:gridSpan w:val="4"/>
          </w:tcPr>
          <w:p w:rsidR="00255553" w:rsidRPr="00255553" w:rsidRDefault="00255553" w:rsidP="00090708">
            <w:pPr>
              <w:pStyle w:val="SCCLsocParty"/>
              <w:jc w:val="both"/>
              <w:rPr>
                <w:b/>
                <w:sz w:val="20"/>
                <w:szCs w:val="20"/>
              </w:rPr>
            </w:pPr>
            <w:r w:rsidRPr="00255553">
              <w:rPr>
                <w:sz w:val="20"/>
              </w:rPr>
              <w:t>La demande d’autorisation d’appel de l’arrêt de la Cour d’appel du Québec (Montréal), numéro 500-08-000487-159, 2018 QCCA 117, daté du 25 janvier 2018, est rejetée.</w:t>
            </w:r>
          </w:p>
        </w:tc>
      </w:tr>
      <w:tr w:rsidR="001668F8" w:rsidRPr="001E5989" w:rsidTr="00090708">
        <w:tc>
          <w:tcPr>
            <w:tcW w:w="5000" w:type="pct"/>
            <w:gridSpan w:val="4"/>
          </w:tcPr>
          <w:p w:rsidR="001668F8" w:rsidRPr="001E5989" w:rsidRDefault="001668F8" w:rsidP="00090708">
            <w:pPr>
              <w:pStyle w:val="SCCBanSummary"/>
              <w:rPr>
                <w:sz w:val="20"/>
                <w:szCs w:val="20"/>
              </w:rPr>
            </w:pPr>
            <w:r w:rsidRPr="001E5989">
              <w:rPr>
                <w:sz w:val="20"/>
                <w:szCs w:val="20"/>
              </w:rPr>
              <w:t>(Publication ban in case) (Publication ban on party) (Court file contains information that is not available for inspection by the public)</w:t>
            </w:r>
          </w:p>
          <w:p w:rsidR="001668F8" w:rsidRPr="001E5989" w:rsidRDefault="001668F8" w:rsidP="00090708">
            <w:pPr>
              <w:jc w:val="both"/>
              <w:rPr>
                <w:sz w:val="20"/>
              </w:rPr>
            </w:pPr>
          </w:p>
        </w:tc>
      </w:tr>
      <w:tr w:rsidR="001668F8" w:rsidRPr="001E5989" w:rsidTr="00090708">
        <w:tc>
          <w:tcPr>
            <w:tcW w:w="5000" w:type="pct"/>
            <w:gridSpan w:val="4"/>
          </w:tcPr>
          <w:p w:rsidR="001668F8" w:rsidRPr="001E5989" w:rsidRDefault="001668F8" w:rsidP="00090708">
            <w:pPr>
              <w:jc w:val="both"/>
              <w:rPr>
                <w:sz w:val="20"/>
              </w:rPr>
            </w:pPr>
            <w:r w:rsidRPr="001E5989">
              <w:rPr>
                <w:sz w:val="20"/>
              </w:rPr>
              <w:t>Criminal law – Sexual assault – Unreasonable verdict – Whether Court of Appeal erred in law by failing to exhaust its appellate jurisdiction in finding that verdict was not unreasonable without speaking to questions of law raised by applicant that would lead to order for new trial – Whether Quebec Court of Appeal erred in law in its analysis on issue of unreasonable verdict.</w:t>
            </w:r>
          </w:p>
        </w:tc>
      </w:tr>
      <w:tr w:rsidR="001668F8" w:rsidRPr="001E5989" w:rsidTr="00090708">
        <w:tc>
          <w:tcPr>
            <w:tcW w:w="5000" w:type="pct"/>
            <w:gridSpan w:val="4"/>
          </w:tcPr>
          <w:p w:rsidR="001668F8" w:rsidRPr="001E5989" w:rsidRDefault="001668F8" w:rsidP="00090708">
            <w:pPr>
              <w:jc w:val="both"/>
              <w:rPr>
                <w:sz w:val="20"/>
              </w:rPr>
            </w:pPr>
          </w:p>
          <w:p w:rsidR="001668F8" w:rsidRPr="001E5989" w:rsidRDefault="001668F8" w:rsidP="00090708">
            <w:pPr>
              <w:jc w:val="both"/>
              <w:rPr>
                <w:sz w:val="20"/>
              </w:rPr>
            </w:pPr>
            <w:r w:rsidRPr="001E5989">
              <w:rPr>
                <w:sz w:val="20"/>
              </w:rPr>
              <w:t>The applicant was convicted of sexual assault. At the time of the events, both the applicant and the complainant were minors. The Crown’s theory of the case was that the complainant was spending the night at the applicant’s home and that while she was sleeping, the applicant indulged in sexual relations involving vaginal penetration from behind her without her consent. In his appeal, the applicant submitted that the trial judge had made errors of law and that the verdict was unreasonable. The Court of Appeal dismissed the appeal, finding that the trial judge had reviewed all the evidence and had weighed the strengths and weaknesses of the various witnesses’ testimony in order to arrive at a reasoned conclusion on the probative value of the evidence as a whole. The court also found that the trial judge had not split the evidence in a fragmentary or unequal manner and that her reasons did not support a conclusion that she had imposed on the applicant a burden that was not his to bear.</w:t>
            </w:r>
          </w:p>
          <w:p w:rsidR="001668F8" w:rsidRPr="001E5989" w:rsidRDefault="001668F8" w:rsidP="00090708">
            <w:pPr>
              <w:jc w:val="both"/>
              <w:rPr>
                <w:sz w:val="20"/>
              </w:rPr>
            </w:pPr>
          </w:p>
        </w:tc>
      </w:tr>
      <w:tr w:rsidR="001668F8" w:rsidRPr="001E5989" w:rsidTr="00090708">
        <w:tc>
          <w:tcPr>
            <w:tcW w:w="2427" w:type="pct"/>
            <w:gridSpan w:val="2"/>
          </w:tcPr>
          <w:p w:rsidR="001668F8" w:rsidRPr="001E5989" w:rsidRDefault="001668F8" w:rsidP="00090708">
            <w:pPr>
              <w:jc w:val="both"/>
              <w:rPr>
                <w:sz w:val="20"/>
              </w:rPr>
            </w:pPr>
            <w:r w:rsidRPr="001E5989">
              <w:rPr>
                <w:sz w:val="20"/>
              </w:rPr>
              <w:t>May 27, 2015</w:t>
            </w:r>
          </w:p>
          <w:p w:rsidR="001668F8" w:rsidRPr="001E5989" w:rsidRDefault="001668F8" w:rsidP="00090708">
            <w:pPr>
              <w:jc w:val="both"/>
              <w:rPr>
                <w:sz w:val="20"/>
              </w:rPr>
            </w:pPr>
            <w:r w:rsidRPr="001E5989">
              <w:rPr>
                <w:sz w:val="20"/>
              </w:rPr>
              <w:t>Court of Québec</w:t>
            </w:r>
          </w:p>
          <w:p w:rsidR="001668F8" w:rsidRPr="001E5989" w:rsidRDefault="001668F8" w:rsidP="00090708">
            <w:pPr>
              <w:jc w:val="both"/>
              <w:rPr>
                <w:sz w:val="20"/>
              </w:rPr>
            </w:pPr>
            <w:r w:rsidRPr="001E5989">
              <w:rPr>
                <w:sz w:val="20"/>
              </w:rPr>
              <w:t>(Judge Garneau-Fournier)</w:t>
            </w:r>
          </w:p>
          <w:p w:rsidR="001668F8" w:rsidRPr="001E5989" w:rsidRDefault="001668F8" w:rsidP="00090708">
            <w:pPr>
              <w:jc w:val="both"/>
              <w:rPr>
                <w:sz w:val="20"/>
              </w:rPr>
            </w:pPr>
          </w:p>
        </w:tc>
        <w:tc>
          <w:tcPr>
            <w:tcW w:w="243" w:type="pct"/>
          </w:tcPr>
          <w:p w:rsidR="001668F8" w:rsidRPr="001E5989" w:rsidRDefault="001668F8" w:rsidP="00090708">
            <w:pPr>
              <w:jc w:val="both"/>
              <w:rPr>
                <w:sz w:val="20"/>
              </w:rPr>
            </w:pPr>
          </w:p>
        </w:tc>
        <w:tc>
          <w:tcPr>
            <w:tcW w:w="2330" w:type="pct"/>
          </w:tcPr>
          <w:p w:rsidR="001668F8" w:rsidRPr="001E5989" w:rsidRDefault="001668F8" w:rsidP="00090708">
            <w:pPr>
              <w:jc w:val="both"/>
              <w:rPr>
                <w:sz w:val="20"/>
              </w:rPr>
            </w:pPr>
            <w:r w:rsidRPr="001E5989">
              <w:rPr>
                <w:sz w:val="20"/>
              </w:rPr>
              <w:t xml:space="preserve">Applicant convicted of sexual assault </w:t>
            </w:r>
          </w:p>
        </w:tc>
      </w:tr>
      <w:tr w:rsidR="001668F8" w:rsidRPr="001E5989" w:rsidTr="00090708">
        <w:tc>
          <w:tcPr>
            <w:tcW w:w="2427" w:type="pct"/>
            <w:gridSpan w:val="2"/>
          </w:tcPr>
          <w:p w:rsidR="001668F8" w:rsidRPr="001E5989" w:rsidRDefault="001668F8" w:rsidP="00090708">
            <w:pPr>
              <w:jc w:val="both"/>
              <w:rPr>
                <w:sz w:val="20"/>
              </w:rPr>
            </w:pPr>
            <w:r w:rsidRPr="001E5989">
              <w:rPr>
                <w:sz w:val="20"/>
              </w:rPr>
              <w:t>January 25, 2018</w:t>
            </w:r>
          </w:p>
          <w:p w:rsidR="001668F8" w:rsidRPr="001E5989" w:rsidRDefault="001668F8" w:rsidP="00090708">
            <w:pPr>
              <w:jc w:val="both"/>
              <w:rPr>
                <w:sz w:val="20"/>
              </w:rPr>
            </w:pPr>
            <w:r w:rsidRPr="001E5989">
              <w:rPr>
                <w:sz w:val="20"/>
              </w:rPr>
              <w:t>Quebec Court of Appeal (Montréal)</w:t>
            </w:r>
          </w:p>
          <w:p w:rsidR="001668F8" w:rsidRPr="001E5989" w:rsidRDefault="001668F8" w:rsidP="00090708">
            <w:pPr>
              <w:jc w:val="both"/>
              <w:rPr>
                <w:sz w:val="20"/>
              </w:rPr>
            </w:pPr>
            <w:r w:rsidRPr="001E5989">
              <w:rPr>
                <w:sz w:val="20"/>
              </w:rPr>
              <w:t>(Dufresne, Lévesque and Healy JJ.A.)</w:t>
            </w:r>
          </w:p>
          <w:p w:rsidR="001668F8" w:rsidRPr="001E5989" w:rsidRDefault="001668F8" w:rsidP="00090708">
            <w:pPr>
              <w:jc w:val="both"/>
              <w:rPr>
                <w:sz w:val="20"/>
              </w:rPr>
            </w:pPr>
          </w:p>
        </w:tc>
        <w:tc>
          <w:tcPr>
            <w:tcW w:w="243" w:type="pct"/>
          </w:tcPr>
          <w:p w:rsidR="001668F8" w:rsidRPr="001E5989" w:rsidRDefault="001668F8" w:rsidP="00090708">
            <w:pPr>
              <w:jc w:val="both"/>
              <w:rPr>
                <w:sz w:val="20"/>
              </w:rPr>
            </w:pPr>
          </w:p>
        </w:tc>
        <w:tc>
          <w:tcPr>
            <w:tcW w:w="2330" w:type="pct"/>
          </w:tcPr>
          <w:p w:rsidR="001668F8" w:rsidRPr="001E5989" w:rsidRDefault="001668F8" w:rsidP="00090708">
            <w:pPr>
              <w:jc w:val="both"/>
              <w:rPr>
                <w:sz w:val="20"/>
              </w:rPr>
            </w:pPr>
            <w:r w:rsidRPr="001E5989">
              <w:rPr>
                <w:sz w:val="20"/>
              </w:rPr>
              <w:t>Appeal dismissed</w:t>
            </w:r>
          </w:p>
          <w:p w:rsidR="001668F8" w:rsidRPr="001E5989" w:rsidRDefault="001668F8" w:rsidP="00090708">
            <w:pPr>
              <w:jc w:val="both"/>
              <w:rPr>
                <w:sz w:val="20"/>
              </w:rPr>
            </w:pPr>
          </w:p>
        </w:tc>
      </w:tr>
      <w:tr w:rsidR="001668F8" w:rsidRPr="001E5989" w:rsidTr="00090708">
        <w:tc>
          <w:tcPr>
            <w:tcW w:w="2427" w:type="pct"/>
            <w:gridSpan w:val="2"/>
          </w:tcPr>
          <w:p w:rsidR="001668F8" w:rsidRPr="001E5989" w:rsidRDefault="001668F8" w:rsidP="00090708">
            <w:pPr>
              <w:jc w:val="both"/>
              <w:rPr>
                <w:sz w:val="20"/>
              </w:rPr>
            </w:pPr>
            <w:r w:rsidRPr="001E5989">
              <w:rPr>
                <w:sz w:val="20"/>
              </w:rPr>
              <w:t>March 26, 2018</w:t>
            </w:r>
          </w:p>
          <w:p w:rsidR="001668F8" w:rsidRPr="001E5989" w:rsidRDefault="001668F8" w:rsidP="00090708">
            <w:pPr>
              <w:jc w:val="both"/>
              <w:rPr>
                <w:sz w:val="20"/>
              </w:rPr>
            </w:pPr>
            <w:r w:rsidRPr="001E5989">
              <w:rPr>
                <w:sz w:val="20"/>
              </w:rPr>
              <w:t>Supreme Court of Canada</w:t>
            </w:r>
          </w:p>
        </w:tc>
        <w:tc>
          <w:tcPr>
            <w:tcW w:w="243" w:type="pct"/>
          </w:tcPr>
          <w:p w:rsidR="001668F8" w:rsidRPr="001E5989" w:rsidRDefault="001668F8" w:rsidP="00090708">
            <w:pPr>
              <w:jc w:val="both"/>
              <w:rPr>
                <w:sz w:val="20"/>
              </w:rPr>
            </w:pPr>
          </w:p>
        </w:tc>
        <w:tc>
          <w:tcPr>
            <w:tcW w:w="2330" w:type="pct"/>
          </w:tcPr>
          <w:p w:rsidR="001668F8" w:rsidRPr="001E5989" w:rsidRDefault="001668F8" w:rsidP="00090708">
            <w:pPr>
              <w:jc w:val="both"/>
              <w:rPr>
                <w:sz w:val="20"/>
              </w:rPr>
            </w:pPr>
            <w:r w:rsidRPr="001E5989">
              <w:rPr>
                <w:sz w:val="20"/>
              </w:rPr>
              <w:t>Application for leave to appeal filed</w:t>
            </w:r>
          </w:p>
          <w:p w:rsidR="001668F8" w:rsidRPr="001E5989" w:rsidRDefault="001668F8" w:rsidP="00090708">
            <w:pPr>
              <w:jc w:val="both"/>
              <w:rPr>
                <w:sz w:val="20"/>
              </w:rPr>
            </w:pPr>
          </w:p>
        </w:tc>
      </w:tr>
    </w:tbl>
    <w:p w:rsidR="001668F8" w:rsidRDefault="001668F8" w:rsidP="001668F8">
      <w:pPr>
        <w:jc w:val="both"/>
        <w:rPr>
          <w:sz w:val="20"/>
        </w:rPr>
      </w:pPr>
    </w:p>
    <w:p w:rsidR="001668F8" w:rsidRPr="001E5989" w:rsidRDefault="001668F8" w:rsidP="001668F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668F8" w:rsidRPr="001E5989" w:rsidTr="00090708">
        <w:tc>
          <w:tcPr>
            <w:tcW w:w="543" w:type="pct"/>
          </w:tcPr>
          <w:p w:rsidR="001668F8" w:rsidRPr="001E5989" w:rsidRDefault="001668F8" w:rsidP="00090708">
            <w:pPr>
              <w:jc w:val="both"/>
              <w:rPr>
                <w:sz w:val="20"/>
              </w:rPr>
            </w:pPr>
            <w:r w:rsidRPr="001E5989">
              <w:rPr>
                <w:rStyle w:val="SCCFileNumberChar"/>
                <w:sz w:val="20"/>
                <w:szCs w:val="20"/>
              </w:rPr>
              <w:t>38034</w:t>
            </w:r>
          </w:p>
        </w:tc>
        <w:tc>
          <w:tcPr>
            <w:tcW w:w="4457" w:type="pct"/>
            <w:gridSpan w:val="3"/>
          </w:tcPr>
          <w:p w:rsidR="001668F8" w:rsidRPr="00034463" w:rsidRDefault="001668F8" w:rsidP="00090708">
            <w:pPr>
              <w:pStyle w:val="SCCLsocParty"/>
              <w:jc w:val="both"/>
              <w:rPr>
                <w:b/>
                <w:sz w:val="20"/>
                <w:szCs w:val="20"/>
              </w:rPr>
            </w:pPr>
            <w:r w:rsidRPr="00034463">
              <w:rPr>
                <w:b/>
                <w:sz w:val="20"/>
                <w:szCs w:val="20"/>
              </w:rPr>
              <w:t>X c. Sa Majesté la Reine</w:t>
            </w:r>
          </w:p>
          <w:p w:rsidR="001668F8" w:rsidRPr="001E5989" w:rsidRDefault="001668F8" w:rsidP="00090708">
            <w:pPr>
              <w:jc w:val="both"/>
              <w:rPr>
                <w:sz w:val="20"/>
              </w:rPr>
            </w:pPr>
            <w:r w:rsidRPr="001E5989">
              <w:rPr>
                <w:sz w:val="20"/>
              </w:rPr>
              <w:t>(Qc) (</w:t>
            </w:r>
            <w:proofErr w:type="spellStart"/>
            <w:r w:rsidRPr="001E5989">
              <w:rPr>
                <w:sz w:val="20"/>
              </w:rPr>
              <w:t>Criminelle</w:t>
            </w:r>
            <w:proofErr w:type="spellEnd"/>
            <w:r w:rsidRPr="001E5989">
              <w:rPr>
                <w:sz w:val="20"/>
              </w:rPr>
              <w:t>) (</w:t>
            </w:r>
            <w:proofErr w:type="spellStart"/>
            <w:r w:rsidRPr="001E5989">
              <w:rPr>
                <w:sz w:val="20"/>
              </w:rPr>
              <w:t>Autorisation</w:t>
            </w:r>
            <w:proofErr w:type="spellEnd"/>
            <w:r w:rsidRPr="001E5989">
              <w:rPr>
                <w:sz w:val="20"/>
              </w:rPr>
              <w:t>)</w:t>
            </w:r>
          </w:p>
        </w:tc>
      </w:tr>
      <w:tr w:rsidR="000771F6" w:rsidRPr="001E5989" w:rsidTr="000771F6">
        <w:tc>
          <w:tcPr>
            <w:tcW w:w="5000" w:type="pct"/>
            <w:gridSpan w:val="4"/>
          </w:tcPr>
          <w:p w:rsidR="000771F6" w:rsidRPr="000771F6" w:rsidRDefault="000771F6" w:rsidP="00090708">
            <w:pPr>
              <w:pStyle w:val="SCCLsocParty"/>
              <w:jc w:val="both"/>
              <w:rPr>
                <w:b/>
                <w:sz w:val="20"/>
                <w:szCs w:val="20"/>
                <w:lang w:val="en-US"/>
              </w:rPr>
            </w:pPr>
            <w:r w:rsidRPr="000771F6">
              <w:rPr>
                <w:sz w:val="20"/>
                <w:lang w:val="en-CA"/>
              </w:rPr>
              <w:t xml:space="preserve">The application for leave to appeal from the judgment of the Court of Appeal of Quebec (Montréal), Number 500-08-000487-159, </w:t>
            </w:r>
            <w:r w:rsidRPr="000771F6">
              <w:rPr>
                <w:sz w:val="20"/>
                <w:lang w:val="en-US"/>
              </w:rPr>
              <w:t xml:space="preserve">2018 QCCA 117, </w:t>
            </w:r>
            <w:r w:rsidRPr="000771F6">
              <w:rPr>
                <w:sz w:val="20"/>
                <w:lang w:val="en-CA"/>
              </w:rPr>
              <w:t>dated January 25, 2018, is dismissed.</w:t>
            </w:r>
          </w:p>
        </w:tc>
      </w:tr>
      <w:tr w:rsidR="001668F8" w:rsidRPr="00DB1C5D" w:rsidTr="00090708">
        <w:tc>
          <w:tcPr>
            <w:tcW w:w="5000" w:type="pct"/>
            <w:gridSpan w:val="4"/>
          </w:tcPr>
          <w:p w:rsidR="001668F8" w:rsidRPr="001E5989" w:rsidRDefault="001668F8" w:rsidP="00090708">
            <w:pPr>
              <w:pStyle w:val="SCCBanSummary"/>
              <w:rPr>
                <w:sz w:val="20"/>
                <w:szCs w:val="20"/>
                <w:lang w:val="fr-CA"/>
              </w:rPr>
            </w:pPr>
            <w:r w:rsidRPr="001E5989">
              <w:rPr>
                <w:sz w:val="20"/>
                <w:szCs w:val="20"/>
                <w:lang w:val="fr-CA"/>
              </w:rPr>
              <w:t>(Ordonnance de non-publication dans le dossier) (Ordonnance de non-publication visant une partie) (Le dossier de la Cour renferme des données que le public n’est pas autorisé à consulter)</w:t>
            </w:r>
          </w:p>
          <w:p w:rsidR="001668F8" w:rsidRPr="001E5989" w:rsidRDefault="001668F8" w:rsidP="00090708">
            <w:pPr>
              <w:jc w:val="both"/>
              <w:rPr>
                <w:sz w:val="20"/>
                <w:lang w:val="fr-CA"/>
              </w:rPr>
            </w:pPr>
          </w:p>
        </w:tc>
      </w:tr>
      <w:tr w:rsidR="001668F8" w:rsidRPr="00DB1C5D" w:rsidTr="00090708">
        <w:tc>
          <w:tcPr>
            <w:tcW w:w="5000" w:type="pct"/>
            <w:gridSpan w:val="4"/>
          </w:tcPr>
          <w:p w:rsidR="001668F8" w:rsidRPr="001E5989" w:rsidRDefault="001668F8" w:rsidP="00090708">
            <w:pPr>
              <w:jc w:val="both"/>
              <w:rPr>
                <w:sz w:val="20"/>
                <w:lang w:val="fr-CA"/>
              </w:rPr>
            </w:pPr>
            <w:r w:rsidRPr="001E5989">
              <w:rPr>
                <w:sz w:val="20"/>
                <w:lang w:val="fr-CA"/>
              </w:rPr>
              <w:t>Droit criminel – Agression sexuelle – Verdict déraisonnable – La Cour d’appel a-t-elle erré en droit alors qu’elle n’a pas épuisé sa juridiction à titre de cour d’appel dans sa conclusion qu’il ne s’agit pas d’un verdict déraisonnable et ce, sans se prononcer sur les questions de droit soulevées menant à une ordonnance d’un nouveau procès? – La Cour d’appel du Québec a-t-elle erré en droit dans son analyse portant sur la question du verdict déraisonnable?</w:t>
            </w:r>
          </w:p>
        </w:tc>
      </w:tr>
      <w:tr w:rsidR="001668F8" w:rsidRPr="00DB1C5D" w:rsidTr="00090708">
        <w:tc>
          <w:tcPr>
            <w:tcW w:w="5000" w:type="pct"/>
            <w:gridSpan w:val="4"/>
          </w:tcPr>
          <w:p w:rsidR="001668F8" w:rsidRPr="001E5989" w:rsidRDefault="001668F8" w:rsidP="00090708">
            <w:pPr>
              <w:jc w:val="both"/>
              <w:rPr>
                <w:sz w:val="20"/>
                <w:lang w:val="fr-CA"/>
              </w:rPr>
            </w:pPr>
          </w:p>
          <w:p w:rsidR="001668F8" w:rsidRPr="001E5989" w:rsidRDefault="001668F8" w:rsidP="00090708">
            <w:pPr>
              <w:jc w:val="both"/>
              <w:rPr>
                <w:sz w:val="20"/>
                <w:lang w:val="fr-CA"/>
              </w:rPr>
            </w:pPr>
            <w:r w:rsidRPr="001E5989">
              <w:rPr>
                <w:sz w:val="20"/>
                <w:lang w:val="fr-CA"/>
              </w:rPr>
              <w:t>Le demandeur a été déclaré coupable d’agression sexuelle. Au moment des événements, le demandeur et la plaignante étaient mineurs. La théorie de la cause du ministère public était à l’effet qu’alors que la plaignante passait la nuit chez le demandeur et qu’elle dormait, ce dernier s’était porté à une relation sexuelle avec pénétration vaginale par l’arrière, et ce, sans son consentement. En appel, le demandeur a soutenu que la première juge a commis des erreurs de droit et que le verdict était déraisonnable. La Cour d’appel a rejeté l’appel au motif que la première juge a passé en revue de l’ensemble des éléments de preuve et qu’elle a tenu compte des forces et des faiblesses dans les divers témoignage pour arriver à une conclusion raisonnée sur la force probante de toute la preuve. La Cour a également conclu que la première juge n’a pas départagé les éléments de preuve de façon fragmentaire ou inégale et que ses motifs ne permettaient pas de conclure qu’elle avait imposé au demandeur un fardeau qui n’était pas le sien.</w:t>
            </w:r>
          </w:p>
          <w:p w:rsidR="001668F8" w:rsidRPr="001E5989" w:rsidRDefault="001668F8" w:rsidP="00090708">
            <w:pPr>
              <w:jc w:val="both"/>
              <w:rPr>
                <w:sz w:val="20"/>
                <w:lang w:val="fr-CA"/>
              </w:rPr>
            </w:pPr>
          </w:p>
        </w:tc>
      </w:tr>
      <w:tr w:rsidR="001668F8" w:rsidRPr="00DB1C5D" w:rsidTr="00090708">
        <w:tc>
          <w:tcPr>
            <w:tcW w:w="2427" w:type="pct"/>
            <w:gridSpan w:val="2"/>
          </w:tcPr>
          <w:p w:rsidR="001668F8" w:rsidRPr="001E5989" w:rsidRDefault="001668F8" w:rsidP="00090708">
            <w:pPr>
              <w:jc w:val="both"/>
              <w:rPr>
                <w:sz w:val="20"/>
                <w:lang w:val="fr-CA"/>
              </w:rPr>
            </w:pPr>
            <w:r w:rsidRPr="001E5989">
              <w:rPr>
                <w:sz w:val="20"/>
                <w:lang w:val="fr-CA"/>
              </w:rPr>
              <w:t>Le 27 mai 2015</w:t>
            </w:r>
          </w:p>
          <w:p w:rsidR="001668F8" w:rsidRPr="001E5989" w:rsidRDefault="001668F8" w:rsidP="00090708">
            <w:pPr>
              <w:jc w:val="both"/>
              <w:rPr>
                <w:sz w:val="20"/>
                <w:lang w:val="fr-CA"/>
              </w:rPr>
            </w:pPr>
            <w:r w:rsidRPr="001E5989">
              <w:rPr>
                <w:sz w:val="20"/>
                <w:lang w:val="fr-CA"/>
              </w:rPr>
              <w:t>Cour du Québec</w:t>
            </w:r>
          </w:p>
          <w:p w:rsidR="001668F8" w:rsidRPr="001E5989" w:rsidRDefault="001668F8" w:rsidP="00090708">
            <w:pPr>
              <w:jc w:val="both"/>
              <w:rPr>
                <w:sz w:val="20"/>
                <w:lang w:val="fr-CA"/>
              </w:rPr>
            </w:pPr>
            <w:r w:rsidRPr="001E5989">
              <w:rPr>
                <w:sz w:val="20"/>
                <w:lang w:val="fr-CA"/>
              </w:rPr>
              <w:t>(La juge Garneau-Fournier)</w:t>
            </w:r>
          </w:p>
          <w:p w:rsidR="001668F8" w:rsidRPr="001E5989" w:rsidRDefault="001668F8" w:rsidP="00090708">
            <w:pPr>
              <w:jc w:val="both"/>
              <w:rPr>
                <w:sz w:val="20"/>
                <w:lang w:val="fr-CA"/>
              </w:rPr>
            </w:pPr>
          </w:p>
        </w:tc>
        <w:tc>
          <w:tcPr>
            <w:tcW w:w="243" w:type="pct"/>
          </w:tcPr>
          <w:p w:rsidR="001668F8" w:rsidRPr="001E5989" w:rsidRDefault="001668F8" w:rsidP="00090708">
            <w:pPr>
              <w:jc w:val="both"/>
              <w:rPr>
                <w:sz w:val="20"/>
                <w:lang w:val="fr-CA"/>
              </w:rPr>
            </w:pPr>
          </w:p>
        </w:tc>
        <w:tc>
          <w:tcPr>
            <w:tcW w:w="2330" w:type="pct"/>
          </w:tcPr>
          <w:p w:rsidR="001668F8" w:rsidRPr="001E5989" w:rsidRDefault="001668F8" w:rsidP="00090708">
            <w:pPr>
              <w:jc w:val="both"/>
              <w:rPr>
                <w:sz w:val="20"/>
                <w:lang w:val="fr-CA"/>
              </w:rPr>
            </w:pPr>
            <w:r w:rsidRPr="001E5989">
              <w:rPr>
                <w:sz w:val="20"/>
                <w:lang w:val="fr-CA"/>
              </w:rPr>
              <w:t xml:space="preserve">Demandeur déclaré coupable d’agression sexuelle </w:t>
            </w:r>
          </w:p>
        </w:tc>
      </w:tr>
      <w:tr w:rsidR="001668F8" w:rsidRPr="001E5989" w:rsidTr="00090708">
        <w:tc>
          <w:tcPr>
            <w:tcW w:w="2427" w:type="pct"/>
            <w:gridSpan w:val="2"/>
          </w:tcPr>
          <w:p w:rsidR="001668F8" w:rsidRPr="001E5989" w:rsidRDefault="001668F8" w:rsidP="00090708">
            <w:pPr>
              <w:jc w:val="both"/>
              <w:rPr>
                <w:sz w:val="20"/>
                <w:lang w:val="fr-CA"/>
              </w:rPr>
            </w:pPr>
            <w:r w:rsidRPr="001E5989">
              <w:rPr>
                <w:sz w:val="20"/>
                <w:lang w:val="fr-CA"/>
              </w:rPr>
              <w:t>Le 25 janvier 2018</w:t>
            </w:r>
          </w:p>
          <w:p w:rsidR="001668F8" w:rsidRPr="001E5989" w:rsidRDefault="001668F8" w:rsidP="00090708">
            <w:pPr>
              <w:jc w:val="both"/>
              <w:rPr>
                <w:sz w:val="20"/>
                <w:lang w:val="fr-CA"/>
              </w:rPr>
            </w:pPr>
            <w:r w:rsidRPr="001E5989">
              <w:rPr>
                <w:sz w:val="20"/>
                <w:lang w:val="fr-CA"/>
              </w:rPr>
              <w:t>Cour d’appel du Québec (Montréal)</w:t>
            </w:r>
          </w:p>
          <w:p w:rsidR="001668F8" w:rsidRPr="001E5989" w:rsidRDefault="001668F8" w:rsidP="00090708">
            <w:pPr>
              <w:jc w:val="both"/>
              <w:rPr>
                <w:sz w:val="20"/>
                <w:lang w:val="fr-CA"/>
              </w:rPr>
            </w:pPr>
            <w:r w:rsidRPr="001E5989">
              <w:rPr>
                <w:sz w:val="20"/>
                <w:lang w:val="fr-CA"/>
              </w:rPr>
              <w:t xml:space="preserve">(Les juges Dufresne, Lévesque et </w:t>
            </w:r>
            <w:proofErr w:type="spellStart"/>
            <w:r w:rsidRPr="001E5989">
              <w:rPr>
                <w:sz w:val="20"/>
                <w:lang w:val="fr-CA"/>
              </w:rPr>
              <w:t>Healy</w:t>
            </w:r>
            <w:proofErr w:type="spellEnd"/>
            <w:r w:rsidRPr="001E5989">
              <w:rPr>
                <w:sz w:val="20"/>
                <w:lang w:val="fr-CA"/>
              </w:rPr>
              <w:t>)</w:t>
            </w:r>
          </w:p>
          <w:p w:rsidR="001668F8" w:rsidRPr="001E5989" w:rsidRDefault="001668F8" w:rsidP="00090708">
            <w:pPr>
              <w:jc w:val="both"/>
              <w:rPr>
                <w:sz w:val="20"/>
                <w:lang w:val="fr-CA"/>
              </w:rPr>
            </w:pPr>
          </w:p>
        </w:tc>
        <w:tc>
          <w:tcPr>
            <w:tcW w:w="243" w:type="pct"/>
          </w:tcPr>
          <w:p w:rsidR="001668F8" w:rsidRPr="001E5989" w:rsidRDefault="001668F8" w:rsidP="00090708">
            <w:pPr>
              <w:jc w:val="both"/>
              <w:rPr>
                <w:sz w:val="20"/>
                <w:lang w:val="fr-CA"/>
              </w:rPr>
            </w:pPr>
          </w:p>
        </w:tc>
        <w:tc>
          <w:tcPr>
            <w:tcW w:w="2330" w:type="pct"/>
          </w:tcPr>
          <w:p w:rsidR="001668F8" w:rsidRPr="001E5989" w:rsidRDefault="001668F8" w:rsidP="00090708">
            <w:pPr>
              <w:jc w:val="both"/>
              <w:rPr>
                <w:sz w:val="20"/>
              </w:rPr>
            </w:pPr>
            <w:r w:rsidRPr="001E5989">
              <w:rPr>
                <w:sz w:val="20"/>
              </w:rPr>
              <w:t xml:space="preserve">Appel </w:t>
            </w:r>
            <w:proofErr w:type="spellStart"/>
            <w:r w:rsidRPr="001E5989">
              <w:rPr>
                <w:sz w:val="20"/>
              </w:rPr>
              <w:t>rejeté</w:t>
            </w:r>
            <w:proofErr w:type="spellEnd"/>
          </w:p>
          <w:p w:rsidR="001668F8" w:rsidRPr="001E5989" w:rsidRDefault="001668F8" w:rsidP="00090708">
            <w:pPr>
              <w:jc w:val="both"/>
              <w:rPr>
                <w:sz w:val="20"/>
              </w:rPr>
            </w:pPr>
          </w:p>
        </w:tc>
      </w:tr>
      <w:tr w:rsidR="001668F8" w:rsidRPr="001E5989" w:rsidTr="00090708">
        <w:tc>
          <w:tcPr>
            <w:tcW w:w="2427" w:type="pct"/>
            <w:gridSpan w:val="2"/>
          </w:tcPr>
          <w:p w:rsidR="001668F8" w:rsidRPr="001E5989" w:rsidRDefault="001668F8" w:rsidP="00090708">
            <w:pPr>
              <w:jc w:val="both"/>
              <w:rPr>
                <w:sz w:val="20"/>
                <w:lang w:val="fr-CA"/>
              </w:rPr>
            </w:pPr>
            <w:r w:rsidRPr="001E5989">
              <w:rPr>
                <w:sz w:val="20"/>
                <w:lang w:val="fr-CA"/>
              </w:rPr>
              <w:t>Le 26 mars 2018</w:t>
            </w:r>
          </w:p>
          <w:p w:rsidR="001668F8" w:rsidRPr="001E5989" w:rsidRDefault="001668F8" w:rsidP="00090708">
            <w:pPr>
              <w:jc w:val="both"/>
              <w:rPr>
                <w:sz w:val="20"/>
                <w:lang w:val="fr-CA"/>
              </w:rPr>
            </w:pPr>
            <w:r w:rsidRPr="001E5989">
              <w:rPr>
                <w:sz w:val="20"/>
                <w:lang w:val="fr-CA"/>
              </w:rPr>
              <w:t>Cour suprême du Canada</w:t>
            </w:r>
          </w:p>
        </w:tc>
        <w:tc>
          <w:tcPr>
            <w:tcW w:w="243" w:type="pct"/>
          </w:tcPr>
          <w:p w:rsidR="001668F8" w:rsidRPr="001E5989" w:rsidRDefault="001668F8" w:rsidP="00090708">
            <w:pPr>
              <w:jc w:val="both"/>
              <w:rPr>
                <w:sz w:val="20"/>
                <w:lang w:val="fr-CA"/>
              </w:rPr>
            </w:pPr>
          </w:p>
        </w:tc>
        <w:tc>
          <w:tcPr>
            <w:tcW w:w="2330" w:type="pct"/>
          </w:tcPr>
          <w:p w:rsidR="001668F8" w:rsidRPr="001E5989" w:rsidRDefault="001668F8" w:rsidP="00090708">
            <w:pPr>
              <w:jc w:val="both"/>
              <w:rPr>
                <w:sz w:val="20"/>
              </w:rPr>
            </w:pPr>
            <w:proofErr w:type="spellStart"/>
            <w:r w:rsidRPr="001E5989">
              <w:rPr>
                <w:sz w:val="20"/>
              </w:rPr>
              <w:t>Demande</w:t>
            </w:r>
            <w:proofErr w:type="spellEnd"/>
            <w:r w:rsidRPr="001E5989">
              <w:rPr>
                <w:sz w:val="20"/>
              </w:rPr>
              <w:t xml:space="preserve"> </w:t>
            </w:r>
            <w:proofErr w:type="spellStart"/>
            <w:r w:rsidRPr="001E5989">
              <w:rPr>
                <w:sz w:val="20"/>
              </w:rPr>
              <w:t>d’autorisation</w:t>
            </w:r>
            <w:proofErr w:type="spellEnd"/>
            <w:r w:rsidRPr="001E5989">
              <w:rPr>
                <w:sz w:val="20"/>
              </w:rPr>
              <w:t xml:space="preserve"> </w:t>
            </w:r>
            <w:proofErr w:type="spellStart"/>
            <w:r w:rsidRPr="001E5989">
              <w:rPr>
                <w:sz w:val="20"/>
              </w:rPr>
              <w:t>d’appel</w:t>
            </w:r>
            <w:proofErr w:type="spellEnd"/>
            <w:r w:rsidRPr="001E5989">
              <w:rPr>
                <w:sz w:val="20"/>
              </w:rPr>
              <w:t xml:space="preserve"> </w:t>
            </w:r>
            <w:proofErr w:type="spellStart"/>
            <w:r w:rsidRPr="001E5989">
              <w:rPr>
                <w:sz w:val="20"/>
              </w:rPr>
              <w:t>déposée</w:t>
            </w:r>
            <w:proofErr w:type="spellEnd"/>
          </w:p>
          <w:p w:rsidR="001668F8" w:rsidRPr="001E5989" w:rsidRDefault="001668F8" w:rsidP="00090708">
            <w:pPr>
              <w:jc w:val="both"/>
              <w:rPr>
                <w:sz w:val="20"/>
              </w:rPr>
            </w:pPr>
          </w:p>
        </w:tc>
      </w:tr>
    </w:tbl>
    <w:p w:rsidR="001668F8" w:rsidRPr="001E5989" w:rsidRDefault="001668F8" w:rsidP="001668F8">
      <w:pPr>
        <w:jc w:val="both"/>
        <w:rPr>
          <w:sz w:val="20"/>
        </w:rPr>
      </w:pPr>
    </w:p>
    <w:p w:rsidR="001668F8" w:rsidRPr="001E5989" w:rsidRDefault="001668F8" w:rsidP="001668F8">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668F8" w:rsidRPr="001E5989" w:rsidTr="00090708">
        <w:tc>
          <w:tcPr>
            <w:tcW w:w="543" w:type="pct"/>
          </w:tcPr>
          <w:p w:rsidR="001668F8" w:rsidRPr="001E5989" w:rsidRDefault="001668F8" w:rsidP="00090708">
            <w:pPr>
              <w:jc w:val="both"/>
              <w:rPr>
                <w:sz w:val="20"/>
              </w:rPr>
            </w:pPr>
            <w:r w:rsidRPr="001E5989">
              <w:rPr>
                <w:rStyle w:val="SCCFileNumberChar"/>
                <w:sz w:val="20"/>
                <w:szCs w:val="20"/>
              </w:rPr>
              <w:t>38028</w:t>
            </w:r>
          </w:p>
        </w:tc>
        <w:tc>
          <w:tcPr>
            <w:tcW w:w="4457" w:type="pct"/>
            <w:gridSpan w:val="3"/>
          </w:tcPr>
          <w:p w:rsidR="001668F8" w:rsidRPr="00034463" w:rsidRDefault="001668F8" w:rsidP="00090708">
            <w:pPr>
              <w:pStyle w:val="SCCLsocParty"/>
              <w:jc w:val="both"/>
              <w:rPr>
                <w:b/>
                <w:sz w:val="20"/>
                <w:szCs w:val="20"/>
              </w:rPr>
            </w:pPr>
            <w:r w:rsidRPr="00034463">
              <w:rPr>
                <w:b/>
                <w:sz w:val="20"/>
                <w:szCs w:val="20"/>
              </w:rPr>
              <w:t>Saïd Boukendour v. Syndicat des professeures et professeurs de l’Un</w:t>
            </w:r>
            <w:r w:rsidR="00D23D8C">
              <w:rPr>
                <w:b/>
                <w:sz w:val="20"/>
                <w:szCs w:val="20"/>
              </w:rPr>
              <w:t>iversité du Québec en Outaouais and</w:t>
            </w:r>
            <w:r w:rsidRPr="00034463">
              <w:rPr>
                <w:b/>
                <w:sz w:val="20"/>
                <w:szCs w:val="20"/>
              </w:rPr>
              <w:t xml:space="preserve"> Université du Québec en Outaouais</w:t>
            </w:r>
          </w:p>
          <w:p w:rsidR="001668F8" w:rsidRPr="001E5989" w:rsidRDefault="001668F8" w:rsidP="00090708">
            <w:pPr>
              <w:jc w:val="both"/>
              <w:rPr>
                <w:sz w:val="20"/>
              </w:rPr>
            </w:pPr>
            <w:r w:rsidRPr="001E5989">
              <w:rPr>
                <w:sz w:val="20"/>
              </w:rPr>
              <w:t>(Que.) (Civil) (By Leave)</w:t>
            </w:r>
          </w:p>
        </w:tc>
      </w:tr>
      <w:tr w:rsidR="000771F6" w:rsidRPr="00DB1C5D" w:rsidTr="000771F6">
        <w:tc>
          <w:tcPr>
            <w:tcW w:w="5000" w:type="pct"/>
            <w:gridSpan w:val="4"/>
          </w:tcPr>
          <w:p w:rsidR="000771F6" w:rsidRPr="000771F6" w:rsidRDefault="00D23D8C" w:rsidP="00090708">
            <w:pPr>
              <w:pStyle w:val="SCCLsocParty"/>
              <w:jc w:val="both"/>
              <w:rPr>
                <w:b/>
                <w:sz w:val="20"/>
                <w:szCs w:val="20"/>
              </w:rPr>
            </w:pPr>
            <w:r w:rsidRPr="000771F6">
              <w:rPr>
                <w:sz w:val="20"/>
                <w:lang w:val="en-CA"/>
              </w:rPr>
              <w:t xml:space="preserve">The motion for an extension of time to serve and file the application for leave to appeal is granted. The application for leave to appeal from the judgment of the Court of Appeal of Quebec (Montréal), Number 500-09-026719-179, </w:t>
            </w:r>
            <w:r w:rsidRPr="000771F6">
              <w:rPr>
                <w:sz w:val="20"/>
                <w:lang w:val="en-US"/>
              </w:rPr>
              <w:t xml:space="preserve">2017 QCCA 1074, </w:t>
            </w:r>
            <w:r w:rsidRPr="000771F6">
              <w:rPr>
                <w:sz w:val="20"/>
                <w:lang w:val="en-CA"/>
              </w:rPr>
              <w:t>dated July 7, 2017, is dismissed without costs.</w:t>
            </w:r>
          </w:p>
        </w:tc>
      </w:tr>
      <w:tr w:rsidR="001668F8" w:rsidRPr="001E5989" w:rsidTr="00090708">
        <w:tc>
          <w:tcPr>
            <w:tcW w:w="5000" w:type="pct"/>
            <w:gridSpan w:val="4"/>
          </w:tcPr>
          <w:p w:rsidR="001668F8" w:rsidRPr="001E5989" w:rsidRDefault="001668F8" w:rsidP="00090708">
            <w:pPr>
              <w:jc w:val="both"/>
              <w:rPr>
                <w:sz w:val="20"/>
              </w:rPr>
            </w:pPr>
            <w:r w:rsidRPr="001E5989">
              <w:rPr>
                <w:sz w:val="20"/>
              </w:rPr>
              <w:t xml:space="preserve">Labour law – Duty of representation – Whether applicant’s right to impartial tribunal was infringed by Commission des relations du travail – </w:t>
            </w:r>
            <w:r w:rsidRPr="001E5989">
              <w:rPr>
                <w:i/>
                <w:sz w:val="20"/>
              </w:rPr>
              <w:t>Labour Code</w:t>
            </w:r>
            <w:r w:rsidRPr="001E5989">
              <w:rPr>
                <w:sz w:val="20"/>
              </w:rPr>
              <w:t>, CQLR, c. C-27, s. 47.2.</w:t>
            </w:r>
          </w:p>
        </w:tc>
      </w:tr>
      <w:tr w:rsidR="001668F8" w:rsidRPr="001E5989" w:rsidTr="00090708">
        <w:tc>
          <w:tcPr>
            <w:tcW w:w="5000" w:type="pct"/>
            <w:gridSpan w:val="4"/>
          </w:tcPr>
          <w:p w:rsidR="001668F8" w:rsidRPr="001E5989" w:rsidRDefault="001668F8" w:rsidP="00090708">
            <w:pPr>
              <w:jc w:val="both"/>
              <w:rPr>
                <w:sz w:val="20"/>
              </w:rPr>
            </w:pPr>
          </w:p>
        </w:tc>
      </w:tr>
      <w:tr w:rsidR="001668F8" w:rsidRPr="001E5989" w:rsidTr="00090708">
        <w:tc>
          <w:tcPr>
            <w:tcW w:w="5000" w:type="pct"/>
            <w:gridSpan w:val="4"/>
          </w:tcPr>
          <w:p w:rsidR="001668F8" w:rsidRPr="001E5989" w:rsidRDefault="001668F8" w:rsidP="00090708">
            <w:pPr>
              <w:jc w:val="both"/>
              <w:rPr>
                <w:sz w:val="20"/>
              </w:rPr>
            </w:pPr>
            <w:r w:rsidRPr="001E5989">
              <w:rPr>
                <w:sz w:val="20"/>
              </w:rPr>
              <w:t xml:space="preserve">In 2015, the Commission des relations du travail dismissed a complaint in which the applicant, Mr. Boukendour, alleged that the respondent </w:t>
            </w:r>
            <w:proofErr w:type="spellStart"/>
            <w:r w:rsidRPr="001E5989">
              <w:rPr>
                <w:sz w:val="20"/>
              </w:rPr>
              <w:t>Syndicat</w:t>
            </w:r>
            <w:proofErr w:type="spellEnd"/>
            <w:r w:rsidRPr="001E5989">
              <w:rPr>
                <w:sz w:val="20"/>
              </w:rPr>
              <w:t xml:space="preserve"> had breached its duty of representation under s. 47.2 of the </w:t>
            </w:r>
            <w:r w:rsidRPr="001E5989">
              <w:rPr>
                <w:i/>
                <w:sz w:val="20"/>
              </w:rPr>
              <w:t>Labour Code</w:t>
            </w:r>
            <w:r w:rsidRPr="001E5989">
              <w:rPr>
                <w:sz w:val="20"/>
              </w:rPr>
              <w:t xml:space="preserve">, CQLR, </w:t>
            </w:r>
            <w:proofErr w:type="gramStart"/>
            <w:r w:rsidRPr="001E5989">
              <w:rPr>
                <w:sz w:val="20"/>
              </w:rPr>
              <w:t>c</w:t>
            </w:r>
            <w:proofErr w:type="gramEnd"/>
            <w:r w:rsidRPr="001E5989">
              <w:rPr>
                <w:sz w:val="20"/>
              </w:rPr>
              <w:t xml:space="preserve">. C-27. The Commission held that the complaint should be dismissed on the ground of </w:t>
            </w:r>
            <w:r w:rsidRPr="001E5989">
              <w:rPr>
                <w:i/>
                <w:sz w:val="20"/>
              </w:rPr>
              <w:t>res judicata</w:t>
            </w:r>
            <w:r w:rsidRPr="001E5989">
              <w:rPr>
                <w:sz w:val="20"/>
              </w:rPr>
              <w:t>. Mr. Boukendour subsequently applied unsuccessfully to the Administrative Labour Tribunal to review that decision. An application for judicial review to the Superior Court and a motion for leave to appeal to the Court of Appeal were also dismissed.  The Court of Appeal took the view that Mr. </w:t>
            </w:r>
            <w:proofErr w:type="spellStart"/>
            <w:r w:rsidRPr="001E5989">
              <w:rPr>
                <w:sz w:val="20"/>
              </w:rPr>
              <w:t>Boukendour’s</w:t>
            </w:r>
            <w:proofErr w:type="spellEnd"/>
            <w:r w:rsidRPr="001E5989">
              <w:rPr>
                <w:sz w:val="20"/>
              </w:rPr>
              <w:t xml:space="preserve"> motion for leave to appeal concerned the application of principles that had been reiterated on numerous occasions in relation to judicial review and </w:t>
            </w:r>
            <w:r w:rsidRPr="001E5989">
              <w:rPr>
                <w:i/>
                <w:sz w:val="20"/>
              </w:rPr>
              <w:t>res judicata</w:t>
            </w:r>
            <w:r w:rsidRPr="001E5989">
              <w:rPr>
                <w:sz w:val="20"/>
              </w:rPr>
              <w:t>. Moreover, M. </w:t>
            </w:r>
            <w:proofErr w:type="spellStart"/>
            <w:r w:rsidRPr="001E5989">
              <w:rPr>
                <w:sz w:val="20"/>
              </w:rPr>
              <w:t>Boukendour’s</w:t>
            </w:r>
            <w:proofErr w:type="spellEnd"/>
            <w:r w:rsidRPr="001E5989">
              <w:rPr>
                <w:sz w:val="20"/>
              </w:rPr>
              <w:t xml:space="preserve"> arguments had already been analyzed and rejected by three decision makers. The court concluded that Mr. Boukendour had not shown a possibility of an injustice that would warrant its intervention.</w:t>
            </w:r>
          </w:p>
          <w:p w:rsidR="001668F8" w:rsidRPr="001E5989" w:rsidRDefault="001668F8" w:rsidP="00090708">
            <w:pPr>
              <w:jc w:val="both"/>
              <w:rPr>
                <w:sz w:val="20"/>
              </w:rPr>
            </w:pPr>
          </w:p>
        </w:tc>
      </w:tr>
      <w:tr w:rsidR="001668F8" w:rsidRPr="001E5989" w:rsidTr="00090708">
        <w:tc>
          <w:tcPr>
            <w:tcW w:w="2427" w:type="pct"/>
            <w:gridSpan w:val="2"/>
          </w:tcPr>
          <w:p w:rsidR="001668F8" w:rsidRPr="001E5989" w:rsidRDefault="001668F8" w:rsidP="00090708">
            <w:pPr>
              <w:jc w:val="both"/>
              <w:rPr>
                <w:sz w:val="20"/>
                <w:lang w:val="fr-CA"/>
              </w:rPr>
            </w:pPr>
            <w:r w:rsidRPr="001E5989">
              <w:rPr>
                <w:sz w:val="20"/>
                <w:lang w:val="fr-CA"/>
              </w:rPr>
              <w:t>May 27, 2015</w:t>
            </w:r>
          </w:p>
          <w:p w:rsidR="001668F8" w:rsidRPr="001E5989" w:rsidRDefault="001668F8" w:rsidP="00090708">
            <w:pPr>
              <w:jc w:val="both"/>
              <w:rPr>
                <w:sz w:val="20"/>
                <w:lang w:val="fr-CA"/>
              </w:rPr>
            </w:pPr>
            <w:r w:rsidRPr="001E5989">
              <w:rPr>
                <w:sz w:val="20"/>
                <w:lang w:val="fr-CA"/>
              </w:rPr>
              <w:t>Commission des relations du travail</w:t>
            </w:r>
          </w:p>
          <w:p w:rsidR="001668F8" w:rsidRPr="001E5989" w:rsidRDefault="001668F8" w:rsidP="00090708">
            <w:pPr>
              <w:jc w:val="both"/>
              <w:rPr>
                <w:sz w:val="20"/>
              </w:rPr>
            </w:pPr>
            <w:r w:rsidRPr="001E5989">
              <w:rPr>
                <w:sz w:val="20"/>
              </w:rPr>
              <w:t>(Administrative Judge Michaud)</w:t>
            </w:r>
          </w:p>
          <w:p w:rsidR="001668F8" w:rsidRPr="001E5989" w:rsidRDefault="00F13243" w:rsidP="00090708">
            <w:pPr>
              <w:jc w:val="both"/>
              <w:rPr>
                <w:rStyle w:val="Hyperlink"/>
                <w:sz w:val="20"/>
              </w:rPr>
            </w:pPr>
            <w:hyperlink r:id="rId35" w:history="1">
              <w:r w:rsidR="001668F8" w:rsidRPr="001E5989">
                <w:rPr>
                  <w:rStyle w:val="Hyperlink"/>
                  <w:sz w:val="20"/>
                </w:rPr>
                <w:t>2015 QCCRT 0276</w:t>
              </w:r>
            </w:hyperlink>
          </w:p>
          <w:p w:rsidR="001668F8" w:rsidRPr="001E5989" w:rsidRDefault="001668F8" w:rsidP="00090708">
            <w:pPr>
              <w:jc w:val="both"/>
              <w:rPr>
                <w:sz w:val="20"/>
              </w:rPr>
            </w:pPr>
          </w:p>
        </w:tc>
        <w:tc>
          <w:tcPr>
            <w:tcW w:w="243" w:type="pct"/>
          </w:tcPr>
          <w:p w:rsidR="001668F8" w:rsidRPr="001E5989" w:rsidRDefault="001668F8" w:rsidP="00090708">
            <w:pPr>
              <w:jc w:val="both"/>
              <w:rPr>
                <w:sz w:val="20"/>
              </w:rPr>
            </w:pPr>
          </w:p>
        </w:tc>
        <w:tc>
          <w:tcPr>
            <w:tcW w:w="2330" w:type="pct"/>
          </w:tcPr>
          <w:p w:rsidR="001668F8" w:rsidRPr="001E5989" w:rsidRDefault="001668F8" w:rsidP="00090708">
            <w:pPr>
              <w:jc w:val="both"/>
              <w:rPr>
                <w:sz w:val="20"/>
              </w:rPr>
            </w:pPr>
            <w:r w:rsidRPr="001E5989">
              <w:rPr>
                <w:sz w:val="20"/>
              </w:rPr>
              <w:t xml:space="preserve">Complaint dismissed </w:t>
            </w:r>
          </w:p>
          <w:p w:rsidR="001668F8" w:rsidRPr="001E5989" w:rsidRDefault="001668F8" w:rsidP="00090708">
            <w:pPr>
              <w:jc w:val="both"/>
              <w:rPr>
                <w:sz w:val="20"/>
              </w:rPr>
            </w:pPr>
          </w:p>
          <w:p w:rsidR="001668F8" w:rsidRPr="001E5989" w:rsidRDefault="001668F8" w:rsidP="00090708">
            <w:pPr>
              <w:jc w:val="both"/>
              <w:rPr>
                <w:sz w:val="20"/>
              </w:rPr>
            </w:pPr>
          </w:p>
          <w:p w:rsidR="001668F8" w:rsidRPr="001E5989" w:rsidRDefault="001668F8" w:rsidP="00090708">
            <w:pPr>
              <w:jc w:val="both"/>
              <w:rPr>
                <w:sz w:val="20"/>
              </w:rPr>
            </w:pPr>
          </w:p>
          <w:p w:rsidR="001668F8" w:rsidRPr="001E5989" w:rsidRDefault="001668F8" w:rsidP="00090708">
            <w:pPr>
              <w:jc w:val="both"/>
              <w:rPr>
                <w:sz w:val="20"/>
              </w:rPr>
            </w:pPr>
          </w:p>
        </w:tc>
      </w:tr>
      <w:tr w:rsidR="001668F8" w:rsidRPr="001E5989" w:rsidTr="00090708">
        <w:tc>
          <w:tcPr>
            <w:tcW w:w="2427" w:type="pct"/>
            <w:gridSpan w:val="2"/>
          </w:tcPr>
          <w:p w:rsidR="001668F8" w:rsidRPr="001E5989" w:rsidRDefault="001668F8" w:rsidP="00090708">
            <w:pPr>
              <w:jc w:val="both"/>
              <w:rPr>
                <w:sz w:val="20"/>
              </w:rPr>
            </w:pPr>
            <w:r w:rsidRPr="001E5989">
              <w:rPr>
                <w:sz w:val="20"/>
              </w:rPr>
              <w:t>January 15, 2016</w:t>
            </w:r>
          </w:p>
          <w:p w:rsidR="001668F8" w:rsidRPr="001E5989" w:rsidRDefault="001668F8" w:rsidP="00090708">
            <w:pPr>
              <w:jc w:val="both"/>
              <w:rPr>
                <w:sz w:val="20"/>
              </w:rPr>
            </w:pPr>
            <w:r w:rsidRPr="001E5989">
              <w:rPr>
                <w:sz w:val="20"/>
              </w:rPr>
              <w:t>Administrative Labour Tribunal</w:t>
            </w:r>
          </w:p>
          <w:p w:rsidR="001668F8" w:rsidRPr="001E5989" w:rsidRDefault="001668F8" w:rsidP="00090708">
            <w:pPr>
              <w:jc w:val="both"/>
              <w:rPr>
                <w:sz w:val="20"/>
              </w:rPr>
            </w:pPr>
            <w:r w:rsidRPr="001E5989">
              <w:rPr>
                <w:sz w:val="20"/>
              </w:rPr>
              <w:t xml:space="preserve">(Administrative Judges </w:t>
            </w:r>
            <w:proofErr w:type="spellStart"/>
            <w:r w:rsidRPr="001E5989">
              <w:rPr>
                <w:sz w:val="20"/>
              </w:rPr>
              <w:t>Blouin</w:t>
            </w:r>
            <w:proofErr w:type="spellEnd"/>
            <w:r w:rsidRPr="001E5989">
              <w:rPr>
                <w:sz w:val="20"/>
              </w:rPr>
              <w:t xml:space="preserve">, Giroux and </w:t>
            </w:r>
            <w:proofErr w:type="spellStart"/>
            <w:r w:rsidRPr="001E5989">
              <w:rPr>
                <w:sz w:val="20"/>
              </w:rPr>
              <w:t>Grignon</w:t>
            </w:r>
            <w:proofErr w:type="spellEnd"/>
            <w:r w:rsidRPr="001E5989">
              <w:rPr>
                <w:sz w:val="20"/>
              </w:rPr>
              <w:t>)</w:t>
            </w:r>
          </w:p>
          <w:p w:rsidR="001668F8" w:rsidRPr="001E5989" w:rsidRDefault="001668F8" w:rsidP="00090708">
            <w:pPr>
              <w:jc w:val="both"/>
              <w:rPr>
                <w:sz w:val="20"/>
              </w:rPr>
            </w:pPr>
            <w:r w:rsidRPr="001E5989">
              <w:rPr>
                <w:sz w:val="20"/>
              </w:rPr>
              <w:lastRenderedPageBreak/>
              <w:t>CM-2015-4560</w:t>
            </w:r>
          </w:p>
          <w:p w:rsidR="001668F8" w:rsidRPr="001E5989" w:rsidRDefault="001668F8" w:rsidP="00090708">
            <w:pPr>
              <w:jc w:val="both"/>
              <w:rPr>
                <w:sz w:val="20"/>
              </w:rPr>
            </w:pPr>
          </w:p>
        </w:tc>
        <w:tc>
          <w:tcPr>
            <w:tcW w:w="243" w:type="pct"/>
          </w:tcPr>
          <w:p w:rsidR="001668F8" w:rsidRPr="001E5989" w:rsidRDefault="001668F8" w:rsidP="00090708">
            <w:pPr>
              <w:jc w:val="both"/>
              <w:rPr>
                <w:sz w:val="20"/>
              </w:rPr>
            </w:pPr>
          </w:p>
        </w:tc>
        <w:tc>
          <w:tcPr>
            <w:tcW w:w="2330" w:type="pct"/>
          </w:tcPr>
          <w:p w:rsidR="001668F8" w:rsidRPr="001E5989" w:rsidRDefault="001668F8" w:rsidP="00090708">
            <w:pPr>
              <w:jc w:val="both"/>
              <w:rPr>
                <w:sz w:val="20"/>
              </w:rPr>
            </w:pPr>
            <w:r w:rsidRPr="001E5989">
              <w:rPr>
                <w:sz w:val="20"/>
              </w:rPr>
              <w:t xml:space="preserve">Application for review dismissed </w:t>
            </w:r>
          </w:p>
          <w:p w:rsidR="001668F8" w:rsidRPr="001E5989" w:rsidRDefault="001668F8" w:rsidP="00090708">
            <w:pPr>
              <w:jc w:val="both"/>
              <w:rPr>
                <w:sz w:val="20"/>
              </w:rPr>
            </w:pPr>
          </w:p>
        </w:tc>
      </w:tr>
      <w:tr w:rsidR="001668F8" w:rsidRPr="001E5989" w:rsidTr="00090708">
        <w:tc>
          <w:tcPr>
            <w:tcW w:w="2427" w:type="pct"/>
            <w:gridSpan w:val="2"/>
          </w:tcPr>
          <w:p w:rsidR="001668F8" w:rsidRPr="001E5989" w:rsidRDefault="001668F8" w:rsidP="00090708">
            <w:pPr>
              <w:jc w:val="both"/>
              <w:rPr>
                <w:sz w:val="20"/>
              </w:rPr>
            </w:pPr>
            <w:r w:rsidRPr="001E5989">
              <w:rPr>
                <w:sz w:val="20"/>
              </w:rPr>
              <w:t>March 9, 2017</w:t>
            </w:r>
          </w:p>
          <w:p w:rsidR="001668F8" w:rsidRPr="001E5989" w:rsidRDefault="001668F8" w:rsidP="00090708">
            <w:pPr>
              <w:jc w:val="both"/>
              <w:rPr>
                <w:sz w:val="20"/>
              </w:rPr>
            </w:pPr>
            <w:r w:rsidRPr="001E5989">
              <w:rPr>
                <w:sz w:val="20"/>
              </w:rPr>
              <w:t>Quebec Superior Court</w:t>
            </w:r>
          </w:p>
          <w:p w:rsidR="001668F8" w:rsidRPr="001E5989" w:rsidRDefault="001668F8" w:rsidP="00090708">
            <w:pPr>
              <w:jc w:val="both"/>
              <w:rPr>
                <w:sz w:val="20"/>
              </w:rPr>
            </w:pPr>
            <w:r w:rsidRPr="001E5989">
              <w:rPr>
                <w:sz w:val="20"/>
              </w:rPr>
              <w:t>(</w:t>
            </w:r>
            <w:proofErr w:type="spellStart"/>
            <w:r w:rsidRPr="001E5989">
              <w:rPr>
                <w:sz w:val="20"/>
              </w:rPr>
              <w:t>Bédard</w:t>
            </w:r>
            <w:proofErr w:type="spellEnd"/>
            <w:r w:rsidRPr="001E5989">
              <w:rPr>
                <w:sz w:val="20"/>
              </w:rPr>
              <w:t xml:space="preserve"> J.)</w:t>
            </w:r>
          </w:p>
          <w:p w:rsidR="001668F8" w:rsidRPr="001E5989" w:rsidRDefault="00F13243" w:rsidP="00090708">
            <w:pPr>
              <w:jc w:val="both"/>
              <w:rPr>
                <w:rStyle w:val="Hyperlink"/>
                <w:sz w:val="20"/>
              </w:rPr>
            </w:pPr>
            <w:hyperlink r:id="rId36" w:history="1">
              <w:r w:rsidR="001668F8" w:rsidRPr="001E5989">
                <w:rPr>
                  <w:rStyle w:val="Hyperlink"/>
                  <w:sz w:val="20"/>
                </w:rPr>
                <w:t>2017 QCCS 896</w:t>
              </w:r>
            </w:hyperlink>
          </w:p>
          <w:p w:rsidR="001668F8" w:rsidRPr="001E5989" w:rsidRDefault="001668F8" w:rsidP="00090708">
            <w:pPr>
              <w:jc w:val="both"/>
              <w:rPr>
                <w:sz w:val="20"/>
              </w:rPr>
            </w:pPr>
          </w:p>
        </w:tc>
        <w:tc>
          <w:tcPr>
            <w:tcW w:w="243" w:type="pct"/>
          </w:tcPr>
          <w:p w:rsidR="001668F8" w:rsidRPr="001E5989" w:rsidRDefault="001668F8" w:rsidP="00090708">
            <w:pPr>
              <w:jc w:val="both"/>
              <w:rPr>
                <w:sz w:val="20"/>
              </w:rPr>
            </w:pPr>
          </w:p>
        </w:tc>
        <w:tc>
          <w:tcPr>
            <w:tcW w:w="2330" w:type="pct"/>
          </w:tcPr>
          <w:p w:rsidR="001668F8" w:rsidRPr="001E5989" w:rsidRDefault="001668F8" w:rsidP="00090708">
            <w:pPr>
              <w:jc w:val="both"/>
              <w:rPr>
                <w:sz w:val="20"/>
              </w:rPr>
            </w:pPr>
            <w:r w:rsidRPr="001E5989">
              <w:rPr>
                <w:sz w:val="20"/>
              </w:rPr>
              <w:t xml:space="preserve">Application for judicial review dismissed </w:t>
            </w:r>
          </w:p>
          <w:p w:rsidR="001668F8" w:rsidRPr="001E5989" w:rsidRDefault="001668F8" w:rsidP="00090708">
            <w:pPr>
              <w:jc w:val="both"/>
              <w:rPr>
                <w:sz w:val="20"/>
              </w:rPr>
            </w:pPr>
          </w:p>
          <w:p w:rsidR="001668F8" w:rsidRPr="001E5989" w:rsidRDefault="001668F8" w:rsidP="00090708">
            <w:pPr>
              <w:jc w:val="both"/>
              <w:rPr>
                <w:sz w:val="20"/>
              </w:rPr>
            </w:pPr>
          </w:p>
          <w:p w:rsidR="001668F8" w:rsidRPr="001E5989" w:rsidRDefault="001668F8" w:rsidP="00090708">
            <w:pPr>
              <w:jc w:val="both"/>
              <w:rPr>
                <w:sz w:val="20"/>
              </w:rPr>
            </w:pPr>
          </w:p>
          <w:p w:rsidR="001668F8" w:rsidRPr="001E5989" w:rsidRDefault="001668F8" w:rsidP="00090708">
            <w:pPr>
              <w:jc w:val="both"/>
              <w:rPr>
                <w:sz w:val="20"/>
              </w:rPr>
            </w:pPr>
          </w:p>
        </w:tc>
      </w:tr>
      <w:tr w:rsidR="001668F8" w:rsidRPr="001E5989" w:rsidTr="00090708">
        <w:tc>
          <w:tcPr>
            <w:tcW w:w="2427" w:type="pct"/>
            <w:gridSpan w:val="2"/>
          </w:tcPr>
          <w:p w:rsidR="001668F8" w:rsidRPr="001E5989" w:rsidRDefault="001668F8" w:rsidP="00090708">
            <w:pPr>
              <w:jc w:val="both"/>
              <w:rPr>
                <w:sz w:val="20"/>
              </w:rPr>
            </w:pPr>
            <w:r w:rsidRPr="001E5989">
              <w:rPr>
                <w:sz w:val="20"/>
              </w:rPr>
              <w:t>July 7, 2017</w:t>
            </w:r>
          </w:p>
          <w:p w:rsidR="001668F8" w:rsidRPr="001E5989" w:rsidRDefault="001668F8" w:rsidP="00090708">
            <w:pPr>
              <w:jc w:val="both"/>
              <w:rPr>
                <w:sz w:val="20"/>
              </w:rPr>
            </w:pPr>
            <w:r w:rsidRPr="001E5989">
              <w:rPr>
                <w:sz w:val="20"/>
              </w:rPr>
              <w:t>Quebec Court of Appeal (Montréal)</w:t>
            </w:r>
          </w:p>
          <w:p w:rsidR="001668F8" w:rsidRPr="001E5989" w:rsidRDefault="001668F8" w:rsidP="00090708">
            <w:pPr>
              <w:jc w:val="both"/>
              <w:rPr>
                <w:sz w:val="20"/>
              </w:rPr>
            </w:pPr>
            <w:r w:rsidRPr="001E5989">
              <w:rPr>
                <w:sz w:val="20"/>
              </w:rPr>
              <w:t>(Savard, Marcotte and Schrager JJ.A.)</w:t>
            </w:r>
          </w:p>
          <w:p w:rsidR="001668F8" w:rsidRPr="001E5989" w:rsidRDefault="00F13243" w:rsidP="00090708">
            <w:pPr>
              <w:jc w:val="both"/>
              <w:rPr>
                <w:sz w:val="20"/>
              </w:rPr>
            </w:pPr>
            <w:hyperlink r:id="rId37" w:history="1">
              <w:r w:rsidR="001668F8" w:rsidRPr="001E5989">
                <w:rPr>
                  <w:rStyle w:val="Hyperlink"/>
                  <w:sz w:val="20"/>
                </w:rPr>
                <w:t>2017 QCCA 1074</w:t>
              </w:r>
            </w:hyperlink>
          </w:p>
          <w:p w:rsidR="001668F8" w:rsidRPr="001E5989" w:rsidRDefault="001668F8" w:rsidP="00090708">
            <w:pPr>
              <w:jc w:val="both"/>
              <w:rPr>
                <w:sz w:val="20"/>
              </w:rPr>
            </w:pPr>
          </w:p>
        </w:tc>
        <w:tc>
          <w:tcPr>
            <w:tcW w:w="243" w:type="pct"/>
          </w:tcPr>
          <w:p w:rsidR="001668F8" w:rsidRPr="001E5989" w:rsidRDefault="001668F8" w:rsidP="00090708">
            <w:pPr>
              <w:jc w:val="both"/>
              <w:rPr>
                <w:sz w:val="20"/>
              </w:rPr>
            </w:pPr>
          </w:p>
        </w:tc>
        <w:tc>
          <w:tcPr>
            <w:tcW w:w="2330" w:type="pct"/>
          </w:tcPr>
          <w:p w:rsidR="001668F8" w:rsidRPr="001E5989" w:rsidRDefault="001668F8" w:rsidP="00090708">
            <w:pPr>
              <w:jc w:val="both"/>
              <w:rPr>
                <w:sz w:val="20"/>
              </w:rPr>
            </w:pPr>
            <w:r w:rsidRPr="001E5989">
              <w:rPr>
                <w:sz w:val="20"/>
              </w:rPr>
              <w:t>Motion for dismissal of appeal granted; appeal dismissed; motion for leave to appeal out of time dismissed</w:t>
            </w:r>
          </w:p>
          <w:p w:rsidR="001668F8" w:rsidRPr="001E5989" w:rsidRDefault="001668F8" w:rsidP="00090708">
            <w:pPr>
              <w:jc w:val="both"/>
              <w:rPr>
                <w:sz w:val="20"/>
              </w:rPr>
            </w:pPr>
          </w:p>
        </w:tc>
      </w:tr>
      <w:tr w:rsidR="001668F8" w:rsidRPr="001E5989" w:rsidTr="00090708">
        <w:tc>
          <w:tcPr>
            <w:tcW w:w="2427" w:type="pct"/>
            <w:gridSpan w:val="2"/>
          </w:tcPr>
          <w:p w:rsidR="001668F8" w:rsidRPr="001E5989" w:rsidRDefault="001668F8" w:rsidP="00090708">
            <w:pPr>
              <w:jc w:val="both"/>
              <w:rPr>
                <w:sz w:val="20"/>
              </w:rPr>
            </w:pPr>
            <w:r w:rsidRPr="001E5989">
              <w:rPr>
                <w:sz w:val="20"/>
              </w:rPr>
              <w:t>January 23, 2018</w:t>
            </w:r>
          </w:p>
          <w:p w:rsidR="001668F8" w:rsidRPr="001E5989" w:rsidRDefault="001668F8" w:rsidP="00090708">
            <w:pPr>
              <w:jc w:val="both"/>
              <w:rPr>
                <w:sz w:val="20"/>
              </w:rPr>
            </w:pPr>
            <w:r w:rsidRPr="001E5989">
              <w:rPr>
                <w:sz w:val="20"/>
              </w:rPr>
              <w:t>Supreme Court of Canada</w:t>
            </w:r>
          </w:p>
        </w:tc>
        <w:tc>
          <w:tcPr>
            <w:tcW w:w="243" w:type="pct"/>
          </w:tcPr>
          <w:p w:rsidR="001668F8" w:rsidRPr="001E5989" w:rsidRDefault="001668F8" w:rsidP="00090708">
            <w:pPr>
              <w:jc w:val="both"/>
              <w:rPr>
                <w:sz w:val="20"/>
              </w:rPr>
            </w:pPr>
          </w:p>
        </w:tc>
        <w:tc>
          <w:tcPr>
            <w:tcW w:w="2330" w:type="pct"/>
          </w:tcPr>
          <w:p w:rsidR="001668F8" w:rsidRPr="001E5989" w:rsidRDefault="001668F8" w:rsidP="00090708">
            <w:pPr>
              <w:jc w:val="both"/>
              <w:rPr>
                <w:sz w:val="20"/>
              </w:rPr>
            </w:pPr>
            <w:r w:rsidRPr="001E5989">
              <w:rPr>
                <w:sz w:val="20"/>
              </w:rPr>
              <w:t>Motion to extend time and application for leave to appeal filed</w:t>
            </w:r>
          </w:p>
        </w:tc>
      </w:tr>
    </w:tbl>
    <w:p w:rsidR="001668F8" w:rsidRDefault="001668F8" w:rsidP="001668F8">
      <w:pPr>
        <w:jc w:val="both"/>
        <w:rPr>
          <w:sz w:val="20"/>
        </w:rPr>
      </w:pPr>
    </w:p>
    <w:p w:rsidR="001668F8" w:rsidRPr="001E5989" w:rsidRDefault="001668F8" w:rsidP="001668F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668F8" w:rsidRPr="001E5989" w:rsidTr="00090708">
        <w:tc>
          <w:tcPr>
            <w:tcW w:w="543" w:type="pct"/>
          </w:tcPr>
          <w:p w:rsidR="001668F8" w:rsidRPr="001E5989" w:rsidRDefault="001668F8" w:rsidP="00090708">
            <w:pPr>
              <w:jc w:val="both"/>
              <w:rPr>
                <w:sz w:val="20"/>
              </w:rPr>
            </w:pPr>
            <w:r w:rsidRPr="001E5989">
              <w:rPr>
                <w:rStyle w:val="SCCFileNumberChar"/>
                <w:sz w:val="20"/>
                <w:szCs w:val="20"/>
              </w:rPr>
              <w:t>38028</w:t>
            </w:r>
          </w:p>
        </w:tc>
        <w:tc>
          <w:tcPr>
            <w:tcW w:w="4457" w:type="pct"/>
            <w:gridSpan w:val="3"/>
          </w:tcPr>
          <w:p w:rsidR="001668F8" w:rsidRPr="00034463" w:rsidRDefault="001668F8" w:rsidP="00090708">
            <w:pPr>
              <w:pStyle w:val="SCCLsocParty"/>
              <w:jc w:val="both"/>
              <w:rPr>
                <w:b/>
                <w:sz w:val="20"/>
                <w:szCs w:val="20"/>
              </w:rPr>
            </w:pPr>
            <w:r w:rsidRPr="00034463">
              <w:rPr>
                <w:b/>
                <w:sz w:val="20"/>
                <w:szCs w:val="20"/>
              </w:rPr>
              <w:t>Saïd Boukendour c. Syndicat des professeures et professeurs de l’Université du Québec en Outaouais</w:t>
            </w:r>
            <w:r w:rsidR="00D23D8C">
              <w:rPr>
                <w:b/>
                <w:sz w:val="20"/>
                <w:szCs w:val="20"/>
              </w:rPr>
              <w:t xml:space="preserve"> et</w:t>
            </w:r>
            <w:r w:rsidRPr="00034463">
              <w:rPr>
                <w:b/>
                <w:sz w:val="20"/>
                <w:szCs w:val="20"/>
              </w:rPr>
              <w:t xml:space="preserve"> </w:t>
            </w:r>
            <w:r w:rsidR="00D23D8C">
              <w:rPr>
                <w:b/>
                <w:sz w:val="20"/>
                <w:szCs w:val="20"/>
              </w:rPr>
              <w:t>l’</w:t>
            </w:r>
            <w:r w:rsidRPr="00034463">
              <w:rPr>
                <w:b/>
                <w:sz w:val="20"/>
                <w:szCs w:val="20"/>
              </w:rPr>
              <w:t>Université du Québec en Outaouais</w:t>
            </w:r>
          </w:p>
          <w:p w:rsidR="001668F8" w:rsidRPr="001E5989" w:rsidRDefault="001668F8" w:rsidP="00090708">
            <w:pPr>
              <w:jc w:val="both"/>
              <w:rPr>
                <w:sz w:val="20"/>
              </w:rPr>
            </w:pPr>
            <w:r w:rsidRPr="001E5989">
              <w:rPr>
                <w:sz w:val="20"/>
              </w:rPr>
              <w:t>(Qc) (Civile) (Autorisation)</w:t>
            </w:r>
          </w:p>
        </w:tc>
      </w:tr>
      <w:tr w:rsidR="000771F6" w:rsidRPr="00D23D8C" w:rsidTr="000771F6">
        <w:tc>
          <w:tcPr>
            <w:tcW w:w="5000" w:type="pct"/>
            <w:gridSpan w:val="4"/>
          </w:tcPr>
          <w:p w:rsidR="000771F6" w:rsidRPr="00D23D8C" w:rsidRDefault="00D23D8C" w:rsidP="00090708">
            <w:pPr>
              <w:pStyle w:val="SCCLsocParty"/>
              <w:jc w:val="both"/>
              <w:rPr>
                <w:b/>
                <w:sz w:val="20"/>
                <w:szCs w:val="20"/>
              </w:rPr>
            </w:pPr>
            <w:r w:rsidRPr="000771F6">
              <w:rPr>
                <w:sz w:val="20"/>
              </w:rPr>
              <w:t>La requête en prorogation du délai de signification et de dépôt de la demande d’autorisation d’appel est accueillie. La demande d’autorisation d’appel de l’arrêt de la Cour d’appel du Québec (Montréal), numéro 500-09-026719-179, 2017 QCCA 1074, daté du 7 juillet 2017, est rejetée sans dépens.</w:t>
            </w:r>
          </w:p>
        </w:tc>
      </w:tr>
      <w:tr w:rsidR="001668F8" w:rsidRPr="00DB1C5D" w:rsidTr="00090708">
        <w:tc>
          <w:tcPr>
            <w:tcW w:w="5000" w:type="pct"/>
            <w:gridSpan w:val="4"/>
          </w:tcPr>
          <w:p w:rsidR="001668F8" w:rsidRPr="001E5989" w:rsidRDefault="001668F8" w:rsidP="00090708">
            <w:pPr>
              <w:jc w:val="both"/>
              <w:rPr>
                <w:sz w:val="20"/>
                <w:lang w:val="fr-CA"/>
              </w:rPr>
            </w:pPr>
            <w:r w:rsidRPr="001E5989">
              <w:rPr>
                <w:sz w:val="20"/>
                <w:lang w:val="fr-CA"/>
              </w:rPr>
              <w:t xml:space="preserve">Droit du travail – Devoir de représentation – Le droit du demandeur à un tribunal impartial </w:t>
            </w:r>
            <w:proofErr w:type="spellStart"/>
            <w:r w:rsidRPr="001E5989">
              <w:rPr>
                <w:sz w:val="20"/>
                <w:lang w:val="fr-CA"/>
              </w:rPr>
              <w:t>a-t-il</w:t>
            </w:r>
            <w:proofErr w:type="spellEnd"/>
            <w:r w:rsidRPr="001E5989">
              <w:rPr>
                <w:sz w:val="20"/>
                <w:lang w:val="fr-CA"/>
              </w:rPr>
              <w:t xml:space="preserve"> été violé par la Commission des relations du travail? – </w:t>
            </w:r>
            <w:r w:rsidRPr="001E5989">
              <w:rPr>
                <w:i/>
                <w:sz w:val="20"/>
                <w:lang w:val="fr-FR"/>
              </w:rPr>
              <w:t>Code du travail</w:t>
            </w:r>
            <w:r w:rsidRPr="001E5989">
              <w:rPr>
                <w:sz w:val="20"/>
                <w:lang w:val="fr-FR"/>
              </w:rPr>
              <w:t>, RLRQ c C-27, art. 47.2.</w:t>
            </w:r>
          </w:p>
        </w:tc>
      </w:tr>
      <w:tr w:rsidR="001668F8" w:rsidRPr="00DB1C5D" w:rsidTr="00090708">
        <w:tc>
          <w:tcPr>
            <w:tcW w:w="5000" w:type="pct"/>
            <w:gridSpan w:val="4"/>
          </w:tcPr>
          <w:p w:rsidR="001668F8" w:rsidRPr="001E5989" w:rsidRDefault="001668F8" w:rsidP="00090708">
            <w:pPr>
              <w:jc w:val="both"/>
              <w:rPr>
                <w:sz w:val="20"/>
                <w:lang w:val="fr-CA"/>
              </w:rPr>
            </w:pPr>
          </w:p>
        </w:tc>
      </w:tr>
      <w:tr w:rsidR="001668F8" w:rsidRPr="00DB1C5D" w:rsidTr="00090708">
        <w:tc>
          <w:tcPr>
            <w:tcW w:w="5000" w:type="pct"/>
            <w:gridSpan w:val="4"/>
          </w:tcPr>
          <w:p w:rsidR="001668F8" w:rsidRPr="001E5989" w:rsidRDefault="001668F8" w:rsidP="00090708">
            <w:pPr>
              <w:jc w:val="both"/>
              <w:rPr>
                <w:sz w:val="20"/>
                <w:lang w:val="fr-FR"/>
              </w:rPr>
            </w:pPr>
            <w:r w:rsidRPr="001E5989">
              <w:rPr>
                <w:sz w:val="20"/>
                <w:lang w:val="fr-CA"/>
              </w:rPr>
              <w:t xml:space="preserve">En 2015, la Commission des relations du travail a rejeté la plainte de M. Boukendour, demandeur, dans laquelle il alléguait la violation du devoir de représentation du Syndicat, intimé, en vertu de l’art. 47.2 du </w:t>
            </w:r>
            <w:r w:rsidRPr="001E5989">
              <w:rPr>
                <w:i/>
                <w:sz w:val="20"/>
                <w:lang w:val="fr-FR"/>
              </w:rPr>
              <w:t>Code du travail</w:t>
            </w:r>
            <w:r w:rsidRPr="001E5989">
              <w:rPr>
                <w:sz w:val="20"/>
                <w:lang w:val="fr-FR"/>
              </w:rPr>
              <w:t>, RLRQ c C-27. La Commission a conclu que la plainte était irrecevable puisqu’il y avait chose jugée. Monsieur Boukendour a ensuite demandé, sans succès, la révision de cette décision devant le Tribunal administratif du travail. Le pourvoi en contrôle judiciaire devant la Cour supérieure ainsi que la requête pour permission d’appeler devant la Cour d’appel ont également été rejetés. De l’avis de la Cour d’appel, la requête de M. Boukendour pour permission d’appeler se rapportait à l’application des principes maintes fois répétés en matière de contrôle judiciaire et de l’autorité de la chose jugée. De plus, les arguments de M. Boukendour avaient déjà été analysés et rejetés par trois instances décisionnelles. La cour a conclu que M. Boukendour n’avait pas démontré la possibilité d’une injustice qui justifierait son intervention.</w:t>
            </w:r>
          </w:p>
          <w:p w:rsidR="001668F8" w:rsidRPr="001E5989" w:rsidRDefault="001668F8" w:rsidP="00090708">
            <w:pPr>
              <w:jc w:val="both"/>
              <w:rPr>
                <w:sz w:val="20"/>
                <w:lang w:val="fr-CA"/>
              </w:rPr>
            </w:pPr>
          </w:p>
        </w:tc>
      </w:tr>
      <w:tr w:rsidR="001668F8" w:rsidRPr="001E5989" w:rsidTr="00090708">
        <w:tc>
          <w:tcPr>
            <w:tcW w:w="2427" w:type="pct"/>
            <w:gridSpan w:val="2"/>
          </w:tcPr>
          <w:p w:rsidR="001668F8" w:rsidRPr="001E5989" w:rsidRDefault="001668F8" w:rsidP="00090708">
            <w:pPr>
              <w:jc w:val="both"/>
              <w:rPr>
                <w:sz w:val="20"/>
                <w:lang w:val="fr-CA"/>
              </w:rPr>
            </w:pPr>
            <w:r w:rsidRPr="001E5989">
              <w:rPr>
                <w:sz w:val="20"/>
                <w:lang w:val="fr-CA"/>
              </w:rPr>
              <w:t>Le 27 mai 2015</w:t>
            </w:r>
          </w:p>
          <w:p w:rsidR="001668F8" w:rsidRPr="001E5989" w:rsidRDefault="001668F8" w:rsidP="00090708">
            <w:pPr>
              <w:jc w:val="both"/>
              <w:rPr>
                <w:sz w:val="20"/>
                <w:lang w:val="fr-CA"/>
              </w:rPr>
            </w:pPr>
            <w:r w:rsidRPr="001E5989">
              <w:rPr>
                <w:sz w:val="20"/>
                <w:lang w:val="fr-CA"/>
              </w:rPr>
              <w:t>Commission des relations du travail</w:t>
            </w:r>
          </w:p>
          <w:p w:rsidR="001668F8" w:rsidRPr="001E5989" w:rsidRDefault="001668F8" w:rsidP="00090708">
            <w:pPr>
              <w:jc w:val="both"/>
              <w:rPr>
                <w:sz w:val="20"/>
                <w:lang w:val="fr-CA"/>
              </w:rPr>
            </w:pPr>
            <w:r w:rsidRPr="001E5989">
              <w:rPr>
                <w:sz w:val="20"/>
                <w:lang w:val="fr-CA"/>
              </w:rPr>
              <w:t>(Le juge administratif Michaud)</w:t>
            </w:r>
          </w:p>
          <w:p w:rsidR="001668F8" w:rsidRPr="001E5989" w:rsidRDefault="00F13243" w:rsidP="00090708">
            <w:pPr>
              <w:jc w:val="both"/>
              <w:rPr>
                <w:rStyle w:val="Hyperlink"/>
                <w:sz w:val="20"/>
                <w:lang w:val="fr-CA"/>
              </w:rPr>
            </w:pPr>
            <w:hyperlink r:id="rId38" w:history="1">
              <w:r w:rsidR="001668F8" w:rsidRPr="001E5989">
                <w:rPr>
                  <w:rStyle w:val="Hyperlink"/>
                  <w:sz w:val="20"/>
                  <w:lang w:val="fr-CA"/>
                </w:rPr>
                <w:t>2015 QCCRT 0276</w:t>
              </w:r>
            </w:hyperlink>
          </w:p>
          <w:p w:rsidR="001668F8" w:rsidRPr="001E5989" w:rsidRDefault="001668F8" w:rsidP="00090708">
            <w:pPr>
              <w:jc w:val="both"/>
              <w:rPr>
                <w:sz w:val="20"/>
                <w:lang w:val="fr-CA"/>
              </w:rPr>
            </w:pPr>
          </w:p>
        </w:tc>
        <w:tc>
          <w:tcPr>
            <w:tcW w:w="243" w:type="pct"/>
          </w:tcPr>
          <w:p w:rsidR="001668F8" w:rsidRPr="001E5989" w:rsidRDefault="001668F8" w:rsidP="00090708">
            <w:pPr>
              <w:jc w:val="both"/>
              <w:rPr>
                <w:sz w:val="20"/>
                <w:lang w:val="fr-CA"/>
              </w:rPr>
            </w:pPr>
          </w:p>
        </w:tc>
        <w:tc>
          <w:tcPr>
            <w:tcW w:w="2330" w:type="pct"/>
          </w:tcPr>
          <w:p w:rsidR="001668F8" w:rsidRPr="001E5989" w:rsidRDefault="001668F8" w:rsidP="00090708">
            <w:pPr>
              <w:jc w:val="both"/>
              <w:rPr>
                <w:sz w:val="20"/>
              </w:rPr>
            </w:pPr>
            <w:proofErr w:type="spellStart"/>
            <w:r w:rsidRPr="001E5989">
              <w:rPr>
                <w:sz w:val="20"/>
              </w:rPr>
              <w:t>Plainte</w:t>
            </w:r>
            <w:proofErr w:type="spellEnd"/>
            <w:r w:rsidRPr="001E5989">
              <w:rPr>
                <w:sz w:val="20"/>
              </w:rPr>
              <w:t xml:space="preserve"> </w:t>
            </w:r>
            <w:proofErr w:type="spellStart"/>
            <w:r w:rsidRPr="001E5989">
              <w:rPr>
                <w:sz w:val="20"/>
              </w:rPr>
              <w:t>rejetée</w:t>
            </w:r>
            <w:proofErr w:type="spellEnd"/>
          </w:p>
          <w:p w:rsidR="001668F8" w:rsidRPr="001E5989" w:rsidRDefault="001668F8" w:rsidP="00090708">
            <w:pPr>
              <w:jc w:val="both"/>
              <w:rPr>
                <w:sz w:val="20"/>
              </w:rPr>
            </w:pPr>
          </w:p>
          <w:p w:rsidR="001668F8" w:rsidRPr="001E5989" w:rsidRDefault="001668F8" w:rsidP="00090708">
            <w:pPr>
              <w:jc w:val="both"/>
              <w:rPr>
                <w:sz w:val="20"/>
              </w:rPr>
            </w:pPr>
          </w:p>
          <w:p w:rsidR="001668F8" w:rsidRPr="001E5989" w:rsidRDefault="001668F8" w:rsidP="00090708">
            <w:pPr>
              <w:jc w:val="both"/>
              <w:rPr>
                <w:sz w:val="20"/>
              </w:rPr>
            </w:pPr>
          </w:p>
          <w:p w:rsidR="001668F8" w:rsidRPr="001E5989" w:rsidRDefault="001668F8" w:rsidP="00090708">
            <w:pPr>
              <w:jc w:val="both"/>
              <w:rPr>
                <w:sz w:val="20"/>
              </w:rPr>
            </w:pPr>
          </w:p>
        </w:tc>
      </w:tr>
      <w:tr w:rsidR="001668F8" w:rsidRPr="001E5989" w:rsidTr="00090708">
        <w:tc>
          <w:tcPr>
            <w:tcW w:w="2427" w:type="pct"/>
            <w:gridSpan w:val="2"/>
          </w:tcPr>
          <w:p w:rsidR="001668F8" w:rsidRPr="001E5989" w:rsidRDefault="001668F8" w:rsidP="00090708">
            <w:pPr>
              <w:jc w:val="both"/>
              <w:rPr>
                <w:sz w:val="20"/>
                <w:lang w:val="fr-CA"/>
              </w:rPr>
            </w:pPr>
            <w:r w:rsidRPr="001E5989">
              <w:rPr>
                <w:sz w:val="20"/>
                <w:lang w:val="fr-CA"/>
              </w:rPr>
              <w:t>Le 15 janvier 2016</w:t>
            </w:r>
          </w:p>
          <w:p w:rsidR="001668F8" w:rsidRPr="001E5989" w:rsidRDefault="001668F8" w:rsidP="00090708">
            <w:pPr>
              <w:jc w:val="both"/>
              <w:rPr>
                <w:sz w:val="20"/>
                <w:lang w:val="fr-CA"/>
              </w:rPr>
            </w:pPr>
            <w:r w:rsidRPr="001E5989">
              <w:rPr>
                <w:sz w:val="20"/>
                <w:lang w:val="fr-CA"/>
              </w:rPr>
              <w:t>Tribunal administratif du travail</w:t>
            </w:r>
          </w:p>
          <w:p w:rsidR="001668F8" w:rsidRPr="001E5989" w:rsidRDefault="001668F8" w:rsidP="00090708">
            <w:pPr>
              <w:jc w:val="both"/>
              <w:rPr>
                <w:sz w:val="20"/>
                <w:lang w:val="fr-CA"/>
              </w:rPr>
            </w:pPr>
            <w:r w:rsidRPr="001E5989">
              <w:rPr>
                <w:sz w:val="20"/>
                <w:lang w:val="fr-CA"/>
              </w:rPr>
              <w:t>(Les juges administratives Blouin, Giroux et Grignon)</w:t>
            </w:r>
          </w:p>
          <w:p w:rsidR="001668F8" w:rsidRPr="001E5989" w:rsidRDefault="001668F8" w:rsidP="00090708">
            <w:pPr>
              <w:jc w:val="both"/>
              <w:rPr>
                <w:sz w:val="20"/>
              </w:rPr>
            </w:pPr>
            <w:r w:rsidRPr="001E5989">
              <w:rPr>
                <w:sz w:val="20"/>
              </w:rPr>
              <w:t>CM-2015-4560</w:t>
            </w:r>
          </w:p>
          <w:p w:rsidR="001668F8" w:rsidRPr="001E5989" w:rsidRDefault="001668F8" w:rsidP="00090708">
            <w:pPr>
              <w:jc w:val="both"/>
              <w:rPr>
                <w:sz w:val="20"/>
              </w:rPr>
            </w:pPr>
          </w:p>
        </w:tc>
        <w:tc>
          <w:tcPr>
            <w:tcW w:w="243" w:type="pct"/>
          </w:tcPr>
          <w:p w:rsidR="001668F8" w:rsidRPr="001E5989" w:rsidRDefault="001668F8" w:rsidP="00090708">
            <w:pPr>
              <w:jc w:val="both"/>
              <w:rPr>
                <w:sz w:val="20"/>
              </w:rPr>
            </w:pPr>
          </w:p>
        </w:tc>
        <w:tc>
          <w:tcPr>
            <w:tcW w:w="2330" w:type="pct"/>
          </w:tcPr>
          <w:p w:rsidR="001668F8" w:rsidRPr="001E5989" w:rsidRDefault="001668F8" w:rsidP="00090708">
            <w:pPr>
              <w:jc w:val="both"/>
              <w:rPr>
                <w:sz w:val="20"/>
              </w:rPr>
            </w:pPr>
            <w:proofErr w:type="spellStart"/>
            <w:r w:rsidRPr="001E5989">
              <w:rPr>
                <w:sz w:val="20"/>
              </w:rPr>
              <w:t>Demande</w:t>
            </w:r>
            <w:proofErr w:type="spellEnd"/>
            <w:r w:rsidRPr="001E5989">
              <w:rPr>
                <w:sz w:val="20"/>
              </w:rPr>
              <w:t xml:space="preserve"> de </w:t>
            </w:r>
            <w:proofErr w:type="spellStart"/>
            <w:r w:rsidRPr="001E5989">
              <w:rPr>
                <w:sz w:val="20"/>
              </w:rPr>
              <w:t>révision</w:t>
            </w:r>
            <w:proofErr w:type="spellEnd"/>
            <w:r w:rsidRPr="001E5989">
              <w:rPr>
                <w:sz w:val="20"/>
              </w:rPr>
              <w:t xml:space="preserve"> </w:t>
            </w:r>
            <w:proofErr w:type="spellStart"/>
            <w:r w:rsidRPr="001E5989">
              <w:rPr>
                <w:sz w:val="20"/>
              </w:rPr>
              <w:t>rejetée</w:t>
            </w:r>
            <w:proofErr w:type="spellEnd"/>
          </w:p>
          <w:p w:rsidR="001668F8" w:rsidRPr="001E5989" w:rsidRDefault="001668F8" w:rsidP="00090708">
            <w:pPr>
              <w:jc w:val="both"/>
              <w:rPr>
                <w:sz w:val="20"/>
              </w:rPr>
            </w:pPr>
          </w:p>
        </w:tc>
      </w:tr>
      <w:tr w:rsidR="001668F8" w:rsidRPr="001E5989" w:rsidTr="00090708">
        <w:tc>
          <w:tcPr>
            <w:tcW w:w="2427" w:type="pct"/>
            <w:gridSpan w:val="2"/>
          </w:tcPr>
          <w:p w:rsidR="001668F8" w:rsidRPr="001E5989" w:rsidRDefault="001668F8" w:rsidP="00090708">
            <w:pPr>
              <w:jc w:val="both"/>
              <w:rPr>
                <w:sz w:val="20"/>
                <w:lang w:val="fr-CA"/>
              </w:rPr>
            </w:pPr>
            <w:r w:rsidRPr="001E5989">
              <w:rPr>
                <w:sz w:val="20"/>
                <w:lang w:val="fr-CA"/>
              </w:rPr>
              <w:t>Le 9 mars 2017</w:t>
            </w:r>
          </w:p>
          <w:p w:rsidR="001668F8" w:rsidRPr="001E5989" w:rsidRDefault="001668F8" w:rsidP="00090708">
            <w:pPr>
              <w:jc w:val="both"/>
              <w:rPr>
                <w:sz w:val="20"/>
                <w:lang w:val="fr-CA"/>
              </w:rPr>
            </w:pPr>
            <w:r w:rsidRPr="001E5989">
              <w:rPr>
                <w:sz w:val="20"/>
                <w:lang w:val="fr-CA"/>
              </w:rPr>
              <w:t>Cour supérieure du Québec</w:t>
            </w:r>
          </w:p>
          <w:p w:rsidR="001668F8" w:rsidRPr="001E5989" w:rsidRDefault="001668F8" w:rsidP="00090708">
            <w:pPr>
              <w:jc w:val="both"/>
              <w:rPr>
                <w:sz w:val="20"/>
              </w:rPr>
            </w:pPr>
            <w:r w:rsidRPr="001E5989">
              <w:rPr>
                <w:sz w:val="20"/>
              </w:rPr>
              <w:t xml:space="preserve">(La </w:t>
            </w:r>
            <w:proofErr w:type="spellStart"/>
            <w:r w:rsidRPr="001E5989">
              <w:rPr>
                <w:sz w:val="20"/>
              </w:rPr>
              <w:t>juge</w:t>
            </w:r>
            <w:proofErr w:type="spellEnd"/>
            <w:r w:rsidRPr="001E5989">
              <w:rPr>
                <w:sz w:val="20"/>
              </w:rPr>
              <w:t xml:space="preserve"> </w:t>
            </w:r>
            <w:proofErr w:type="spellStart"/>
            <w:r w:rsidRPr="001E5989">
              <w:rPr>
                <w:sz w:val="20"/>
              </w:rPr>
              <w:t>Bédard</w:t>
            </w:r>
            <w:proofErr w:type="spellEnd"/>
            <w:r w:rsidRPr="001E5989">
              <w:rPr>
                <w:sz w:val="20"/>
              </w:rPr>
              <w:t>)</w:t>
            </w:r>
          </w:p>
          <w:p w:rsidR="001668F8" w:rsidRPr="001E5989" w:rsidRDefault="00F13243" w:rsidP="00090708">
            <w:pPr>
              <w:jc w:val="both"/>
              <w:rPr>
                <w:rStyle w:val="Hyperlink"/>
                <w:sz w:val="20"/>
                <w:lang w:val="fr-FR"/>
              </w:rPr>
            </w:pPr>
            <w:hyperlink r:id="rId39" w:history="1">
              <w:r w:rsidR="001668F8" w:rsidRPr="001E5989">
                <w:rPr>
                  <w:rStyle w:val="Hyperlink"/>
                  <w:sz w:val="20"/>
                  <w:lang w:val="fr-FR"/>
                </w:rPr>
                <w:t>2017 QCCS 896</w:t>
              </w:r>
            </w:hyperlink>
          </w:p>
          <w:p w:rsidR="001668F8" w:rsidRPr="001E5989" w:rsidRDefault="001668F8" w:rsidP="00090708">
            <w:pPr>
              <w:jc w:val="both"/>
              <w:rPr>
                <w:sz w:val="20"/>
              </w:rPr>
            </w:pPr>
          </w:p>
        </w:tc>
        <w:tc>
          <w:tcPr>
            <w:tcW w:w="243" w:type="pct"/>
          </w:tcPr>
          <w:p w:rsidR="001668F8" w:rsidRPr="001E5989" w:rsidRDefault="001668F8" w:rsidP="00090708">
            <w:pPr>
              <w:jc w:val="both"/>
              <w:rPr>
                <w:sz w:val="20"/>
              </w:rPr>
            </w:pPr>
          </w:p>
        </w:tc>
        <w:tc>
          <w:tcPr>
            <w:tcW w:w="2330" w:type="pct"/>
          </w:tcPr>
          <w:p w:rsidR="001668F8" w:rsidRPr="001E5989" w:rsidRDefault="001668F8" w:rsidP="00090708">
            <w:pPr>
              <w:jc w:val="both"/>
              <w:rPr>
                <w:sz w:val="20"/>
              </w:rPr>
            </w:pPr>
            <w:proofErr w:type="spellStart"/>
            <w:r w:rsidRPr="001E5989">
              <w:rPr>
                <w:sz w:val="20"/>
              </w:rPr>
              <w:t>Demande</w:t>
            </w:r>
            <w:proofErr w:type="spellEnd"/>
            <w:r w:rsidRPr="001E5989">
              <w:rPr>
                <w:sz w:val="20"/>
              </w:rPr>
              <w:t xml:space="preserve"> de </w:t>
            </w:r>
            <w:proofErr w:type="spellStart"/>
            <w:r w:rsidRPr="001E5989">
              <w:rPr>
                <w:sz w:val="20"/>
              </w:rPr>
              <w:t>contrôle</w:t>
            </w:r>
            <w:proofErr w:type="spellEnd"/>
            <w:r w:rsidRPr="001E5989">
              <w:rPr>
                <w:sz w:val="20"/>
              </w:rPr>
              <w:t xml:space="preserve"> </w:t>
            </w:r>
            <w:proofErr w:type="spellStart"/>
            <w:r w:rsidRPr="001E5989">
              <w:rPr>
                <w:sz w:val="20"/>
              </w:rPr>
              <w:t>judiciaire</w:t>
            </w:r>
            <w:proofErr w:type="spellEnd"/>
            <w:r w:rsidRPr="001E5989">
              <w:rPr>
                <w:sz w:val="20"/>
              </w:rPr>
              <w:t xml:space="preserve"> </w:t>
            </w:r>
            <w:proofErr w:type="spellStart"/>
            <w:r w:rsidRPr="001E5989">
              <w:rPr>
                <w:sz w:val="20"/>
              </w:rPr>
              <w:t>rejetée</w:t>
            </w:r>
            <w:proofErr w:type="spellEnd"/>
            <w:r w:rsidRPr="001E5989">
              <w:rPr>
                <w:sz w:val="20"/>
              </w:rPr>
              <w:t xml:space="preserve"> </w:t>
            </w:r>
          </w:p>
          <w:p w:rsidR="001668F8" w:rsidRPr="001E5989" w:rsidRDefault="001668F8" w:rsidP="00090708">
            <w:pPr>
              <w:jc w:val="both"/>
              <w:rPr>
                <w:sz w:val="20"/>
              </w:rPr>
            </w:pPr>
          </w:p>
          <w:p w:rsidR="001668F8" w:rsidRPr="001E5989" w:rsidRDefault="001668F8" w:rsidP="00090708">
            <w:pPr>
              <w:jc w:val="both"/>
              <w:rPr>
                <w:sz w:val="20"/>
              </w:rPr>
            </w:pPr>
          </w:p>
          <w:p w:rsidR="001668F8" w:rsidRPr="001E5989" w:rsidRDefault="001668F8" w:rsidP="00090708">
            <w:pPr>
              <w:jc w:val="both"/>
              <w:rPr>
                <w:sz w:val="20"/>
              </w:rPr>
            </w:pPr>
          </w:p>
          <w:p w:rsidR="001668F8" w:rsidRPr="001E5989" w:rsidRDefault="001668F8" w:rsidP="00090708">
            <w:pPr>
              <w:jc w:val="both"/>
              <w:rPr>
                <w:sz w:val="20"/>
              </w:rPr>
            </w:pPr>
          </w:p>
        </w:tc>
      </w:tr>
      <w:tr w:rsidR="001668F8" w:rsidRPr="00DB1C5D" w:rsidTr="00090708">
        <w:tc>
          <w:tcPr>
            <w:tcW w:w="2427" w:type="pct"/>
            <w:gridSpan w:val="2"/>
          </w:tcPr>
          <w:p w:rsidR="001668F8" w:rsidRPr="001E5989" w:rsidRDefault="001668F8" w:rsidP="00090708">
            <w:pPr>
              <w:jc w:val="both"/>
              <w:rPr>
                <w:sz w:val="20"/>
                <w:lang w:val="fr-CA"/>
              </w:rPr>
            </w:pPr>
            <w:r w:rsidRPr="001E5989">
              <w:rPr>
                <w:sz w:val="20"/>
                <w:lang w:val="fr-CA"/>
              </w:rPr>
              <w:lastRenderedPageBreak/>
              <w:t>Le 7 juillet 2017</w:t>
            </w:r>
          </w:p>
          <w:p w:rsidR="001668F8" w:rsidRPr="001E5989" w:rsidRDefault="001668F8" w:rsidP="00090708">
            <w:pPr>
              <w:jc w:val="both"/>
              <w:rPr>
                <w:sz w:val="20"/>
                <w:lang w:val="fr-CA"/>
              </w:rPr>
            </w:pPr>
            <w:r w:rsidRPr="001E5989">
              <w:rPr>
                <w:sz w:val="20"/>
                <w:lang w:val="fr-CA"/>
              </w:rPr>
              <w:t>Cour d’appel du Québec (Montréal)</w:t>
            </w:r>
          </w:p>
          <w:p w:rsidR="001668F8" w:rsidRPr="001E5989" w:rsidRDefault="001668F8" w:rsidP="00090708">
            <w:pPr>
              <w:jc w:val="both"/>
              <w:rPr>
                <w:sz w:val="20"/>
                <w:lang w:val="fr-CA"/>
              </w:rPr>
            </w:pPr>
            <w:r w:rsidRPr="001E5989">
              <w:rPr>
                <w:sz w:val="20"/>
                <w:lang w:val="fr-CA"/>
              </w:rPr>
              <w:t xml:space="preserve">(Les juges Savard, Marcotte et </w:t>
            </w:r>
            <w:proofErr w:type="spellStart"/>
            <w:r w:rsidRPr="001E5989">
              <w:rPr>
                <w:sz w:val="20"/>
                <w:lang w:val="fr-CA"/>
              </w:rPr>
              <w:t>Schrager</w:t>
            </w:r>
            <w:proofErr w:type="spellEnd"/>
            <w:r w:rsidRPr="001E5989">
              <w:rPr>
                <w:sz w:val="20"/>
                <w:lang w:val="fr-CA"/>
              </w:rPr>
              <w:t>)</w:t>
            </w:r>
          </w:p>
          <w:p w:rsidR="001668F8" w:rsidRPr="001E5989" w:rsidRDefault="00F13243" w:rsidP="00090708">
            <w:pPr>
              <w:jc w:val="both"/>
              <w:rPr>
                <w:sz w:val="20"/>
                <w:lang w:val="fr-FR"/>
              </w:rPr>
            </w:pPr>
            <w:hyperlink r:id="rId40" w:history="1">
              <w:r w:rsidR="001668F8" w:rsidRPr="001E5989">
                <w:rPr>
                  <w:rStyle w:val="Hyperlink"/>
                  <w:sz w:val="20"/>
                  <w:lang w:val="fr-FR"/>
                </w:rPr>
                <w:t>2017 QCCA 1074</w:t>
              </w:r>
            </w:hyperlink>
          </w:p>
          <w:p w:rsidR="001668F8" w:rsidRPr="001E5989" w:rsidRDefault="001668F8" w:rsidP="00090708">
            <w:pPr>
              <w:jc w:val="both"/>
              <w:rPr>
                <w:sz w:val="20"/>
              </w:rPr>
            </w:pPr>
          </w:p>
        </w:tc>
        <w:tc>
          <w:tcPr>
            <w:tcW w:w="243" w:type="pct"/>
          </w:tcPr>
          <w:p w:rsidR="001668F8" w:rsidRPr="001E5989" w:rsidRDefault="001668F8" w:rsidP="00090708">
            <w:pPr>
              <w:jc w:val="both"/>
              <w:rPr>
                <w:sz w:val="20"/>
              </w:rPr>
            </w:pPr>
          </w:p>
        </w:tc>
        <w:tc>
          <w:tcPr>
            <w:tcW w:w="2330" w:type="pct"/>
          </w:tcPr>
          <w:p w:rsidR="001668F8" w:rsidRPr="001E5989" w:rsidRDefault="001668F8" w:rsidP="00090708">
            <w:pPr>
              <w:jc w:val="both"/>
              <w:rPr>
                <w:sz w:val="20"/>
                <w:lang w:val="fr-CA"/>
              </w:rPr>
            </w:pPr>
            <w:r w:rsidRPr="001E5989">
              <w:rPr>
                <w:sz w:val="20"/>
                <w:lang w:val="fr-CA"/>
              </w:rPr>
              <w:t>Requête en rejet d’appel accueillie; appel rejeté; requête pour permission d’appeler hors délai rejetée</w:t>
            </w:r>
          </w:p>
          <w:p w:rsidR="001668F8" w:rsidRPr="001E5989" w:rsidRDefault="001668F8" w:rsidP="00090708">
            <w:pPr>
              <w:jc w:val="both"/>
              <w:rPr>
                <w:sz w:val="20"/>
                <w:lang w:val="fr-CA"/>
              </w:rPr>
            </w:pPr>
          </w:p>
        </w:tc>
      </w:tr>
      <w:tr w:rsidR="001668F8" w:rsidRPr="00DB1C5D" w:rsidTr="00090708">
        <w:tc>
          <w:tcPr>
            <w:tcW w:w="2427" w:type="pct"/>
            <w:gridSpan w:val="2"/>
          </w:tcPr>
          <w:p w:rsidR="001668F8" w:rsidRPr="001E5989" w:rsidRDefault="001668F8" w:rsidP="00090708">
            <w:pPr>
              <w:jc w:val="both"/>
              <w:rPr>
                <w:sz w:val="20"/>
                <w:lang w:val="fr-CA"/>
              </w:rPr>
            </w:pPr>
            <w:r w:rsidRPr="001E5989">
              <w:rPr>
                <w:sz w:val="20"/>
                <w:lang w:val="fr-CA"/>
              </w:rPr>
              <w:t>Le 23 janvier 2018</w:t>
            </w:r>
          </w:p>
          <w:p w:rsidR="001668F8" w:rsidRPr="001E5989" w:rsidRDefault="001668F8" w:rsidP="00090708">
            <w:pPr>
              <w:jc w:val="both"/>
              <w:rPr>
                <w:sz w:val="20"/>
                <w:lang w:val="fr-CA"/>
              </w:rPr>
            </w:pPr>
            <w:r w:rsidRPr="001E5989">
              <w:rPr>
                <w:sz w:val="20"/>
                <w:lang w:val="fr-CA"/>
              </w:rPr>
              <w:t>Cour suprême du Canada</w:t>
            </w:r>
          </w:p>
        </w:tc>
        <w:tc>
          <w:tcPr>
            <w:tcW w:w="243" w:type="pct"/>
          </w:tcPr>
          <w:p w:rsidR="001668F8" w:rsidRPr="001E5989" w:rsidRDefault="001668F8" w:rsidP="00090708">
            <w:pPr>
              <w:jc w:val="both"/>
              <w:rPr>
                <w:sz w:val="20"/>
                <w:lang w:val="fr-CA"/>
              </w:rPr>
            </w:pPr>
          </w:p>
        </w:tc>
        <w:tc>
          <w:tcPr>
            <w:tcW w:w="2330" w:type="pct"/>
          </w:tcPr>
          <w:p w:rsidR="001668F8" w:rsidRPr="001E5989" w:rsidRDefault="001668F8" w:rsidP="00090708">
            <w:pPr>
              <w:jc w:val="both"/>
              <w:rPr>
                <w:sz w:val="20"/>
                <w:lang w:val="fr-CA"/>
              </w:rPr>
            </w:pPr>
            <w:r w:rsidRPr="001E5989">
              <w:rPr>
                <w:sz w:val="20"/>
                <w:lang w:val="fr-CA"/>
              </w:rPr>
              <w:t xml:space="preserve">Requête en prorogation de délai et demande d’autorisation </w:t>
            </w:r>
            <w:proofErr w:type="gramStart"/>
            <w:r w:rsidRPr="001E5989">
              <w:rPr>
                <w:sz w:val="20"/>
                <w:lang w:val="fr-CA"/>
              </w:rPr>
              <w:t>d’appel déposées</w:t>
            </w:r>
            <w:proofErr w:type="gramEnd"/>
          </w:p>
        </w:tc>
      </w:tr>
    </w:tbl>
    <w:p w:rsidR="001668F8" w:rsidRPr="001E5989" w:rsidRDefault="001668F8" w:rsidP="001668F8">
      <w:pPr>
        <w:jc w:val="both"/>
        <w:rPr>
          <w:sz w:val="20"/>
          <w:lang w:val="fr-CA"/>
        </w:rPr>
      </w:pPr>
    </w:p>
    <w:p w:rsidR="001668F8" w:rsidRPr="001E5989" w:rsidRDefault="001668F8" w:rsidP="001668F8">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668F8" w:rsidRPr="001E5989" w:rsidTr="00090708">
        <w:tc>
          <w:tcPr>
            <w:tcW w:w="543" w:type="pct"/>
          </w:tcPr>
          <w:p w:rsidR="001668F8" w:rsidRPr="001E5989" w:rsidRDefault="001668F8" w:rsidP="00090708">
            <w:pPr>
              <w:jc w:val="both"/>
              <w:rPr>
                <w:sz w:val="20"/>
              </w:rPr>
            </w:pPr>
            <w:r w:rsidRPr="001E5989">
              <w:rPr>
                <w:rStyle w:val="SCCFileNumberChar"/>
                <w:sz w:val="20"/>
                <w:szCs w:val="20"/>
              </w:rPr>
              <w:t>38018</w:t>
            </w:r>
          </w:p>
        </w:tc>
        <w:tc>
          <w:tcPr>
            <w:tcW w:w="4457" w:type="pct"/>
            <w:gridSpan w:val="3"/>
          </w:tcPr>
          <w:p w:rsidR="001668F8" w:rsidRPr="0045736C" w:rsidRDefault="001668F8" w:rsidP="00090708">
            <w:pPr>
              <w:pStyle w:val="SCCLsocParty"/>
              <w:jc w:val="both"/>
              <w:rPr>
                <w:b/>
                <w:sz w:val="20"/>
                <w:szCs w:val="20"/>
                <w:lang w:val="en-US"/>
              </w:rPr>
            </w:pPr>
            <w:r w:rsidRPr="0045736C">
              <w:rPr>
                <w:b/>
                <w:sz w:val="20"/>
                <w:szCs w:val="20"/>
                <w:lang w:val="en-US"/>
              </w:rPr>
              <w:t>N-Krypt International Corp. v. Thierry LeVasseur</w:t>
            </w:r>
          </w:p>
          <w:p w:rsidR="001668F8" w:rsidRPr="001E5989" w:rsidRDefault="001668F8" w:rsidP="00090708">
            <w:pPr>
              <w:jc w:val="both"/>
              <w:rPr>
                <w:sz w:val="20"/>
              </w:rPr>
            </w:pPr>
            <w:r w:rsidRPr="001E5989">
              <w:rPr>
                <w:sz w:val="20"/>
              </w:rPr>
              <w:t>(B.C.) (Civil) (By Leave)</w:t>
            </w:r>
          </w:p>
        </w:tc>
      </w:tr>
      <w:tr w:rsidR="0096482B" w:rsidRPr="001E5989" w:rsidTr="0096482B">
        <w:tc>
          <w:tcPr>
            <w:tcW w:w="5000" w:type="pct"/>
            <w:gridSpan w:val="4"/>
          </w:tcPr>
          <w:p w:rsidR="0096482B" w:rsidRPr="0096482B" w:rsidRDefault="0096482B" w:rsidP="00090708">
            <w:pPr>
              <w:pStyle w:val="SCCLsocParty"/>
              <w:jc w:val="both"/>
              <w:rPr>
                <w:b/>
                <w:sz w:val="20"/>
                <w:szCs w:val="20"/>
                <w:lang w:val="en-US"/>
              </w:rPr>
            </w:pPr>
            <w:r w:rsidRPr="0096482B">
              <w:rPr>
                <w:sz w:val="20"/>
                <w:lang w:val="en-US"/>
              </w:rPr>
              <w:t>The application for leave to appeal from the judgment of the Court of Appeal for British Columbia (Vancouver), Number CA43887, 2018 BCCA 20, dated January 18, 2018, is dismissed with costs.</w:t>
            </w:r>
          </w:p>
        </w:tc>
      </w:tr>
      <w:tr w:rsidR="001668F8" w:rsidRPr="001E5989" w:rsidTr="00090708">
        <w:tc>
          <w:tcPr>
            <w:tcW w:w="5000" w:type="pct"/>
            <w:gridSpan w:val="4"/>
          </w:tcPr>
          <w:p w:rsidR="001668F8" w:rsidRPr="001E5989" w:rsidRDefault="001668F8" w:rsidP="00090708">
            <w:pPr>
              <w:jc w:val="both"/>
              <w:rPr>
                <w:sz w:val="20"/>
              </w:rPr>
            </w:pPr>
            <w:r w:rsidRPr="001E5989">
              <w:rPr>
                <w:sz w:val="20"/>
              </w:rPr>
              <w:t>Contracts – Commercial contracts – Trusts – Applicant purchasing shares in company subject to Voting Trust Agreement restricting rights to information for period of ten years – Applicant seeking information from sole director and trustee – Can trustee of a trust avoid fiduciary, equitable and other responsibilities under trust law as condition of share purchase? – Can controlling director or officer avoid corporation’s informational and other obligations to stakeholders by requiring shares be held in trust of which he or she is sole and controlling trustee? – Where obligations imposed by trust law, contract law, common law and equity conflict, what is applicable framework to identify and resolve obligations and rights of trustee of a shareholding –trust with a role in subject corporation and corresponding rights of shareholder-beneficiary?</w:t>
            </w:r>
          </w:p>
          <w:p w:rsidR="001668F8" w:rsidRPr="001E5989" w:rsidRDefault="001668F8" w:rsidP="00090708">
            <w:pPr>
              <w:jc w:val="both"/>
              <w:rPr>
                <w:sz w:val="20"/>
              </w:rPr>
            </w:pPr>
          </w:p>
        </w:tc>
      </w:tr>
      <w:tr w:rsidR="001668F8" w:rsidRPr="001E5989" w:rsidTr="00090708">
        <w:tc>
          <w:tcPr>
            <w:tcW w:w="5000" w:type="pct"/>
            <w:gridSpan w:val="4"/>
          </w:tcPr>
          <w:p w:rsidR="001668F8" w:rsidRPr="001E5989" w:rsidRDefault="001668F8" w:rsidP="00090708">
            <w:pPr>
              <w:jc w:val="both"/>
              <w:rPr>
                <w:sz w:val="20"/>
              </w:rPr>
            </w:pPr>
            <w:r w:rsidRPr="001E5989">
              <w:rPr>
                <w:sz w:val="20"/>
                <w:lang w:val="en"/>
              </w:rPr>
              <w:t xml:space="preserve">Mr. LeVasseur is the president and majority shareholder of </w:t>
            </w:r>
            <w:proofErr w:type="spellStart"/>
            <w:r w:rsidRPr="001E5989">
              <w:rPr>
                <w:sz w:val="20"/>
                <w:lang w:val="en"/>
              </w:rPr>
              <w:t>Cirius</w:t>
            </w:r>
            <w:proofErr w:type="spellEnd"/>
            <w:r w:rsidRPr="001E5989">
              <w:rPr>
                <w:sz w:val="20"/>
                <w:lang w:val="en"/>
              </w:rPr>
              <w:t xml:space="preserve"> Messaging Inc., a B.C. company that produces technology that enables businesses to send secure email. In 2008, the applicant, N-Krypt International Corp., became a distributor of </w:t>
            </w:r>
            <w:proofErr w:type="spellStart"/>
            <w:r w:rsidRPr="001E5989">
              <w:rPr>
                <w:sz w:val="20"/>
                <w:lang w:val="en"/>
              </w:rPr>
              <w:t>Cirius’s</w:t>
            </w:r>
            <w:proofErr w:type="spellEnd"/>
            <w:r w:rsidRPr="001E5989">
              <w:rPr>
                <w:sz w:val="20"/>
                <w:lang w:val="en"/>
              </w:rPr>
              <w:t xml:space="preserve"> technology. In 2009, N-Krypt purchased shares in </w:t>
            </w:r>
            <w:proofErr w:type="spellStart"/>
            <w:r w:rsidRPr="001E5989">
              <w:rPr>
                <w:sz w:val="20"/>
                <w:lang w:val="en"/>
              </w:rPr>
              <w:t>Cirius</w:t>
            </w:r>
            <w:proofErr w:type="spellEnd"/>
            <w:r w:rsidRPr="001E5989">
              <w:rPr>
                <w:sz w:val="20"/>
                <w:lang w:val="en"/>
              </w:rPr>
              <w:t xml:space="preserve"> for $535,000 under a Subscription Agreement which included the conditions that N-Krypt would place its shares into a voting trust for ten years with Mr. LeVasseur as trustee; and that N-Krypt would waive its rights to information normally available to a shareholder. The Voting Trust Agreement provided that Mr. LeVasseur was exclusively empowered to exercise the voting rights associated with the shares. Soon after N-Krypt purchased the shares, the business relationship between Mr. LeVasseur and N-</w:t>
            </w:r>
            <w:proofErr w:type="spellStart"/>
            <w:r w:rsidRPr="001E5989">
              <w:rPr>
                <w:sz w:val="20"/>
                <w:lang w:val="en"/>
              </w:rPr>
              <w:t>Krypt’s</w:t>
            </w:r>
            <w:proofErr w:type="spellEnd"/>
            <w:r w:rsidRPr="001E5989">
              <w:rPr>
                <w:sz w:val="20"/>
                <w:lang w:val="en"/>
              </w:rPr>
              <w:t xml:space="preserve"> principal deteriorated. N-Krypt demanded information about its shares and how they had been voted. Mr. LeVasseur declined to provide that information, relying on N-</w:t>
            </w:r>
            <w:proofErr w:type="spellStart"/>
            <w:r w:rsidRPr="001E5989">
              <w:rPr>
                <w:sz w:val="20"/>
                <w:lang w:val="en"/>
              </w:rPr>
              <w:t>Krypt’s</w:t>
            </w:r>
            <w:proofErr w:type="spellEnd"/>
            <w:r w:rsidRPr="001E5989">
              <w:rPr>
                <w:sz w:val="20"/>
                <w:lang w:val="en"/>
              </w:rPr>
              <w:t xml:space="preserve"> agreement to waive information rights. N-Krypt then issued a petition naming Mr. LeVasseur as the sole respondent, seeking an order requiring him to account for his management of the shares and to deliver to N-Krypt information he had received in his capacity as trustee. N-Krypt also sought return of the shares or in the alternative, appointment of a new trustee. </w:t>
            </w:r>
            <w:r w:rsidRPr="001E5989">
              <w:rPr>
                <w:sz w:val="20"/>
              </w:rPr>
              <w:t>The trial judge ruled that trust law should prevail in the circumstances and made a comprehensive order outlining what Mr. LeVasseur would have to disclose. That order was overturned on appeal.</w:t>
            </w:r>
          </w:p>
        </w:tc>
      </w:tr>
      <w:tr w:rsidR="001668F8" w:rsidRPr="001E5989" w:rsidTr="00090708">
        <w:tc>
          <w:tcPr>
            <w:tcW w:w="5000" w:type="pct"/>
            <w:gridSpan w:val="4"/>
          </w:tcPr>
          <w:p w:rsidR="001668F8" w:rsidRPr="001E5989" w:rsidRDefault="001668F8" w:rsidP="00090708">
            <w:pPr>
              <w:jc w:val="both"/>
              <w:rPr>
                <w:sz w:val="20"/>
              </w:rPr>
            </w:pPr>
          </w:p>
        </w:tc>
      </w:tr>
      <w:tr w:rsidR="001668F8" w:rsidRPr="001E5989" w:rsidTr="00090708">
        <w:tc>
          <w:tcPr>
            <w:tcW w:w="2427" w:type="pct"/>
            <w:gridSpan w:val="2"/>
          </w:tcPr>
          <w:p w:rsidR="001668F8" w:rsidRPr="001E5989" w:rsidRDefault="001668F8" w:rsidP="00090708">
            <w:pPr>
              <w:jc w:val="both"/>
              <w:rPr>
                <w:sz w:val="20"/>
              </w:rPr>
            </w:pPr>
            <w:r w:rsidRPr="001E5989">
              <w:rPr>
                <w:sz w:val="20"/>
              </w:rPr>
              <w:t>August 23, 2016</w:t>
            </w:r>
          </w:p>
          <w:p w:rsidR="001668F8" w:rsidRPr="001E5989" w:rsidRDefault="001668F8" w:rsidP="00090708">
            <w:pPr>
              <w:jc w:val="both"/>
              <w:rPr>
                <w:sz w:val="20"/>
              </w:rPr>
            </w:pPr>
            <w:r w:rsidRPr="001E5989">
              <w:rPr>
                <w:sz w:val="20"/>
              </w:rPr>
              <w:t>Supreme Court of British Columbia</w:t>
            </w:r>
          </w:p>
          <w:p w:rsidR="001668F8" w:rsidRPr="001E5989" w:rsidRDefault="001668F8" w:rsidP="00090708">
            <w:pPr>
              <w:jc w:val="both"/>
              <w:rPr>
                <w:sz w:val="20"/>
              </w:rPr>
            </w:pPr>
            <w:r w:rsidRPr="001E5989">
              <w:rPr>
                <w:sz w:val="20"/>
              </w:rPr>
              <w:t>(</w:t>
            </w:r>
            <w:proofErr w:type="spellStart"/>
            <w:r w:rsidRPr="001E5989">
              <w:rPr>
                <w:sz w:val="20"/>
              </w:rPr>
              <w:t>Schultes</w:t>
            </w:r>
            <w:proofErr w:type="spellEnd"/>
            <w:r w:rsidRPr="001E5989">
              <w:rPr>
                <w:sz w:val="20"/>
              </w:rPr>
              <w:t xml:space="preserve"> J.)</w:t>
            </w:r>
          </w:p>
          <w:p w:rsidR="001668F8" w:rsidRPr="001E5989" w:rsidRDefault="00F13243" w:rsidP="00090708">
            <w:pPr>
              <w:jc w:val="both"/>
              <w:rPr>
                <w:sz w:val="20"/>
              </w:rPr>
            </w:pPr>
            <w:hyperlink r:id="rId41" w:history="1">
              <w:r w:rsidR="001668F8" w:rsidRPr="001E5989">
                <w:rPr>
                  <w:rStyle w:val="Hyperlink"/>
                  <w:sz w:val="20"/>
                </w:rPr>
                <w:t>2016 BCSC 1539</w:t>
              </w:r>
            </w:hyperlink>
          </w:p>
          <w:p w:rsidR="001668F8" w:rsidRPr="001E5989" w:rsidRDefault="001668F8" w:rsidP="00090708">
            <w:pPr>
              <w:jc w:val="both"/>
              <w:rPr>
                <w:sz w:val="20"/>
              </w:rPr>
            </w:pPr>
          </w:p>
        </w:tc>
        <w:tc>
          <w:tcPr>
            <w:tcW w:w="243" w:type="pct"/>
          </w:tcPr>
          <w:p w:rsidR="001668F8" w:rsidRPr="001E5989" w:rsidRDefault="001668F8" w:rsidP="00090708">
            <w:pPr>
              <w:jc w:val="both"/>
              <w:rPr>
                <w:sz w:val="20"/>
              </w:rPr>
            </w:pPr>
          </w:p>
        </w:tc>
        <w:tc>
          <w:tcPr>
            <w:tcW w:w="2330" w:type="pct"/>
          </w:tcPr>
          <w:p w:rsidR="001668F8" w:rsidRPr="001E5989" w:rsidRDefault="001668F8" w:rsidP="00090708">
            <w:pPr>
              <w:jc w:val="both"/>
              <w:rPr>
                <w:sz w:val="20"/>
              </w:rPr>
            </w:pPr>
            <w:r w:rsidRPr="001E5989">
              <w:rPr>
                <w:sz w:val="20"/>
              </w:rPr>
              <w:t>Respondent ordered to disclose certain information to applicant.</w:t>
            </w:r>
          </w:p>
          <w:p w:rsidR="001668F8" w:rsidRPr="001E5989" w:rsidRDefault="001668F8" w:rsidP="00090708">
            <w:pPr>
              <w:jc w:val="both"/>
              <w:rPr>
                <w:sz w:val="20"/>
              </w:rPr>
            </w:pPr>
          </w:p>
        </w:tc>
      </w:tr>
      <w:tr w:rsidR="001668F8" w:rsidRPr="001E5989" w:rsidTr="00090708">
        <w:tc>
          <w:tcPr>
            <w:tcW w:w="2427" w:type="pct"/>
            <w:gridSpan w:val="2"/>
          </w:tcPr>
          <w:p w:rsidR="001668F8" w:rsidRPr="001E5989" w:rsidRDefault="001668F8" w:rsidP="00090708">
            <w:pPr>
              <w:jc w:val="both"/>
              <w:rPr>
                <w:sz w:val="20"/>
              </w:rPr>
            </w:pPr>
            <w:r w:rsidRPr="001E5989">
              <w:rPr>
                <w:sz w:val="20"/>
              </w:rPr>
              <w:t>January 18, 2018</w:t>
            </w:r>
          </w:p>
          <w:p w:rsidR="001668F8" w:rsidRPr="001E5989" w:rsidRDefault="001668F8" w:rsidP="00090708">
            <w:pPr>
              <w:jc w:val="both"/>
              <w:rPr>
                <w:sz w:val="20"/>
              </w:rPr>
            </w:pPr>
            <w:r w:rsidRPr="001E5989">
              <w:rPr>
                <w:sz w:val="20"/>
              </w:rPr>
              <w:t xml:space="preserve">Court of Appeal for British Columbia </w:t>
            </w:r>
          </w:p>
          <w:p w:rsidR="001668F8" w:rsidRPr="001E5989" w:rsidRDefault="001668F8" w:rsidP="00090708">
            <w:pPr>
              <w:jc w:val="both"/>
              <w:rPr>
                <w:sz w:val="20"/>
              </w:rPr>
            </w:pPr>
            <w:r w:rsidRPr="001E5989">
              <w:rPr>
                <w:sz w:val="20"/>
              </w:rPr>
              <w:t>(Vancouver)</w:t>
            </w:r>
          </w:p>
          <w:p w:rsidR="001668F8" w:rsidRPr="001E5989" w:rsidRDefault="001668F8" w:rsidP="00090708">
            <w:pPr>
              <w:jc w:val="both"/>
              <w:rPr>
                <w:sz w:val="20"/>
              </w:rPr>
            </w:pPr>
            <w:r w:rsidRPr="001E5989">
              <w:rPr>
                <w:sz w:val="20"/>
              </w:rPr>
              <w:t xml:space="preserve">(Smith, Garson and </w:t>
            </w:r>
            <w:proofErr w:type="spellStart"/>
            <w:r w:rsidRPr="001E5989">
              <w:rPr>
                <w:sz w:val="20"/>
              </w:rPr>
              <w:t>Fenlon</w:t>
            </w:r>
            <w:proofErr w:type="spellEnd"/>
            <w:r w:rsidRPr="001E5989">
              <w:rPr>
                <w:sz w:val="20"/>
              </w:rPr>
              <w:t xml:space="preserve"> JJ.A.)</w:t>
            </w:r>
          </w:p>
          <w:p w:rsidR="001668F8" w:rsidRPr="001E5989" w:rsidRDefault="00F13243" w:rsidP="00090708">
            <w:pPr>
              <w:jc w:val="both"/>
              <w:rPr>
                <w:sz w:val="20"/>
              </w:rPr>
            </w:pPr>
            <w:hyperlink r:id="rId42" w:history="1">
              <w:r w:rsidR="001668F8" w:rsidRPr="001E5989">
                <w:rPr>
                  <w:rStyle w:val="Hyperlink"/>
                  <w:sz w:val="20"/>
                </w:rPr>
                <w:t>2018 BCCA 20</w:t>
              </w:r>
            </w:hyperlink>
          </w:p>
          <w:p w:rsidR="001668F8" w:rsidRPr="001E5989" w:rsidRDefault="001668F8" w:rsidP="00090708">
            <w:pPr>
              <w:jc w:val="both"/>
              <w:rPr>
                <w:sz w:val="20"/>
              </w:rPr>
            </w:pPr>
          </w:p>
        </w:tc>
        <w:tc>
          <w:tcPr>
            <w:tcW w:w="243" w:type="pct"/>
          </w:tcPr>
          <w:p w:rsidR="001668F8" w:rsidRPr="001E5989" w:rsidRDefault="001668F8" w:rsidP="00090708">
            <w:pPr>
              <w:jc w:val="both"/>
              <w:rPr>
                <w:sz w:val="20"/>
              </w:rPr>
            </w:pPr>
          </w:p>
        </w:tc>
        <w:tc>
          <w:tcPr>
            <w:tcW w:w="2330" w:type="pct"/>
          </w:tcPr>
          <w:p w:rsidR="001668F8" w:rsidRPr="001E5989" w:rsidRDefault="001668F8" w:rsidP="00090708">
            <w:pPr>
              <w:jc w:val="both"/>
              <w:rPr>
                <w:sz w:val="20"/>
              </w:rPr>
            </w:pPr>
            <w:r w:rsidRPr="001E5989">
              <w:rPr>
                <w:sz w:val="20"/>
              </w:rPr>
              <w:t>Respondent’s appeal allowed.</w:t>
            </w:r>
          </w:p>
          <w:p w:rsidR="001668F8" w:rsidRPr="001E5989" w:rsidRDefault="001668F8" w:rsidP="00090708">
            <w:pPr>
              <w:jc w:val="both"/>
              <w:rPr>
                <w:sz w:val="20"/>
              </w:rPr>
            </w:pPr>
          </w:p>
        </w:tc>
      </w:tr>
      <w:tr w:rsidR="001668F8" w:rsidRPr="001E5989" w:rsidTr="00090708">
        <w:tc>
          <w:tcPr>
            <w:tcW w:w="2427" w:type="pct"/>
            <w:gridSpan w:val="2"/>
          </w:tcPr>
          <w:p w:rsidR="001668F8" w:rsidRPr="001E5989" w:rsidRDefault="001668F8" w:rsidP="00090708">
            <w:pPr>
              <w:jc w:val="both"/>
              <w:rPr>
                <w:sz w:val="20"/>
              </w:rPr>
            </w:pPr>
            <w:r w:rsidRPr="001E5989">
              <w:rPr>
                <w:sz w:val="20"/>
              </w:rPr>
              <w:t>March 19, 2018</w:t>
            </w:r>
          </w:p>
          <w:p w:rsidR="001668F8" w:rsidRPr="001E5989" w:rsidRDefault="001668F8" w:rsidP="00090708">
            <w:pPr>
              <w:jc w:val="both"/>
              <w:rPr>
                <w:sz w:val="20"/>
              </w:rPr>
            </w:pPr>
            <w:r w:rsidRPr="001E5989">
              <w:rPr>
                <w:sz w:val="20"/>
              </w:rPr>
              <w:lastRenderedPageBreak/>
              <w:t>Supreme Court of Canada</w:t>
            </w:r>
          </w:p>
        </w:tc>
        <w:tc>
          <w:tcPr>
            <w:tcW w:w="243" w:type="pct"/>
          </w:tcPr>
          <w:p w:rsidR="001668F8" w:rsidRPr="001E5989" w:rsidRDefault="001668F8" w:rsidP="00090708">
            <w:pPr>
              <w:jc w:val="both"/>
              <w:rPr>
                <w:sz w:val="20"/>
              </w:rPr>
            </w:pPr>
          </w:p>
        </w:tc>
        <w:tc>
          <w:tcPr>
            <w:tcW w:w="2330" w:type="pct"/>
          </w:tcPr>
          <w:p w:rsidR="001668F8" w:rsidRPr="001E5989" w:rsidRDefault="001668F8" w:rsidP="00090708">
            <w:pPr>
              <w:jc w:val="both"/>
              <w:rPr>
                <w:sz w:val="20"/>
              </w:rPr>
            </w:pPr>
            <w:r w:rsidRPr="001E5989">
              <w:rPr>
                <w:sz w:val="20"/>
              </w:rPr>
              <w:t>Application for leave to appeal filed.</w:t>
            </w:r>
          </w:p>
        </w:tc>
      </w:tr>
    </w:tbl>
    <w:p w:rsidR="001668F8" w:rsidRDefault="001668F8" w:rsidP="001668F8">
      <w:pPr>
        <w:jc w:val="both"/>
        <w:rPr>
          <w:sz w:val="20"/>
        </w:rPr>
      </w:pPr>
    </w:p>
    <w:p w:rsidR="001668F8" w:rsidRPr="001E5989" w:rsidRDefault="001668F8" w:rsidP="001668F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668F8" w:rsidRPr="00DB1C5D" w:rsidTr="00090708">
        <w:tc>
          <w:tcPr>
            <w:tcW w:w="543" w:type="pct"/>
          </w:tcPr>
          <w:p w:rsidR="001668F8" w:rsidRPr="001E5989" w:rsidRDefault="001668F8" w:rsidP="00090708">
            <w:pPr>
              <w:jc w:val="both"/>
              <w:rPr>
                <w:sz w:val="20"/>
                <w:lang w:val="fr-CA"/>
              </w:rPr>
            </w:pPr>
            <w:r w:rsidRPr="001E5989">
              <w:rPr>
                <w:rStyle w:val="SCCFileNumberChar"/>
                <w:sz w:val="20"/>
                <w:szCs w:val="20"/>
                <w:lang w:val="fr-CA"/>
              </w:rPr>
              <w:t>38018</w:t>
            </w:r>
          </w:p>
        </w:tc>
        <w:tc>
          <w:tcPr>
            <w:tcW w:w="4457" w:type="pct"/>
            <w:gridSpan w:val="3"/>
          </w:tcPr>
          <w:p w:rsidR="001668F8" w:rsidRPr="0045736C" w:rsidRDefault="001668F8" w:rsidP="00090708">
            <w:pPr>
              <w:pStyle w:val="SCCLsocParty"/>
              <w:jc w:val="both"/>
              <w:rPr>
                <w:b/>
                <w:sz w:val="20"/>
                <w:szCs w:val="20"/>
              </w:rPr>
            </w:pPr>
            <w:r w:rsidRPr="0045736C">
              <w:rPr>
                <w:b/>
                <w:sz w:val="20"/>
                <w:szCs w:val="20"/>
              </w:rPr>
              <w:t>N-Krypt International Corp. c. Thierry LeVasseur</w:t>
            </w:r>
          </w:p>
          <w:p w:rsidR="001668F8" w:rsidRPr="001E5989" w:rsidRDefault="001668F8" w:rsidP="00090708">
            <w:pPr>
              <w:jc w:val="both"/>
              <w:rPr>
                <w:sz w:val="20"/>
                <w:lang w:val="fr-CA"/>
              </w:rPr>
            </w:pPr>
            <w:r w:rsidRPr="001E5989">
              <w:rPr>
                <w:sz w:val="20"/>
                <w:lang w:val="fr-CA"/>
              </w:rPr>
              <w:t>(C.-B.) (Civile) (Autorisation)</w:t>
            </w:r>
          </w:p>
        </w:tc>
      </w:tr>
      <w:tr w:rsidR="0096482B" w:rsidRPr="00DB1C5D" w:rsidTr="0096482B">
        <w:tc>
          <w:tcPr>
            <w:tcW w:w="5000" w:type="pct"/>
            <w:gridSpan w:val="4"/>
          </w:tcPr>
          <w:p w:rsidR="0096482B" w:rsidRPr="0096482B" w:rsidRDefault="0096482B" w:rsidP="00090708">
            <w:pPr>
              <w:pStyle w:val="SCCLsocParty"/>
              <w:jc w:val="both"/>
              <w:rPr>
                <w:b/>
                <w:sz w:val="20"/>
                <w:szCs w:val="20"/>
              </w:rPr>
            </w:pPr>
            <w:r w:rsidRPr="0096482B">
              <w:rPr>
                <w:sz w:val="20"/>
              </w:rPr>
              <w:t>La demande d’autorisation d’appel de l’arrêt de la Cour d’appel de la Colombie-Britannique (Vancouver), numéro CA43887, 2018 BCCA 20, daté du 18 janvier 2018, est rejetée avec dépens.</w:t>
            </w:r>
          </w:p>
        </w:tc>
      </w:tr>
      <w:tr w:rsidR="001668F8" w:rsidRPr="00DB1C5D" w:rsidTr="00090708">
        <w:tc>
          <w:tcPr>
            <w:tcW w:w="5000" w:type="pct"/>
            <w:gridSpan w:val="4"/>
          </w:tcPr>
          <w:p w:rsidR="001668F8" w:rsidRPr="001E5989" w:rsidRDefault="001668F8" w:rsidP="00090708">
            <w:pPr>
              <w:jc w:val="both"/>
              <w:rPr>
                <w:sz w:val="20"/>
                <w:lang w:val="fr-CA"/>
              </w:rPr>
            </w:pPr>
            <w:r w:rsidRPr="001E5989">
              <w:rPr>
                <w:sz w:val="20"/>
                <w:lang w:val="fr-CA"/>
              </w:rPr>
              <w:t xml:space="preserve">Contrats – Contrats commerciaux – Fiducies – La demanderesse a acheté des actions d’une société assujettie à une convention de vote fiduciaire qui restreignait les droits à l’information pendant une période de dix ans – La demanderesse a demandé de l’information à l’unique administrateur et actionnaire – Un fiduciaire peut-il se soustraire à des responsabilités imposées par le droit des fiducies, notamment ses obligations fiduciaires et ses responsabilités en </w:t>
            </w:r>
            <w:proofErr w:type="spellStart"/>
            <w:r w:rsidRPr="001E5989">
              <w:rPr>
                <w:sz w:val="20"/>
                <w:lang w:val="fr-CA"/>
              </w:rPr>
              <w:t>equity</w:t>
            </w:r>
            <w:proofErr w:type="spellEnd"/>
            <w:r w:rsidRPr="001E5989">
              <w:rPr>
                <w:sz w:val="20"/>
                <w:lang w:val="fr-CA"/>
              </w:rPr>
              <w:t xml:space="preserve"> comme condition d’un achat d’actions? – L’administrateur ou dirigeant contrôlant peut-il se soustraire à des obligations envers les intéressés, notamment les obligations d’information sur la société, en exigeant que les actions soient détenues en fiducie alors qu’il est l’unique fiduciaire et fiduciaire contrôlant? – Dans une situation où il y a conflit entre les obligations imposées par le droit des fiducies, le droit des contrats, la </w:t>
            </w:r>
            <w:proofErr w:type="spellStart"/>
            <w:r w:rsidRPr="001E5989">
              <w:rPr>
                <w:sz w:val="20"/>
                <w:lang w:val="fr-CA"/>
              </w:rPr>
              <w:t>common</w:t>
            </w:r>
            <w:proofErr w:type="spellEnd"/>
            <w:r w:rsidRPr="001E5989">
              <w:rPr>
                <w:sz w:val="20"/>
                <w:lang w:val="fr-CA"/>
              </w:rPr>
              <w:t xml:space="preserve"> </w:t>
            </w:r>
            <w:proofErr w:type="spellStart"/>
            <w:r w:rsidRPr="001E5989">
              <w:rPr>
                <w:sz w:val="20"/>
                <w:lang w:val="fr-CA"/>
              </w:rPr>
              <w:t>law</w:t>
            </w:r>
            <w:proofErr w:type="spellEnd"/>
            <w:r w:rsidRPr="001E5989">
              <w:rPr>
                <w:sz w:val="20"/>
                <w:lang w:val="fr-CA"/>
              </w:rPr>
              <w:t xml:space="preserve"> et l’équité, quel cadre s’applique pour identifier et régler les obligations et les droits du fiduciaire d’une fiducie actionnaire ayant un rôle dans la société en cause et les droits correspondants de l’actionnaire bénéficiaire?</w:t>
            </w:r>
          </w:p>
          <w:p w:rsidR="001668F8" w:rsidRPr="001E5989" w:rsidRDefault="001668F8" w:rsidP="00090708">
            <w:pPr>
              <w:jc w:val="both"/>
              <w:rPr>
                <w:sz w:val="20"/>
                <w:lang w:val="fr-CA"/>
              </w:rPr>
            </w:pPr>
          </w:p>
        </w:tc>
      </w:tr>
      <w:tr w:rsidR="001668F8" w:rsidRPr="001E5989" w:rsidTr="00090708">
        <w:tc>
          <w:tcPr>
            <w:tcW w:w="5000" w:type="pct"/>
            <w:gridSpan w:val="4"/>
          </w:tcPr>
          <w:p w:rsidR="001668F8" w:rsidRPr="001E5989" w:rsidRDefault="001668F8" w:rsidP="00090708">
            <w:pPr>
              <w:jc w:val="both"/>
              <w:rPr>
                <w:sz w:val="20"/>
                <w:lang w:val="fr-CA"/>
              </w:rPr>
            </w:pPr>
            <w:r w:rsidRPr="001E5989">
              <w:rPr>
                <w:sz w:val="20"/>
                <w:lang w:val="fr-CA"/>
              </w:rPr>
              <w:t xml:space="preserve">Monsieur LeVasseur est le président et actionnaire majoritaire de </w:t>
            </w:r>
            <w:proofErr w:type="spellStart"/>
            <w:r w:rsidRPr="001E5989">
              <w:rPr>
                <w:sz w:val="20"/>
                <w:lang w:val="fr-CA"/>
              </w:rPr>
              <w:t>Cirius</w:t>
            </w:r>
            <w:proofErr w:type="spellEnd"/>
            <w:r w:rsidRPr="001E5989">
              <w:rPr>
                <w:sz w:val="20"/>
                <w:lang w:val="fr-CA"/>
              </w:rPr>
              <w:t xml:space="preserve"> Messaging Inc., une société par actions de la Colombie-Britannique qui produit de la technologie qui permet aux entreprises d’envoyer du courrier électronique sécurisé. En 2008, la demanderesse, N-Krypt International Corp., est devenue distributrice de la technologie de </w:t>
            </w:r>
            <w:proofErr w:type="spellStart"/>
            <w:r w:rsidRPr="001E5989">
              <w:rPr>
                <w:sz w:val="20"/>
                <w:lang w:val="fr-CA"/>
              </w:rPr>
              <w:t>Cirius</w:t>
            </w:r>
            <w:proofErr w:type="spellEnd"/>
            <w:r w:rsidRPr="001E5989">
              <w:rPr>
                <w:sz w:val="20"/>
                <w:lang w:val="fr-CA"/>
              </w:rPr>
              <w:t xml:space="preserve">. En 2009, N-Krypt a acheté des actions de </w:t>
            </w:r>
            <w:proofErr w:type="spellStart"/>
            <w:r w:rsidRPr="001E5989">
              <w:rPr>
                <w:sz w:val="20"/>
                <w:lang w:val="fr-CA"/>
              </w:rPr>
              <w:t>Cirius</w:t>
            </w:r>
            <w:proofErr w:type="spellEnd"/>
            <w:r w:rsidRPr="001E5989">
              <w:rPr>
                <w:sz w:val="20"/>
                <w:lang w:val="fr-CA"/>
              </w:rPr>
              <w:t xml:space="preserve"> pour la somme de 535 000 $ en exécution d’une convention de souscription qui renfermait des conditions stipulant que N-Krypt placerait ses actions dans un organisme de fiducie ayant droit de vote pendant dix ans et dont M. LeVasseur serait le fiduciaire, et que N-Krypt renonçait à ses droits à l’information dont un actionnaire est normalement titulaire. La convention de vote fiduciaire prévoyait que M. LeVasseur avait le droit exclusif d’exercer les droits de vote rattachés aux actions. Peu de temps après que N-Krypt a acheté les actions, la relation d’affaires entre M. LeVasseur et le dirigeant de N-Krypt s’est détériorée. N-Krypt a exigé de l’information au sujet de ses actions et de comment les droits de vote qui s’y rattachaient avaient été exercés. Monsieur LeVasseur a refusé de donner l’information demandée, s’appuyant sur la renonciation aux droits à l’information à laquelle N-Krypt avait consenti. N-Krypt a ensuite présenté une requête, nommant M. LeVasseur unique intimé, sollicitant une ordonnance l’obligeant à rendre compte de sa gestion des actions et à communiquer à N-Krypt l’information qu’il avait reçue en sa qualité de fiduciaire. N-Krypt a également demandé la restitution des actions ou, subsidiairement, la nomination d’un nouveau fiduciaire. Le juge de première instance a statué que le droit des fiducies devait avoir préséance en l’espèce et a rendu une ordonnance détaillée indiquant ce que M. LeVasseur devait communiquer. Cette ordonnance a été infirmée en appel.</w:t>
            </w:r>
          </w:p>
        </w:tc>
      </w:tr>
      <w:tr w:rsidR="001668F8" w:rsidRPr="001E5989" w:rsidTr="00090708">
        <w:tc>
          <w:tcPr>
            <w:tcW w:w="5000" w:type="pct"/>
            <w:gridSpan w:val="4"/>
          </w:tcPr>
          <w:p w:rsidR="001668F8" w:rsidRPr="001E5989" w:rsidRDefault="001668F8" w:rsidP="00090708">
            <w:pPr>
              <w:jc w:val="both"/>
              <w:rPr>
                <w:sz w:val="20"/>
                <w:lang w:val="fr-CA"/>
              </w:rPr>
            </w:pPr>
          </w:p>
        </w:tc>
      </w:tr>
      <w:tr w:rsidR="001668F8" w:rsidRPr="00DB1C5D" w:rsidTr="00090708">
        <w:tc>
          <w:tcPr>
            <w:tcW w:w="2427" w:type="pct"/>
            <w:gridSpan w:val="2"/>
          </w:tcPr>
          <w:p w:rsidR="001668F8" w:rsidRPr="001E5989" w:rsidRDefault="001668F8" w:rsidP="00090708">
            <w:pPr>
              <w:jc w:val="both"/>
              <w:rPr>
                <w:sz w:val="20"/>
                <w:lang w:val="fr-CA"/>
              </w:rPr>
            </w:pPr>
            <w:r w:rsidRPr="001E5989">
              <w:rPr>
                <w:sz w:val="20"/>
                <w:lang w:val="fr-CA"/>
              </w:rPr>
              <w:t>23 août 2016</w:t>
            </w:r>
          </w:p>
          <w:p w:rsidR="001668F8" w:rsidRPr="001E5989" w:rsidRDefault="001668F8" w:rsidP="00090708">
            <w:pPr>
              <w:jc w:val="both"/>
              <w:rPr>
                <w:sz w:val="20"/>
                <w:lang w:val="fr-CA"/>
              </w:rPr>
            </w:pPr>
            <w:r w:rsidRPr="001E5989">
              <w:rPr>
                <w:sz w:val="20"/>
                <w:lang w:val="fr-CA"/>
              </w:rPr>
              <w:t>Cour suprême de la Colombie-Britannique</w:t>
            </w:r>
          </w:p>
          <w:p w:rsidR="001668F8" w:rsidRPr="001E5989" w:rsidRDefault="001668F8" w:rsidP="00090708">
            <w:pPr>
              <w:jc w:val="both"/>
              <w:rPr>
                <w:sz w:val="20"/>
                <w:lang w:val="fr-CA"/>
              </w:rPr>
            </w:pPr>
            <w:r w:rsidRPr="001E5989">
              <w:rPr>
                <w:sz w:val="20"/>
                <w:lang w:val="fr-CA"/>
              </w:rPr>
              <w:t xml:space="preserve">(Juge </w:t>
            </w:r>
            <w:proofErr w:type="spellStart"/>
            <w:r w:rsidRPr="001E5989">
              <w:rPr>
                <w:sz w:val="20"/>
                <w:lang w:val="fr-CA"/>
              </w:rPr>
              <w:t>Schultes</w:t>
            </w:r>
            <w:proofErr w:type="spellEnd"/>
            <w:r w:rsidRPr="001E5989">
              <w:rPr>
                <w:sz w:val="20"/>
                <w:lang w:val="fr-CA"/>
              </w:rPr>
              <w:t>)</w:t>
            </w:r>
          </w:p>
          <w:p w:rsidR="001668F8" w:rsidRPr="001E5989" w:rsidRDefault="00F13243" w:rsidP="00090708">
            <w:pPr>
              <w:jc w:val="both"/>
              <w:rPr>
                <w:sz w:val="20"/>
                <w:lang w:val="fr-CA"/>
              </w:rPr>
            </w:pPr>
            <w:hyperlink r:id="rId43" w:history="1">
              <w:r w:rsidR="001668F8" w:rsidRPr="001E5989">
                <w:rPr>
                  <w:rStyle w:val="Hyperlink"/>
                  <w:sz w:val="20"/>
                  <w:lang w:val="fr-CA"/>
                </w:rPr>
                <w:t>2016 BCSC 1539</w:t>
              </w:r>
            </w:hyperlink>
          </w:p>
          <w:p w:rsidR="001668F8" w:rsidRPr="001E5989" w:rsidRDefault="001668F8" w:rsidP="00090708">
            <w:pPr>
              <w:jc w:val="both"/>
              <w:rPr>
                <w:sz w:val="20"/>
                <w:lang w:val="fr-CA"/>
              </w:rPr>
            </w:pPr>
          </w:p>
        </w:tc>
        <w:tc>
          <w:tcPr>
            <w:tcW w:w="243" w:type="pct"/>
          </w:tcPr>
          <w:p w:rsidR="001668F8" w:rsidRPr="001E5989" w:rsidRDefault="001668F8" w:rsidP="00090708">
            <w:pPr>
              <w:jc w:val="both"/>
              <w:rPr>
                <w:sz w:val="20"/>
                <w:lang w:val="fr-CA"/>
              </w:rPr>
            </w:pPr>
          </w:p>
        </w:tc>
        <w:tc>
          <w:tcPr>
            <w:tcW w:w="2330" w:type="pct"/>
          </w:tcPr>
          <w:p w:rsidR="001668F8" w:rsidRPr="001E5989" w:rsidRDefault="001668F8" w:rsidP="00090708">
            <w:pPr>
              <w:jc w:val="both"/>
              <w:rPr>
                <w:sz w:val="20"/>
                <w:lang w:val="fr-CA"/>
              </w:rPr>
            </w:pPr>
            <w:r w:rsidRPr="001E5989">
              <w:rPr>
                <w:sz w:val="20"/>
                <w:lang w:val="fr-CA"/>
              </w:rPr>
              <w:t>Ordonnance enjoignant à l’intimé de communiquer certains renseignements à la demanderesse.</w:t>
            </w:r>
          </w:p>
          <w:p w:rsidR="001668F8" w:rsidRPr="001E5989" w:rsidRDefault="001668F8" w:rsidP="00090708">
            <w:pPr>
              <w:jc w:val="both"/>
              <w:rPr>
                <w:sz w:val="20"/>
                <w:lang w:val="fr-CA"/>
              </w:rPr>
            </w:pPr>
          </w:p>
        </w:tc>
      </w:tr>
      <w:tr w:rsidR="001668F8" w:rsidRPr="00DB1C5D" w:rsidTr="00090708">
        <w:tc>
          <w:tcPr>
            <w:tcW w:w="2427" w:type="pct"/>
            <w:gridSpan w:val="2"/>
          </w:tcPr>
          <w:p w:rsidR="001668F8" w:rsidRPr="001E5989" w:rsidRDefault="001668F8" w:rsidP="00090708">
            <w:pPr>
              <w:jc w:val="both"/>
              <w:rPr>
                <w:sz w:val="20"/>
                <w:lang w:val="fr-CA"/>
              </w:rPr>
            </w:pPr>
            <w:r w:rsidRPr="001E5989">
              <w:rPr>
                <w:sz w:val="20"/>
                <w:lang w:val="fr-CA"/>
              </w:rPr>
              <w:t>18 janvier 2018</w:t>
            </w:r>
          </w:p>
          <w:p w:rsidR="001668F8" w:rsidRPr="001E5989" w:rsidRDefault="001668F8" w:rsidP="00090708">
            <w:pPr>
              <w:jc w:val="both"/>
              <w:rPr>
                <w:sz w:val="20"/>
                <w:lang w:val="fr-CA"/>
              </w:rPr>
            </w:pPr>
            <w:r w:rsidRPr="001E5989">
              <w:rPr>
                <w:sz w:val="20"/>
                <w:lang w:val="fr-CA"/>
              </w:rPr>
              <w:t>Cour d’appel de la Colombie-Britannique</w:t>
            </w:r>
          </w:p>
          <w:p w:rsidR="001668F8" w:rsidRPr="001E5989" w:rsidRDefault="001668F8" w:rsidP="00090708">
            <w:pPr>
              <w:jc w:val="both"/>
              <w:rPr>
                <w:sz w:val="20"/>
                <w:lang w:val="fr-CA"/>
              </w:rPr>
            </w:pPr>
            <w:r w:rsidRPr="001E5989">
              <w:rPr>
                <w:sz w:val="20"/>
                <w:lang w:val="fr-CA"/>
              </w:rPr>
              <w:t>(Vancouver)</w:t>
            </w:r>
          </w:p>
          <w:p w:rsidR="001668F8" w:rsidRPr="001E5989" w:rsidRDefault="001668F8" w:rsidP="00090708">
            <w:pPr>
              <w:jc w:val="both"/>
              <w:rPr>
                <w:sz w:val="20"/>
                <w:lang w:val="fr-CA"/>
              </w:rPr>
            </w:pPr>
            <w:r w:rsidRPr="001E5989">
              <w:rPr>
                <w:sz w:val="20"/>
                <w:lang w:val="fr-CA"/>
              </w:rPr>
              <w:t xml:space="preserve">(Juges Smith, </w:t>
            </w:r>
            <w:proofErr w:type="spellStart"/>
            <w:r w:rsidRPr="001E5989">
              <w:rPr>
                <w:sz w:val="20"/>
                <w:lang w:val="fr-CA"/>
              </w:rPr>
              <w:t>Garson</w:t>
            </w:r>
            <w:proofErr w:type="spellEnd"/>
            <w:r w:rsidRPr="001E5989">
              <w:rPr>
                <w:sz w:val="20"/>
                <w:lang w:val="fr-CA"/>
              </w:rPr>
              <w:t xml:space="preserve"> et </w:t>
            </w:r>
            <w:proofErr w:type="spellStart"/>
            <w:r w:rsidRPr="001E5989">
              <w:rPr>
                <w:sz w:val="20"/>
                <w:lang w:val="fr-CA"/>
              </w:rPr>
              <w:t>Fenlon</w:t>
            </w:r>
            <w:proofErr w:type="spellEnd"/>
            <w:r w:rsidRPr="001E5989">
              <w:rPr>
                <w:sz w:val="20"/>
                <w:lang w:val="fr-CA"/>
              </w:rPr>
              <w:t>)</w:t>
            </w:r>
          </w:p>
          <w:p w:rsidR="001668F8" w:rsidRPr="001E5989" w:rsidRDefault="00F13243" w:rsidP="00090708">
            <w:pPr>
              <w:jc w:val="both"/>
              <w:rPr>
                <w:sz w:val="20"/>
                <w:lang w:val="fr-CA"/>
              </w:rPr>
            </w:pPr>
            <w:hyperlink r:id="rId44" w:history="1">
              <w:r w:rsidR="001668F8" w:rsidRPr="001E5989">
                <w:rPr>
                  <w:rStyle w:val="Hyperlink"/>
                  <w:sz w:val="20"/>
                  <w:lang w:val="fr-CA"/>
                </w:rPr>
                <w:t>2018 BCCA 20</w:t>
              </w:r>
            </w:hyperlink>
          </w:p>
          <w:p w:rsidR="001668F8" w:rsidRPr="001E5989" w:rsidRDefault="001668F8" w:rsidP="00090708">
            <w:pPr>
              <w:jc w:val="both"/>
              <w:rPr>
                <w:sz w:val="20"/>
                <w:lang w:val="fr-CA"/>
              </w:rPr>
            </w:pPr>
          </w:p>
        </w:tc>
        <w:tc>
          <w:tcPr>
            <w:tcW w:w="243" w:type="pct"/>
          </w:tcPr>
          <w:p w:rsidR="001668F8" w:rsidRPr="001E5989" w:rsidRDefault="001668F8" w:rsidP="00090708">
            <w:pPr>
              <w:jc w:val="both"/>
              <w:rPr>
                <w:sz w:val="20"/>
                <w:lang w:val="fr-CA"/>
              </w:rPr>
            </w:pPr>
          </w:p>
        </w:tc>
        <w:tc>
          <w:tcPr>
            <w:tcW w:w="2330" w:type="pct"/>
          </w:tcPr>
          <w:p w:rsidR="001668F8" w:rsidRPr="001E5989" w:rsidRDefault="001668F8" w:rsidP="00090708">
            <w:pPr>
              <w:jc w:val="both"/>
              <w:rPr>
                <w:sz w:val="20"/>
                <w:lang w:val="fr-CA"/>
              </w:rPr>
            </w:pPr>
            <w:r w:rsidRPr="001E5989">
              <w:rPr>
                <w:sz w:val="20"/>
                <w:lang w:val="fr-CA"/>
              </w:rPr>
              <w:t>Arrêt accueillant l’appel de l’intimé.</w:t>
            </w:r>
          </w:p>
          <w:p w:rsidR="001668F8" w:rsidRPr="001E5989" w:rsidRDefault="001668F8" w:rsidP="00090708">
            <w:pPr>
              <w:jc w:val="both"/>
              <w:rPr>
                <w:sz w:val="20"/>
                <w:lang w:val="fr-CA"/>
              </w:rPr>
            </w:pPr>
          </w:p>
        </w:tc>
      </w:tr>
      <w:tr w:rsidR="001668F8" w:rsidRPr="00DB1C5D" w:rsidTr="00090708">
        <w:tc>
          <w:tcPr>
            <w:tcW w:w="2427" w:type="pct"/>
            <w:gridSpan w:val="2"/>
          </w:tcPr>
          <w:p w:rsidR="001668F8" w:rsidRPr="001E5989" w:rsidRDefault="001668F8" w:rsidP="00090708">
            <w:pPr>
              <w:jc w:val="both"/>
              <w:rPr>
                <w:sz w:val="20"/>
                <w:lang w:val="fr-CA"/>
              </w:rPr>
            </w:pPr>
            <w:r w:rsidRPr="001E5989">
              <w:rPr>
                <w:sz w:val="20"/>
                <w:lang w:val="fr-CA"/>
              </w:rPr>
              <w:t>19 mars 2018</w:t>
            </w:r>
          </w:p>
          <w:p w:rsidR="001668F8" w:rsidRPr="001E5989" w:rsidRDefault="001668F8" w:rsidP="00090708">
            <w:pPr>
              <w:jc w:val="both"/>
              <w:rPr>
                <w:sz w:val="20"/>
                <w:lang w:val="fr-CA"/>
              </w:rPr>
            </w:pPr>
            <w:r w:rsidRPr="001E5989">
              <w:rPr>
                <w:sz w:val="20"/>
                <w:lang w:val="fr-CA"/>
              </w:rPr>
              <w:t>Cour suprême du Canada</w:t>
            </w:r>
          </w:p>
        </w:tc>
        <w:tc>
          <w:tcPr>
            <w:tcW w:w="243" w:type="pct"/>
          </w:tcPr>
          <w:p w:rsidR="001668F8" w:rsidRPr="001E5989" w:rsidRDefault="001668F8" w:rsidP="00090708">
            <w:pPr>
              <w:jc w:val="both"/>
              <w:rPr>
                <w:sz w:val="20"/>
                <w:lang w:val="fr-CA"/>
              </w:rPr>
            </w:pPr>
          </w:p>
        </w:tc>
        <w:tc>
          <w:tcPr>
            <w:tcW w:w="2330" w:type="pct"/>
          </w:tcPr>
          <w:p w:rsidR="001668F8" w:rsidRPr="001E5989" w:rsidRDefault="001668F8" w:rsidP="00090708">
            <w:pPr>
              <w:jc w:val="both"/>
              <w:rPr>
                <w:sz w:val="20"/>
                <w:lang w:val="fr-CA"/>
              </w:rPr>
            </w:pPr>
            <w:r w:rsidRPr="001E5989">
              <w:rPr>
                <w:sz w:val="20"/>
                <w:lang w:val="fr-CA"/>
              </w:rPr>
              <w:t>Dépôt de la demande d’autorisation d’appel.</w:t>
            </w:r>
          </w:p>
        </w:tc>
      </w:tr>
    </w:tbl>
    <w:p w:rsidR="001668F8" w:rsidRPr="001E5989" w:rsidRDefault="001668F8" w:rsidP="001668F8">
      <w:pPr>
        <w:jc w:val="both"/>
        <w:rPr>
          <w:sz w:val="20"/>
          <w:lang w:val="fr-CA"/>
        </w:rPr>
      </w:pPr>
    </w:p>
    <w:p w:rsidR="001668F8" w:rsidRPr="001E5989" w:rsidRDefault="001668F8" w:rsidP="001668F8">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668F8" w:rsidRPr="001E5989" w:rsidTr="00090708">
        <w:tc>
          <w:tcPr>
            <w:tcW w:w="543" w:type="pct"/>
          </w:tcPr>
          <w:p w:rsidR="001668F8" w:rsidRPr="001E5989" w:rsidRDefault="001668F8" w:rsidP="00090708">
            <w:pPr>
              <w:jc w:val="both"/>
              <w:rPr>
                <w:sz w:val="20"/>
              </w:rPr>
            </w:pPr>
            <w:r w:rsidRPr="001E5989">
              <w:rPr>
                <w:rStyle w:val="SCCFileNumberChar"/>
                <w:sz w:val="20"/>
                <w:szCs w:val="20"/>
              </w:rPr>
              <w:t>38129</w:t>
            </w:r>
          </w:p>
        </w:tc>
        <w:tc>
          <w:tcPr>
            <w:tcW w:w="4457" w:type="pct"/>
            <w:gridSpan w:val="3"/>
          </w:tcPr>
          <w:p w:rsidR="001668F8" w:rsidRPr="0045736C" w:rsidRDefault="001668F8" w:rsidP="00090708">
            <w:pPr>
              <w:pStyle w:val="SCCLsocParty"/>
              <w:jc w:val="both"/>
              <w:rPr>
                <w:b/>
                <w:sz w:val="20"/>
                <w:szCs w:val="20"/>
                <w:lang w:val="en-US"/>
              </w:rPr>
            </w:pPr>
            <w:r w:rsidRPr="0045736C">
              <w:rPr>
                <w:b/>
                <w:sz w:val="20"/>
                <w:szCs w:val="20"/>
                <w:lang w:val="en-US"/>
              </w:rPr>
              <w:t>Her Majesty the Queen v. Dean Daniel Kelsie</w:t>
            </w:r>
          </w:p>
          <w:p w:rsidR="001668F8" w:rsidRPr="001E5989" w:rsidRDefault="001668F8" w:rsidP="00090708">
            <w:pPr>
              <w:jc w:val="both"/>
              <w:rPr>
                <w:sz w:val="20"/>
              </w:rPr>
            </w:pPr>
            <w:r w:rsidRPr="001E5989">
              <w:rPr>
                <w:sz w:val="20"/>
              </w:rPr>
              <w:t>(N.S.) (Criminal) (By Leave)</w:t>
            </w:r>
          </w:p>
        </w:tc>
      </w:tr>
      <w:tr w:rsidR="00592C12" w:rsidRPr="001E5989" w:rsidTr="00592C12">
        <w:tc>
          <w:tcPr>
            <w:tcW w:w="5000" w:type="pct"/>
            <w:gridSpan w:val="4"/>
          </w:tcPr>
          <w:p w:rsidR="00592C12" w:rsidRPr="00592C12" w:rsidRDefault="00592C12" w:rsidP="00592C12">
            <w:pPr>
              <w:jc w:val="both"/>
              <w:rPr>
                <w:sz w:val="20"/>
              </w:rPr>
            </w:pPr>
            <w:r w:rsidRPr="00592C12">
              <w:rPr>
                <w:sz w:val="20"/>
              </w:rPr>
              <w:t xml:space="preserve">The motion for an extension of time to serve and file the application for leave to appeal is granted. It is not necessary to consider the motion for an extension of time to serve and file the response to the application for leave to appeal. </w:t>
            </w:r>
          </w:p>
          <w:p w:rsidR="00592C12" w:rsidRPr="00592C12" w:rsidRDefault="00592C12" w:rsidP="00592C12">
            <w:pPr>
              <w:jc w:val="both"/>
              <w:rPr>
                <w:sz w:val="20"/>
              </w:rPr>
            </w:pPr>
          </w:p>
          <w:p w:rsidR="00592C12" w:rsidRPr="00592C12" w:rsidRDefault="00592C12" w:rsidP="00592C12">
            <w:pPr>
              <w:jc w:val="both"/>
              <w:rPr>
                <w:sz w:val="20"/>
              </w:rPr>
            </w:pPr>
            <w:r w:rsidRPr="00592C12">
              <w:rPr>
                <w:sz w:val="20"/>
              </w:rPr>
              <w:t>The application for leave to appeal from the judgment of the Nova Scotia Court of Appeal, Number CAC 211631, 2017 NSCA 89, dated December 8, 2017, is granted. The schedule for serving and filing materials will be set by the Registrar.</w:t>
            </w:r>
          </w:p>
          <w:p w:rsidR="00592C12" w:rsidRPr="00592C12" w:rsidRDefault="00592C12" w:rsidP="00592C12">
            <w:pPr>
              <w:jc w:val="both"/>
              <w:rPr>
                <w:sz w:val="20"/>
              </w:rPr>
            </w:pPr>
          </w:p>
          <w:p w:rsidR="00592C12" w:rsidRPr="00592C12" w:rsidRDefault="00592C12" w:rsidP="00592C12">
            <w:pPr>
              <w:pStyle w:val="SCCLsocParty"/>
              <w:jc w:val="both"/>
              <w:rPr>
                <w:b/>
                <w:sz w:val="20"/>
                <w:szCs w:val="20"/>
                <w:lang w:val="en-US"/>
              </w:rPr>
            </w:pPr>
            <w:r w:rsidRPr="00592C12">
              <w:rPr>
                <w:sz w:val="20"/>
                <w:lang w:val="en-US"/>
              </w:rPr>
              <w:t>The parties are required to provide written submissions in their factum addressing the impact of the publication ban on the release of the Court’s reasons in this matter.</w:t>
            </w:r>
          </w:p>
        </w:tc>
      </w:tr>
      <w:tr w:rsidR="001668F8" w:rsidRPr="001E5989" w:rsidTr="00090708">
        <w:tc>
          <w:tcPr>
            <w:tcW w:w="5000" w:type="pct"/>
            <w:gridSpan w:val="4"/>
          </w:tcPr>
          <w:p w:rsidR="001668F8" w:rsidRPr="001E5989" w:rsidRDefault="001668F8" w:rsidP="00090708">
            <w:pPr>
              <w:jc w:val="both"/>
              <w:rPr>
                <w:sz w:val="20"/>
              </w:rPr>
            </w:pPr>
            <w:r w:rsidRPr="001E5989">
              <w:rPr>
                <w:sz w:val="20"/>
              </w:rPr>
              <w:t xml:space="preserve">Criminal law – Evidence – Co-conspirators hearsay – Charge to jury – Curative proviso – Admissibility of evidence under </w:t>
            </w:r>
            <w:r w:rsidRPr="001E5989">
              <w:rPr>
                <w:i/>
                <w:sz w:val="20"/>
              </w:rPr>
              <w:t>Carter</w:t>
            </w:r>
            <w:r w:rsidRPr="001E5989">
              <w:rPr>
                <w:sz w:val="20"/>
              </w:rPr>
              <w:t xml:space="preserve"> test – Admissibility of a witness’s evidence to prove membership in a conspiracy – Use of acts and declarations by co-conspirators prior to accused joining conspiracy to prove accused’s membership in conspiracy – Whether there was an air of reality to offence of manslaughter – Whether trial judge erred by not charging jury on manslaughter – Whether trial judge erred by not instructing jury on planning and deliberation required of a </w:t>
            </w:r>
            <w:r w:rsidRPr="001E5989">
              <w:rPr>
                <w:iCs/>
                <w:sz w:val="20"/>
              </w:rPr>
              <w:t xml:space="preserve">principal </w:t>
            </w:r>
            <w:r w:rsidRPr="001E5989">
              <w:rPr>
                <w:sz w:val="20"/>
              </w:rPr>
              <w:t xml:space="preserve">to return verdict of first degree murder for an aider – Whether Court of Appeal erred in declining to invoke </w:t>
            </w:r>
            <w:r w:rsidRPr="001E5989">
              <w:rPr>
                <w:i/>
                <w:sz w:val="20"/>
              </w:rPr>
              <w:t>curative proviso</w:t>
            </w:r>
            <w:r w:rsidRPr="001E5989">
              <w:rPr>
                <w:sz w:val="20"/>
              </w:rPr>
              <w:t>?</w:t>
            </w:r>
          </w:p>
        </w:tc>
      </w:tr>
      <w:tr w:rsidR="001668F8" w:rsidRPr="001E5989" w:rsidTr="00090708">
        <w:tc>
          <w:tcPr>
            <w:tcW w:w="5000" w:type="pct"/>
            <w:gridSpan w:val="4"/>
          </w:tcPr>
          <w:p w:rsidR="001668F8" w:rsidRPr="001E5989" w:rsidRDefault="001668F8" w:rsidP="00090708">
            <w:pPr>
              <w:jc w:val="both"/>
              <w:rPr>
                <w:sz w:val="20"/>
              </w:rPr>
            </w:pPr>
          </w:p>
        </w:tc>
      </w:tr>
      <w:tr w:rsidR="001668F8" w:rsidRPr="001E5989" w:rsidTr="00090708">
        <w:tc>
          <w:tcPr>
            <w:tcW w:w="5000" w:type="pct"/>
            <w:gridSpan w:val="4"/>
          </w:tcPr>
          <w:p w:rsidR="001668F8" w:rsidRPr="001E5989" w:rsidRDefault="001668F8" w:rsidP="00090708">
            <w:pPr>
              <w:widowControl w:val="0"/>
              <w:tabs>
                <w:tab w:val="left" w:pos="861"/>
              </w:tabs>
              <w:autoSpaceDE w:val="0"/>
              <w:autoSpaceDN w:val="0"/>
              <w:jc w:val="both"/>
              <w:rPr>
                <w:sz w:val="20"/>
                <w:lang w:val="en"/>
              </w:rPr>
            </w:pPr>
            <w:r w:rsidRPr="001E5989">
              <w:rPr>
                <w:sz w:val="20"/>
              </w:rPr>
              <w:t xml:space="preserve">In October 2000, Sean Simmons was fatally shot. A group of drug dealers </w:t>
            </w:r>
            <w:r w:rsidRPr="001E5989">
              <w:rPr>
                <w:sz w:val="20"/>
                <w:lang w:val="en"/>
              </w:rPr>
              <w:t xml:space="preserve">planned and deliberated the murder. </w:t>
            </w:r>
            <w:r w:rsidRPr="001E5989">
              <w:rPr>
                <w:sz w:val="20"/>
              </w:rPr>
              <w:t>Mr. Kelsie was a member of the drug dealing group but was not involved in any advance planning. He joined the conspiracy at the last minute. Moments before the shooting, he was told that he had to do it and handed a gun. He agreed and was shown how to use the gun. In a statement to police, he said that when he took the gun, he thought they were only going to teach someone a lesson. Mr. Kelsie and another man went to confront the victim. In his statement to the police, Mr. Kelsie said that he backed out on the way, the other man took the gun and shot Mr. Simmons, and then the other man gave the gun back. The Crown argued at trial that Mr. Kelsie was the shooter or Mr. Kelsie aided the other man in his murder of Mr. Simmons. A jury convicted Mr. Kelsie of first degree murder and conspiracy to commit murder. The Court of Appeal found errors in the jury charge, overturned the conviction and ordered a new trial.</w:t>
            </w:r>
          </w:p>
          <w:p w:rsidR="001668F8" w:rsidRPr="001E5989" w:rsidRDefault="001668F8" w:rsidP="00090708">
            <w:pPr>
              <w:jc w:val="both"/>
              <w:rPr>
                <w:sz w:val="20"/>
                <w:lang w:val="en"/>
              </w:rPr>
            </w:pPr>
          </w:p>
        </w:tc>
      </w:tr>
      <w:tr w:rsidR="001668F8" w:rsidRPr="001E5989" w:rsidTr="00090708">
        <w:tc>
          <w:tcPr>
            <w:tcW w:w="2427" w:type="pct"/>
            <w:gridSpan w:val="2"/>
          </w:tcPr>
          <w:p w:rsidR="001668F8" w:rsidRPr="001E5989" w:rsidRDefault="001668F8" w:rsidP="00090708">
            <w:pPr>
              <w:jc w:val="both"/>
              <w:rPr>
                <w:sz w:val="20"/>
              </w:rPr>
            </w:pPr>
            <w:r w:rsidRPr="001E5989">
              <w:rPr>
                <w:sz w:val="20"/>
              </w:rPr>
              <w:t>March 2, 2003</w:t>
            </w:r>
          </w:p>
          <w:p w:rsidR="001668F8" w:rsidRPr="001E5989" w:rsidRDefault="001668F8" w:rsidP="00090708">
            <w:pPr>
              <w:jc w:val="both"/>
              <w:rPr>
                <w:sz w:val="20"/>
              </w:rPr>
            </w:pPr>
            <w:r w:rsidRPr="001E5989">
              <w:rPr>
                <w:sz w:val="20"/>
              </w:rPr>
              <w:t>Supreme Court of Nova Scotia, Trial Division</w:t>
            </w:r>
          </w:p>
          <w:p w:rsidR="001668F8" w:rsidRPr="001E5989" w:rsidRDefault="001668F8" w:rsidP="00090708">
            <w:pPr>
              <w:jc w:val="both"/>
              <w:rPr>
                <w:sz w:val="20"/>
              </w:rPr>
            </w:pPr>
            <w:r w:rsidRPr="001E5989">
              <w:rPr>
                <w:sz w:val="20"/>
              </w:rPr>
              <w:t>(</w:t>
            </w:r>
            <w:proofErr w:type="spellStart"/>
            <w:r w:rsidRPr="001E5989">
              <w:rPr>
                <w:sz w:val="20"/>
              </w:rPr>
              <w:t>Cacchione</w:t>
            </w:r>
            <w:proofErr w:type="spellEnd"/>
            <w:r w:rsidRPr="001E5989">
              <w:rPr>
                <w:sz w:val="20"/>
              </w:rPr>
              <w:t xml:space="preserve"> J.)(Unreported)</w:t>
            </w:r>
          </w:p>
          <w:p w:rsidR="001668F8" w:rsidRPr="001E5989" w:rsidRDefault="001668F8" w:rsidP="00090708">
            <w:pPr>
              <w:jc w:val="both"/>
              <w:rPr>
                <w:sz w:val="20"/>
              </w:rPr>
            </w:pPr>
          </w:p>
        </w:tc>
        <w:tc>
          <w:tcPr>
            <w:tcW w:w="243" w:type="pct"/>
          </w:tcPr>
          <w:p w:rsidR="001668F8" w:rsidRPr="001E5989" w:rsidRDefault="001668F8" w:rsidP="00090708">
            <w:pPr>
              <w:jc w:val="both"/>
              <w:rPr>
                <w:sz w:val="20"/>
              </w:rPr>
            </w:pPr>
          </w:p>
        </w:tc>
        <w:tc>
          <w:tcPr>
            <w:tcW w:w="2330" w:type="pct"/>
          </w:tcPr>
          <w:p w:rsidR="001668F8" w:rsidRPr="001E5989" w:rsidRDefault="001668F8" w:rsidP="00090708">
            <w:pPr>
              <w:jc w:val="both"/>
              <w:rPr>
                <w:sz w:val="20"/>
              </w:rPr>
            </w:pPr>
            <w:r w:rsidRPr="001E5989">
              <w:rPr>
                <w:sz w:val="20"/>
              </w:rPr>
              <w:t xml:space="preserve">Convictions by jury of first degree murder, conspiracy to commit murder </w:t>
            </w:r>
          </w:p>
        </w:tc>
      </w:tr>
      <w:tr w:rsidR="001668F8" w:rsidRPr="001E5989" w:rsidTr="00090708">
        <w:tc>
          <w:tcPr>
            <w:tcW w:w="2427" w:type="pct"/>
            <w:gridSpan w:val="2"/>
          </w:tcPr>
          <w:p w:rsidR="001668F8" w:rsidRPr="001E5989" w:rsidRDefault="001668F8" w:rsidP="00090708">
            <w:pPr>
              <w:jc w:val="both"/>
              <w:rPr>
                <w:sz w:val="20"/>
              </w:rPr>
            </w:pPr>
            <w:r w:rsidRPr="001E5989">
              <w:rPr>
                <w:sz w:val="20"/>
              </w:rPr>
              <w:t>December 8, 2017</w:t>
            </w:r>
          </w:p>
          <w:p w:rsidR="001668F8" w:rsidRPr="001E5989" w:rsidRDefault="001668F8" w:rsidP="00090708">
            <w:pPr>
              <w:jc w:val="both"/>
              <w:rPr>
                <w:sz w:val="20"/>
              </w:rPr>
            </w:pPr>
            <w:r w:rsidRPr="001E5989">
              <w:rPr>
                <w:sz w:val="20"/>
              </w:rPr>
              <w:t>Nova Scotia Court of Appeal</w:t>
            </w:r>
          </w:p>
          <w:p w:rsidR="001668F8" w:rsidRPr="001E5989" w:rsidRDefault="001668F8" w:rsidP="00090708">
            <w:pPr>
              <w:jc w:val="both"/>
              <w:rPr>
                <w:sz w:val="20"/>
              </w:rPr>
            </w:pPr>
            <w:r w:rsidRPr="001E5989">
              <w:rPr>
                <w:sz w:val="20"/>
              </w:rPr>
              <w:t xml:space="preserve">(Farrar, Van den </w:t>
            </w:r>
            <w:proofErr w:type="spellStart"/>
            <w:r w:rsidRPr="001E5989">
              <w:rPr>
                <w:sz w:val="20"/>
              </w:rPr>
              <w:t>Eynden</w:t>
            </w:r>
            <w:proofErr w:type="spellEnd"/>
            <w:r w:rsidRPr="001E5989">
              <w:rPr>
                <w:sz w:val="20"/>
              </w:rPr>
              <w:t>, Bourgeois JJ.A.)</w:t>
            </w:r>
          </w:p>
          <w:p w:rsidR="001668F8" w:rsidRPr="001E5989" w:rsidRDefault="001668F8" w:rsidP="00090708">
            <w:pPr>
              <w:jc w:val="both"/>
              <w:rPr>
                <w:sz w:val="20"/>
              </w:rPr>
            </w:pPr>
            <w:r w:rsidRPr="001E5989">
              <w:rPr>
                <w:sz w:val="20"/>
                <w:lang w:val="en"/>
              </w:rPr>
              <w:t>CA 211631</w:t>
            </w:r>
            <w:r w:rsidRPr="001E5989">
              <w:rPr>
                <w:sz w:val="20"/>
              </w:rPr>
              <w:t xml:space="preserve">; </w:t>
            </w:r>
            <w:hyperlink r:id="rId45" w:history="1">
              <w:r w:rsidRPr="001E5989">
                <w:rPr>
                  <w:rStyle w:val="Hyperlink"/>
                  <w:sz w:val="20"/>
                </w:rPr>
                <w:t>2017 NSCA 89</w:t>
              </w:r>
            </w:hyperlink>
          </w:p>
          <w:p w:rsidR="001668F8" w:rsidRPr="001E5989" w:rsidRDefault="001668F8" w:rsidP="00090708">
            <w:pPr>
              <w:jc w:val="both"/>
              <w:rPr>
                <w:sz w:val="20"/>
              </w:rPr>
            </w:pPr>
          </w:p>
        </w:tc>
        <w:tc>
          <w:tcPr>
            <w:tcW w:w="243" w:type="pct"/>
          </w:tcPr>
          <w:p w:rsidR="001668F8" w:rsidRPr="001E5989" w:rsidRDefault="001668F8" w:rsidP="00090708">
            <w:pPr>
              <w:jc w:val="both"/>
              <w:rPr>
                <w:sz w:val="20"/>
              </w:rPr>
            </w:pPr>
          </w:p>
        </w:tc>
        <w:tc>
          <w:tcPr>
            <w:tcW w:w="2330" w:type="pct"/>
          </w:tcPr>
          <w:p w:rsidR="001668F8" w:rsidRPr="001E5989" w:rsidRDefault="001668F8" w:rsidP="00090708">
            <w:pPr>
              <w:jc w:val="both"/>
              <w:rPr>
                <w:sz w:val="20"/>
              </w:rPr>
            </w:pPr>
            <w:r w:rsidRPr="001E5989">
              <w:rPr>
                <w:sz w:val="20"/>
              </w:rPr>
              <w:t>Appeal allowed, new trial ordered</w:t>
            </w:r>
          </w:p>
        </w:tc>
      </w:tr>
      <w:tr w:rsidR="001668F8" w:rsidRPr="001E5989" w:rsidTr="00090708">
        <w:tc>
          <w:tcPr>
            <w:tcW w:w="2427" w:type="pct"/>
            <w:gridSpan w:val="2"/>
          </w:tcPr>
          <w:p w:rsidR="001668F8" w:rsidRPr="001E5989" w:rsidRDefault="001668F8" w:rsidP="00090708">
            <w:pPr>
              <w:jc w:val="both"/>
              <w:rPr>
                <w:sz w:val="20"/>
              </w:rPr>
            </w:pPr>
            <w:r w:rsidRPr="001E5989">
              <w:rPr>
                <w:sz w:val="20"/>
              </w:rPr>
              <w:t>May 17, 2018</w:t>
            </w:r>
          </w:p>
          <w:p w:rsidR="001668F8" w:rsidRPr="001E5989" w:rsidRDefault="001668F8" w:rsidP="00090708">
            <w:pPr>
              <w:jc w:val="both"/>
              <w:rPr>
                <w:sz w:val="20"/>
              </w:rPr>
            </w:pPr>
            <w:r w:rsidRPr="001E5989">
              <w:rPr>
                <w:sz w:val="20"/>
              </w:rPr>
              <w:t>Supreme Court of Canada</w:t>
            </w:r>
          </w:p>
        </w:tc>
        <w:tc>
          <w:tcPr>
            <w:tcW w:w="243" w:type="pct"/>
          </w:tcPr>
          <w:p w:rsidR="001668F8" w:rsidRPr="001E5989" w:rsidRDefault="001668F8" w:rsidP="00090708">
            <w:pPr>
              <w:jc w:val="both"/>
              <w:rPr>
                <w:sz w:val="20"/>
              </w:rPr>
            </w:pPr>
          </w:p>
        </w:tc>
        <w:tc>
          <w:tcPr>
            <w:tcW w:w="2330" w:type="pct"/>
          </w:tcPr>
          <w:p w:rsidR="001668F8" w:rsidRPr="001E5989" w:rsidRDefault="001668F8" w:rsidP="00090708">
            <w:pPr>
              <w:jc w:val="both"/>
              <w:rPr>
                <w:sz w:val="20"/>
              </w:rPr>
            </w:pPr>
            <w:r w:rsidRPr="001E5989">
              <w:rPr>
                <w:sz w:val="20"/>
              </w:rPr>
              <w:t>Motion for extension of time to serve and file application for leave to appeal and Application for leave to appeal filed</w:t>
            </w:r>
          </w:p>
          <w:p w:rsidR="001668F8" w:rsidRPr="001E5989" w:rsidRDefault="001668F8" w:rsidP="00090708">
            <w:pPr>
              <w:jc w:val="both"/>
              <w:rPr>
                <w:sz w:val="20"/>
              </w:rPr>
            </w:pPr>
          </w:p>
        </w:tc>
      </w:tr>
      <w:tr w:rsidR="001668F8" w:rsidRPr="001E5989" w:rsidTr="00090708">
        <w:tc>
          <w:tcPr>
            <w:tcW w:w="2427" w:type="pct"/>
            <w:gridSpan w:val="2"/>
          </w:tcPr>
          <w:p w:rsidR="001668F8" w:rsidRPr="001E5989" w:rsidRDefault="001668F8" w:rsidP="00090708">
            <w:pPr>
              <w:jc w:val="both"/>
              <w:rPr>
                <w:sz w:val="20"/>
              </w:rPr>
            </w:pPr>
            <w:r w:rsidRPr="001E5989">
              <w:rPr>
                <w:sz w:val="20"/>
              </w:rPr>
              <w:t>July 27, 2018</w:t>
            </w:r>
          </w:p>
          <w:p w:rsidR="001668F8" w:rsidRPr="001E5989" w:rsidRDefault="001668F8" w:rsidP="00090708">
            <w:pPr>
              <w:jc w:val="both"/>
              <w:rPr>
                <w:sz w:val="20"/>
              </w:rPr>
            </w:pPr>
            <w:r w:rsidRPr="001E5989">
              <w:rPr>
                <w:sz w:val="20"/>
              </w:rPr>
              <w:t>Supreme Court of Canada</w:t>
            </w:r>
          </w:p>
        </w:tc>
        <w:tc>
          <w:tcPr>
            <w:tcW w:w="243" w:type="pct"/>
          </w:tcPr>
          <w:p w:rsidR="001668F8" w:rsidRPr="001E5989" w:rsidRDefault="001668F8" w:rsidP="00090708">
            <w:pPr>
              <w:jc w:val="both"/>
              <w:rPr>
                <w:sz w:val="20"/>
              </w:rPr>
            </w:pPr>
          </w:p>
        </w:tc>
        <w:tc>
          <w:tcPr>
            <w:tcW w:w="2330" w:type="pct"/>
          </w:tcPr>
          <w:p w:rsidR="001668F8" w:rsidRPr="001E5989" w:rsidRDefault="001668F8" w:rsidP="00090708">
            <w:pPr>
              <w:jc w:val="both"/>
              <w:rPr>
                <w:sz w:val="20"/>
              </w:rPr>
            </w:pPr>
            <w:r w:rsidRPr="001E5989">
              <w:rPr>
                <w:sz w:val="20"/>
              </w:rPr>
              <w:t>Motion for extension of time to serve and file Response</w:t>
            </w:r>
          </w:p>
        </w:tc>
      </w:tr>
    </w:tbl>
    <w:p w:rsidR="001668F8" w:rsidRDefault="001668F8" w:rsidP="001668F8">
      <w:pPr>
        <w:jc w:val="both"/>
        <w:rPr>
          <w:sz w:val="20"/>
        </w:rPr>
      </w:pPr>
    </w:p>
    <w:p w:rsidR="001668F8" w:rsidRPr="001E5989" w:rsidRDefault="001668F8" w:rsidP="001668F8">
      <w:pPr>
        <w:jc w:val="both"/>
        <w:rPr>
          <w:sz w:val="20"/>
        </w:rPr>
      </w:pPr>
    </w:p>
    <w:p w:rsidR="00592C12" w:rsidRDefault="00592C1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668F8" w:rsidRPr="001E5989" w:rsidTr="00090708">
        <w:tc>
          <w:tcPr>
            <w:tcW w:w="543" w:type="pct"/>
          </w:tcPr>
          <w:p w:rsidR="001668F8" w:rsidRPr="001E5989" w:rsidRDefault="001668F8" w:rsidP="00090708">
            <w:pPr>
              <w:jc w:val="both"/>
              <w:rPr>
                <w:sz w:val="20"/>
                <w:lang w:val="fr-CA"/>
              </w:rPr>
            </w:pPr>
            <w:r w:rsidRPr="001E5989">
              <w:rPr>
                <w:rStyle w:val="SCCFileNumberChar"/>
                <w:sz w:val="20"/>
                <w:szCs w:val="20"/>
                <w:lang w:val="fr-CA"/>
              </w:rPr>
              <w:lastRenderedPageBreak/>
              <w:t>38129</w:t>
            </w:r>
          </w:p>
        </w:tc>
        <w:tc>
          <w:tcPr>
            <w:tcW w:w="4457" w:type="pct"/>
            <w:gridSpan w:val="3"/>
          </w:tcPr>
          <w:p w:rsidR="001668F8" w:rsidRPr="0045736C" w:rsidRDefault="001668F8" w:rsidP="00090708">
            <w:pPr>
              <w:pStyle w:val="SCCLsocParty"/>
              <w:jc w:val="both"/>
              <w:rPr>
                <w:b/>
                <w:sz w:val="20"/>
                <w:szCs w:val="20"/>
              </w:rPr>
            </w:pPr>
            <w:r w:rsidRPr="0045736C">
              <w:rPr>
                <w:b/>
                <w:sz w:val="20"/>
                <w:szCs w:val="20"/>
              </w:rPr>
              <w:t xml:space="preserve">Sa Majesté la Reine c. Dean Daniel </w:t>
            </w:r>
            <w:proofErr w:type="spellStart"/>
            <w:r w:rsidRPr="0045736C">
              <w:rPr>
                <w:b/>
                <w:sz w:val="20"/>
                <w:szCs w:val="20"/>
              </w:rPr>
              <w:t>Kelsie</w:t>
            </w:r>
            <w:proofErr w:type="spellEnd"/>
          </w:p>
          <w:p w:rsidR="001668F8" w:rsidRPr="001E5989" w:rsidRDefault="001668F8" w:rsidP="00090708">
            <w:pPr>
              <w:jc w:val="both"/>
              <w:rPr>
                <w:sz w:val="20"/>
                <w:lang w:val="fr-CA"/>
              </w:rPr>
            </w:pPr>
            <w:r w:rsidRPr="001E5989">
              <w:rPr>
                <w:sz w:val="20"/>
                <w:lang w:val="fr-CA"/>
              </w:rPr>
              <w:t>(N.-É.) (Criminelle) (Autorisation)</w:t>
            </w:r>
          </w:p>
        </w:tc>
      </w:tr>
      <w:tr w:rsidR="00592C12" w:rsidRPr="00DB1C5D" w:rsidTr="00592C12">
        <w:tc>
          <w:tcPr>
            <w:tcW w:w="5000" w:type="pct"/>
            <w:gridSpan w:val="4"/>
          </w:tcPr>
          <w:p w:rsidR="00592C12" w:rsidRPr="00592C12" w:rsidRDefault="00592C12" w:rsidP="00592C12">
            <w:pPr>
              <w:jc w:val="both"/>
              <w:rPr>
                <w:sz w:val="20"/>
                <w:lang w:val="fr-CA"/>
              </w:rPr>
            </w:pPr>
            <w:r w:rsidRPr="00592C12">
              <w:rPr>
                <w:sz w:val="20"/>
                <w:lang w:val="fr-CA"/>
              </w:rPr>
              <w:t xml:space="preserve">La requête en prorogation du délai de signification et de dépôt de la demande d’autorisation d’appel est accueillie. Il n’est pas nécessaire d’examiner la requête en prorogation du délai de signification et de dépôt de la réponse à la demande d’autorisation d’appel. </w:t>
            </w:r>
          </w:p>
          <w:p w:rsidR="00592C12" w:rsidRPr="00592C12" w:rsidRDefault="00592C12" w:rsidP="00592C12">
            <w:pPr>
              <w:jc w:val="both"/>
              <w:rPr>
                <w:sz w:val="20"/>
                <w:lang w:val="fr-CA"/>
              </w:rPr>
            </w:pPr>
          </w:p>
          <w:p w:rsidR="00592C12" w:rsidRPr="00592C12" w:rsidRDefault="00592C12" w:rsidP="00592C12">
            <w:pPr>
              <w:jc w:val="both"/>
              <w:rPr>
                <w:sz w:val="20"/>
                <w:lang w:val="fr-CA"/>
              </w:rPr>
            </w:pPr>
            <w:r w:rsidRPr="00592C12">
              <w:rPr>
                <w:sz w:val="20"/>
                <w:lang w:val="fr-CA"/>
              </w:rPr>
              <w:t>La demande d’autorisation d’appel de l’arrêt de la Cour d’appel de la Nouvelle-Écosse, numéro CAC 211631, 2017 NSCA 89, daté du 8 décembre 2017, est accueillie. L’échéancier pour la signification et le dépôt des documents sera fixé par le registraire.</w:t>
            </w:r>
          </w:p>
          <w:p w:rsidR="00592C12" w:rsidRPr="00592C12" w:rsidRDefault="00592C12" w:rsidP="00592C12">
            <w:pPr>
              <w:jc w:val="both"/>
              <w:rPr>
                <w:sz w:val="20"/>
                <w:lang w:val="fr-CA"/>
              </w:rPr>
            </w:pPr>
          </w:p>
          <w:p w:rsidR="00592C12" w:rsidRPr="0045736C" w:rsidRDefault="00592C12" w:rsidP="00592C12">
            <w:pPr>
              <w:pStyle w:val="SCCLsocParty"/>
              <w:jc w:val="both"/>
              <w:rPr>
                <w:b/>
                <w:sz w:val="20"/>
                <w:szCs w:val="20"/>
              </w:rPr>
            </w:pPr>
            <w:r w:rsidRPr="00592C12">
              <w:rPr>
                <w:sz w:val="20"/>
              </w:rPr>
              <w:t>Les parties sont tenues d’aborder dans leur mémoire l’incidence qu’a l’interdiction de publication sur le dépôt des motifs de la Cour en l’espèce.</w:t>
            </w:r>
          </w:p>
        </w:tc>
      </w:tr>
      <w:tr w:rsidR="001668F8" w:rsidRPr="00DB1C5D" w:rsidTr="00090708">
        <w:tc>
          <w:tcPr>
            <w:tcW w:w="5000" w:type="pct"/>
            <w:gridSpan w:val="4"/>
          </w:tcPr>
          <w:p w:rsidR="001668F8" w:rsidRPr="001E5989" w:rsidRDefault="001668F8" w:rsidP="00090708">
            <w:pPr>
              <w:jc w:val="both"/>
              <w:rPr>
                <w:sz w:val="20"/>
                <w:lang w:val="fr-CA"/>
              </w:rPr>
            </w:pPr>
            <w:r w:rsidRPr="001E5989">
              <w:rPr>
                <w:sz w:val="20"/>
                <w:lang w:val="fr-CA"/>
              </w:rPr>
              <w:t xml:space="preserve">Droit criminel – Preuve – Ouï-dire des </w:t>
            </w:r>
            <w:proofErr w:type="spellStart"/>
            <w:r w:rsidRPr="001E5989">
              <w:rPr>
                <w:sz w:val="20"/>
                <w:lang w:val="fr-CA"/>
              </w:rPr>
              <w:t>coconspirateurs</w:t>
            </w:r>
            <w:proofErr w:type="spellEnd"/>
            <w:r w:rsidRPr="001E5989">
              <w:rPr>
                <w:sz w:val="20"/>
                <w:lang w:val="fr-CA"/>
              </w:rPr>
              <w:t xml:space="preserve"> – Exposé au jury – Disposition réparatrice – Admissibilité de la preuve au regard du critère établi dans l’arrêt </w:t>
            </w:r>
            <w:r w:rsidRPr="001E5989">
              <w:rPr>
                <w:i/>
                <w:sz w:val="20"/>
                <w:lang w:val="fr-CA"/>
              </w:rPr>
              <w:t>Carter</w:t>
            </w:r>
            <w:r w:rsidRPr="001E5989">
              <w:rPr>
                <w:sz w:val="20"/>
                <w:lang w:val="fr-CA"/>
              </w:rPr>
              <w:t xml:space="preserve"> – Admissibilité de la preuve d’un témoin pour prouver la participation à un complot – Utilisation d’actes et de déclarations de </w:t>
            </w:r>
            <w:proofErr w:type="spellStart"/>
            <w:r w:rsidRPr="001E5989">
              <w:rPr>
                <w:sz w:val="20"/>
                <w:lang w:val="fr-CA"/>
              </w:rPr>
              <w:t>coconspirateurs</w:t>
            </w:r>
            <w:proofErr w:type="spellEnd"/>
            <w:r w:rsidRPr="001E5989">
              <w:rPr>
                <w:sz w:val="20"/>
                <w:lang w:val="fr-CA"/>
              </w:rPr>
              <w:t xml:space="preserve"> commis et prononcés avant la participation de l’accusé au complot pour prouver cette participation – L’infraction d’homicide involontaire coupable était-elle vraisemblable? – Le juge du procès </w:t>
            </w:r>
            <w:proofErr w:type="spellStart"/>
            <w:r w:rsidRPr="001E5989">
              <w:rPr>
                <w:sz w:val="20"/>
                <w:lang w:val="fr-CA"/>
              </w:rPr>
              <w:t>a-t-il</w:t>
            </w:r>
            <w:proofErr w:type="spellEnd"/>
            <w:r w:rsidRPr="001E5989">
              <w:rPr>
                <w:sz w:val="20"/>
                <w:lang w:val="fr-CA"/>
              </w:rPr>
              <w:t xml:space="preserve"> eu tort de ne pas donner de directives au jury sur l’homicide involontaire coupable? – Le juge du procès </w:t>
            </w:r>
            <w:proofErr w:type="spellStart"/>
            <w:r w:rsidRPr="001E5989">
              <w:rPr>
                <w:sz w:val="20"/>
                <w:lang w:val="fr-CA"/>
              </w:rPr>
              <w:t>a-t-il</w:t>
            </w:r>
            <w:proofErr w:type="spellEnd"/>
            <w:r w:rsidRPr="001E5989">
              <w:rPr>
                <w:sz w:val="20"/>
                <w:lang w:val="fr-CA"/>
              </w:rPr>
              <w:t xml:space="preserve"> eu tort de ne pas donner de directives au jury sur la préméditation et le propos délibéré dont doit faire preuve l’auteur principal du crime pour rendre un verdict de meurtre au premier degré contre la personne qui a aidé à le commettre? – La Cour d’appel a-t-elle eu tort d’avoir refusé d’invoquer la disposition réparatrice?</w:t>
            </w:r>
          </w:p>
        </w:tc>
      </w:tr>
      <w:tr w:rsidR="001668F8" w:rsidRPr="00DB1C5D" w:rsidTr="00090708">
        <w:tc>
          <w:tcPr>
            <w:tcW w:w="5000" w:type="pct"/>
            <w:gridSpan w:val="4"/>
          </w:tcPr>
          <w:p w:rsidR="001668F8" w:rsidRPr="001E5989" w:rsidRDefault="001668F8" w:rsidP="00090708">
            <w:pPr>
              <w:jc w:val="both"/>
              <w:rPr>
                <w:sz w:val="20"/>
                <w:lang w:val="fr-CA"/>
              </w:rPr>
            </w:pPr>
          </w:p>
        </w:tc>
      </w:tr>
      <w:tr w:rsidR="001668F8" w:rsidRPr="00DB1C5D" w:rsidTr="00090708">
        <w:tc>
          <w:tcPr>
            <w:tcW w:w="5000" w:type="pct"/>
            <w:gridSpan w:val="4"/>
          </w:tcPr>
          <w:p w:rsidR="001668F8" w:rsidRPr="001E5989" w:rsidRDefault="001668F8" w:rsidP="00090708">
            <w:pPr>
              <w:widowControl w:val="0"/>
              <w:tabs>
                <w:tab w:val="left" w:pos="861"/>
              </w:tabs>
              <w:autoSpaceDE w:val="0"/>
              <w:autoSpaceDN w:val="0"/>
              <w:jc w:val="both"/>
              <w:rPr>
                <w:sz w:val="20"/>
                <w:lang w:val="fr-CA"/>
              </w:rPr>
            </w:pPr>
            <w:r w:rsidRPr="001E5989">
              <w:rPr>
                <w:sz w:val="20"/>
                <w:lang w:val="fr-CA"/>
              </w:rPr>
              <w:t>En octobre 2000, Sean Simmons a été mortellement atteint par balle. Un groupe de trafiquants de drogue avait commis le meurtre avec préméditation et de propos délibéré. Monsieur </w:t>
            </w:r>
            <w:proofErr w:type="spellStart"/>
            <w:r w:rsidRPr="001E5989">
              <w:rPr>
                <w:sz w:val="20"/>
                <w:lang w:val="fr-CA"/>
              </w:rPr>
              <w:t>Kelsie</w:t>
            </w:r>
            <w:proofErr w:type="spellEnd"/>
            <w:r w:rsidRPr="001E5989">
              <w:rPr>
                <w:sz w:val="20"/>
                <w:lang w:val="fr-CA"/>
              </w:rPr>
              <w:t xml:space="preserve"> était membre du groupe de trafiquants, mais n’a pas participé à la planification. Il a pris part au complot à la dernière minute. Quelques moments avant l’homicide, on lui a dit qu’il devait le commettre et on lui a remis une arme à feu. Il a accepté et on lui a montré comment utiliser l’arme. Dans une déclaration aux policiers, il a dit que lorsqu’il avait pris l’arme, il croyait qu’ils allaient simplement servir une leçon à quelqu’un. Monsieur </w:t>
            </w:r>
            <w:proofErr w:type="spellStart"/>
            <w:r w:rsidRPr="001E5989">
              <w:rPr>
                <w:sz w:val="20"/>
                <w:lang w:val="fr-CA"/>
              </w:rPr>
              <w:t>Kelsie</w:t>
            </w:r>
            <w:proofErr w:type="spellEnd"/>
            <w:r w:rsidRPr="001E5989">
              <w:rPr>
                <w:sz w:val="20"/>
                <w:lang w:val="fr-CA"/>
              </w:rPr>
              <w:t xml:space="preserve"> et un autre homme sont allés affronter la victime. Dans sa déclaration aux policiers, M. </w:t>
            </w:r>
            <w:proofErr w:type="spellStart"/>
            <w:r w:rsidRPr="001E5989">
              <w:rPr>
                <w:sz w:val="20"/>
                <w:lang w:val="fr-CA"/>
              </w:rPr>
              <w:t>Kelsie</w:t>
            </w:r>
            <w:proofErr w:type="spellEnd"/>
            <w:r w:rsidRPr="001E5989">
              <w:rPr>
                <w:sz w:val="20"/>
                <w:lang w:val="fr-CA"/>
              </w:rPr>
              <w:t xml:space="preserve"> a dit s’être désisté en cours de route, que l’autre homme a pris l’arme à feu et a abattu M. Simmons, puis l’autre homme lui a remis l’arme. Au procès, le ministère public a plaidé que M. </w:t>
            </w:r>
            <w:proofErr w:type="spellStart"/>
            <w:r w:rsidRPr="001E5989">
              <w:rPr>
                <w:sz w:val="20"/>
                <w:lang w:val="fr-CA"/>
              </w:rPr>
              <w:t>Kelsie</w:t>
            </w:r>
            <w:proofErr w:type="spellEnd"/>
            <w:r w:rsidRPr="001E5989">
              <w:rPr>
                <w:sz w:val="20"/>
                <w:lang w:val="fr-CA"/>
              </w:rPr>
              <w:t xml:space="preserve"> était le tireur ou que M. </w:t>
            </w:r>
            <w:proofErr w:type="spellStart"/>
            <w:r w:rsidRPr="001E5989">
              <w:rPr>
                <w:sz w:val="20"/>
                <w:lang w:val="fr-CA"/>
              </w:rPr>
              <w:t>Kelsie</w:t>
            </w:r>
            <w:proofErr w:type="spellEnd"/>
            <w:r w:rsidRPr="001E5989">
              <w:rPr>
                <w:sz w:val="20"/>
                <w:lang w:val="fr-CA"/>
              </w:rPr>
              <w:t xml:space="preserve"> avait aidé l’autre homme à commettre le meurtre de M. Simmons. Un jury a déclaré M. </w:t>
            </w:r>
            <w:proofErr w:type="spellStart"/>
            <w:r w:rsidRPr="001E5989">
              <w:rPr>
                <w:sz w:val="20"/>
                <w:lang w:val="fr-CA"/>
              </w:rPr>
              <w:t>Kelsie</w:t>
            </w:r>
            <w:proofErr w:type="spellEnd"/>
            <w:r w:rsidRPr="001E5989">
              <w:rPr>
                <w:sz w:val="20"/>
                <w:lang w:val="fr-CA"/>
              </w:rPr>
              <w:t xml:space="preserve"> coupable de meurtre au premier degré et de complot en vue de commettre un meurtre. La Cour d’appel a conclu que l’exposé au jury renfermait des erreurs, a infirmé la déclaration de culpabilité et ordonné la tenue d’un nouveau procès.</w:t>
            </w:r>
          </w:p>
          <w:p w:rsidR="001668F8" w:rsidRPr="001E5989" w:rsidRDefault="001668F8" w:rsidP="00090708">
            <w:pPr>
              <w:jc w:val="both"/>
              <w:rPr>
                <w:sz w:val="20"/>
                <w:lang w:val="fr-CA"/>
              </w:rPr>
            </w:pPr>
          </w:p>
        </w:tc>
      </w:tr>
      <w:tr w:rsidR="001668F8" w:rsidRPr="00DB1C5D" w:rsidTr="00090708">
        <w:tc>
          <w:tcPr>
            <w:tcW w:w="2427" w:type="pct"/>
            <w:gridSpan w:val="2"/>
          </w:tcPr>
          <w:p w:rsidR="001668F8" w:rsidRPr="001E5989" w:rsidRDefault="001668F8" w:rsidP="00090708">
            <w:pPr>
              <w:jc w:val="both"/>
              <w:rPr>
                <w:sz w:val="20"/>
                <w:lang w:val="fr-CA"/>
              </w:rPr>
            </w:pPr>
            <w:r w:rsidRPr="001E5989">
              <w:rPr>
                <w:sz w:val="20"/>
                <w:lang w:val="fr-CA"/>
              </w:rPr>
              <w:t>2 mars 2003</w:t>
            </w:r>
          </w:p>
          <w:p w:rsidR="001668F8" w:rsidRPr="001E5989" w:rsidRDefault="001668F8" w:rsidP="00090708">
            <w:pPr>
              <w:jc w:val="both"/>
              <w:rPr>
                <w:sz w:val="20"/>
                <w:lang w:val="fr-CA"/>
              </w:rPr>
            </w:pPr>
            <w:r w:rsidRPr="001E5989">
              <w:rPr>
                <w:sz w:val="20"/>
                <w:lang w:val="fr-CA"/>
              </w:rPr>
              <w:t>Cour suprême de la Nouvelle-Écosse, Section de première instance</w:t>
            </w:r>
          </w:p>
          <w:p w:rsidR="001668F8" w:rsidRPr="001E5989" w:rsidRDefault="001668F8" w:rsidP="00090708">
            <w:pPr>
              <w:jc w:val="both"/>
              <w:rPr>
                <w:sz w:val="20"/>
                <w:lang w:val="fr-CA"/>
              </w:rPr>
            </w:pPr>
            <w:r w:rsidRPr="001E5989">
              <w:rPr>
                <w:sz w:val="20"/>
                <w:lang w:val="fr-CA"/>
              </w:rPr>
              <w:t xml:space="preserve">(Juge </w:t>
            </w:r>
            <w:proofErr w:type="spellStart"/>
            <w:r w:rsidRPr="001E5989">
              <w:rPr>
                <w:sz w:val="20"/>
                <w:lang w:val="fr-CA"/>
              </w:rPr>
              <w:t>Cacchione</w:t>
            </w:r>
            <w:proofErr w:type="spellEnd"/>
            <w:r w:rsidRPr="001E5989">
              <w:rPr>
                <w:sz w:val="20"/>
                <w:lang w:val="fr-CA"/>
              </w:rPr>
              <w:t>)(non publié)</w:t>
            </w:r>
          </w:p>
          <w:p w:rsidR="001668F8" w:rsidRPr="001E5989" w:rsidRDefault="001668F8" w:rsidP="00090708">
            <w:pPr>
              <w:jc w:val="both"/>
              <w:rPr>
                <w:sz w:val="20"/>
                <w:lang w:val="fr-CA"/>
              </w:rPr>
            </w:pPr>
          </w:p>
        </w:tc>
        <w:tc>
          <w:tcPr>
            <w:tcW w:w="243" w:type="pct"/>
          </w:tcPr>
          <w:p w:rsidR="001668F8" w:rsidRPr="001E5989" w:rsidRDefault="001668F8" w:rsidP="00090708">
            <w:pPr>
              <w:jc w:val="both"/>
              <w:rPr>
                <w:sz w:val="20"/>
                <w:lang w:val="fr-CA"/>
              </w:rPr>
            </w:pPr>
          </w:p>
        </w:tc>
        <w:tc>
          <w:tcPr>
            <w:tcW w:w="2330" w:type="pct"/>
          </w:tcPr>
          <w:p w:rsidR="001668F8" w:rsidRPr="001E5989" w:rsidRDefault="001668F8" w:rsidP="00090708">
            <w:pPr>
              <w:jc w:val="both"/>
              <w:rPr>
                <w:sz w:val="20"/>
                <w:lang w:val="fr-CA"/>
              </w:rPr>
            </w:pPr>
            <w:r w:rsidRPr="001E5989">
              <w:rPr>
                <w:sz w:val="20"/>
                <w:lang w:val="fr-CA"/>
              </w:rPr>
              <w:t xml:space="preserve">Déclarations de culpabilité par un jury de meurtre au premier degré et de complot en vue de commettre un meurtre </w:t>
            </w:r>
          </w:p>
        </w:tc>
      </w:tr>
      <w:tr w:rsidR="001668F8" w:rsidRPr="00DB1C5D" w:rsidTr="00090708">
        <w:tc>
          <w:tcPr>
            <w:tcW w:w="2427" w:type="pct"/>
            <w:gridSpan w:val="2"/>
          </w:tcPr>
          <w:p w:rsidR="001668F8" w:rsidRPr="001E5989" w:rsidRDefault="001668F8" w:rsidP="00090708">
            <w:pPr>
              <w:jc w:val="both"/>
              <w:rPr>
                <w:sz w:val="20"/>
                <w:lang w:val="fr-CA"/>
              </w:rPr>
            </w:pPr>
            <w:r w:rsidRPr="001E5989">
              <w:rPr>
                <w:sz w:val="20"/>
                <w:lang w:val="fr-CA"/>
              </w:rPr>
              <w:t>8 décembre 2017</w:t>
            </w:r>
          </w:p>
          <w:p w:rsidR="001668F8" w:rsidRPr="001E5989" w:rsidRDefault="001668F8" w:rsidP="00090708">
            <w:pPr>
              <w:jc w:val="both"/>
              <w:rPr>
                <w:sz w:val="20"/>
                <w:lang w:val="fr-CA"/>
              </w:rPr>
            </w:pPr>
            <w:r w:rsidRPr="001E5989">
              <w:rPr>
                <w:sz w:val="20"/>
                <w:lang w:val="fr-CA"/>
              </w:rPr>
              <w:t>Cour d’appel de la Nouvelle-Écosse</w:t>
            </w:r>
          </w:p>
          <w:p w:rsidR="001668F8" w:rsidRPr="001E5989" w:rsidRDefault="001668F8" w:rsidP="00090708">
            <w:pPr>
              <w:jc w:val="both"/>
              <w:rPr>
                <w:sz w:val="20"/>
                <w:lang w:val="fr-CA"/>
              </w:rPr>
            </w:pPr>
            <w:r w:rsidRPr="001E5989">
              <w:rPr>
                <w:sz w:val="20"/>
                <w:lang w:val="fr-CA"/>
              </w:rPr>
              <w:t xml:space="preserve">(Juges </w:t>
            </w:r>
            <w:proofErr w:type="spellStart"/>
            <w:r w:rsidRPr="001E5989">
              <w:rPr>
                <w:sz w:val="20"/>
                <w:lang w:val="fr-CA"/>
              </w:rPr>
              <w:t>Farrar</w:t>
            </w:r>
            <w:proofErr w:type="spellEnd"/>
            <w:r w:rsidRPr="001E5989">
              <w:rPr>
                <w:sz w:val="20"/>
                <w:lang w:val="fr-CA"/>
              </w:rPr>
              <w:t xml:space="preserve">, Van den </w:t>
            </w:r>
            <w:proofErr w:type="spellStart"/>
            <w:r w:rsidRPr="001E5989">
              <w:rPr>
                <w:sz w:val="20"/>
                <w:lang w:val="fr-CA"/>
              </w:rPr>
              <w:t>Eynden</w:t>
            </w:r>
            <w:proofErr w:type="spellEnd"/>
            <w:r w:rsidRPr="001E5989">
              <w:rPr>
                <w:sz w:val="20"/>
                <w:lang w:val="fr-CA"/>
              </w:rPr>
              <w:t xml:space="preserve"> et Bourgeois)</w:t>
            </w:r>
          </w:p>
          <w:p w:rsidR="001668F8" w:rsidRPr="001E5989" w:rsidRDefault="001668F8" w:rsidP="00090708">
            <w:pPr>
              <w:jc w:val="both"/>
              <w:rPr>
                <w:sz w:val="20"/>
                <w:lang w:val="fr-CA"/>
              </w:rPr>
            </w:pPr>
            <w:r w:rsidRPr="001E5989">
              <w:rPr>
                <w:sz w:val="20"/>
                <w:lang w:val="fr-CA"/>
              </w:rPr>
              <w:t xml:space="preserve">CA 211631; </w:t>
            </w:r>
            <w:hyperlink r:id="rId46" w:history="1">
              <w:r w:rsidRPr="001E5989">
                <w:rPr>
                  <w:rStyle w:val="Hyperlink"/>
                  <w:sz w:val="20"/>
                  <w:lang w:val="fr-CA"/>
                </w:rPr>
                <w:t>2017 NSCA 89</w:t>
              </w:r>
            </w:hyperlink>
          </w:p>
          <w:p w:rsidR="001668F8" w:rsidRPr="001E5989" w:rsidRDefault="001668F8" w:rsidP="00090708">
            <w:pPr>
              <w:jc w:val="both"/>
              <w:rPr>
                <w:sz w:val="20"/>
                <w:lang w:val="fr-CA"/>
              </w:rPr>
            </w:pPr>
          </w:p>
        </w:tc>
        <w:tc>
          <w:tcPr>
            <w:tcW w:w="243" w:type="pct"/>
          </w:tcPr>
          <w:p w:rsidR="001668F8" w:rsidRPr="001E5989" w:rsidRDefault="001668F8" w:rsidP="00090708">
            <w:pPr>
              <w:jc w:val="both"/>
              <w:rPr>
                <w:sz w:val="20"/>
                <w:lang w:val="fr-CA"/>
              </w:rPr>
            </w:pPr>
          </w:p>
        </w:tc>
        <w:tc>
          <w:tcPr>
            <w:tcW w:w="2330" w:type="pct"/>
          </w:tcPr>
          <w:p w:rsidR="001668F8" w:rsidRPr="001E5989" w:rsidRDefault="001668F8" w:rsidP="00090708">
            <w:pPr>
              <w:jc w:val="both"/>
              <w:rPr>
                <w:sz w:val="20"/>
                <w:lang w:val="fr-CA"/>
              </w:rPr>
            </w:pPr>
            <w:r w:rsidRPr="001E5989">
              <w:rPr>
                <w:sz w:val="20"/>
                <w:lang w:val="fr-CA"/>
              </w:rPr>
              <w:t>Arrêt accueillant l’appel et ordonnant la tenue d’un nouveau procès</w:t>
            </w:r>
          </w:p>
        </w:tc>
      </w:tr>
      <w:tr w:rsidR="001668F8" w:rsidRPr="00DB1C5D" w:rsidTr="00090708">
        <w:tc>
          <w:tcPr>
            <w:tcW w:w="2427" w:type="pct"/>
            <w:gridSpan w:val="2"/>
          </w:tcPr>
          <w:p w:rsidR="001668F8" w:rsidRPr="001E5989" w:rsidRDefault="001668F8" w:rsidP="00090708">
            <w:pPr>
              <w:jc w:val="both"/>
              <w:rPr>
                <w:sz w:val="20"/>
                <w:lang w:val="fr-CA"/>
              </w:rPr>
            </w:pPr>
            <w:r w:rsidRPr="001E5989">
              <w:rPr>
                <w:sz w:val="20"/>
                <w:lang w:val="fr-CA"/>
              </w:rPr>
              <w:t>17 mai 2018</w:t>
            </w:r>
          </w:p>
          <w:p w:rsidR="001668F8" w:rsidRPr="001E5989" w:rsidRDefault="001668F8" w:rsidP="00090708">
            <w:pPr>
              <w:jc w:val="both"/>
              <w:rPr>
                <w:sz w:val="20"/>
                <w:lang w:val="fr-CA"/>
              </w:rPr>
            </w:pPr>
            <w:r w:rsidRPr="001E5989">
              <w:rPr>
                <w:sz w:val="20"/>
                <w:lang w:val="fr-CA"/>
              </w:rPr>
              <w:t>Cour suprême du Canada</w:t>
            </w:r>
          </w:p>
        </w:tc>
        <w:tc>
          <w:tcPr>
            <w:tcW w:w="243" w:type="pct"/>
          </w:tcPr>
          <w:p w:rsidR="001668F8" w:rsidRPr="001E5989" w:rsidRDefault="001668F8" w:rsidP="00090708">
            <w:pPr>
              <w:jc w:val="both"/>
              <w:rPr>
                <w:sz w:val="20"/>
                <w:lang w:val="fr-CA"/>
              </w:rPr>
            </w:pPr>
          </w:p>
        </w:tc>
        <w:tc>
          <w:tcPr>
            <w:tcW w:w="2330" w:type="pct"/>
          </w:tcPr>
          <w:p w:rsidR="001668F8" w:rsidRPr="001E5989" w:rsidRDefault="001668F8" w:rsidP="00090708">
            <w:pPr>
              <w:jc w:val="both"/>
              <w:rPr>
                <w:sz w:val="20"/>
                <w:lang w:val="fr-CA"/>
              </w:rPr>
            </w:pPr>
            <w:r w:rsidRPr="001E5989">
              <w:rPr>
                <w:sz w:val="20"/>
                <w:lang w:val="fr-CA"/>
              </w:rPr>
              <w:t>Dépôt de la requête en prorogation du délai de signification et de dépôt de la demande d’autorisation d’appel et de la demande d’autorisation d’appel</w:t>
            </w:r>
          </w:p>
          <w:p w:rsidR="001668F8" w:rsidRPr="001E5989" w:rsidRDefault="001668F8" w:rsidP="00090708">
            <w:pPr>
              <w:jc w:val="both"/>
              <w:rPr>
                <w:sz w:val="20"/>
                <w:lang w:val="fr-CA"/>
              </w:rPr>
            </w:pPr>
          </w:p>
        </w:tc>
      </w:tr>
      <w:tr w:rsidR="001668F8" w:rsidRPr="00DB1C5D" w:rsidTr="00090708">
        <w:tc>
          <w:tcPr>
            <w:tcW w:w="2427" w:type="pct"/>
            <w:gridSpan w:val="2"/>
          </w:tcPr>
          <w:p w:rsidR="001668F8" w:rsidRPr="001E5989" w:rsidRDefault="001668F8" w:rsidP="00090708">
            <w:pPr>
              <w:jc w:val="both"/>
              <w:rPr>
                <w:sz w:val="20"/>
                <w:lang w:val="fr-CA"/>
              </w:rPr>
            </w:pPr>
            <w:r w:rsidRPr="001E5989">
              <w:rPr>
                <w:sz w:val="20"/>
                <w:lang w:val="fr-CA"/>
              </w:rPr>
              <w:t>27 juillet 2018</w:t>
            </w:r>
          </w:p>
          <w:p w:rsidR="001668F8" w:rsidRPr="001E5989" w:rsidRDefault="001668F8" w:rsidP="00090708">
            <w:pPr>
              <w:jc w:val="both"/>
              <w:rPr>
                <w:sz w:val="20"/>
                <w:lang w:val="fr-CA"/>
              </w:rPr>
            </w:pPr>
            <w:r w:rsidRPr="001E5989">
              <w:rPr>
                <w:sz w:val="20"/>
                <w:lang w:val="fr-CA"/>
              </w:rPr>
              <w:t>Cour suprême du Canada</w:t>
            </w:r>
          </w:p>
        </w:tc>
        <w:tc>
          <w:tcPr>
            <w:tcW w:w="243" w:type="pct"/>
          </w:tcPr>
          <w:p w:rsidR="001668F8" w:rsidRPr="001E5989" w:rsidRDefault="001668F8" w:rsidP="00090708">
            <w:pPr>
              <w:jc w:val="both"/>
              <w:rPr>
                <w:sz w:val="20"/>
                <w:lang w:val="fr-CA"/>
              </w:rPr>
            </w:pPr>
          </w:p>
        </w:tc>
        <w:tc>
          <w:tcPr>
            <w:tcW w:w="2330" w:type="pct"/>
          </w:tcPr>
          <w:p w:rsidR="001668F8" w:rsidRPr="001E5989" w:rsidRDefault="001668F8" w:rsidP="00090708">
            <w:pPr>
              <w:jc w:val="both"/>
              <w:rPr>
                <w:sz w:val="20"/>
                <w:lang w:val="fr-CA"/>
              </w:rPr>
            </w:pPr>
            <w:r w:rsidRPr="001E5989">
              <w:rPr>
                <w:sz w:val="20"/>
                <w:lang w:val="fr-CA"/>
              </w:rPr>
              <w:t>Dépôt de la requête en prorogation du délai de signification et de dépôt de la réponse</w:t>
            </w:r>
          </w:p>
        </w:tc>
      </w:tr>
    </w:tbl>
    <w:p w:rsidR="001668F8" w:rsidRPr="001E5989" w:rsidRDefault="001668F8" w:rsidP="001668F8">
      <w:pPr>
        <w:jc w:val="both"/>
        <w:rPr>
          <w:sz w:val="20"/>
          <w:lang w:val="fr-CA"/>
        </w:rPr>
      </w:pPr>
    </w:p>
    <w:p w:rsidR="001668F8" w:rsidRPr="001E5989" w:rsidRDefault="001668F8" w:rsidP="001668F8">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668F8" w:rsidRPr="001E5989" w:rsidTr="00090708">
        <w:tc>
          <w:tcPr>
            <w:tcW w:w="543" w:type="pct"/>
          </w:tcPr>
          <w:p w:rsidR="001668F8" w:rsidRPr="001E5989" w:rsidRDefault="001668F8" w:rsidP="00090708">
            <w:pPr>
              <w:jc w:val="both"/>
              <w:rPr>
                <w:sz w:val="20"/>
              </w:rPr>
            </w:pPr>
            <w:r w:rsidRPr="001E5989">
              <w:rPr>
                <w:rStyle w:val="SCCFileNumberChar"/>
                <w:sz w:val="20"/>
                <w:szCs w:val="20"/>
              </w:rPr>
              <w:t>37979</w:t>
            </w:r>
          </w:p>
        </w:tc>
        <w:tc>
          <w:tcPr>
            <w:tcW w:w="4457" w:type="pct"/>
            <w:gridSpan w:val="3"/>
          </w:tcPr>
          <w:p w:rsidR="001668F8" w:rsidRPr="0045736C" w:rsidRDefault="001668F8" w:rsidP="00090708">
            <w:pPr>
              <w:pStyle w:val="SCCLsocParty"/>
              <w:jc w:val="both"/>
              <w:rPr>
                <w:b/>
                <w:sz w:val="20"/>
                <w:szCs w:val="20"/>
                <w:lang w:val="en-US"/>
              </w:rPr>
            </w:pPr>
            <w:r w:rsidRPr="0045736C">
              <w:rPr>
                <w:b/>
                <w:sz w:val="20"/>
                <w:szCs w:val="20"/>
                <w:lang w:val="en-US"/>
              </w:rPr>
              <w:t xml:space="preserve">Jaspal Samra v. Keith Brennestuhl; Human Rights Tribunal of Ontario, Attorney General of Ontario, John </w:t>
            </w:r>
            <w:proofErr w:type="spellStart"/>
            <w:r w:rsidRPr="0045736C">
              <w:rPr>
                <w:b/>
                <w:sz w:val="20"/>
                <w:szCs w:val="20"/>
                <w:lang w:val="en-US"/>
              </w:rPr>
              <w:t>Kromkamp</w:t>
            </w:r>
            <w:proofErr w:type="spellEnd"/>
            <w:r w:rsidRPr="0045736C">
              <w:rPr>
                <w:b/>
                <w:sz w:val="20"/>
                <w:szCs w:val="20"/>
                <w:lang w:val="en-US"/>
              </w:rPr>
              <w:t>; Huguette Thomson</w:t>
            </w:r>
            <w:r w:rsidR="00D23D8C">
              <w:rPr>
                <w:b/>
                <w:sz w:val="20"/>
                <w:szCs w:val="20"/>
                <w:lang w:val="en-US"/>
              </w:rPr>
              <w:t xml:space="preserve"> and Attorney General of Ontario</w:t>
            </w:r>
          </w:p>
          <w:p w:rsidR="001668F8" w:rsidRPr="001E5989" w:rsidRDefault="001668F8" w:rsidP="00090708">
            <w:pPr>
              <w:jc w:val="both"/>
              <w:rPr>
                <w:sz w:val="20"/>
              </w:rPr>
            </w:pPr>
            <w:r w:rsidRPr="001E5989">
              <w:rPr>
                <w:sz w:val="20"/>
              </w:rPr>
              <w:t>(Ont.) (Civil) (By Leave)</w:t>
            </w:r>
          </w:p>
        </w:tc>
      </w:tr>
      <w:tr w:rsidR="00755C62" w:rsidRPr="001E5989" w:rsidTr="00755C62">
        <w:tc>
          <w:tcPr>
            <w:tcW w:w="5000" w:type="pct"/>
            <w:gridSpan w:val="4"/>
          </w:tcPr>
          <w:p w:rsidR="00755C62" w:rsidRPr="00755C62" w:rsidRDefault="00755C62" w:rsidP="00090708">
            <w:pPr>
              <w:pStyle w:val="SCCLsocParty"/>
              <w:jc w:val="both"/>
              <w:rPr>
                <w:b/>
                <w:sz w:val="20"/>
                <w:szCs w:val="20"/>
                <w:lang w:val="en-US"/>
              </w:rPr>
            </w:pPr>
            <w:r w:rsidRPr="00755C62">
              <w:rPr>
                <w:sz w:val="20"/>
                <w:lang w:val="en-US"/>
              </w:rPr>
              <w:t xml:space="preserve">Pursuant to Rule 6 of the </w:t>
            </w:r>
            <w:r w:rsidRPr="00755C62">
              <w:rPr>
                <w:i/>
                <w:sz w:val="20"/>
                <w:lang w:val="en-US"/>
              </w:rPr>
              <w:t>Rules of the Supreme Court of Canada</w:t>
            </w:r>
            <w:r w:rsidRPr="00755C62">
              <w:rPr>
                <w:sz w:val="20"/>
                <w:lang w:val="en-US"/>
              </w:rPr>
              <w:t>, the time to file the application for leave to appeal is extended to December 6, 2017. The application for leave to appeal from the judgment of the Court of Appeal for Ontario, Number M48222, dated October 6, 2017, is dismissed with no order as to costs.</w:t>
            </w:r>
          </w:p>
        </w:tc>
      </w:tr>
      <w:tr w:rsidR="001668F8" w:rsidRPr="001E5989" w:rsidTr="00090708">
        <w:tc>
          <w:tcPr>
            <w:tcW w:w="5000" w:type="pct"/>
            <w:gridSpan w:val="4"/>
          </w:tcPr>
          <w:p w:rsidR="001668F8" w:rsidRPr="001E5989" w:rsidRDefault="001668F8" w:rsidP="00090708">
            <w:pPr>
              <w:jc w:val="both"/>
              <w:rPr>
                <w:sz w:val="20"/>
              </w:rPr>
            </w:pPr>
            <w:r w:rsidRPr="001E5989">
              <w:rPr>
                <w:i/>
                <w:sz w:val="20"/>
              </w:rPr>
              <w:t>Charter of Rights</w:t>
            </w:r>
            <w:r w:rsidRPr="001E5989">
              <w:rPr>
                <w:sz w:val="20"/>
              </w:rPr>
              <w:t xml:space="preserve"> – Right to equality – Fundamental justice – Right to be heard – Whether Court of Appeal erred in law by delaying, dismissing and destroying case by cover up – Whether Court of Appeal erred in law by ignoring serious irregularities in judgment signed before trial started.</w:t>
            </w:r>
          </w:p>
        </w:tc>
      </w:tr>
      <w:tr w:rsidR="001668F8" w:rsidRPr="001E5989" w:rsidTr="00090708">
        <w:tc>
          <w:tcPr>
            <w:tcW w:w="5000" w:type="pct"/>
            <w:gridSpan w:val="4"/>
          </w:tcPr>
          <w:p w:rsidR="001668F8" w:rsidRPr="001E5989" w:rsidRDefault="001668F8" w:rsidP="00090708">
            <w:pPr>
              <w:jc w:val="both"/>
              <w:rPr>
                <w:sz w:val="20"/>
              </w:rPr>
            </w:pPr>
          </w:p>
          <w:p w:rsidR="001668F8" w:rsidRPr="001E5989" w:rsidRDefault="001668F8" w:rsidP="00090708">
            <w:pPr>
              <w:jc w:val="both"/>
              <w:rPr>
                <w:sz w:val="20"/>
              </w:rPr>
            </w:pPr>
            <w:r w:rsidRPr="001E5989">
              <w:rPr>
                <w:sz w:val="20"/>
              </w:rPr>
              <w:t xml:space="preserve">In 1993, Mr. Samra was involved in a paternity trial and was ordered to pay child support. Over the years, he unsuccessfully tried to have the judgment set aside because he believed the judgment had been signed before the trial had taken place. Eventually, he filed a complaint with the Human Rights Tribunal which was dismissed. </w:t>
            </w:r>
            <w:r w:rsidRPr="001E5989">
              <w:rPr>
                <w:sz w:val="20"/>
                <w:lang w:val="en"/>
              </w:rPr>
              <w:t>His application for judicial review of that decision was also dismissed. The Court of Appeal did not grant his application for leave to appeal.</w:t>
            </w:r>
          </w:p>
        </w:tc>
      </w:tr>
      <w:tr w:rsidR="001668F8" w:rsidRPr="001E5989" w:rsidTr="00090708">
        <w:tc>
          <w:tcPr>
            <w:tcW w:w="5000" w:type="pct"/>
            <w:gridSpan w:val="4"/>
          </w:tcPr>
          <w:p w:rsidR="001668F8" w:rsidRPr="001E5989" w:rsidRDefault="001668F8" w:rsidP="00090708">
            <w:pPr>
              <w:jc w:val="both"/>
              <w:rPr>
                <w:sz w:val="20"/>
              </w:rPr>
            </w:pPr>
          </w:p>
        </w:tc>
      </w:tr>
      <w:tr w:rsidR="001668F8" w:rsidRPr="001E5989" w:rsidTr="00090708">
        <w:tc>
          <w:tcPr>
            <w:tcW w:w="2427" w:type="pct"/>
            <w:gridSpan w:val="2"/>
          </w:tcPr>
          <w:p w:rsidR="001668F8" w:rsidRPr="001E5989" w:rsidRDefault="001668F8" w:rsidP="00090708">
            <w:pPr>
              <w:jc w:val="both"/>
              <w:rPr>
                <w:sz w:val="20"/>
              </w:rPr>
            </w:pPr>
            <w:r w:rsidRPr="001E5989">
              <w:rPr>
                <w:sz w:val="20"/>
              </w:rPr>
              <w:t>March 3, 2017</w:t>
            </w:r>
          </w:p>
          <w:p w:rsidR="001668F8" w:rsidRPr="001E5989" w:rsidRDefault="001668F8" w:rsidP="00090708">
            <w:pPr>
              <w:jc w:val="both"/>
              <w:rPr>
                <w:sz w:val="20"/>
              </w:rPr>
            </w:pPr>
            <w:r w:rsidRPr="001E5989">
              <w:rPr>
                <w:sz w:val="20"/>
              </w:rPr>
              <w:t>Ontario Superior Court of Justice</w:t>
            </w:r>
          </w:p>
          <w:p w:rsidR="001668F8" w:rsidRPr="001E5989" w:rsidRDefault="001668F8" w:rsidP="00090708">
            <w:pPr>
              <w:jc w:val="both"/>
              <w:rPr>
                <w:sz w:val="20"/>
              </w:rPr>
            </w:pPr>
            <w:r w:rsidRPr="001E5989">
              <w:rPr>
                <w:sz w:val="20"/>
              </w:rPr>
              <w:t xml:space="preserve">(Sachs, </w:t>
            </w:r>
            <w:proofErr w:type="spellStart"/>
            <w:r w:rsidRPr="001E5989">
              <w:rPr>
                <w:sz w:val="20"/>
              </w:rPr>
              <w:t>Nordheimer</w:t>
            </w:r>
            <w:proofErr w:type="spellEnd"/>
            <w:r w:rsidRPr="001E5989">
              <w:rPr>
                <w:sz w:val="20"/>
              </w:rPr>
              <w:t xml:space="preserve"> and Gilmore JJ.)</w:t>
            </w:r>
          </w:p>
          <w:p w:rsidR="001668F8" w:rsidRPr="001E5989" w:rsidRDefault="00F13243" w:rsidP="00090708">
            <w:pPr>
              <w:jc w:val="both"/>
              <w:rPr>
                <w:sz w:val="20"/>
              </w:rPr>
            </w:pPr>
            <w:hyperlink r:id="rId47" w:history="1">
              <w:r w:rsidR="001668F8" w:rsidRPr="001E5989">
                <w:rPr>
                  <w:rStyle w:val="Hyperlink"/>
                  <w:sz w:val="20"/>
                </w:rPr>
                <w:t>2017 ONSC 1498</w:t>
              </w:r>
            </w:hyperlink>
          </w:p>
          <w:p w:rsidR="001668F8" w:rsidRPr="001E5989" w:rsidRDefault="001668F8" w:rsidP="00090708">
            <w:pPr>
              <w:jc w:val="both"/>
              <w:rPr>
                <w:sz w:val="20"/>
              </w:rPr>
            </w:pPr>
          </w:p>
        </w:tc>
        <w:tc>
          <w:tcPr>
            <w:tcW w:w="243" w:type="pct"/>
          </w:tcPr>
          <w:p w:rsidR="001668F8" w:rsidRPr="001E5989" w:rsidRDefault="001668F8" w:rsidP="00090708">
            <w:pPr>
              <w:jc w:val="both"/>
              <w:rPr>
                <w:sz w:val="20"/>
              </w:rPr>
            </w:pPr>
          </w:p>
        </w:tc>
        <w:tc>
          <w:tcPr>
            <w:tcW w:w="2330" w:type="pct"/>
          </w:tcPr>
          <w:p w:rsidR="001668F8" w:rsidRPr="001E5989" w:rsidRDefault="001668F8" w:rsidP="00090708">
            <w:pPr>
              <w:jc w:val="both"/>
              <w:rPr>
                <w:sz w:val="20"/>
              </w:rPr>
            </w:pPr>
            <w:r w:rsidRPr="001E5989">
              <w:rPr>
                <w:sz w:val="20"/>
              </w:rPr>
              <w:t>Applicant’s application for judicial review of Human Rights Tribunal decision to dismiss complaint, dismissed</w:t>
            </w:r>
          </w:p>
          <w:p w:rsidR="001668F8" w:rsidRPr="001E5989" w:rsidRDefault="001668F8" w:rsidP="00090708">
            <w:pPr>
              <w:jc w:val="both"/>
              <w:rPr>
                <w:sz w:val="20"/>
              </w:rPr>
            </w:pPr>
          </w:p>
          <w:p w:rsidR="001668F8" w:rsidRPr="001E5989" w:rsidRDefault="001668F8" w:rsidP="00090708">
            <w:pPr>
              <w:jc w:val="both"/>
              <w:rPr>
                <w:sz w:val="20"/>
              </w:rPr>
            </w:pPr>
          </w:p>
        </w:tc>
      </w:tr>
      <w:tr w:rsidR="001668F8" w:rsidRPr="001E5989" w:rsidTr="00090708">
        <w:tc>
          <w:tcPr>
            <w:tcW w:w="2427" w:type="pct"/>
            <w:gridSpan w:val="2"/>
          </w:tcPr>
          <w:p w:rsidR="001668F8" w:rsidRPr="001E5989" w:rsidRDefault="001668F8" w:rsidP="00090708">
            <w:pPr>
              <w:jc w:val="both"/>
              <w:rPr>
                <w:sz w:val="20"/>
              </w:rPr>
            </w:pPr>
            <w:r w:rsidRPr="001E5989">
              <w:rPr>
                <w:sz w:val="20"/>
              </w:rPr>
              <w:t>October 6, 2017</w:t>
            </w:r>
          </w:p>
          <w:p w:rsidR="001668F8" w:rsidRPr="001E5989" w:rsidRDefault="001668F8" w:rsidP="00090708">
            <w:pPr>
              <w:jc w:val="both"/>
              <w:rPr>
                <w:sz w:val="20"/>
              </w:rPr>
            </w:pPr>
            <w:r w:rsidRPr="001E5989">
              <w:rPr>
                <w:sz w:val="20"/>
              </w:rPr>
              <w:t>Court of Appeal for Ontario</w:t>
            </w:r>
          </w:p>
          <w:p w:rsidR="001668F8" w:rsidRPr="001E5989" w:rsidRDefault="001668F8" w:rsidP="00090708">
            <w:pPr>
              <w:jc w:val="both"/>
              <w:rPr>
                <w:sz w:val="20"/>
              </w:rPr>
            </w:pPr>
            <w:r w:rsidRPr="001E5989">
              <w:rPr>
                <w:sz w:val="20"/>
              </w:rPr>
              <w:t>(Strathy, Doherty and Trotter JJ.A.)</w:t>
            </w:r>
          </w:p>
          <w:p w:rsidR="001668F8" w:rsidRPr="001E5989" w:rsidRDefault="001668F8" w:rsidP="00090708">
            <w:pPr>
              <w:jc w:val="both"/>
              <w:rPr>
                <w:sz w:val="20"/>
              </w:rPr>
            </w:pPr>
            <w:r w:rsidRPr="001E5989">
              <w:rPr>
                <w:sz w:val="20"/>
              </w:rPr>
              <w:t>Unreported</w:t>
            </w:r>
          </w:p>
          <w:p w:rsidR="001668F8" w:rsidRPr="001E5989" w:rsidRDefault="001668F8" w:rsidP="00090708">
            <w:pPr>
              <w:jc w:val="both"/>
              <w:rPr>
                <w:sz w:val="20"/>
              </w:rPr>
            </w:pPr>
          </w:p>
        </w:tc>
        <w:tc>
          <w:tcPr>
            <w:tcW w:w="243" w:type="pct"/>
          </w:tcPr>
          <w:p w:rsidR="001668F8" w:rsidRPr="001E5989" w:rsidRDefault="001668F8" w:rsidP="00090708">
            <w:pPr>
              <w:jc w:val="both"/>
              <w:rPr>
                <w:sz w:val="20"/>
              </w:rPr>
            </w:pPr>
          </w:p>
        </w:tc>
        <w:tc>
          <w:tcPr>
            <w:tcW w:w="2330" w:type="pct"/>
          </w:tcPr>
          <w:p w:rsidR="001668F8" w:rsidRPr="001E5989" w:rsidRDefault="001668F8" w:rsidP="00090708">
            <w:pPr>
              <w:jc w:val="both"/>
              <w:rPr>
                <w:sz w:val="20"/>
              </w:rPr>
            </w:pPr>
            <w:r w:rsidRPr="001E5989">
              <w:rPr>
                <w:sz w:val="20"/>
              </w:rPr>
              <w:t>Applicant’s application for leave to appeal dismissed</w:t>
            </w:r>
          </w:p>
          <w:p w:rsidR="001668F8" w:rsidRPr="001E5989" w:rsidRDefault="001668F8" w:rsidP="00090708">
            <w:pPr>
              <w:jc w:val="both"/>
              <w:rPr>
                <w:sz w:val="20"/>
              </w:rPr>
            </w:pPr>
          </w:p>
        </w:tc>
      </w:tr>
      <w:tr w:rsidR="001668F8" w:rsidRPr="001E5989" w:rsidTr="00090708">
        <w:tc>
          <w:tcPr>
            <w:tcW w:w="2427" w:type="pct"/>
            <w:gridSpan w:val="2"/>
          </w:tcPr>
          <w:p w:rsidR="001668F8" w:rsidRPr="001E5989" w:rsidRDefault="001668F8" w:rsidP="00090708">
            <w:pPr>
              <w:jc w:val="both"/>
              <w:rPr>
                <w:sz w:val="20"/>
              </w:rPr>
            </w:pPr>
            <w:r w:rsidRPr="001E5989">
              <w:rPr>
                <w:sz w:val="20"/>
              </w:rPr>
              <w:t>December 6, 2017</w:t>
            </w:r>
          </w:p>
          <w:p w:rsidR="001668F8" w:rsidRPr="001E5989" w:rsidRDefault="001668F8" w:rsidP="00090708">
            <w:pPr>
              <w:jc w:val="both"/>
              <w:rPr>
                <w:sz w:val="20"/>
              </w:rPr>
            </w:pPr>
            <w:r w:rsidRPr="001E5989">
              <w:rPr>
                <w:sz w:val="20"/>
              </w:rPr>
              <w:t>Supreme Court of Canada</w:t>
            </w:r>
          </w:p>
        </w:tc>
        <w:tc>
          <w:tcPr>
            <w:tcW w:w="243" w:type="pct"/>
          </w:tcPr>
          <w:p w:rsidR="001668F8" w:rsidRPr="001E5989" w:rsidRDefault="001668F8" w:rsidP="00090708">
            <w:pPr>
              <w:jc w:val="both"/>
              <w:rPr>
                <w:sz w:val="20"/>
              </w:rPr>
            </w:pPr>
          </w:p>
        </w:tc>
        <w:tc>
          <w:tcPr>
            <w:tcW w:w="2330" w:type="pct"/>
          </w:tcPr>
          <w:p w:rsidR="001668F8" w:rsidRPr="001E5989" w:rsidRDefault="001668F8" w:rsidP="00090708">
            <w:pPr>
              <w:jc w:val="both"/>
              <w:rPr>
                <w:sz w:val="20"/>
              </w:rPr>
            </w:pPr>
            <w:r w:rsidRPr="001E5989">
              <w:rPr>
                <w:sz w:val="20"/>
              </w:rPr>
              <w:t>Application for leave to appeal filed</w:t>
            </w:r>
          </w:p>
          <w:p w:rsidR="001668F8" w:rsidRPr="001E5989" w:rsidRDefault="001668F8" w:rsidP="00090708">
            <w:pPr>
              <w:jc w:val="both"/>
              <w:rPr>
                <w:sz w:val="20"/>
              </w:rPr>
            </w:pPr>
          </w:p>
        </w:tc>
      </w:tr>
    </w:tbl>
    <w:p w:rsidR="001668F8" w:rsidRDefault="001668F8" w:rsidP="001668F8">
      <w:pPr>
        <w:jc w:val="both"/>
        <w:rPr>
          <w:sz w:val="20"/>
        </w:rPr>
      </w:pPr>
    </w:p>
    <w:p w:rsidR="001668F8" w:rsidRPr="001E5989" w:rsidRDefault="001668F8" w:rsidP="001668F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668F8" w:rsidRPr="001E5989" w:rsidTr="00090708">
        <w:tc>
          <w:tcPr>
            <w:tcW w:w="543" w:type="pct"/>
          </w:tcPr>
          <w:p w:rsidR="001668F8" w:rsidRPr="001E5989" w:rsidRDefault="001668F8" w:rsidP="00090708">
            <w:pPr>
              <w:jc w:val="both"/>
              <w:rPr>
                <w:sz w:val="20"/>
                <w:lang w:val="fr-CA"/>
              </w:rPr>
            </w:pPr>
            <w:r w:rsidRPr="001E5989">
              <w:rPr>
                <w:rStyle w:val="SCCFileNumberChar"/>
                <w:sz w:val="20"/>
                <w:szCs w:val="20"/>
                <w:lang w:val="fr-CA"/>
              </w:rPr>
              <w:t>37979</w:t>
            </w:r>
          </w:p>
        </w:tc>
        <w:tc>
          <w:tcPr>
            <w:tcW w:w="4457" w:type="pct"/>
            <w:gridSpan w:val="3"/>
          </w:tcPr>
          <w:p w:rsidR="001668F8" w:rsidRPr="0045736C" w:rsidRDefault="001668F8" w:rsidP="00090708">
            <w:pPr>
              <w:pStyle w:val="SCCLsocParty"/>
              <w:jc w:val="both"/>
              <w:rPr>
                <w:b/>
                <w:sz w:val="20"/>
                <w:szCs w:val="20"/>
              </w:rPr>
            </w:pPr>
            <w:r w:rsidRPr="0045736C">
              <w:rPr>
                <w:b/>
                <w:sz w:val="20"/>
                <w:szCs w:val="20"/>
              </w:rPr>
              <w:t xml:space="preserve">Jaspal Samra c. Keith Brennestuhl; Tribunal des droits de la personne de l’Ontario, procureur général de l’Ontario, John </w:t>
            </w:r>
            <w:proofErr w:type="spellStart"/>
            <w:r w:rsidRPr="0045736C">
              <w:rPr>
                <w:b/>
                <w:sz w:val="20"/>
                <w:szCs w:val="20"/>
              </w:rPr>
              <w:t>Kromkamp</w:t>
            </w:r>
            <w:proofErr w:type="spellEnd"/>
            <w:r w:rsidRPr="0045736C">
              <w:rPr>
                <w:b/>
                <w:sz w:val="20"/>
                <w:szCs w:val="20"/>
              </w:rPr>
              <w:t>; Huguette Thomson</w:t>
            </w:r>
            <w:r w:rsidR="00D23D8C">
              <w:rPr>
                <w:b/>
                <w:sz w:val="20"/>
                <w:szCs w:val="20"/>
              </w:rPr>
              <w:t xml:space="preserve"> et procureure générale de l’Ontario</w:t>
            </w:r>
          </w:p>
          <w:p w:rsidR="001668F8" w:rsidRPr="001E5989" w:rsidRDefault="001668F8" w:rsidP="00090708">
            <w:pPr>
              <w:jc w:val="both"/>
              <w:rPr>
                <w:sz w:val="20"/>
                <w:lang w:val="fr-CA"/>
              </w:rPr>
            </w:pPr>
            <w:r w:rsidRPr="001E5989">
              <w:rPr>
                <w:sz w:val="20"/>
                <w:lang w:val="fr-CA"/>
              </w:rPr>
              <w:t>(Ont.) (Civile) (Autorisation)</w:t>
            </w:r>
          </w:p>
        </w:tc>
      </w:tr>
      <w:tr w:rsidR="00755C62" w:rsidRPr="00DB1C5D" w:rsidTr="00755C62">
        <w:tc>
          <w:tcPr>
            <w:tcW w:w="5000" w:type="pct"/>
            <w:gridSpan w:val="4"/>
          </w:tcPr>
          <w:p w:rsidR="00755C62" w:rsidRPr="00755C62" w:rsidRDefault="00755C62" w:rsidP="00090708">
            <w:pPr>
              <w:pStyle w:val="SCCLsocParty"/>
              <w:jc w:val="both"/>
              <w:rPr>
                <w:b/>
                <w:sz w:val="20"/>
                <w:szCs w:val="20"/>
              </w:rPr>
            </w:pPr>
            <w:r w:rsidRPr="00755C62">
              <w:rPr>
                <w:sz w:val="20"/>
              </w:rPr>
              <w:t xml:space="preserve">Conformément à la règle 6 des </w:t>
            </w:r>
            <w:r w:rsidRPr="00755C62">
              <w:rPr>
                <w:i/>
                <w:sz w:val="20"/>
              </w:rPr>
              <w:t>Règles de la Cour suprême du Canada</w:t>
            </w:r>
            <w:r w:rsidRPr="00755C62">
              <w:rPr>
                <w:sz w:val="20"/>
              </w:rPr>
              <w:t>, le délai pour déposer la demande d’autorisation d’appel est prorogé jusqu’au 6 décembre 2017. La demande d’autorisation d’appel de l’arrêt de la Cour d’appel de l’Ontario, numéro M48222, daté du 6 octobre 2017, est rejetée sans ordonnance quant aux dépens.</w:t>
            </w:r>
          </w:p>
        </w:tc>
      </w:tr>
      <w:tr w:rsidR="001668F8" w:rsidRPr="00DB1C5D" w:rsidTr="00090708">
        <w:tc>
          <w:tcPr>
            <w:tcW w:w="5000" w:type="pct"/>
            <w:gridSpan w:val="4"/>
          </w:tcPr>
          <w:p w:rsidR="001668F8" w:rsidRPr="001E5989" w:rsidRDefault="001668F8" w:rsidP="00090708">
            <w:pPr>
              <w:jc w:val="both"/>
              <w:rPr>
                <w:sz w:val="20"/>
                <w:lang w:val="fr-CA"/>
              </w:rPr>
            </w:pPr>
            <w:r w:rsidRPr="001E5989">
              <w:rPr>
                <w:i/>
                <w:sz w:val="20"/>
                <w:lang w:val="fr-CA"/>
              </w:rPr>
              <w:t>Charte des droits</w:t>
            </w:r>
            <w:r w:rsidRPr="001E5989">
              <w:rPr>
                <w:sz w:val="20"/>
                <w:lang w:val="fr-CA"/>
              </w:rPr>
              <w:t xml:space="preserve"> – Droit à l’égalité – Justice fondamentale – Droit d’être entendu – La Cour d’appel a-t-elle commis une erreur de droit en retardant, en rejetant et en détruisant la cause par dissimulation? – La Cour d’appel a-t-elle commis une erreur de droit en faisant abstraction d’irrégularités graves dans le jugement signé avant le début du procès?</w:t>
            </w:r>
          </w:p>
        </w:tc>
      </w:tr>
      <w:tr w:rsidR="001668F8" w:rsidRPr="00DB1C5D" w:rsidTr="00090708">
        <w:tc>
          <w:tcPr>
            <w:tcW w:w="5000" w:type="pct"/>
            <w:gridSpan w:val="4"/>
          </w:tcPr>
          <w:p w:rsidR="001668F8" w:rsidRPr="001E5989" w:rsidRDefault="001668F8" w:rsidP="00090708">
            <w:pPr>
              <w:jc w:val="both"/>
              <w:rPr>
                <w:sz w:val="20"/>
                <w:lang w:val="fr-CA"/>
              </w:rPr>
            </w:pPr>
          </w:p>
          <w:p w:rsidR="001668F8" w:rsidRPr="001E5989" w:rsidRDefault="001668F8" w:rsidP="00090708">
            <w:pPr>
              <w:jc w:val="both"/>
              <w:rPr>
                <w:sz w:val="20"/>
                <w:lang w:val="fr-CA"/>
              </w:rPr>
            </w:pPr>
            <w:r w:rsidRPr="001E5989">
              <w:rPr>
                <w:sz w:val="20"/>
                <w:lang w:val="fr-CA"/>
              </w:rPr>
              <w:t>En 1993, M. Samra a été partie à un procès en recherche de paternité et a été condamné à verser une pension alimentaire pour enfant. Au fil des années, il a tenté sans succès de faire annuler le jugement, croyant que celui-ci avait été signé avant la tenue du procès. Il a fini par déposer une plainte au Tribunal des droits de la personne, mais sa plainte a été rejetée. Sa demande de contrôle judiciaire a été rejetée elle aussi. La Cour d’appel a rejeté sa demande d’autorisation d’interjeter appel.</w:t>
            </w:r>
          </w:p>
        </w:tc>
      </w:tr>
      <w:tr w:rsidR="001668F8" w:rsidRPr="00DB1C5D" w:rsidTr="00090708">
        <w:tc>
          <w:tcPr>
            <w:tcW w:w="5000" w:type="pct"/>
            <w:gridSpan w:val="4"/>
          </w:tcPr>
          <w:p w:rsidR="001668F8" w:rsidRPr="001E5989" w:rsidRDefault="001668F8" w:rsidP="00090708">
            <w:pPr>
              <w:jc w:val="both"/>
              <w:rPr>
                <w:sz w:val="20"/>
                <w:lang w:val="fr-CA"/>
              </w:rPr>
            </w:pPr>
          </w:p>
        </w:tc>
      </w:tr>
      <w:tr w:rsidR="001668F8" w:rsidRPr="00DB1C5D" w:rsidTr="00090708">
        <w:tc>
          <w:tcPr>
            <w:tcW w:w="2427" w:type="pct"/>
            <w:gridSpan w:val="2"/>
          </w:tcPr>
          <w:p w:rsidR="001668F8" w:rsidRPr="001E5989" w:rsidRDefault="001668F8" w:rsidP="00090708">
            <w:pPr>
              <w:jc w:val="both"/>
              <w:rPr>
                <w:sz w:val="20"/>
                <w:lang w:val="fr-CA"/>
              </w:rPr>
            </w:pPr>
            <w:r w:rsidRPr="001E5989">
              <w:rPr>
                <w:sz w:val="20"/>
                <w:lang w:val="fr-CA"/>
              </w:rPr>
              <w:lastRenderedPageBreak/>
              <w:t>3 mars 2017</w:t>
            </w:r>
          </w:p>
          <w:p w:rsidR="001668F8" w:rsidRPr="001E5989" w:rsidRDefault="001668F8" w:rsidP="00090708">
            <w:pPr>
              <w:jc w:val="both"/>
              <w:rPr>
                <w:sz w:val="20"/>
                <w:lang w:val="fr-CA"/>
              </w:rPr>
            </w:pPr>
            <w:r w:rsidRPr="001E5989">
              <w:rPr>
                <w:sz w:val="20"/>
                <w:lang w:val="fr-CA"/>
              </w:rPr>
              <w:t>Cour supérieure de justice de l’Ontario</w:t>
            </w:r>
          </w:p>
          <w:p w:rsidR="001668F8" w:rsidRPr="001E5989" w:rsidRDefault="001668F8" w:rsidP="00090708">
            <w:pPr>
              <w:jc w:val="both"/>
              <w:rPr>
                <w:sz w:val="20"/>
                <w:lang w:val="fr-CA"/>
              </w:rPr>
            </w:pPr>
            <w:r w:rsidRPr="001E5989">
              <w:rPr>
                <w:sz w:val="20"/>
                <w:lang w:val="fr-CA"/>
              </w:rPr>
              <w:t xml:space="preserve">(Juges Sachs, </w:t>
            </w:r>
            <w:proofErr w:type="spellStart"/>
            <w:r w:rsidRPr="001E5989">
              <w:rPr>
                <w:sz w:val="20"/>
                <w:lang w:val="fr-CA"/>
              </w:rPr>
              <w:t>Nordheimer</w:t>
            </w:r>
            <w:proofErr w:type="spellEnd"/>
            <w:r w:rsidRPr="001E5989">
              <w:rPr>
                <w:sz w:val="20"/>
                <w:lang w:val="fr-CA"/>
              </w:rPr>
              <w:t xml:space="preserve"> et Gilmore)</w:t>
            </w:r>
          </w:p>
          <w:p w:rsidR="001668F8" w:rsidRPr="001E5989" w:rsidRDefault="00F13243" w:rsidP="00090708">
            <w:pPr>
              <w:jc w:val="both"/>
              <w:rPr>
                <w:sz w:val="20"/>
                <w:lang w:val="fr-CA"/>
              </w:rPr>
            </w:pPr>
            <w:hyperlink r:id="rId48" w:history="1">
              <w:r w:rsidR="001668F8" w:rsidRPr="001E5989">
                <w:rPr>
                  <w:rStyle w:val="Hyperlink"/>
                  <w:sz w:val="20"/>
                  <w:lang w:val="fr-CA"/>
                </w:rPr>
                <w:t>2017 ONSC 1498</w:t>
              </w:r>
            </w:hyperlink>
          </w:p>
          <w:p w:rsidR="001668F8" w:rsidRPr="001E5989" w:rsidRDefault="001668F8" w:rsidP="00090708">
            <w:pPr>
              <w:jc w:val="both"/>
              <w:rPr>
                <w:sz w:val="20"/>
                <w:lang w:val="fr-CA"/>
              </w:rPr>
            </w:pPr>
          </w:p>
        </w:tc>
        <w:tc>
          <w:tcPr>
            <w:tcW w:w="243" w:type="pct"/>
          </w:tcPr>
          <w:p w:rsidR="001668F8" w:rsidRPr="001E5989" w:rsidRDefault="001668F8" w:rsidP="00090708">
            <w:pPr>
              <w:jc w:val="both"/>
              <w:rPr>
                <w:sz w:val="20"/>
                <w:lang w:val="fr-CA"/>
              </w:rPr>
            </w:pPr>
          </w:p>
        </w:tc>
        <w:tc>
          <w:tcPr>
            <w:tcW w:w="2330" w:type="pct"/>
          </w:tcPr>
          <w:p w:rsidR="001668F8" w:rsidRPr="001E5989" w:rsidRDefault="001668F8" w:rsidP="00090708">
            <w:pPr>
              <w:jc w:val="both"/>
              <w:rPr>
                <w:sz w:val="20"/>
                <w:lang w:val="fr-CA"/>
              </w:rPr>
            </w:pPr>
            <w:r w:rsidRPr="001E5989">
              <w:rPr>
                <w:sz w:val="20"/>
                <w:lang w:val="fr-CA"/>
              </w:rPr>
              <w:t xml:space="preserve">Rejet de la demande du demandeur en contrôle judiciaire de la décision du Tribunal des droits de la personne de rejeter la plainte </w:t>
            </w:r>
          </w:p>
          <w:p w:rsidR="001668F8" w:rsidRPr="001E5989" w:rsidRDefault="001668F8" w:rsidP="00090708">
            <w:pPr>
              <w:jc w:val="both"/>
              <w:rPr>
                <w:sz w:val="20"/>
                <w:lang w:val="fr-CA"/>
              </w:rPr>
            </w:pPr>
          </w:p>
          <w:p w:rsidR="001668F8" w:rsidRPr="001E5989" w:rsidRDefault="001668F8" w:rsidP="00090708">
            <w:pPr>
              <w:jc w:val="both"/>
              <w:rPr>
                <w:sz w:val="20"/>
                <w:lang w:val="fr-CA"/>
              </w:rPr>
            </w:pPr>
          </w:p>
        </w:tc>
      </w:tr>
      <w:tr w:rsidR="001668F8" w:rsidRPr="00DB1C5D" w:rsidTr="00090708">
        <w:tc>
          <w:tcPr>
            <w:tcW w:w="2427" w:type="pct"/>
            <w:gridSpan w:val="2"/>
          </w:tcPr>
          <w:p w:rsidR="001668F8" w:rsidRPr="001E5989" w:rsidRDefault="001668F8" w:rsidP="00090708">
            <w:pPr>
              <w:jc w:val="both"/>
              <w:rPr>
                <w:sz w:val="20"/>
                <w:lang w:val="fr-CA"/>
              </w:rPr>
            </w:pPr>
            <w:r w:rsidRPr="001E5989">
              <w:rPr>
                <w:sz w:val="20"/>
                <w:lang w:val="fr-CA"/>
              </w:rPr>
              <w:t>6 octobre 2017</w:t>
            </w:r>
          </w:p>
          <w:p w:rsidR="001668F8" w:rsidRPr="001E5989" w:rsidRDefault="001668F8" w:rsidP="00090708">
            <w:pPr>
              <w:jc w:val="both"/>
              <w:rPr>
                <w:sz w:val="20"/>
                <w:lang w:val="fr-CA"/>
              </w:rPr>
            </w:pPr>
            <w:r w:rsidRPr="001E5989">
              <w:rPr>
                <w:sz w:val="20"/>
                <w:lang w:val="fr-CA"/>
              </w:rPr>
              <w:t>Cour d’appel de l’Ontario</w:t>
            </w:r>
          </w:p>
          <w:p w:rsidR="001668F8" w:rsidRPr="001E5989" w:rsidRDefault="001668F8" w:rsidP="00090708">
            <w:pPr>
              <w:jc w:val="both"/>
              <w:rPr>
                <w:sz w:val="20"/>
                <w:lang w:val="fr-CA"/>
              </w:rPr>
            </w:pPr>
            <w:r w:rsidRPr="001E5989">
              <w:rPr>
                <w:sz w:val="20"/>
                <w:lang w:val="fr-CA"/>
              </w:rPr>
              <w:t xml:space="preserve">(Juges </w:t>
            </w:r>
            <w:proofErr w:type="spellStart"/>
            <w:r w:rsidRPr="001E5989">
              <w:rPr>
                <w:sz w:val="20"/>
                <w:lang w:val="fr-CA"/>
              </w:rPr>
              <w:t>Strathy</w:t>
            </w:r>
            <w:proofErr w:type="spellEnd"/>
            <w:r w:rsidRPr="001E5989">
              <w:rPr>
                <w:sz w:val="20"/>
                <w:lang w:val="fr-CA"/>
              </w:rPr>
              <w:t>, Doherty et Trotter)</w:t>
            </w:r>
          </w:p>
          <w:p w:rsidR="001668F8" w:rsidRPr="001E5989" w:rsidRDefault="001668F8" w:rsidP="00090708">
            <w:pPr>
              <w:jc w:val="both"/>
              <w:rPr>
                <w:sz w:val="20"/>
                <w:lang w:val="fr-CA"/>
              </w:rPr>
            </w:pPr>
            <w:r w:rsidRPr="001E5989">
              <w:rPr>
                <w:sz w:val="20"/>
                <w:lang w:val="fr-CA"/>
              </w:rPr>
              <w:t>Non publié</w:t>
            </w:r>
          </w:p>
          <w:p w:rsidR="001668F8" w:rsidRPr="001E5989" w:rsidRDefault="001668F8" w:rsidP="00090708">
            <w:pPr>
              <w:jc w:val="both"/>
              <w:rPr>
                <w:sz w:val="20"/>
                <w:lang w:val="fr-CA"/>
              </w:rPr>
            </w:pPr>
          </w:p>
        </w:tc>
        <w:tc>
          <w:tcPr>
            <w:tcW w:w="243" w:type="pct"/>
          </w:tcPr>
          <w:p w:rsidR="001668F8" w:rsidRPr="001E5989" w:rsidRDefault="001668F8" w:rsidP="00090708">
            <w:pPr>
              <w:jc w:val="both"/>
              <w:rPr>
                <w:sz w:val="20"/>
                <w:lang w:val="fr-CA"/>
              </w:rPr>
            </w:pPr>
          </w:p>
        </w:tc>
        <w:tc>
          <w:tcPr>
            <w:tcW w:w="2330" w:type="pct"/>
          </w:tcPr>
          <w:p w:rsidR="001668F8" w:rsidRPr="001E5989" w:rsidRDefault="001668F8" w:rsidP="00090708">
            <w:pPr>
              <w:jc w:val="both"/>
              <w:rPr>
                <w:sz w:val="20"/>
                <w:lang w:val="fr-CA"/>
              </w:rPr>
            </w:pPr>
            <w:r w:rsidRPr="001E5989">
              <w:rPr>
                <w:sz w:val="20"/>
                <w:lang w:val="fr-CA"/>
              </w:rPr>
              <w:t>Rejet de la demande du demandeur en autorisation d’interjeter appel</w:t>
            </w:r>
          </w:p>
          <w:p w:rsidR="001668F8" w:rsidRPr="001E5989" w:rsidRDefault="001668F8" w:rsidP="00090708">
            <w:pPr>
              <w:jc w:val="both"/>
              <w:rPr>
                <w:sz w:val="20"/>
                <w:lang w:val="fr-CA"/>
              </w:rPr>
            </w:pPr>
          </w:p>
        </w:tc>
      </w:tr>
      <w:tr w:rsidR="001668F8" w:rsidRPr="00DB1C5D" w:rsidTr="00090708">
        <w:tc>
          <w:tcPr>
            <w:tcW w:w="2427" w:type="pct"/>
            <w:gridSpan w:val="2"/>
          </w:tcPr>
          <w:p w:rsidR="001668F8" w:rsidRPr="001E5989" w:rsidRDefault="001668F8" w:rsidP="00090708">
            <w:pPr>
              <w:jc w:val="both"/>
              <w:rPr>
                <w:sz w:val="20"/>
                <w:lang w:val="fr-CA"/>
              </w:rPr>
            </w:pPr>
            <w:r w:rsidRPr="001E5989">
              <w:rPr>
                <w:sz w:val="20"/>
                <w:lang w:val="fr-CA"/>
              </w:rPr>
              <w:t>6 décembre 2017</w:t>
            </w:r>
          </w:p>
          <w:p w:rsidR="001668F8" w:rsidRPr="001E5989" w:rsidRDefault="001668F8" w:rsidP="00090708">
            <w:pPr>
              <w:jc w:val="both"/>
              <w:rPr>
                <w:sz w:val="20"/>
                <w:lang w:val="fr-CA"/>
              </w:rPr>
            </w:pPr>
            <w:r w:rsidRPr="001E5989">
              <w:rPr>
                <w:sz w:val="20"/>
                <w:lang w:val="fr-CA"/>
              </w:rPr>
              <w:t>Cour suprême du Canada</w:t>
            </w:r>
          </w:p>
        </w:tc>
        <w:tc>
          <w:tcPr>
            <w:tcW w:w="243" w:type="pct"/>
          </w:tcPr>
          <w:p w:rsidR="001668F8" w:rsidRPr="001E5989" w:rsidRDefault="001668F8" w:rsidP="00090708">
            <w:pPr>
              <w:jc w:val="both"/>
              <w:rPr>
                <w:sz w:val="20"/>
                <w:lang w:val="fr-CA"/>
              </w:rPr>
            </w:pPr>
          </w:p>
        </w:tc>
        <w:tc>
          <w:tcPr>
            <w:tcW w:w="2330" w:type="pct"/>
          </w:tcPr>
          <w:p w:rsidR="001668F8" w:rsidRPr="001E5989" w:rsidRDefault="001668F8" w:rsidP="00090708">
            <w:pPr>
              <w:jc w:val="both"/>
              <w:rPr>
                <w:sz w:val="20"/>
                <w:lang w:val="fr-CA"/>
              </w:rPr>
            </w:pPr>
            <w:r w:rsidRPr="001E5989">
              <w:rPr>
                <w:sz w:val="20"/>
                <w:lang w:val="fr-CA"/>
              </w:rPr>
              <w:t>Dépôt de la demande d’autorisation d’appel</w:t>
            </w:r>
          </w:p>
          <w:p w:rsidR="001668F8" w:rsidRPr="001E5989" w:rsidRDefault="001668F8" w:rsidP="00090708">
            <w:pPr>
              <w:jc w:val="both"/>
              <w:rPr>
                <w:sz w:val="20"/>
                <w:lang w:val="fr-CA"/>
              </w:rPr>
            </w:pPr>
          </w:p>
        </w:tc>
      </w:tr>
    </w:tbl>
    <w:p w:rsidR="001668F8" w:rsidRPr="00DE57A3" w:rsidRDefault="001668F8" w:rsidP="001668F8">
      <w:pPr>
        <w:ind w:left="360" w:hanging="360"/>
        <w:jc w:val="both"/>
        <w:rPr>
          <w:sz w:val="20"/>
          <w:lang w:val="fr-CA"/>
        </w:rPr>
      </w:pPr>
    </w:p>
    <w:p w:rsidR="001668F8" w:rsidRPr="001668F8" w:rsidRDefault="001668F8" w:rsidP="00E8544A">
      <w:pPr>
        <w:rPr>
          <w:sz w:val="20"/>
          <w:szCs w:val="20"/>
          <w:lang w:val="fr-CA"/>
        </w:rPr>
      </w:pPr>
    </w:p>
    <w:p w:rsidR="001668F8" w:rsidRPr="001668F8" w:rsidRDefault="001668F8" w:rsidP="00E8544A">
      <w:pPr>
        <w:rPr>
          <w:sz w:val="20"/>
          <w:szCs w:val="20"/>
          <w:lang w:val="fr-CA"/>
        </w:rPr>
      </w:pPr>
    </w:p>
    <w:p w:rsidR="001668F8" w:rsidRPr="001668F8" w:rsidRDefault="001668F8" w:rsidP="00E8544A">
      <w:pPr>
        <w:rPr>
          <w:sz w:val="20"/>
          <w:szCs w:val="20"/>
          <w:lang w:val="fr-CA"/>
        </w:rPr>
      </w:pPr>
    </w:p>
    <w:p w:rsidR="00E8544A" w:rsidRPr="009D287C" w:rsidRDefault="00F13243" w:rsidP="00E8544A">
      <w:pPr>
        <w:jc w:val="both"/>
        <w:rPr>
          <w:sz w:val="20"/>
          <w:lang w:val="fr-CA"/>
        </w:rPr>
      </w:pPr>
      <w:r>
        <w:rPr>
          <w:sz w:val="20"/>
          <w:szCs w:val="20"/>
        </w:rPr>
        <w:pict>
          <v:rect id="_x0000_i1051" style="width:2in;height:1pt" o:hrpct="0" o:hralign="center" o:hrstd="t" o:hrnoshade="t" o:hr="t" fillcolor="black" stroked="f"/>
        </w:pict>
      </w:r>
    </w:p>
    <w:p w:rsidR="00E8544A" w:rsidRPr="009D287C" w:rsidRDefault="00E8544A" w:rsidP="00E8544A">
      <w:pPr>
        <w:ind w:left="360" w:hanging="360"/>
        <w:jc w:val="both"/>
        <w:rPr>
          <w:sz w:val="20"/>
          <w:lang w:val="fr-CA" w:eastAsia="en-CA"/>
        </w:rPr>
      </w:pPr>
    </w:p>
    <w:p w:rsidR="00E8544A" w:rsidRDefault="00E8544A" w:rsidP="000E2959">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49"/>
          <w:headerReference w:type="default" r:id="rId50"/>
          <w:footerReference w:type="even" r:id="rId51"/>
          <w:footerReference w:type="default" r:id="rId52"/>
          <w:headerReference w:type="first" r:id="rId53"/>
          <w:footerReference w:type="first" r:id="rId5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183454" w:rsidRPr="00012FDB" w:rsidRDefault="001668F8" w:rsidP="00183454">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t>01</w:t>
      </w:r>
      <w:r w:rsidR="00183454" w:rsidRPr="00012FDB">
        <w:rPr>
          <w:rFonts w:eastAsia="Times New Roman" w:cs="Times New Roman"/>
          <w:sz w:val="20"/>
          <w:szCs w:val="20"/>
          <w:lang w:val="fr-CA" w:eastAsia="en-CA"/>
        </w:rPr>
        <w:t>.</w:t>
      </w:r>
      <w:r>
        <w:rPr>
          <w:rFonts w:eastAsia="Times New Roman" w:cs="Times New Roman"/>
          <w:sz w:val="20"/>
          <w:szCs w:val="20"/>
          <w:lang w:val="fr-CA" w:eastAsia="en-CA"/>
        </w:rPr>
        <w:t>10</w:t>
      </w:r>
      <w:r w:rsidR="00183454" w:rsidRPr="00012FDB">
        <w:rPr>
          <w:rFonts w:eastAsia="Times New Roman" w:cs="Times New Roman"/>
          <w:sz w:val="20"/>
          <w:szCs w:val="20"/>
          <w:lang w:val="fr-CA" w:eastAsia="en-CA"/>
        </w:rPr>
        <w:t>.201</w:t>
      </w:r>
      <w:r w:rsidR="00C406CA">
        <w:rPr>
          <w:rFonts w:eastAsia="Times New Roman" w:cs="Times New Roman"/>
          <w:sz w:val="20"/>
          <w:szCs w:val="20"/>
          <w:lang w:val="fr-CA" w:eastAsia="en-CA"/>
        </w:rPr>
        <w:t>8</w:t>
      </w:r>
    </w:p>
    <w:p w:rsidR="00183454" w:rsidRPr="00012FDB" w:rsidRDefault="00183454" w:rsidP="00183454">
      <w:pPr>
        <w:tabs>
          <w:tab w:val="left" w:pos="-1440"/>
          <w:tab w:val="left" w:pos="-720"/>
        </w:tabs>
        <w:jc w:val="both"/>
        <w:rPr>
          <w:rFonts w:eastAsia="Times New Roman" w:cs="Times New Roman"/>
          <w:sz w:val="20"/>
          <w:szCs w:val="20"/>
          <w:lang w:val="fr-CA" w:eastAsia="en-CA"/>
        </w:rPr>
      </w:pPr>
    </w:p>
    <w:p w:rsidR="00183454" w:rsidRPr="00012FDB" w:rsidRDefault="00183454" w:rsidP="00183454">
      <w:pPr>
        <w:tabs>
          <w:tab w:val="left" w:pos="-1440"/>
          <w:tab w:val="left" w:pos="-720"/>
        </w:tabs>
        <w:jc w:val="both"/>
        <w:rPr>
          <w:rFonts w:eastAsia="Times New Roman" w:cs="Times New Roman"/>
          <w:sz w:val="20"/>
          <w:szCs w:val="20"/>
          <w:lang w:val="fr-CA" w:eastAsia="en-CA"/>
        </w:rPr>
      </w:pPr>
      <w:proofErr w:type="spellStart"/>
      <w:r w:rsidRPr="00012FDB">
        <w:rPr>
          <w:rFonts w:eastAsia="Times New Roman" w:cs="Times New Roman"/>
          <w:sz w:val="20"/>
          <w:szCs w:val="20"/>
          <w:lang w:val="fr-CA" w:eastAsia="en-CA"/>
        </w:rPr>
        <w:t>Before</w:t>
      </w:r>
      <w:proofErr w:type="spellEnd"/>
      <w:r w:rsidRPr="00012FDB">
        <w:rPr>
          <w:rFonts w:eastAsia="Times New Roman" w:cs="Times New Roman"/>
          <w:sz w:val="20"/>
          <w:szCs w:val="20"/>
          <w:lang w:val="fr-CA" w:eastAsia="en-CA"/>
        </w:rPr>
        <w:t xml:space="preserve"> / Devant :   </w:t>
      </w:r>
      <w:r w:rsidR="001668F8">
        <w:rPr>
          <w:rFonts w:eastAsia="Times New Roman" w:cs="Times New Roman"/>
          <w:sz w:val="20"/>
          <w:szCs w:val="20"/>
          <w:lang w:val="fr-CA" w:eastAsia="en-CA"/>
        </w:rPr>
        <w:t>THE DEPUTY REGISTRAR / LE REGISTRAIRE ADJOINT</w:t>
      </w:r>
    </w:p>
    <w:p w:rsidR="00183454" w:rsidRPr="00012FDB" w:rsidRDefault="00183454" w:rsidP="00183454">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0"/>
        <w:gridCol w:w="1141"/>
        <w:gridCol w:w="4238"/>
      </w:tblGrid>
      <w:tr w:rsidR="009640F3" w:rsidRPr="00DB1C5D" w:rsidTr="009640F3">
        <w:tc>
          <w:tcPr>
            <w:tcW w:w="4240" w:type="dxa"/>
          </w:tcPr>
          <w:p w:rsidR="009640F3" w:rsidRPr="00017E86" w:rsidRDefault="009640F3" w:rsidP="009640F3">
            <w:pPr>
              <w:jc w:val="both"/>
              <w:rPr>
                <w:b/>
                <w:bCs/>
                <w:lang w:val="fr-CA"/>
              </w:rPr>
            </w:pPr>
            <w:r w:rsidRPr="00D12F79">
              <w:rPr>
                <w:b/>
                <w:bCs/>
              </w:rPr>
              <w:t>Miscellaneous motion</w:t>
            </w:r>
          </w:p>
        </w:tc>
        <w:tc>
          <w:tcPr>
            <w:tcW w:w="1141" w:type="dxa"/>
          </w:tcPr>
          <w:p w:rsidR="009640F3" w:rsidRPr="00012FDB" w:rsidRDefault="009640F3" w:rsidP="009640F3">
            <w:pPr>
              <w:tabs>
                <w:tab w:val="left" w:pos="-1440"/>
                <w:tab w:val="left" w:pos="-720"/>
              </w:tabs>
              <w:jc w:val="both"/>
            </w:pPr>
          </w:p>
          <w:p w:rsidR="009640F3" w:rsidRPr="00012FDB" w:rsidRDefault="009640F3" w:rsidP="009640F3">
            <w:pPr>
              <w:tabs>
                <w:tab w:val="left" w:pos="-1440"/>
                <w:tab w:val="left" w:pos="-720"/>
              </w:tabs>
              <w:jc w:val="both"/>
            </w:pPr>
          </w:p>
        </w:tc>
        <w:tc>
          <w:tcPr>
            <w:tcW w:w="4238" w:type="dxa"/>
          </w:tcPr>
          <w:p w:rsidR="009640F3" w:rsidRPr="00017E86" w:rsidRDefault="009640F3" w:rsidP="009640F3">
            <w:pPr>
              <w:jc w:val="both"/>
              <w:rPr>
                <w:b/>
                <w:bCs/>
                <w:lang w:val="fr-CA"/>
              </w:rPr>
            </w:pPr>
            <w:r w:rsidRPr="00D12F79">
              <w:rPr>
                <w:b/>
                <w:bCs/>
                <w:lang w:val="fr-CA"/>
              </w:rPr>
              <w:t>Requête diverse</w:t>
            </w:r>
          </w:p>
        </w:tc>
      </w:tr>
      <w:tr w:rsidR="009640F3" w:rsidRPr="001668F8" w:rsidTr="009640F3">
        <w:tc>
          <w:tcPr>
            <w:tcW w:w="4240" w:type="dxa"/>
          </w:tcPr>
          <w:p w:rsidR="009640F3" w:rsidRPr="001668F8" w:rsidRDefault="009640F3" w:rsidP="009640F3">
            <w:pPr>
              <w:tabs>
                <w:tab w:val="left" w:pos="-1440"/>
                <w:tab w:val="left" w:pos="-720"/>
              </w:tabs>
              <w:jc w:val="both"/>
              <w:rPr>
                <w:lang w:val="en-US"/>
              </w:rPr>
            </w:pPr>
            <w:proofErr w:type="spellStart"/>
            <w:r w:rsidRPr="001668F8">
              <w:rPr>
                <w:lang w:val="en-US"/>
              </w:rPr>
              <w:t>Sajjad</w:t>
            </w:r>
            <w:proofErr w:type="spellEnd"/>
            <w:r w:rsidRPr="001668F8">
              <w:rPr>
                <w:lang w:val="en-US"/>
              </w:rPr>
              <w:t xml:space="preserve"> </w:t>
            </w:r>
            <w:proofErr w:type="spellStart"/>
            <w:r w:rsidRPr="001668F8">
              <w:rPr>
                <w:lang w:val="en-US"/>
              </w:rPr>
              <w:t>Asghar</w:t>
            </w:r>
            <w:proofErr w:type="spellEnd"/>
          </w:p>
          <w:p w:rsidR="009640F3" w:rsidRPr="001668F8" w:rsidRDefault="009640F3" w:rsidP="009640F3">
            <w:pPr>
              <w:tabs>
                <w:tab w:val="left" w:pos="-1440"/>
                <w:tab w:val="left" w:pos="-720"/>
              </w:tabs>
              <w:jc w:val="both"/>
              <w:rPr>
                <w:lang w:val="en-US"/>
              </w:rPr>
            </w:pPr>
          </w:p>
          <w:p w:rsidR="009640F3" w:rsidRPr="001668F8" w:rsidRDefault="009640F3" w:rsidP="009640F3">
            <w:pPr>
              <w:tabs>
                <w:tab w:val="left" w:pos="-1440"/>
                <w:tab w:val="left" w:pos="-720"/>
              </w:tabs>
              <w:jc w:val="both"/>
              <w:rPr>
                <w:lang w:val="en-US"/>
              </w:rPr>
            </w:pPr>
            <w:r w:rsidRPr="001668F8">
              <w:rPr>
                <w:lang w:val="en-US"/>
              </w:rPr>
              <w:tab/>
              <w:t>v. (38315)</w:t>
            </w:r>
          </w:p>
          <w:p w:rsidR="009640F3" w:rsidRPr="001668F8" w:rsidRDefault="009640F3" w:rsidP="009640F3">
            <w:pPr>
              <w:tabs>
                <w:tab w:val="left" w:pos="-1440"/>
                <w:tab w:val="left" w:pos="-720"/>
              </w:tabs>
              <w:jc w:val="both"/>
              <w:rPr>
                <w:lang w:val="en-US"/>
              </w:rPr>
            </w:pPr>
          </w:p>
          <w:p w:rsidR="009640F3" w:rsidRPr="001668F8" w:rsidRDefault="009640F3" w:rsidP="009640F3">
            <w:pPr>
              <w:tabs>
                <w:tab w:val="left" w:pos="-1440"/>
                <w:tab w:val="left" w:pos="-720"/>
              </w:tabs>
              <w:jc w:val="both"/>
              <w:rPr>
                <w:lang w:val="en-US"/>
              </w:rPr>
            </w:pPr>
            <w:r w:rsidRPr="001668F8">
              <w:rPr>
                <w:lang w:val="en-US"/>
              </w:rPr>
              <w:t>Her Majesty the Queen in Right of Canada (F.C.)</w:t>
            </w:r>
          </w:p>
        </w:tc>
        <w:tc>
          <w:tcPr>
            <w:tcW w:w="1141" w:type="dxa"/>
          </w:tcPr>
          <w:p w:rsidR="009640F3" w:rsidRPr="001668F8" w:rsidRDefault="009640F3" w:rsidP="009640F3">
            <w:pPr>
              <w:tabs>
                <w:tab w:val="left" w:pos="-1440"/>
                <w:tab w:val="left" w:pos="-720"/>
              </w:tabs>
              <w:jc w:val="both"/>
              <w:rPr>
                <w:lang w:val="en-US"/>
              </w:rPr>
            </w:pPr>
          </w:p>
        </w:tc>
        <w:tc>
          <w:tcPr>
            <w:tcW w:w="4238" w:type="dxa"/>
          </w:tcPr>
          <w:p w:rsidR="009640F3" w:rsidRPr="001668F8" w:rsidRDefault="009640F3" w:rsidP="009640F3">
            <w:pPr>
              <w:tabs>
                <w:tab w:val="left" w:pos="-1440"/>
                <w:tab w:val="left" w:pos="-720"/>
              </w:tabs>
              <w:jc w:val="both"/>
              <w:rPr>
                <w:lang w:val="en-US"/>
              </w:rPr>
            </w:pPr>
          </w:p>
        </w:tc>
      </w:tr>
    </w:tbl>
    <w:p w:rsidR="00183454" w:rsidRPr="001668F8" w:rsidRDefault="00183454" w:rsidP="00183454">
      <w:pPr>
        <w:tabs>
          <w:tab w:val="left" w:pos="-1440"/>
          <w:tab w:val="left" w:pos="-720"/>
        </w:tabs>
        <w:jc w:val="both"/>
        <w:rPr>
          <w:rFonts w:eastAsia="Times New Roman" w:cs="Times New Roman"/>
          <w:sz w:val="20"/>
          <w:szCs w:val="20"/>
          <w:lang w:val="en-US" w:eastAsia="en-CA"/>
        </w:rPr>
      </w:pPr>
    </w:p>
    <w:p w:rsidR="00183454" w:rsidRDefault="001668F8" w:rsidP="00183454">
      <w:pPr>
        <w:tabs>
          <w:tab w:val="left" w:pos="-1440"/>
          <w:tab w:val="left" w:pos="-720"/>
        </w:tabs>
        <w:jc w:val="both"/>
        <w:rPr>
          <w:rFonts w:eastAsia="Times New Roman" w:cs="Times New Roman"/>
          <w:b/>
          <w:sz w:val="20"/>
          <w:szCs w:val="20"/>
          <w:lang w:val="fr-CA" w:eastAsia="en-CA"/>
        </w:rPr>
      </w:pPr>
      <w:r>
        <w:rPr>
          <w:rFonts w:eastAsia="Times New Roman" w:cs="Times New Roman"/>
          <w:b/>
          <w:sz w:val="20"/>
          <w:szCs w:val="20"/>
          <w:lang w:val="fr-CA" w:eastAsia="en-CA"/>
        </w:rPr>
        <w:t>GRANTED IN PART</w:t>
      </w:r>
      <w:r w:rsidR="00183454" w:rsidRPr="00012FDB">
        <w:rPr>
          <w:rFonts w:eastAsia="Times New Roman" w:cs="Times New Roman"/>
          <w:b/>
          <w:sz w:val="20"/>
          <w:szCs w:val="20"/>
          <w:lang w:val="fr-CA" w:eastAsia="en-CA"/>
        </w:rPr>
        <w:t xml:space="preserve"> / </w:t>
      </w:r>
      <w:r>
        <w:rPr>
          <w:rFonts w:eastAsia="Times New Roman" w:cs="Times New Roman"/>
          <w:b/>
          <w:sz w:val="20"/>
          <w:szCs w:val="20"/>
          <w:lang w:val="fr-CA" w:eastAsia="en-CA"/>
        </w:rPr>
        <w:t>ACCUEILLIE EN PARTIE</w:t>
      </w:r>
    </w:p>
    <w:p w:rsidR="001668F8" w:rsidRPr="00012FDB" w:rsidRDefault="001668F8" w:rsidP="00183454">
      <w:pPr>
        <w:tabs>
          <w:tab w:val="left" w:pos="-1440"/>
          <w:tab w:val="left" w:pos="-720"/>
        </w:tabs>
        <w:jc w:val="both"/>
        <w:rPr>
          <w:rFonts w:eastAsia="Times New Roman" w:cs="Times New Roman"/>
          <w:sz w:val="20"/>
          <w:szCs w:val="20"/>
          <w:lang w:val="fr-CA" w:eastAsia="en-CA"/>
        </w:rPr>
      </w:pPr>
    </w:p>
    <w:p w:rsidR="001668F8" w:rsidRPr="001668F8" w:rsidRDefault="001668F8" w:rsidP="001668F8">
      <w:pPr>
        <w:jc w:val="both"/>
        <w:rPr>
          <w:sz w:val="20"/>
          <w:szCs w:val="20"/>
        </w:rPr>
      </w:pPr>
      <w:r w:rsidRPr="001668F8">
        <w:rPr>
          <w:bCs/>
          <w:sz w:val="20"/>
          <w:szCs w:val="20"/>
        </w:rPr>
        <w:t xml:space="preserve">UPON APPLICATION </w:t>
      </w:r>
      <w:r w:rsidRPr="001668F8">
        <w:rPr>
          <w:sz w:val="20"/>
          <w:szCs w:val="20"/>
        </w:rPr>
        <w:t>by the applicant for an order granting leave to serve and file all documents and materials related to the application for leave to appeal and appeal (if leave is granted) in electronic format on a CD-ROM or by email, size permitting</w:t>
      </w:r>
      <w:r w:rsidRPr="001668F8">
        <w:rPr>
          <w:rFonts w:ascii="PMingLiU" w:eastAsia="PMingLiU" w:cs="PMingLiU"/>
          <w:sz w:val="20"/>
          <w:szCs w:val="20"/>
          <w:lang w:val="en-GB"/>
        </w:rPr>
        <w:t>;</w:t>
      </w:r>
    </w:p>
    <w:p w:rsidR="001668F8" w:rsidRPr="001668F8" w:rsidRDefault="001668F8" w:rsidP="001668F8">
      <w:pPr>
        <w:rPr>
          <w:sz w:val="20"/>
          <w:szCs w:val="20"/>
        </w:rPr>
      </w:pPr>
    </w:p>
    <w:p w:rsidR="001668F8" w:rsidRPr="001668F8" w:rsidRDefault="001668F8" w:rsidP="001668F8">
      <w:pPr>
        <w:rPr>
          <w:sz w:val="20"/>
          <w:szCs w:val="20"/>
        </w:rPr>
      </w:pPr>
      <w:r w:rsidRPr="001668F8">
        <w:rPr>
          <w:bCs/>
          <w:sz w:val="20"/>
          <w:szCs w:val="20"/>
        </w:rPr>
        <w:t>AND THE MATERIAL FILED</w:t>
      </w:r>
      <w:r w:rsidRPr="001668F8">
        <w:rPr>
          <w:sz w:val="20"/>
          <w:szCs w:val="20"/>
        </w:rPr>
        <w:t xml:space="preserve"> having been read;</w:t>
      </w:r>
    </w:p>
    <w:p w:rsidR="001668F8" w:rsidRPr="001668F8" w:rsidRDefault="001668F8" w:rsidP="001668F8">
      <w:pPr>
        <w:rPr>
          <w:sz w:val="20"/>
          <w:szCs w:val="20"/>
        </w:rPr>
      </w:pPr>
    </w:p>
    <w:p w:rsidR="001668F8" w:rsidRPr="001668F8" w:rsidRDefault="001668F8" w:rsidP="001668F8">
      <w:pPr>
        <w:rPr>
          <w:sz w:val="20"/>
          <w:szCs w:val="20"/>
        </w:rPr>
      </w:pPr>
      <w:r w:rsidRPr="001668F8">
        <w:rPr>
          <w:bCs/>
          <w:sz w:val="20"/>
          <w:szCs w:val="20"/>
        </w:rPr>
        <w:t>IT IS HEREBY ORDERED THAT:</w:t>
      </w:r>
    </w:p>
    <w:p w:rsidR="001668F8" w:rsidRPr="001668F8" w:rsidRDefault="001668F8" w:rsidP="001668F8">
      <w:pPr>
        <w:rPr>
          <w:sz w:val="20"/>
          <w:szCs w:val="20"/>
        </w:rPr>
      </w:pPr>
    </w:p>
    <w:p w:rsidR="001668F8" w:rsidRPr="001668F8" w:rsidRDefault="001668F8" w:rsidP="001668F8">
      <w:pPr>
        <w:rPr>
          <w:sz w:val="20"/>
          <w:szCs w:val="20"/>
        </w:rPr>
      </w:pPr>
      <w:r w:rsidRPr="001668F8">
        <w:rPr>
          <w:sz w:val="20"/>
          <w:szCs w:val="20"/>
        </w:rPr>
        <w:t>The motion is granted in part.</w:t>
      </w:r>
    </w:p>
    <w:p w:rsidR="001668F8" w:rsidRPr="001668F8" w:rsidRDefault="001668F8" w:rsidP="001668F8">
      <w:pPr>
        <w:rPr>
          <w:sz w:val="20"/>
          <w:szCs w:val="20"/>
        </w:rPr>
      </w:pPr>
    </w:p>
    <w:p w:rsidR="001668F8" w:rsidRPr="001668F8" w:rsidRDefault="001668F8" w:rsidP="001668F8">
      <w:pPr>
        <w:jc w:val="both"/>
        <w:rPr>
          <w:sz w:val="20"/>
          <w:szCs w:val="20"/>
        </w:rPr>
      </w:pPr>
      <w:r w:rsidRPr="001668F8">
        <w:rPr>
          <w:sz w:val="20"/>
          <w:szCs w:val="20"/>
        </w:rPr>
        <w:t>The applicant is granted permission to file and serve all documents and materials related to the application for leave to appeal in electronic format, as an attachment to an email, size permitting (less than 15 megabytes (MB)), or on a CD/DVD-ROM.</w:t>
      </w:r>
    </w:p>
    <w:p w:rsidR="001668F8" w:rsidRPr="001668F8" w:rsidRDefault="001668F8" w:rsidP="001668F8">
      <w:pPr>
        <w:jc w:val="both"/>
        <w:rPr>
          <w:sz w:val="20"/>
          <w:szCs w:val="20"/>
        </w:rPr>
      </w:pPr>
    </w:p>
    <w:p w:rsidR="001668F8" w:rsidRPr="001668F8" w:rsidRDefault="001668F8" w:rsidP="001668F8">
      <w:pPr>
        <w:jc w:val="both"/>
        <w:rPr>
          <w:sz w:val="20"/>
          <w:szCs w:val="20"/>
        </w:rPr>
      </w:pPr>
      <w:r w:rsidRPr="001668F8">
        <w:rPr>
          <w:sz w:val="20"/>
          <w:szCs w:val="20"/>
        </w:rPr>
        <w:t>The request to serve and file all appeal documents in electronic format is deferred to a date after which leave to appeal has been decided by the Court, as may be the case.</w:t>
      </w:r>
    </w:p>
    <w:p w:rsidR="001668F8" w:rsidRPr="001668F8" w:rsidRDefault="001668F8" w:rsidP="001668F8">
      <w:pPr>
        <w:jc w:val="both"/>
        <w:rPr>
          <w:sz w:val="20"/>
          <w:szCs w:val="20"/>
        </w:rPr>
      </w:pPr>
    </w:p>
    <w:p w:rsidR="001668F8" w:rsidRPr="001668F8" w:rsidRDefault="001668F8" w:rsidP="001668F8">
      <w:pPr>
        <w:jc w:val="both"/>
        <w:rPr>
          <w:sz w:val="20"/>
          <w:szCs w:val="20"/>
        </w:rPr>
      </w:pPr>
      <w:r w:rsidRPr="001668F8">
        <w:rPr>
          <w:sz w:val="20"/>
          <w:szCs w:val="20"/>
        </w:rPr>
        <w:t>IT IS HEREBY FURTHER ORDERED THAT:</w:t>
      </w:r>
    </w:p>
    <w:p w:rsidR="001668F8" w:rsidRPr="001668F8" w:rsidRDefault="001668F8" w:rsidP="001668F8">
      <w:pPr>
        <w:rPr>
          <w:sz w:val="20"/>
          <w:szCs w:val="20"/>
        </w:rPr>
      </w:pPr>
    </w:p>
    <w:p w:rsidR="001668F8" w:rsidRDefault="001668F8" w:rsidP="001668F8">
      <w:pPr>
        <w:rPr>
          <w:sz w:val="20"/>
          <w:szCs w:val="20"/>
        </w:rPr>
      </w:pPr>
      <w:r w:rsidRPr="001668F8">
        <w:rPr>
          <w:sz w:val="20"/>
          <w:szCs w:val="20"/>
        </w:rPr>
        <w:t xml:space="preserve">Pursuant to Rule 6 of the </w:t>
      </w:r>
      <w:r w:rsidRPr="001668F8">
        <w:rPr>
          <w:i/>
          <w:sz w:val="20"/>
          <w:szCs w:val="20"/>
        </w:rPr>
        <w:t>Rules of the Supreme Court of Canada</w:t>
      </w:r>
      <w:r w:rsidRPr="001668F8">
        <w:rPr>
          <w:sz w:val="20"/>
          <w:szCs w:val="20"/>
        </w:rPr>
        <w:t>, the time to serve and file the response to the motion is extended to September 21, 2018.</w:t>
      </w:r>
    </w:p>
    <w:p w:rsidR="001668F8" w:rsidRDefault="001668F8" w:rsidP="001668F8">
      <w:pPr>
        <w:rPr>
          <w:sz w:val="20"/>
          <w:szCs w:val="20"/>
        </w:rPr>
      </w:pPr>
    </w:p>
    <w:p w:rsidR="001668F8" w:rsidRDefault="001668F8" w:rsidP="001668F8">
      <w:pPr>
        <w:rPr>
          <w:sz w:val="20"/>
          <w:szCs w:val="20"/>
        </w:rPr>
      </w:pPr>
    </w:p>
    <w:p w:rsidR="001668F8" w:rsidRPr="001668F8" w:rsidRDefault="001668F8" w:rsidP="001668F8">
      <w:pPr>
        <w:jc w:val="both"/>
        <w:rPr>
          <w:sz w:val="20"/>
          <w:lang w:val="fr-CA"/>
        </w:rPr>
      </w:pPr>
      <w:r w:rsidRPr="001668F8">
        <w:rPr>
          <w:sz w:val="20"/>
          <w:lang w:val="fr-CA"/>
        </w:rPr>
        <w:t>À LA SUITE DE LA DEMANDE présentée par le demandeur en vue d’obtenir une ordonnance l’autorisant à signifier et à déposer en format électronique, sur un CD-ROM ou par courriel, si la taille le permet, tous les documents et autres éléments liés à la demande d’autorisation d’appel et à l’appel (si l’autorisation est accordée);</w:t>
      </w:r>
    </w:p>
    <w:p w:rsidR="001668F8" w:rsidRPr="001668F8" w:rsidRDefault="001668F8" w:rsidP="001668F8">
      <w:pPr>
        <w:rPr>
          <w:sz w:val="20"/>
          <w:lang w:val="fr-CA"/>
        </w:rPr>
      </w:pPr>
    </w:p>
    <w:p w:rsidR="001668F8" w:rsidRPr="001668F8" w:rsidRDefault="001668F8" w:rsidP="001668F8">
      <w:pPr>
        <w:rPr>
          <w:sz w:val="20"/>
          <w:lang w:val="fr-CA"/>
        </w:rPr>
      </w:pPr>
      <w:r w:rsidRPr="001668F8">
        <w:rPr>
          <w:sz w:val="20"/>
          <w:lang w:val="fr-CA"/>
        </w:rPr>
        <w:t>ET APRÈS EXAMEN des documents déposés</w:t>
      </w:r>
      <w:r w:rsidRPr="001668F8">
        <w:rPr>
          <w:bCs/>
          <w:sz w:val="20"/>
          <w:lang w:val="fr-CA"/>
        </w:rPr>
        <w:t>;</w:t>
      </w:r>
    </w:p>
    <w:p w:rsidR="001668F8" w:rsidRPr="001668F8" w:rsidRDefault="001668F8" w:rsidP="001668F8">
      <w:pPr>
        <w:rPr>
          <w:sz w:val="20"/>
          <w:lang w:val="fr-CA"/>
        </w:rPr>
      </w:pPr>
    </w:p>
    <w:p w:rsidR="001668F8" w:rsidRPr="001668F8" w:rsidRDefault="001668F8" w:rsidP="001668F8">
      <w:pPr>
        <w:rPr>
          <w:sz w:val="20"/>
          <w:lang w:val="fr-CA"/>
        </w:rPr>
      </w:pPr>
      <w:r w:rsidRPr="001668F8">
        <w:rPr>
          <w:bCs/>
          <w:sz w:val="20"/>
          <w:lang w:val="fr-CA"/>
        </w:rPr>
        <w:t>IL EST ORDONNÉ CE QUI SUIT :</w:t>
      </w:r>
    </w:p>
    <w:p w:rsidR="001668F8" w:rsidRPr="001668F8" w:rsidRDefault="001668F8" w:rsidP="001668F8">
      <w:pPr>
        <w:rPr>
          <w:sz w:val="20"/>
          <w:lang w:val="fr-CA"/>
        </w:rPr>
      </w:pPr>
    </w:p>
    <w:p w:rsidR="001668F8" w:rsidRPr="001668F8" w:rsidRDefault="001668F8" w:rsidP="001668F8">
      <w:pPr>
        <w:rPr>
          <w:sz w:val="20"/>
          <w:lang w:val="fr-CA"/>
        </w:rPr>
      </w:pPr>
      <w:r w:rsidRPr="001668F8">
        <w:rPr>
          <w:sz w:val="20"/>
          <w:lang w:val="fr-CA"/>
        </w:rPr>
        <w:t>La requête est accueillie en partie.</w:t>
      </w:r>
    </w:p>
    <w:p w:rsidR="001668F8" w:rsidRPr="001668F8" w:rsidRDefault="001668F8" w:rsidP="001668F8">
      <w:pPr>
        <w:rPr>
          <w:sz w:val="20"/>
          <w:lang w:val="fr-CA"/>
        </w:rPr>
      </w:pPr>
    </w:p>
    <w:p w:rsidR="001668F8" w:rsidRPr="001668F8" w:rsidRDefault="001668F8" w:rsidP="001668F8">
      <w:pPr>
        <w:rPr>
          <w:sz w:val="20"/>
          <w:lang w:val="fr-CA"/>
        </w:rPr>
      </w:pPr>
      <w:r w:rsidRPr="001668F8">
        <w:rPr>
          <w:sz w:val="20"/>
          <w:lang w:val="fr-CA"/>
        </w:rPr>
        <w:t>Le demandeur est autorisé à déposer et à signifier en format électronique, en tant que pièce jointe à un courriel, si la taille le permet (moins de 15 mégaoctets (Mo)), ou sur un CD/DVD-ROM, tous les documents et autres éléments liés à la demande d’autorisation d’appel.</w:t>
      </w:r>
    </w:p>
    <w:p w:rsidR="001668F8" w:rsidRPr="001668F8" w:rsidRDefault="001668F8" w:rsidP="001668F8">
      <w:pPr>
        <w:jc w:val="both"/>
        <w:rPr>
          <w:sz w:val="20"/>
          <w:lang w:val="fr-CA"/>
        </w:rPr>
      </w:pPr>
    </w:p>
    <w:p w:rsidR="001668F8" w:rsidRPr="001668F8" w:rsidRDefault="001668F8" w:rsidP="001668F8">
      <w:pPr>
        <w:jc w:val="both"/>
        <w:rPr>
          <w:sz w:val="20"/>
          <w:lang w:val="fr-CA"/>
        </w:rPr>
      </w:pPr>
      <w:r w:rsidRPr="001668F8">
        <w:rPr>
          <w:sz w:val="20"/>
          <w:lang w:val="fr-CA"/>
        </w:rPr>
        <w:t>La décision sur la demande en vue de signifier et de déposer en format électronique tous les documents liés à l’appel sera, le cas échéant, rendue après que la Cour se sera prononcée sur la demande d’autorisation d’appel.</w:t>
      </w:r>
    </w:p>
    <w:p w:rsidR="001668F8" w:rsidRPr="001668F8" w:rsidRDefault="001668F8" w:rsidP="001668F8">
      <w:pPr>
        <w:jc w:val="both"/>
        <w:rPr>
          <w:sz w:val="20"/>
          <w:lang w:val="fr-CA"/>
        </w:rPr>
      </w:pPr>
    </w:p>
    <w:p w:rsidR="001668F8" w:rsidRPr="001668F8" w:rsidRDefault="001668F8" w:rsidP="001668F8">
      <w:pPr>
        <w:jc w:val="both"/>
        <w:rPr>
          <w:sz w:val="20"/>
          <w:lang w:val="fr-CA"/>
        </w:rPr>
      </w:pPr>
      <w:r w:rsidRPr="001668F8">
        <w:rPr>
          <w:sz w:val="20"/>
          <w:lang w:val="fr-CA"/>
        </w:rPr>
        <w:t>IL EST EN OUTRE ORDONNÉ QUE :</w:t>
      </w:r>
    </w:p>
    <w:p w:rsidR="001668F8" w:rsidRPr="001668F8" w:rsidRDefault="001668F8" w:rsidP="001668F8">
      <w:pPr>
        <w:rPr>
          <w:sz w:val="20"/>
          <w:lang w:val="fr-CA"/>
        </w:rPr>
      </w:pPr>
    </w:p>
    <w:p w:rsidR="001668F8" w:rsidRPr="001668F8" w:rsidRDefault="001668F8" w:rsidP="001668F8">
      <w:pPr>
        <w:rPr>
          <w:sz w:val="20"/>
          <w:lang w:val="fr-CA"/>
        </w:rPr>
      </w:pPr>
      <w:r w:rsidRPr="001668F8">
        <w:rPr>
          <w:sz w:val="20"/>
          <w:lang w:val="fr-CA"/>
        </w:rPr>
        <w:t xml:space="preserve">En vertu de l’art. 6 des </w:t>
      </w:r>
      <w:r w:rsidRPr="001668F8">
        <w:rPr>
          <w:i/>
          <w:sz w:val="20"/>
          <w:lang w:val="fr-CA"/>
        </w:rPr>
        <w:t>Règles de la Cour suprême du Canada</w:t>
      </w:r>
      <w:r w:rsidRPr="001668F8">
        <w:rPr>
          <w:sz w:val="20"/>
          <w:lang w:val="fr-CA"/>
        </w:rPr>
        <w:t>, le délai de signification et de dépôt de la réponse à la requête est prorogé jusqu’au 21 septembre 2018.</w:t>
      </w:r>
    </w:p>
    <w:p w:rsidR="001668F8" w:rsidRPr="001668F8" w:rsidRDefault="001668F8" w:rsidP="001668F8">
      <w:pPr>
        <w:rPr>
          <w:sz w:val="20"/>
          <w:szCs w:val="20"/>
          <w:lang w:val="fr-CA"/>
        </w:rPr>
      </w:pPr>
    </w:p>
    <w:p w:rsidR="00183454" w:rsidRPr="001668F8" w:rsidRDefault="00183454" w:rsidP="00183454">
      <w:pPr>
        <w:tabs>
          <w:tab w:val="left" w:pos="-1440"/>
          <w:tab w:val="left" w:pos="-720"/>
        </w:tabs>
        <w:jc w:val="both"/>
        <w:rPr>
          <w:rFonts w:eastAsia="Times New Roman" w:cs="Times New Roman"/>
          <w:sz w:val="20"/>
          <w:szCs w:val="20"/>
          <w:lang w:val="fr-CA" w:eastAsia="en-CA"/>
        </w:rPr>
      </w:pPr>
    </w:p>
    <w:p w:rsidR="00183454" w:rsidRPr="00012FDB" w:rsidRDefault="00F13243" w:rsidP="00183454">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54" style="width:2in;height:1pt" o:hrpct="0" o:hralign="center" o:hrstd="t" o:hrnoshade="t" o:hr="t" fillcolor="black [3213]" stroked="f"/>
        </w:pict>
      </w:r>
    </w:p>
    <w:p w:rsidR="00183454" w:rsidRPr="00012FDB" w:rsidRDefault="00183454" w:rsidP="00183454">
      <w:pPr>
        <w:tabs>
          <w:tab w:val="left" w:pos="-1440"/>
          <w:tab w:val="left" w:pos="-720"/>
        </w:tabs>
        <w:jc w:val="both"/>
        <w:rPr>
          <w:rFonts w:eastAsia="Times New Roman" w:cs="Times New Roman"/>
          <w:sz w:val="20"/>
          <w:szCs w:val="20"/>
          <w:lang w:val="en-US" w:eastAsia="en-CA"/>
        </w:rPr>
      </w:pPr>
    </w:p>
    <w:p w:rsidR="0010587F" w:rsidRPr="003B3977" w:rsidRDefault="0010587F" w:rsidP="0010587F">
      <w:pPr>
        <w:tabs>
          <w:tab w:val="left" w:pos="-1440"/>
          <w:tab w:val="left" w:pos="-720"/>
        </w:tabs>
        <w:jc w:val="both"/>
        <w:rPr>
          <w:sz w:val="20"/>
          <w:szCs w:val="20"/>
          <w:lang w:val="fr-CA"/>
        </w:rPr>
      </w:pPr>
    </w:p>
    <w:p w:rsidR="00CA2DEA" w:rsidRPr="006E5D7C" w:rsidRDefault="00CA2DEA" w:rsidP="00CA2DEA">
      <w:pPr>
        <w:widowControl w:val="0"/>
        <w:rPr>
          <w:rFonts w:eastAsia="Times New Roman" w:cs="Times New Roman"/>
          <w:sz w:val="20"/>
          <w:szCs w:val="20"/>
          <w:lang w:val="en-US" w:eastAsia="en-CA"/>
        </w:rPr>
      </w:pPr>
    </w:p>
    <w:p w:rsidR="00CA2DEA" w:rsidRPr="006E5D7C" w:rsidRDefault="00CA2DEA" w:rsidP="00CA2DEA">
      <w:pPr>
        <w:widowControl w:val="0"/>
        <w:rPr>
          <w:rFonts w:eastAsia="Times New Roman" w:cs="Times New Roman"/>
          <w:sz w:val="20"/>
          <w:szCs w:val="20"/>
          <w:lang w:val="en-US"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55"/>
          <w:headerReference w:type="default" r:id="rId56"/>
          <w:footerReference w:type="even" r:id="rId57"/>
          <w:footerReference w:type="default" r:id="rId58"/>
          <w:headerReference w:type="first" r:id="rId59"/>
          <w:footerReference w:type="first" r:id="rId60"/>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DB1C5D"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 xml:space="preserve">NOTICES OF APPEAL FILED SINCE </w:t>
            </w:r>
            <w:r w:rsidR="003E5F3E">
              <w:rPr>
                <w:b/>
                <w:szCs w:val="24"/>
              </w:rPr>
              <w:t xml:space="preserve">THE </w:t>
            </w:r>
            <w:r w:rsidRPr="002D72EB">
              <w:rPr>
                <w:b/>
                <w:szCs w:val="24"/>
              </w:rPr>
              <w:t>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Default="005C5E4E" w:rsidP="005F1ED8">
            <w:pPr>
              <w:rPr>
                <w:sz w:val="20"/>
                <w:szCs w:val="20"/>
              </w:rPr>
            </w:pPr>
            <w:r>
              <w:rPr>
                <w:sz w:val="20"/>
                <w:szCs w:val="20"/>
              </w:rPr>
              <w:t>21</w:t>
            </w:r>
            <w:r w:rsidR="0086340B" w:rsidRPr="003B3977">
              <w:rPr>
                <w:sz w:val="20"/>
                <w:szCs w:val="20"/>
              </w:rPr>
              <w:t>.</w:t>
            </w:r>
            <w:r w:rsidR="00E8544A">
              <w:rPr>
                <w:sz w:val="20"/>
                <w:szCs w:val="20"/>
              </w:rPr>
              <w:t>0</w:t>
            </w:r>
            <w:r>
              <w:rPr>
                <w:sz w:val="20"/>
                <w:szCs w:val="20"/>
              </w:rPr>
              <w:t>9</w:t>
            </w:r>
            <w:r w:rsidR="0086340B" w:rsidRPr="003B3977">
              <w:rPr>
                <w:sz w:val="20"/>
                <w:szCs w:val="20"/>
              </w:rPr>
              <w:t>.201</w:t>
            </w:r>
            <w:r w:rsidR="00C406CA">
              <w:rPr>
                <w:sz w:val="20"/>
                <w:szCs w:val="20"/>
              </w:rPr>
              <w:t>8</w:t>
            </w:r>
          </w:p>
          <w:p w:rsidR="0083252A" w:rsidRPr="003B3977" w:rsidRDefault="0083252A" w:rsidP="005F1ED8">
            <w:pPr>
              <w:rPr>
                <w:sz w:val="20"/>
                <w:szCs w:val="20"/>
              </w:rPr>
            </w:pPr>
          </w:p>
          <w:p w:rsidR="0086340B" w:rsidRPr="003B3977" w:rsidRDefault="0083252A" w:rsidP="005F1ED8">
            <w:pPr>
              <w:rPr>
                <w:b/>
                <w:sz w:val="20"/>
                <w:szCs w:val="20"/>
              </w:rPr>
            </w:pPr>
            <w:r>
              <w:rPr>
                <w:b/>
                <w:sz w:val="20"/>
                <w:szCs w:val="20"/>
              </w:rPr>
              <w:t>Her Majesty the Queen</w:t>
            </w:r>
          </w:p>
          <w:p w:rsidR="0086340B" w:rsidRPr="003B3977" w:rsidRDefault="0086340B" w:rsidP="005F1ED8">
            <w:pPr>
              <w:rPr>
                <w:b/>
                <w:sz w:val="20"/>
                <w:szCs w:val="20"/>
              </w:rPr>
            </w:pPr>
          </w:p>
          <w:p w:rsidR="0086340B" w:rsidRPr="003B3977" w:rsidRDefault="0083252A" w:rsidP="005F1ED8">
            <w:pPr>
              <w:rPr>
                <w:b/>
                <w:sz w:val="20"/>
                <w:szCs w:val="20"/>
              </w:rPr>
            </w:pPr>
            <w:r>
              <w:rPr>
                <w:b/>
                <w:sz w:val="20"/>
                <w:szCs w:val="20"/>
              </w:rPr>
              <w:tab/>
              <w:t>v. (38308</w:t>
            </w:r>
            <w:r w:rsidR="0086340B" w:rsidRPr="003B3977">
              <w:rPr>
                <w:b/>
                <w:sz w:val="20"/>
                <w:szCs w:val="20"/>
              </w:rPr>
              <w:t>)</w:t>
            </w:r>
          </w:p>
          <w:p w:rsidR="0086340B" w:rsidRPr="003B3977" w:rsidRDefault="0086340B" w:rsidP="005F1ED8">
            <w:pPr>
              <w:rPr>
                <w:b/>
                <w:sz w:val="20"/>
                <w:szCs w:val="20"/>
              </w:rPr>
            </w:pPr>
          </w:p>
          <w:p w:rsidR="0086340B" w:rsidRPr="003B3977" w:rsidRDefault="0083252A" w:rsidP="005F1ED8">
            <w:pPr>
              <w:rPr>
                <w:b/>
                <w:sz w:val="20"/>
                <w:szCs w:val="20"/>
              </w:rPr>
            </w:pPr>
            <w:r>
              <w:rPr>
                <w:b/>
                <w:sz w:val="20"/>
                <w:szCs w:val="20"/>
              </w:rPr>
              <w:t xml:space="preserve">Corporal R.P. Beaudry </w:t>
            </w:r>
            <w:r w:rsidR="0086340B" w:rsidRPr="003B3977">
              <w:rPr>
                <w:b/>
                <w:sz w:val="20"/>
                <w:szCs w:val="20"/>
              </w:rPr>
              <w:t>(</w:t>
            </w:r>
            <w:r>
              <w:rPr>
                <w:b/>
                <w:sz w:val="20"/>
                <w:szCs w:val="20"/>
              </w:rPr>
              <w:t>C.M.A</w:t>
            </w:r>
            <w:r w:rsidR="0086340B" w:rsidRPr="003B3977">
              <w:rPr>
                <w:b/>
                <w:sz w:val="20"/>
                <w:szCs w:val="20"/>
              </w:rPr>
              <w:t>.</w:t>
            </w:r>
            <w:r>
              <w:rPr>
                <w:b/>
                <w:sz w:val="20"/>
                <w:szCs w:val="20"/>
              </w:rPr>
              <w:t>C</w:t>
            </w:r>
            <w:r w:rsidR="0086340B"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sidR="0083252A">
              <w:rPr>
                <w:sz w:val="20"/>
                <w:szCs w:val="20"/>
              </w:rPr>
              <w:t>As of Right</w:t>
            </w:r>
            <w:r w:rsidRPr="003B3977">
              <w:rPr>
                <w:sz w:val="20"/>
                <w:szCs w:val="20"/>
              </w:rPr>
              <w:t>)</w:t>
            </w:r>
          </w:p>
          <w:p w:rsidR="0086340B" w:rsidRPr="003B3977" w:rsidRDefault="0086340B" w:rsidP="005F1ED8">
            <w:pPr>
              <w:rPr>
                <w:sz w:val="20"/>
                <w:szCs w:val="20"/>
              </w:rPr>
            </w:pPr>
          </w:p>
          <w:p w:rsidR="0086340B" w:rsidRPr="0083252A" w:rsidRDefault="00F13243" w:rsidP="005F1ED8">
            <w:pPr>
              <w:rPr>
                <w:sz w:val="20"/>
                <w:szCs w:val="20"/>
                <w:lang w:val="en-US"/>
              </w:rPr>
            </w:pPr>
            <w:r>
              <w:rPr>
                <w:sz w:val="20"/>
                <w:szCs w:val="20"/>
                <w:lang w:val="fr-CA"/>
              </w:rPr>
              <w:pict>
                <v:rect id="_x0000_i1057"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3B3977" w:rsidRDefault="0086340B" w:rsidP="005F1ED8">
            <w:pPr>
              <w:rPr>
                <w:sz w:val="20"/>
                <w:szCs w:val="20"/>
              </w:rPr>
            </w:pPr>
          </w:p>
        </w:tc>
      </w:tr>
      <w:tr w:rsidR="0086340B" w:rsidRPr="00130B0E" w:rsidTr="005F1ED8">
        <w:trPr>
          <w:cantSplit/>
        </w:trPr>
        <w:tc>
          <w:tcPr>
            <w:tcW w:w="2206" w:type="pct"/>
            <w:tcMar>
              <w:left w:w="0" w:type="dxa"/>
              <w:right w:w="0" w:type="dxa"/>
            </w:tcMar>
          </w:tcPr>
          <w:p w:rsidR="0086340B" w:rsidRPr="003B3977" w:rsidRDefault="0086340B" w:rsidP="005F1ED8">
            <w:pPr>
              <w:rPr>
                <w:sz w:val="20"/>
                <w:szCs w:val="20"/>
              </w:rPr>
            </w:pPr>
          </w:p>
        </w:tc>
        <w:tc>
          <w:tcPr>
            <w:tcW w:w="588" w:type="pct"/>
          </w:tcPr>
          <w:p w:rsidR="0086340B" w:rsidRPr="003B3977" w:rsidRDefault="0086340B" w:rsidP="005F1ED8">
            <w:pPr>
              <w:jc w:val="center"/>
              <w:rPr>
                <w:sz w:val="20"/>
                <w:szCs w:val="20"/>
              </w:rPr>
            </w:pPr>
          </w:p>
        </w:tc>
        <w:tc>
          <w:tcPr>
            <w:tcW w:w="2206" w:type="pct"/>
          </w:tcPr>
          <w:p w:rsidR="0086340B" w:rsidRPr="0083252A" w:rsidRDefault="0086340B" w:rsidP="005F1ED8">
            <w:pPr>
              <w:rPr>
                <w:sz w:val="20"/>
                <w:szCs w:val="20"/>
                <w:lang w:val="en-US"/>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61"/>
          <w:headerReference w:type="default" r:id="rId62"/>
          <w:footerReference w:type="even" r:id="rId63"/>
          <w:footerReference w:type="default" r:id="rId64"/>
          <w:headerReference w:type="first" r:id="rId65"/>
          <w:footerReference w:type="first" r:id="rId6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DB1C5D"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 xml:space="preserve">APPEALS HEARD SINCE </w:t>
            </w:r>
            <w:r w:rsidR="003E5F3E">
              <w:rPr>
                <w:b/>
                <w:szCs w:val="24"/>
              </w:rPr>
              <w:t xml:space="preserve">THE </w:t>
            </w:r>
            <w:r w:rsidRPr="00C1697B">
              <w:rPr>
                <w:b/>
                <w:szCs w:val="24"/>
              </w:rPr>
              <w:t>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C47C2" w:rsidRPr="00DE467A" w:rsidRDefault="00DE467A" w:rsidP="007C47C2">
      <w:pPr>
        <w:widowControl w:val="0"/>
        <w:rPr>
          <w:sz w:val="20"/>
          <w:szCs w:val="20"/>
          <w:lang w:val="en-US"/>
        </w:rPr>
      </w:pPr>
      <w:r w:rsidRPr="00DE467A">
        <w:rPr>
          <w:sz w:val="20"/>
          <w:szCs w:val="20"/>
          <w:lang w:val="en-US"/>
        </w:rPr>
        <w:t>10</w:t>
      </w:r>
      <w:r w:rsidR="00E942C2" w:rsidRPr="00DE467A">
        <w:rPr>
          <w:sz w:val="20"/>
          <w:szCs w:val="20"/>
          <w:lang w:val="en-US"/>
        </w:rPr>
        <w:t>.</w:t>
      </w:r>
      <w:r w:rsidRPr="00DE467A">
        <w:rPr>
          <w:sz w:val="20"/>
          <w:szCs w:val="20"/>
          <w:lang w:val="en-US"/>
        </w:rPr>
        <w:t>10</w:t>
      </w:r>
      <w:r w:rsidR="00E8544A" w:rsidRPr="00DE467A">
        <w:rPr>
          <w:sz w:val="20"/>
          <w:szCs w:val="20"/>
          <w:lang w:val="en-US"/>
        </w:rPr>
        <w:t>.201</w:t>
      </w:r>
      <w:r w:rsidR="00C406CA" w:rsidRPr="00DE467A">
        <w:rPr>
          <w:sz w:val="20"/>
          <w:szCs w:val="20"/>
          <w:lang w:val="en-US"/>
        </w:rPr>
        <w:t>8</w:t>
      </w:r>
    </w:p>
    <w:p w:rsidR="007C47C2" w:rsidRPr="00DE467A" w:rsidRDefault="007C47C2" w:rsidP="007C47C2">
      <w:pPr>
        <w:widowControl w:val="0"/>
        <w:rPr>
          <w:sz w:val="20"/>
          <w:szCs w:val="20"/>
          <w:lang w:val="en-US"/>
        </w:rPr>
      </w:pPr>
    </w:p>
    <w:p w:rsidR="00DE467A" w:rsidRPr="00E32F3A" w:rsidRDefault="007C47C2" w:rsidP="00DE467A">
      <w:pPr>
        <w:widowControl w:val="0"/>
        <w:ind w:left="720" w:hanging="720"/>
        <w:rPr>
          <w:sz w:val="20"/>
          <w:szCs w:val="20"/>
          <w:u w:val="single"/>
        </w:rPr>
      </w:pPr>
      <w:r w:rsidRPr="00DE467A">
        <w:rPr>
          <w:sz w:val="20"/>
          <w:szCs w:val="20"/>
          <w:lang w:val="en-US"/>
        </w:rPr>
        <w:t xml:space="preserve">Coram: </w:t>
      </w:r>
      <w:r w:rsidRPr="00DE467A">
        <w:rPr>
          <w:sz w:val="20"/>
          <w:szCs w:val="20"/>
          <w:lang w:val="en-US"/>
        </w:rPr>
        <w:tab/>
      </w:r>
      <w:r w:rsidR="00DE467A" w:rsidRPr="00E32F3A">
        <w:rPr>
          <w:sz w:val="20"/>
          <w:szCs w:val="20"/>
          <w:u w:val="single"/>
        </w:rPr>
        <w:t xml:space="preserve">Wagner C.J. and Abella, Moldaver, Karakatsanis, </w:t>
      </w:r>
      <w:r w:rsidR="00C070FF">
        <w:rPr>
          <w:sz w:val="20"/>
          <w:szCs w:val="20"/>
          <w:u w:val="single"/>
        </w:rPr>
        <w:t xml:space="preserve">Côté, Brown and </w:t>
      </w:r>
      <w:r w:rsidR="00DE467A" w:rsidRPr="00E32F3A">
        <w:rPr>
          <w:sz w:val="20"/>
          <w:szCs w:val="20"/>
          <w:u w:val="single"/>
        </w:rPr>
        <w:t>Rowe JJ.</w:t>
      </w:r>
    </w:p>
    <w:p w:rsidR="007C47C2" w:rsidRPr="00DE467A" w:rsidRDefault="007C47C2" w:rsidP="007C47C2">
      <w:pPr>
        <w:widowControl w:val="0"/>
        <w:ind w:left="720" w:hanging="720"/>
        <w:rPr>
          <w:sz w:val="20"/>
          <w:szCs w:val="20"/>
          <w:u w:val="single"/>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DE467A" w:rsidTr="00E942C2">
        <w:tc>
          <w:tcPr>
            <w:tcW w:w="4380" w:type="dxa"/>
            <w:tcMar>
              <w:left w:w="0" w:type="dxa"/>
              <w:right w:w="0" w:type="dxa"/>
            </w:tcMar>
          </w:tcPr>
          <w:p w:rsidR="007C47C2" w:rsidRPr="00D17E89" w:rsidRDefault="00DE467A" w:rsidP="00E942C2">
            <w:pPr>
              <w:widowControl w:val="0"/>
              <w:rPr>
                <w:b/>
                <w:sz w:val="20"/>
                <w:szCs w:val="20"/>
                <w:lang w:val="en-US"/>
              </w:rPr>
            </w:pPr>
            <w:r w:rsidRPr="00D17E89">
              <w:rPr>
                <w:b/>
                <w:sz w:val="20"/>
                <w:szCs w:val="20"/>
                <w:lang w:val="en-US"/>
              </w:rPr>
              <w:t>J.W., et al.</w:t>
            </w:r>
          </w:p>
          <w:p w:rsidR="007C47C2" w:rsidRPr="00D17E89" w:rsidRDefault="007C47C2" w:rsidP="00E942C2">
            <w:pPr>
              <w:widowControl w:val="0"/>
              <w:rPr>
                <w:b/>
                <w:sz w:val="20"/>
                <w:szCs w:val="20"/>
                <w:lang w:val="en-US"/>
              </w:rPr>
            </w:pPr>
          </w:p>
          <w:p w:rsidR="007C47C2" w:rsidRPr="00D17E89" w:rsidRDefault="007C47C2" w:rsidP="00E942C2">
            <w:pPr>
              <w:widowControl w:val="0"/>
              <w:rPr>
                <w:b/>
                <w:sz w:val="20"/>
                <w:szCs w:val="20"/>
                <w:lang w:val="en-US"/>
              </w:rPr>
            </w:pPr>
            <w:r w:rsidRPr="00D17E89">
              <w:rPr>
                <w:b/>
                <w:sz w:val="20"/>
                <w:szCs w:val="20"/>
                <w:lang w:val="en-US"/>
              </w:rPr>
              <w:tab/>
            </w:r>
            <w:r w:rsidR="00DE467A" w:rsidRPr="00D17E89">
              <w:rPr>
                <w:b/>
                <w:sz w:val="20"/>
                <w:szCs w:val="20"/>
                <w:lang w:val="en-US"/>
              </w:rPr>
              <w:t>v</w:t>
            </w:r>
            <w:r w:rsidRPr="00D17E89">
              <w:rPr>
                <w:b/>
                <w:sz w:val="20"/>
                <w:szCs w:val="20"/>
                <w:lang w:val="en-US"/>
              </w:rPr>
              <w:t xml:space="preserve">. </w:t>
            </w:r>
            <w:r w:rsidRPr="00D17E89">
              <w:rPr>
                <w:sz w:val="20"/>
                <w:szCs w:val="20"/>
                <w:lang w:val="en-US"/>
              </w:rPr>
              <w:t>(</w:t>
            </w:r>
            <w:hyperlink r:id="rId67" w:history="1">
              <w:r w:rsidR="00DE467A" w:rsidRPr="00D17E89">
                <w:rPr>
                  <w:rStyle w:val="Hyperlink"/>
                  <w:sz w:val="20"/>
                  <w:szCs w:val="20"/>
                  <w:lang w:val="en-US"/>
                </w:rPr>
                <w:t>37725</w:t>
              </w:r>
            </w:hyperlink>
            <w:r w:rsidRPr="00D17E89">
              <w:rPr>
                <w:sz w:val="20"/>
                <w:szCs w:val="20"/>
                <w:lang w:val="en-US"/>
              </w:rPr>
              <w:t>)</w:t>
            </w:r>
          </w:p>
          <w:p w:rsidR="007C47C2" w:rsidRPr="00D17E89" w:rsidRDefault="007C47C2" w:rsidP="00E942C2">
            <w:pPr>
              <w:widowControl w:val="0"/>
              <w:rPr>
                <w:b/>
                <w:sz w:val="20"/>
                <w:szCs w:val="20"/>
                <w:lang w:val="en-US"/>
              </w:rPr>
            </w:pPr>
          </w:p>
          <w:p w:rsidR="007C47C2" w:rsidRPr="00EA0658" w:rsidRDefault="00DE467A" w:rsidP="00DE467A">
            <w:pPr>
              <w:widowControl w:val="0"/>
              <w:rPr>
                <w:sz w:val="20"/>
                <w:szCs w:val="20"/>
                <w:lang w:val="fr-CA"/>
              </w:rPr>
            </w:pPr>
            <w:r w:rsidRPr="00DE467A">
              <w:rPr>
                <w:b/>
                <w:sz w:val="20"/>
                <w:szCs w:val="20"/>
                <w:lang w:val="en-US"/>
              </w:rPr>
              <w:t>Attorney General of Canada et al.</w:t>
            </w:r>
            <w:r w:rsidR="007C47C2" w:rsidRPr="00DE467A">
              <w:rPr>
                <w:b/>
                <w:sz w:val="20"/>
                <w:szCs w:val="20"/>
                <w:lang w:val="en-US"/>
              </w:rPr>
              <w:t xml:space="preserve"> </w:t>
            </w:r>
            <w:r w:rsidR="007C47C2" w:rsidRPr="00E75133">
              <w:rPr>
                <w:b/>
                <w:sz w:val="20"/>
                <w:szCs w:val="20"/>
                <w:lang w:val="fr-CA"/>
              </w:rPr>
              <w:t>(</w:t>
            </w:r>
            <w:r>
              <w:rPr>
                <w:b/>
                <w:sz w:val="20"/>
                <w:szCs w:val="20"/>
                <w:lang w:val="fr-CA"/>
              </w:rPr>
              <w:t>Man.)</w:t>
            </w:r>
            <w:r w:rsidR="007C47C2" w:rsidRPr="00E75133">
              <w:rPr>
                <w:b/>
                <w:sz w:val="20"/>
                <w:szCs w:val="20"/>
                <w:lang w:val="fr-CA"/>
              </w:rPr>
              <w:t xml:space="preserve"> (Civil</w:t>
            </w:r>
            <w:r>
              <w:rPr>
                <w:b/>
                <w:sz w:val="20"/>
                <w:szCs w:val="20"/>
                <w:lang w:val="fr-CA"/>
              </w:rPr>
              <w:t>) (By Leave</w:t>
            </w:r>
            <w:r w:rsidR="007C47C2" w:rsidRPr="00E75133">
              <w:rPr>
                <w:b/>
                <w:sz w:val="20"/>
                <w:szCs w:val="20"/>
                <w:lang w:val="fr-CA"/>
              </w:rPr>
              <w:t>)</w:t>
            </w:r>
            <w:r w:rsidR="007C47C2" w:rsidRPr="00E75133">
              <w:rPr>
                <w:sz w:val="20"/>
                <w:szCs w:val="20"/>
                <w:lang w:val="fr-CA"/>
              </w:rPr>
              <w:t xml:space="preserve"> </w:t>
            </w:r>
          </w:p>
        </w:tc>
        <w:tc>
          <w:tcPr>
            <w:tcW w:w="720" w:type="dxa"/>
            <w:tcMar>
              <w:left w:w="0" w:type="dxa"/>
              <w:right w:w="0" w:type="dxa"/>
            </w:tcMar>
          </w:tcPr>
          <w:p w:rsidR="007C47C2" w:rsidRPr="00EA0658" w:rsidRDefault="007C47C2" w:rsidP="00E942C2">
            <w:pPr>
              <w:widowControl w:val="0"/>
              <w:jc w:val="center"/>
              <w:rPr>
                <w:sz w:val="20"/>
                <w:szCs w:val="20"/>
                <w:lang w:val="fr-CA"/>
              </w:rPr>
            </w:pPr>
          </w:p>
        </w:tc>
        <w:tc>
          <w:tcPr>
            <w:tcW w:w="4380" w:type="dxa"/>
            <w:tcMar>
              <w:left w:w="0" w:type="dxa"/>
              <w:right w:w="0" w:type="dxa"/>
            </w:tcMar>
          </w:tcPr>
          <w:p w:rsidR="00DE467A" w:rsidRPr="00DE467A" w:rsidRDefault="00DE467A" w:rsidP="00DE467A">
            <w:pPr>
              <w:rPr>
                <w:sz w:val="20"/>
                <w:szCs w:val="20"/>
                <w:lang w:val="en-US"/>
              </w:rPr>
            </w:pPr>
            <w:r w:rsidRPr="00DE467A">
              <w:rPr>
                <w:sz w:val="20"/>
                <w:szCs w:val="20"/>
                <w:lang w:val="en-US"/>
              </w:rPr>
              <w:t>Martin U. Kramer</w:t>
            </w:r>
            <w:r>
              <w:rPr>
                <w:sz w:val="20"/>
                <w:szCs w:val="20"/>
                <w:lang w:val="en-US"/>
              </w:rPr>
              <w:t xml:space="preserve"> and </w:t>
            </w:r>
            <w:r w:rsidRPr="00DE467A">
              <w:rPr>
                <w:sz w:val="20"/>
                <w:szCs w:val="20"/>
                <w:lang w:val="en-US"/>
              </w:rPr>
              <w:t xml:space="preserve">Richard E. </w:t>
            </w:r>
            <w:proofErr w:type="spellStart"/>
            <w:r w:rsidRPr="00DE467A">
              <w:rPr>
                <w:sz w:val="20"/>
                <w:szCs w:val="20"/>
                <w:lang w:val="en-US"/>
              </w:rPr>
              <w:t>Olschewski</w:t>
            </w:r>
            <w:proofErr w:type="spellEnd"/>
            <w:r>
              <w:rPr>
                <w:sz w:val="20"/>
                <w:szCs w:val="20"/>
                <w:lang w:val="en-US"/>
              </w:rPr>
              <w:t xml:space="preserve"> f</w:t>
            </w:r>
            <w:r w:rsidRPr="00DE467A">
              <w:rPr>
                <w:sz w:val="20"/>
                <w:szCs w:val="20"/>
                <w:lang w:val="en-US"/>
              </w:rPr>
              <w:t>or the Appellants</w:t>
            </w:r>
            <w:r>
              <w:rPr>
                <w:sz w:val="20"/>
                <w:szCs w:val="20"/>
                <w:lang w:val="en-US"/>
              </w:rPr>
              <w:t xml:space="preserve"> </w:t>
            </w:r>
            <w:r w:rsidRPr="00DE467A">
              <w:rPr>
                <w:sz w:val="20"/>
                <w:szCs w:val="20"/>
                <w:lang w:val="en-US"/>
              </w:rPr>
              <w:t>J.W., et al.</w:t>
            </w:r>
          </w:p>
          <w:p w:rsidR="00DE467A" w:rsidRPr="00DE467A" w:rsidRDefault="00DE467A" w:rsidP="00DE467A">
            <w:pPr>
              <w:rPr>
                <w:sz w:val="20"/>
                <w:szCs w:val="20"/>
                <w:lang w:val="en-US"/>
              </w:rPr>
            </w:pPr>
          </w:p>
          <w:p w:rsidR="00DE467A" w:rsidRPr="00DE467A" w:rsidRDefault="00DE467A" w:rsidP="00DE467A">
            <w:pPr>
              <w:rPr>
                <w:sz w:val="20"/>
                <w:szCs w:val="20"/>
                <w:lang w:val="en-US"/>
              </w:rPr>
            </w:pPr>
            <w:r w:rsidRPr="00DE467A">
              <w:rPr>
                <w:sz w:val="20"/>
                <w:szCs w:val="20"/>
                <w:lang w:val="en-US"/>
              </w:rPr>
              <w:t xml:space="preserve">Stuart </w:t>
            </w:r>
            <w:proofErr w:type="spellStart"/>
            <w:r w:rsidRPr="00DE467A">
              <w:rPr>
                <w:sz w:val="20"/>
                <w:szCs w:val="20"/>
                <w:lang w:val="en-US"/>
              </w:rPr>
              <w:t>Wuttke</w:t>
            </w:r>
            <w:proofErr w:type="spellEnd"/>
            <w:r>
              <w:rPr>
                <w:sz w:val="20"/>
                <w:szCs w:val="20"/>
                <w:lang w:val="en-US"/>
              </w:rPr>
              <w:t xml:space="preserve"> and </w:t>
            </w:r>
            <w:r w:rsidRPr="00DE467A">
              <w:rPr>
                <w:sz w:val="20"/>
                <w:szCs w:val="20"/>
                <w:lang w:val="en-US"/>
              </w:rPr>
              <w:t xml:space="preserve">Julie McGregor </w:t>
            </w:r>
            <w:r>
              <w:rPr>
                <w:sz w:val="20"/>
                <w:szCs w:val="20"/>
                <w:lang w:val="en-US"/>
              </w:rPr>
              <w:t>f</w:t>
            </w:r>
            <w:r w:rsidRPr="00DE467A">
              <w:rPr>
                <w:sz w:val="20"/>
                <w:szCs w:val="20"/>
                <w:lang w:val="en-US"/>
              </w:rPr>
              <w:t>or the Respondent Assembly of First Nations</w:t>
            </w:r>
          </w:p>
          <w:p w:rsidR="00DE467A" w:rsidRPr="00DE467A" w:rsidRDefault="00DE467A" w:rsidP="00DE467A">
            <w:pPr>
              <w:rPr>
                <w:sz w:val="20"/>
                <w:szCs w:val="20"/>
                <w:lang w:val="en-US"/>
              </w:rPr>
            </w:pPr>
          </w:p>
          <w:p w:rsidR="00DE467A" w:rsidRPr="00DE467A" w:rsidRDefault="00DE467A" w:rsidP="00DE467A">
            <w:pPr>
              <w:rPr>
                <w:sz w:val="20"/>
                <w:szCs w:val="20"/>
                <w:lang w:val="en-US"/>
              </w:rPr>
            </w:pPr>
            <w:r w:rsidRPr="00DE467A">
              <w:rPr>
                <w:sz w:val="20"/>
                <w:szCs w:val="20"/>
                <w:lang w:val="en-US"/>
              </w:rPr>
              <w:t xml:space="preserve">Karim Ramji </w:t>
            </w:r>
            <w:r>
              <w:rPr>
                <w:sz w:val="20"/>
                <w:szCs w:val="20"/>
                <w:lang w:val="en-US"/>
              </w:rPr>
              <w:t>f</w:t>
            </w:r>
            <w:r w:rsidRPr="00DE467A">
              <w:rPr>
                <w:sz w:val="20"/>
                <w:szCs w:val="20"/>
                <w:lang w:val="en-US"/>
              </w:rPr>
              <w:t>or the Intervener</w:t>
            </w:r>
            <w:r>
              <w:rPr>
                <w:sz w:val="20"/>
                <w:szCs w:val="20"/>
                <w:lang w:val="en-US"/>
              </w:rPr>
              <w:t xml:space="preserve"> </w:t>
            </w:r>
            <w:r w:rsidRPr="00DE467A">
              <w:rPr>
                <w:sz w:val="20"/>
                <w:szCs w:val="20"/>
                <w:lang w:val="en-US"/>
              </w:rPr>
              <w:t>K.B.</w:t>
            </w:r>
          </w:p>
          <w:p w:rsidR="00DE467A" w:rsidRPr="00DE467A" w:rsidRDefault="00DE467A" w:rsidP="00DE467A">
            <w:pPr>
              <w:rPr>
                <w:sz w:val="20"/>
                <w:szCs w:val="20"/>
                <w:lang w:val="en-US"/>
              </w:rPr>
            </w:pPr>
          </w:p>
          <w:p w:rsidR="00DE467A" w:rsidRPr="00DE467A" w:rsidRDefault="00DE467A" w:rsidP="00DE467A">
            <w:pPr>
              <w:rPr>
                <w:sz w:val="20"/>
                <w:szCs w:val="20"/>
                <w:lang w:val="en-US"/>
              </w:rPr>
            </w:pPr>
            <w:r w:rsidRPr="00DE467A">
              <w:rPr>
                <w:sz w:val="20"/>
                <w:szCs w:val="20"/>
                <w:lang w:val="en-US"/>
              </w:rPr>
              <w:t>David Schulze</w:t>
            </w:r>
            <w:r>
              <w:rPr>
                <w:sz w:val="20"/>
                <w:szCs w:val="20"/>
                <w:lang w:val="en-US"/>
              </w:rPr>
              <w:t xml:space="preserve">, </w:t>
            </w:r>
            <w:proofErr w:type="spellStart"/>
            <w:r w:rsidRPr="00DE467A">
              <w:rPr>
                <w:sz w:val="20"/>
                <w:szCs w:val="20"/>
                <w:lang w:val="en-US"/>
              </w:rPr>
              <w:t>Maryse</w:t>
            </w:r>
            <w:proofErr w:type="spellEnd"/>
            <w:r w:rsidRPr="00DE467A">
              <w:rPr>
                <w:sz w:val="20"/>
                <w:szCs w:val="20"/>
                <w:lang w:val="en-US"/>
              </w:rPr>
              <w:t xml:space="preserve"> </w:t>
            </w:r>
            <w:proofErr w:type="spellStart"/>
            <w:r w:rsidRPr="00DE467A">
              <w:rPr>
                <w:sz w:val="20"/>
                <w:szCs w:val="20"/>
                <w:lang w:val="en-US"/>
              </w:rPr>
              <w:t>Décarie-Daigneault</w:t>
            </w:r>
            <w:proofErr w:type="spellEnd"/>
            <w:r>
              <w:rPr>
                <w:sz w:val="20"/>
                <w:szCs w:val="20"/>
                <w:lang w:val="en-US"/>
              </w:rPr>
              <w:t xml:space="preserve"> and </w:t>
            </w:r>
            <w:r w:rsidRPr="00DE467A">
              <w:rPr>
                <w:sz w:val="20"/>
                <w:szCs w:val="20"/>
                <w:lang w:val="en-US"/>
              </w:rPr>
              <w:t xml:space="preserve">David P. Taylor </w:t>
            </w:r>
            <w:r>
              <w:rPr>
                <w:sz w:val="20"/>
                <w:szCs w:val="20"/>
                <w:lang w:val="en-US"/>
              </w:rPr>
              <w:t>f</w:t>
            </w:r>
            <w:r w:rsidRPr="00DE467A">
              <w:rPr>
                <w:sz w:val="20"/>
                <w:szCs w:val="20"/>
                <w:lang w:val="en-US"/>
              </w:rPr>
              <w:t>or the Intervener</w:t>
            </w:r>
            <w:r>
              <w:rPr>
                <w:sz w:val="20"/>
                <w:szCs w:val="20"/>
                <w:lang w:val="en-US"/>
              </w:rPr>
              <w:t xml:space="preserve"> </w:t>
            </w:r>
            <w:r w:rsidRPr="00DE467A">
              <w:rPr>
                <w:sz w:val="20"/>
                <w:szCs w:val="20"/>
                <w:lang w:val="en-US"/>
              </w:rPr>
              <w:t>Independent Counsel</w:t>
            </w:r>
          </w:p>
          <w:p w:rsidR="007C47C2" w:rsidRDefault="007C47C2" w:rsidP="00DE467A">
            <w:pPr>
              <w:widowControl w:val="0"/>
              <w:jc w:val="both"/>
              <w:rPr>
                <w:sz w:val="20"/>
                <w:szCs w:val="20"/>
                <w:lang w:val="en-US"/>
              </w:rPr>
            </w:pPr>
          </w:p>
          <w:p w:rsidR="0023192C" w:rsidRPr="0023192C" w:rsidRDefault="0023192C" w:rsidP="0023192C">
            <w:pPr>
              <w:widowControl w:val="0"/>
              <w:jc w:val="both"/>
              <w:rPr>
                <w:sz w:val="20"/>
                <w:szCs w:val="20"/>
                <w:lang w:val="en-US"/>
              </w:rPr>
            </w:pPr>
            <w:r w:rsidRPr="0023192C">
              <w:rPr>
                <w:sz w:val="20"/>
                <w:szCs w:val="20"/>
                <w:lang w:val="en-US"/>
              </w:rPr>
              <w:t>Mitchell R. Taylor, Q.C.</w:t>
            </w:r>
            <w:r>
              <w:rPr>
                <w:sz w:val="20"/>
                <w:szCs w:val="20"/>
                <w:lang w:val="en-US"/>
              </w:rPr>
              <w:t xml:space="preserve"> and </w:t>
            </w:r>
            <w:r w:rsidRPr="0023192C">
              <w:rPr>
                <w:sz w:val="20"/>
                <w:szCs w:val="20"/>
                <w:lang w:val="en-US"/>
              </w:rPr>
              <w:t xml:space="preserve">Dayna Anderson </w:t>
            </w:r>
            <w:r>
              <w:rPr>
                <w:sz w:val="20"/>
                <w:szCs w:val="20"/>
                <w:lang w:val="en-US"/>
              </w:rPr>
              <w:t>f</w:t>
            </w:r>
            <w:r w:rsidRPr="0023192C">
              <w:rPr>
                <w:sz w:val="20"/>
                <w:szCs w:val="20"/>
                <w:lang w:val="en-US"/>
              </w:rPr>
              <w:t>or the Respondent</w:t>
            </w:r>
            <w:r>
              <w:rPr>
                <w:sz w:val="20"/>
                <w:szCs w:val="20"/>
                <w:lang w:val="en-US"/>
              </w:rPr>
              <w:t xml:space="preserve"> </w:t>
            </w:r>
            <w:r w:rsidRPr="0023192C">
              <w:rPr>
                <w:sz w:val="20"/>
                <w:szCs w:val="20"/>
                <w:lang w:val="en-US"/>
              </w:rPr>
              <w:t xml:space="preserve">Attorney General of Canada </w:t>
            </w:r>
          </w:p>
          <w:p w:rsidR="0023192C" w:rsidRPr="0023192C" w:rsidRDefault="0023192C" w:rsidP="0023192C">
            <w:pPr>
              <w:widowControl w:val="0"/>
              <w:jc w:val="both"/>
              <w:rPr>
                <w:sz w:val="20"/>
                <w:szCs w:val="20"/>
                <w:lang w:val="en-US"/>
              </w:rPr>
            </w:pPr>
          </w:p>
          <w:p w:rsidR="0023192C" w:rsidRPr="00DE467A" w:rsidRDefault="0023192C" w:rsidP="0023192C">
            <w:pPr>
              <w:widowControl w:val="0"/>
              <w:jc w:val="both"/>
              <w:rPr>
                <w:sz w:val="20"/>
                <w:szCs w:val="20"/>
                <w:lang w:val="en-US"/>
              </w:rPr>
            </w:pPr>
            <w:r>
              <w:rPr>
                <w:sz w:val="20"/>
                <w:szCs w:val="20"/>
                <w:lang w:val="en-US"/>
              </w:rPr>
              <w:t xml:space="preserve">Joseph J. </w:t>
            </w:r>
            <w:proofErr w:type="spellStart"/>
            <w:r>
              <w:rPr>
                <w:sz w:val="20"/>
                <w:szCs w:val="20"/>
                <w:lang w:val="en-US"/>
              </w:rPr>
              <w:t>Arvay</w:t>
            </w:r>
            <w:proofErr w:type="spellEnd"/>
            <w:r>
              <w:rPr>
                <w:sz w:val="20"/>
                <w:szCs w:val="20"/>
                <w:lang w:val="en-US"/>
              </w:rPr>
              <w:t xml:space="preserve">, Q.C., </w:t>
            </w:r>
            <w:r w:rsidRPr="0023192C">
              <w:rPr>
                <w:sz w:val="20"/>
                <w:szCs w:val="20"/>
                <w:lang w:val="en-US"/>
              </w:rPr>
              <w:t>Susan E. Ross</w:t>
            </w:r>
            <w:r>
              <w:rPr>
                <w:sz w:val="20"/>
                <w:szCs w:val="20"/>
                <w:lang w:val="en-US"/>
              </w:rPr>
              <w:t xml:space="preserve"> and David W. L. Wu f</w:t>
            </w:r>
            <w:r w:rsidRPr="0023192C">
              <w:rPr>
                <w:sz w:val="20"/>
                <w:szCs w:val="20"/>
                <w:lang w:val="en-US"/>
              </w:rPr>
              <w:t>or the Respondent Chief Adjudicator, Indian Residential S</w:t>
            </w:r>
            <w:r>
              <w:rPr>
                <w:sz w:val="20"/>
                <w:szCs w:val="20"/>
                <w:lang w:val="en-US"/>
              </w:rPr>
              <w:t>chools Adjudication Secretariat</w:t>
            </w:r>
          </w:p>
        </w:tc>
      </w:tr>
    </w:tbl>
    <w:p w:rsidR="007C47C2" w:rsidRPr="00DE467A" w:rsidRDefault="007C47C2" w:rsidP="007C47C2">
      <w:pPr>
        <w:widowControl w:val="0"/>
        <w:rPr>
          <w:sz w:val="20"/>
          <w:szCs w:val="20"/>
          <w:lang w:val="en-US"/>
        </w:rPr>
      </w:pPr>
    </w:p>
    <w:p w:rsidR="007C47C2" w:rsidRPr="0085476B" w:rsidRDefault="007C47C2" w:rsidP="007C47C2">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7C47C2" w:rsidRDefault="007C47C2" w:rsidP="007C47C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DB1C5D" w:rsidTr="00E942C2">
        <w:tc>
          <w:tcPr>
            <w:tcW w:w="4380" w:type="dxa"/>
            <w:tcMar>
              <w:left w:w="0" w:type="dxa"/>
              <w:right w:w="0" w:type="dxa"/>
            </w:tcMar>
          </w:tcPr>
          <w:p w:rsidR="007C47C2" w:rsidRPr="00CC4D84" w:rsidRDefault="007C47C2" w:rsidP="00E942C2">
            <w:pPr>
              <w:widowControl w:val="0"/>
              <w:jc w:val="both"/>
              <w:rPr>
                <w:b/>
                <w:sz w:val="20"/>
                <w:szCs w:val="20"/>
                <w:u w:val="single"/>
              </w:rPr>
            </w:pPr>
            <w:r w:rsidRPr="00CC4D84">
              <w:rPr>
                <w:b/>
                <w:sz w:val="20"/>
                <w:szCs w:val="20"/>
                <w:u w:val="single"/>
              </w:rPr>
              <w:t>Nature of the case:</w:t>
            </w:r>
          </w:p>
          <w:p w:rsidR="007C47C2" w:rsidRPr="001A663B" w:rsidRDefault="007C47C2" w:rsidP="00E942C2">
            <w:pPr>
              <w:widowControl w:val="0"/>
              <w:jc w:val="both"/>
              <w:rPr>
                <w:b/>
                <w:sz w:val="20"/>
                <w:szCs w:val="20"/>
              </w:rPr>
            </w:pPr>
          </w:p>
          <w:p w:rsidR="007C47C2" w:rsidRPr="00E46519" w:rsidRDefault="00E46519" w:rsidP="00E942C2">
            <w:pPr>
              <w:widowControl w:val="0"/>
              <w:jc w:val="both"/>
              <w:rPr>
                <w:rFonts w:cs="Times New Roman"/>
                <w:b/>
                <w:sz w:val="20"/>
                <w:szCs w:val="20"/>
              </w:rPr>
            </w:pPr>
            <w:r w:rsidRPr="00E46519">
              <w:rPr>
                <w:rFonts w:cs="Times New Roman"/>
                <w:color w:val="000000"/>
                <w:sz w:val="20"/>
                <w:szCs w:val="20"/>
                <w:shd w:val="clear" w:color="auto" w:fill="FFFFFF"/>
              </w:rPr>
              <w:t xml:space="preserve">Civil procedure - Class actions - Settlement - Administrative law - Judicial review - Indian Residential Schools Settlement Agreement (“IRSSA”) resolving class actions by Aboriginal persons who attended Indian Residential Schools and suffered abuse - IRSSA providing for Independent Assessment Process (“IAP”) for individual claims - Appellant alleging sexual abuse while attending school - Facts of abuse not disputed but Hearing Adjudicator denying claim based on failure to prove “sexual purpose” of perpetrator - Internal reviews pursuant to IRSSA and IAP confirming original decision - Supervising Judge setting aside original decision and returning claim to first-level adjudicator - Court of Appeal overturning Supervising Judge’s decision and affirming original denial of claim - Whether judicial review of adjudicators’ decisions in IAP available to claimants who have been unreasonably denied compensation, and, if so, what is applicable standard of review - Whether any general rule of law restricts availability of judicial review of administrative tribunals formed pursuant to terms of settlement in class proceeding - If no judicial review of IAP decisions available, and judicial supervision of IAP decisions restricted to limited basis, whether there is judicial recourse for claimant denied compensation based on unreasonable interpretation of IRSSA - Whether IRSSA and its </w:t>
            </w:r>
            <w:r w:rsidRPr="00E46519">
              <w:rPr>
                <w:rFonts w:cs="Times New Roman"/>
                <w:color w:val="000000"/>
                <w:sz w:val="20"/>
                <w:szCs w:val="20"/>
                <w:shd w:val="clear" w:color="auto" w:fill="FFFFFF"/>
              </w:rPr>
              <w:lastRenderedPageBreak/>
              <w:t>implementation engage honour of Crown - Whether Court of Appeal was correct when it held that claimants whose claims are denied based on unreasonable interpretations of IRSSA have no recourse to courts supervising its administration.</w:t>
            </w:r>
          </w:p>
        </w:tc>
        <w:tc>
          <w:tcPr>
            <w:tcW w:w="720" w:type="dxa"/>
            <w:tcMar>
              <w:left w:w="0" w:type="dxa"/>
              <w:right w:w="0" w:type="dxa"/>
            </w:tcMar>
          </w:tcPr>
          <w:p w:rsidR="007C47C2" w:rsidRPr="00C1697B" w:rsidRDefault="007C47C2" w:rsidP="00E942C2">
            <w:pPr>
              <w:widowControl w:val="0"/>
              <w:jc w:val="center"/>
              <w:rPr>
                <w:sz w:val="20"/>
                <w:szCs w:val="20"/>
              </w:rPr>
            </w:pPr>
          </w:p>
        </w:tc>
        <w:tc>
          <w:tcPr>
            <w:tcW w:w="4380" w:type="dxa"/>
            <w:tcMar>
              <w:left w:w="0" w:type="dxa"/>
              <w:right w:w="0" w:type="dxa"/>
            </w:tcMar>
          </w:tcPr>
          <w:p w:rsidR="007C47C2" w:rsidRPr="00CC4D84" w:rsidRDefault="007C47C2" w:rsidP="00E942C2">
            <w:pPr>
              <w:widowControl w:val="0"/>
              <w:jc w:val="both"/>
              <w:rPr>
                <w:b/>
                <w:sz w:val="20"/>
                <w:szCs w:val="20"/>
                <w:u w:val="single"/>
                <w:lang w:val="fr-CA"/>
              </w:rPr>
            </w:pPr>
            <w:r w:rsidRPr="00CC4D84">
              <w:rPr>
                <w:b/>
                <w:sz w:val="20"/>
                <w:szCs w:val="20"/>
                <w:u w:val="single"/>
                <w:lang w:val="fr-CA"/>
              </w:rPr>
              <w:t>Nature de la cause :</w:t>
            </w:r>
          </w:p>
          <w:p w:rsidR="007C47C2" w:rsidRPr="00C1697B" w:rsidRDefault="007C47C2" w:rsidP="00E942C2">
            <w:pPr>
              <w:widowControl w:val="0"/>
              <w:jc w:val="both"/>
              <w:rPr>
                <w:sz w:val="20"/>
                <w:szCs w:val="20"/>
                <w:lang w:val="fr-CA"/>
              </w:rPr>
            </w:pPr>
          </w:p>
          <w:p w:rsidR="007C47C2" w:rsidRPr="00E46519" w:rsidRDefault="00E46519" w:rsidP="00E942C2">
            <w:pPr>
              <w:widowControl w:val="0"/>
              <w:jc w:val="both"/>
              <w:rPr>
                <w:sz w:val="20"/>
                <w:szCs w:val="20"/>
                <w:lang w:val="fr-CA"/>
              </w:rPr>
            </w:pPr>
            <w:r w:rsidRPr="00E46519">
              <w:rPr>
                <w:sz w:val="20"/>
                <w:szCs w:val="20"/>
                <w:lang w:val="fr-CA"/>
              </w:rPr>
              <w:t xml:space="preserve">Procédure civile - Recours collectifs - Règlement - Droit administratif - Contrôle judiciaire - Convention de règlement relative aux pensionnats pour indiens (« CRRPI ») réglant les recours collectifs intentés par des Autochtones qui ont fréquenté des pensionnats indiens et y ont subi de mauvais traitements - CRRPI prévoyant un processus d’évaluation indépendant (« PÉI ») des demandes individuelles - Allégation de l’appelant qu’il a été victime d’agression sexuelle alors qu’il fréquentait un pensionnat - Les faits de l’agression ne sont pas contestés, mais l’adjudicateur d’audition a rejeté la demande pour omission de démontrer les « fins d’ordre sexuel » recherchées par l’auteure de l’acte - Révisions faites à l’interne selon la CRRPI et le PÉI confirmant la décision initiale - Juge superviseur annulant la décision initiale et renvoyant la demande à l’adjudicateur de premier niveau - Cour d’appel infirmant la décision du juge superviseur et confirmant le rejet initial de la demande - Les demandeurs à qui on a refusé de manière déraisonnable une indemnité peuvent-ils solliciter le contrôle judiciaire des décisions rendues par les adjudicateurs du PÉI et, dans l’affirmative, quelle est la norme de contrôle applicable? - Existe-t-il une règle de droit générale qui limite la possibilité de se pourvoir en contrôle judiciaire à l’encontre de tribunaux administratifs constitués en vertu de modalités de règlement de recours collectif? - </w:t>
            </w:r>
            <w:r w:rsidRPr="00E46519">
              <w:rPr>
                <w:sz w:val="20"/>
                <w:szCs w:val="20"/>
                <w:lang w:val="fr-CA"/>
              </w:rPr>
              <w:lastRenderedPageBreak/>
              <w:t xml:space="preserve">S’il n’est pas possible de faire contrôler par les tribunaux les décisions rendues au terme du PÉI et la supervision judiciaire ne </w:t>
            </w:r>
            <w:proofErr w:type="gramStart"/>
            <w:r w:rsidRPr="00E46519">
              <w:rPr>
                <w:sz w:val="20"/>
                <w:szCs w:val="20"/>
                <w:lang w:val="fr-CA"/>
              </w:rPr>
              <w:t>peut</w:t>
            </w:r>
            <w:proofErr w:type="gramEnd"/>
            <w:r w:rsidRPr="00E46519">
              <w:rPr>
                <w:sz w:val="20"/>
                <w:szCs w:val="20"/>
                <w:lang w:val="fr-CA"/>
              </w:rPr>
              <w:t xml:space="preserve"> se faire que pour des motifs limités, le demandeur à qui on a refusé une indemnité sur le fondement d’une interprétation déraisonnable de la CRRPI dispose-t-il d’un recours judiciaire? - La CRRPI et sa mise en œuvre engagent-elles l’honneur de la Couronne? - La Cour d’appel a-t-elle statué à juste titre que les demandeurs dont les demandes sont rejetées sur la base d’interprétations déraisonnables de la CRRPI ne peuvent s’adresser aux tribunaux qui en supervisent l’application?</w:t>
            </w:r>
          </w:p>
        </w:tc>
      </w:tr>
    </w:tbl>
    <w:p w:rsidR="007C47C2" w:rsidRDefault="007C47C2" w:rsidP="007C47C2">
      <w:pPr>
        <w:widowControl w:val="0"/>
        <w:rPr>
          <w:sz w:val="20"/>
          <w:szCs w:val="20"/>
          <w:lang w:val="fr-CA"/>
        </w:rPr>
      </w:pPr>
    </w:p>
    <w:p w:rsidR="002A27D1" w:rsidRDefault="00F13243" w:rsidP="002A27D1">
      <w:pPr>
        <w:widowControl w:val="0"/>
        <w:rPr>
          <w:sz w:val="20"/>
          <w:szCs w:val="20"/>
        </w:rPr>
      </w:pPr>
      <w:r>
        <w:rPr>
          <w:sz w:val="20"/>
          <w:szCs w:val="20"/>
          <w:lang w:val="fr-CA"/>
        </w:rPr>
        <w:pict>
          <v:rect id="_x0000_i1060" style="width:2in;height:1pt" o:hrpct="0" o:hralign="center" o:hrstd="t" o:hrnoshade="t" o:hr="t" fillcolor="black [3213]" stroked="f"/>
        </w:pict>
      </w:r>
    </w:p>
    <w:p w:rsidR="002A27D1" w:rsidRDefault="002A27D1" w:rsidP="002A27D1">
      <w:pPr>
        <w:widowControl w:val="0"/>
        <w:rPr>
          <w:sz w:val="20"/>
          <w:szCs w:val="20"/>
        </w:rPr>
      </w:pPr>
    </w:p>
    <w:p w:rsidR="00DE467A" w:rsidRDefault="00DE467A">
      <w:pPr>
        <w:rPr>
          <w:sz w:val="20"/>
          <w:szCs w:val="20"/>
        </w:rPr>
      </w:pPr>
      <w:r>
        <w:rPr>
          <w:sz w:val="20"/>
          <w:szCs w:val="20"/>
        </w:rPr>
        <w:br w:type="page"/>
      </w:r>
    </w:p>
    <w:p w:rsidR="0023192C" w:rsidRPr="00DE467A" w:rsidRDefault="0023192C" w:rsidP="0023192C">
      <w:pPr>
        <w:widowControl w:val="0"/>
        <w:rPr>
          <w:sz w:val="20"/>
          <w:szCs w:val="20"/>
          <w:lang w:val="en-US"/>
        </w:rPr>
      </w:pPr>
      <w:r>
        <w:rPr>
          <w:sz w:val="20"/>
          <w:szCs w:val="20"/>
          <w:lang w:val="en-US"/>
        </w:rPr>
        <w:lastRenderedPageBreak/>
        <w:t>11</w:t>
      </w:r>
      <w:r w:rsidRPr="00DE467A">
        <w:rPr>
          <w:sz w:val="20"/>
          <w:szCs w:val="20"/>
          <w:lang w:val="en-US"/>
        </w:rPr>
        <w:t>.10.2018</w:t>
      </w:r>
    </w:p>
    <w:p w:rsidR="0023192C" w:rsidRPr="00DE467A" w:rsidRDefault="0023192C" w:rsidP="0023192C">
      <w:pPr>
        <w:widowControl w:val="0"/>
        <w:rPr>
          <w:sz w:val="20"/>
          <w:szCs w:val="20"/>
          <w:lang w:val="en-US"/>
        </w:rPr>
      </w:pPr>
    </w:p>
    <w:p w:rsidR="0023192C" w:rsidRPr="00E32F3A" w:rsidRDefault="0023192C" w:rsidP="0023192C">
      <w:pPr>
        <w:widowControl w:val="0"/>
        <w:ind w:left="720" w:hanging="720"/>
        <w:rPr>
          <w:sz w:val="20"/>
          <w:szCs w:val="20"/>
          <w:u w:val="single"/>
        </w:rPr>
      </w:pPr>
      <w:r w:rsidRPr="00DE467A">
        <w:rPr>
          <w:sz w:val="20"/>
          <w:szCs w:val="20"/>
          <w:lang w:val="en-US"/>
        </w:rPr>
        <w:t xml:space="preserve">Coram: </w:t>
      </w:r>
      <w:r w:rsidRPr="00DE467A">
        <w:rPr>
          <w:sz w:val="20"/>
          <w:szCs w:val="20"/>
          <w:lang w:val="en-US"/>
        </w:rPr>
        <w:tab/>
      </w:r>
      <w:r w:rsidRPr="00E32F3A">
        <w:rPr>
          <w:sz w:val="20"/>
          <w:szCs w:val="20"/>
          <w:u w:val="single"/>
        </w:rPr>
        <w:t>Wagner C.J. and Abella, Moldaver, Karakatsanis, Côté, Brown, Rowe JJ.</w:t>
      </w:r>
    </w:p>
    <w:p w:rsidR="0023192C" w:rsidRPr="00DE467A" w:rsidRDefault="0023192C" w:rsidP="0023192C">
      <w:pPr>
        <w:widowControl w:val="0"/>
        <w:ind w:left="720" w:hanging="720"/>
        <w:rPr>
          <w:sz w:val="20"/>
          <w:szCs w:val="20"/>
          <w:u w:val="single"/>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23192C" w:rsidRPr="00DE467A" w:rsidTr="0023192C">
        <w:tc>
          <w:tcPr>
            <w:tcW w:w="4380" w:type="dxa"/>
            <w:tcMar>
              <w:left w:w="0" w:type="dxa"/>
              <w:right w:w="0" w:type="dxa"/>
            </w:tcMar>
          </w:tcPr>
          <w:p w:rsidR="0023192C" w:rsidRPr="0023192C" w:rsidRDefault="0023192C" w:rsidP="0023192C">
            <w:pPr>
              <w:widowControl w:val="0"/>
              <w:rPr>
                <w:b/>
                <w:sz w:val="20"/>
                <w:szCs w:val="20"/>
                <w:lang w:val="en-US"/>
              </w:rPr>
            </w:pPr>
            <w:r>
              <w:rPr>
                <w:b/>
                <w:sz w:val="20"/>
                <w:szCs w:val="20"/>
                <w:lang w:val="en-US"/>
              </w:rPr>
              <w:t>Bradley David Barton</w:t>
            </w:r>
          </w:p>
          <w:p w:rsidR="0023192C" w:rsidRPr="0023192C" w:rsidRDefault="0023192C" w:rsidP="0023192C">
            <w:pPr>
              <w:widowControl w:val="0"/>
              <w:rPr>
                <w:b/>
                <w:sz w:val="20"/>
                <w:szCs w:val="20"/>
                <w:lang w:val="en-US"/>
              </w:rPr>
            </w:pPr>
          </w:p>
          <w:p w:rsidR="0023192C" w:rsidRPr="0023192C" w:rsidRDefault="0023192C" w:rsidP="0023192C">
            <w:pPr>
              <w:widowControl w:val="0"/>
              <w:rPr>
                <w:b/>
                <w:sz w:val="20"/>
                <w:szCs w:val="20"/>
                <w:lang w:val="en-US"/>
              </w:rPr>
            </w:pPr>
            <w:r w:rsidRPr="0023192C">
              <w:rPr>
                <w:b/>
                <w:sz w:val="20"/>
                <w:szCs w:val="20"/>
                <w:lang w:val="en-US"/>
              </w:rPr>
              <w:tab/>
              <w:t xml:space="preserve">v. </w:t>
            </w:r>
            <w:r w:rsidRPr="0023192C">
              <w:rPr>
                <w:sz w:val="20"/>
                <w:szCs w:val="20"/>
                <w:lang w:val="en-US"/>
              </w:rPr>
              <w:t>(</w:t>
            </w:r>
            <w:hyperlink r:id="rId68" w:history="1">
              <w:r>
                <w:rPr>
                  <w:rStyle w:val="Hyperlink"/>
                  <w:sz w:val="20"/>
                  <w:szCs w:val="20"/>
                  <w:lang w:val="en-US"/>
                </w:rPr>
                <w:t>37769</w:t>
              </w:r>
            </w:hyperlink>
            <w:r w:rsidRPr="0023192C">
              <w:rPr>
                <w:sz w:val="20"/>
                <w:szCs w:val="20"/>
                <w:lang w:val="en-US"/>
              </w:rPr>
              <w:t>)</w:t>
            </w:r>
          </w:p>
          <w:p w:rsidR="0023192C" w:rsidRPr="0023192C" w:rsidRDefault="0023192C" w:rsidP="0023192C">
            <w:pPr>
              <w:widowControl w:val="0"/>
              <w:rPr>
                <w:b/>
                <w:sz w:val="20"/>
                <w:szCs w:val="20"/>
                <w:lang w:val="en-US"/>
              </w:rPr>
            </w:pPr>
          </w:p>
          <w:p w:rsidR="0023192C" w:rsidRPr="0023192C" w:rsidRDefault="0023192C" w:rsidP="0023192C">
            <w:pPr>
              <w:widowControl w:val="0"/>
              <w:rPr>
                <w:sz w:val="20"/>
                <w:szCs w:val="20"/>
                <w:lang w:val="en-US"/>
              </w:rPr>
            </w:pPr>
            <w:r>
              <w:rPr>
                <w:b/>
                <w:sz w:val="20"/>
                <w:szCs w:val="20"/>
                <w:lang w:val="en-US"/>
              </w:rPr>
              <w:t>Her Majesty the Queen</w:t>
            </w:r>
            <w:r w:rsidRPr="00DE467A">
              <w:rPr>
                <w:b/>
                <w:sz w:val="20"/>
                <w:szCs w:val="20"/>
                <w:lang w:val="en-US"/>
              </w:rPr>
              <w:t xml:space="preserve"> </w:t>
            </w:r>
            <w:r w:rsidRPr="0023192C">
              <w:rPr>
                <w:b/>
                <w:sz w:val="20"/>
                <w:szCs w:val="20"/>
                <w:lang w:val="en-US"/>
              </w:rPr>
              <w:t>(Alta.)</w:t>
            </w:r>
            <w:r>
              <w:rPr>
                <w:b/>
                <w:sz w:val="20"/>
                <w:szCs w:val="20"/>
                <w:lang w:val="en-US"/>
              </w:rPr>
              <w:t xml:space="preserve"> (Criminal</w:t>
            </w:r>
            <w:r w:rsidRPr="0023192C">
              <w:rPr>
                <w:b/>
                <w:sz w:val="20"/>
                <w:szCs w:val="20"/>
                <w:lang w:val="en-US"/>
              </w:rPr>
              <w:t>) (By Leave)</w:t>
            </w:r>
            <w:r w:rsidRPr="0023192C">
              <w:rPr>
                <w:sz w:val="20"/>
                <w:szCs w:val="20"/>
                <w:lang w:val="en-US"/>
              </w:rPr>
              <w:t xml:space="preserve"> </w:t>
            </w:r>
          </w:p>
        </w:tc>
        <w:tc>
          <w:tcPr>
            <w:tcW w:w="720" w:type="dxa"/>
            <w:tcMar>
              <w:left w:w="0" w:type="dxa"/>
              <w:right w:w="0" w:type="dxa"/>
            </w:tcMar>
          </w:tcPr>
          <w:p w:rsidR="0023192C" w:rsidRPr="0023192C" w:rsidRDefault="0023192C" w:rsidP="0023192C">
            <w:pPr>
              <w:widowControl w:val="0"/>
              <w:jc w:val="center"/>
              <w:rPr>
                <w:sz w:val="20"/>
                <w:szCs w:val="20"/>
                <w:lang w:val="en-US"/>
              </w:rPr>
            </w:pPr>
          </w:p>
        </w:tc>
        <w:tc>
          <w:tcPr>
            <w:tcW w:w="4380" w:type="dxa"/>
            <w:tcMar>
              <w:left w:w="0" w:type="dxa"/>
              <w:right w:w="0" w:type="dxa"/>
            </w:tcMar>
          </w:tcPr>
          <w:p w:rsidR="0023192C" w:rsidRPr="007C3AA8" w:rsidRDefault="0023192C" w:rsidP="0023192C">
            <w:pPr>
              <w:rPr>
                <w:sz w:val="20"/>
                <w:szCs w:val="20"/>
                <w:lang w:val="en-US"/>
              </w:rPr>
            </w:pPr>
            <w:r w:rsidRPr="007C3AA8">
              <w:rPr>
                <w:sz w:val="20"/>
                <w:szCs w:val="20"/>
                <w:lang w:val="en-US"/>
              </w:rPr>
              <w:t xml:space="preserve">Peter </w:t>
            </w:r>
            <w:proofErr w:type="spellStart"/>
            <w:r w:rsidRPr="007C3AA8">
              <w:rPr>
                <w:sz w:val="20"/>
                <w:szCs w:val="20"/>
                <w:lang w:val="en-US"/>
              </w:rPr>
              <w:t>Sankoff</w:t>
            </w:r>
            <w:proofErr w:type="spellEnd"/>
            <w:r w:rsidRPr="007C3AA8">
              <w:rPr>
                <w:sz w:val="20"/>
                <w:szCs w:val="20"/>
                <w:lang w:val="en-US"/>
              </w:rPr>
              <w:t xml:space="preserve">, Dino </w:t>
            </w:r>
            <w:proofErr w:type="spellStart"/>
            <w:r w:rsidRPr="007C3AA8">
              <w:rPr>
                <w:sz w:val="20"/>
                <w:szCs w:val="20"/>
                <w:lang w:val="en-US"/>
              </w:rPr>
              <w:t>Bottos</w:t>
            </w:r>
            <w:proofErr w:type="spellEnd"/>
            <w:r w:rsidRPr="007C3AA8">
              <w:rPr>
                <w:sz w:val="20"/>
                <w:szCs w:val="20"/>
                <w:lang w:val="en-US"/>
              </w:rPr>
              <w:t xml:space="preserve">, Jacqueline Petrie and Austin Corbett for the Appellant </w:t>
            </w:r>
            <w:r w:rsidRPr="007C3AA8">
              <w:rPr>
                <w:sz w:val="20"/>
                <w:szCs w:val="20"/>
              </w:rPr>
              <w:t>Bradley David Barton</w:t>
            </w:r>
          </w:p>
          <w:p w:rsidR="0023192C" w:rsidRPr="007C3AA8" w:rsidRDefault="0023192C" w:rsidP="0023192C">
            <w:pPr>
              <w:rPr>
                <w:sz w:val="20"/>
                <w:szCs w:val="20"/>
                <w:lang w:val="en-US"/>
              </w:rPr>
            </w:pPr>
          </w:p>
          <w:p w:rsidR="0023192C" w:rsidRPr="007C3AA8" w:rsidRDefault="0023192C" w:rsidP="0023192C">
            <w:pPr>
              <w:rPr>
                <w:sz w:val="20"/>
                <w:szCs w:val="20"/>
              </w:rPr>
            </w:pPr>
            <w:r w:rsidRPr="007C3AA8">
              <w:rPr>
                <w:sz w:val="20"/>
                <w:szCs w:val="20"/>
              </w:rPr>
              <w:t xml:space="preserve">Megan Savard </w:t>
            </w:r>
            <w:r w:rsidRPr="007C3AA8">
              <w:rPr>
                <w:sz w:val="20"/>
                <w:szCs w:val="20"/>
                <w:lang w:val="en-US"/>
              </w:rPr>
              <w:t xml:space="preserve">for the Intervener </w:t>
            </w:r>
            <w:r w:rsidRPr="007C3AA8">
              <w:rPr>
                <w:sz w:val="20"/>
                <w:szCs w:val="20"/>
              </w:rPr>
              <w:t>Criminal Lawyers' Association of Ontario</w:t>
            </w:r>
          </w:p>
          <w:p w:rsidR="0023192C" w:rsidRPr="007C3AA8" w:rsidRDefault="0023192C" w:rsidP="0023192C">
            <w:pPr>
              <w:rPr>
                <w:sz w:val="20"/>
                <w:szCs w:val="20"/>
              </w:rPr>
            </w:pPr>
          </w:p>
          <w:p w:rsidR="0023192C" w:rsidRPr="007C3AA8" w:rsidRDefault="0023192C" w:rsidP="0023192C">
            <w:pPr>
              <w:rPr>
                <w:sz w:val="20"/>
                <w:szCs w:val="20"/>
                <w:lang w:val="en-US"/>
              </w:rPr>
            </w:pPr>
            <w:r w:rsidRPr="007C3AA8">
              <w:rPr>
                <w:sz w:val="20"/>
                <w:szCs w:val="20"/>
              </w:rPr>
              <w:t xml:space="preserve">Daniel J. Song and Matthew A. </w:t>
            </w:r>
            <w:proofErr w:type="spellStart"/>
            <w:r w:rsidRPr="007C3AA8">
              <w:rPr>
                <w:sz w:val="20"/>
                <w:szCs w:val="20"/>
              </w:rPr>
              <w:t>Nathanson</w:t>
            </w:r>
            <w:proofErr w:type="spellEnd"/>
            <w:r w:rsidRPr="007C3AA8">
              <w:rPr>
                <w:sz w:val="20"/>
                <w:szCs w:val="20"/>
              </w:rPr>
              <w:t xml:space="preserve"> f</w:t>
            </w:r>
            <w:r w:rsidRPr="007C3AA8">
              <w:rPr>
                <w:sz w:val="20"/>
                <w:szCs w:val="20"/>
                <w:lang w:val="en-US"/>
              </w:rPr>
              <w:t xml:space="preserve">or the Intervener </w:t>
            </w:r>
            <w:r w:rsidRPr="007C3AA8">
              <w:rPr>
                <w:sz w:val="20"/>
                <w:szCs w:val="20"/>
              </w:rPr>
              <w:t>Independent Criminal Defence Advocacy Society</w:t>
            </w:r>
            <w:r w:rsidRPr="007C3AA8">
              <w:rPr>
                <w:sz w:val="20"/>
                <w:szCs w:val="20"/>
                <w:lang w:val="en-US"/>
              </w:rPr>
              <w:t xml:space="preserve"> </w:t>
            </w:r>
          </w:p>
          <w:p w:rsidR="0023192C" w:rsidRPr="007C3AA8" w:rsidRDefault="0023192C" w:rsidP="0023192C">
            <w:pPr>
              <w:rPr>
                <w:sz w:val="20"/>
                <w:szCs w:val="20"/>
                <w:lang w:val="en-US"/>
              </w:rPr>
            </w:pPr>
          </w:p>
          <w:p w:rsidR="0023192C" w:rsidRPr="007C3AA8" w:rsidRDefault="0023192C" w:rsidP="0023192C">
            <w:pPr>
              <w:rPr>
                <w:sz w:val="20"/>
                <w:szCs w:val="20"/>
              </w:rPr>
            </w:pPr>
            <w:r w:rsidRPr="007C3AA8">
              <w:rPr>
                <w:sz w:val="20"/>
                <w:szCs w:val="20"/>
                <w:lang w:val="en-US"/>
              </w:rPr>
              <w:t xml:space="preserve">Nathan J. </w:t>
            </w:r>
            <w:proofErr w:type="spellStart"/>
            <w:r w:rsidRPr="007C3AA8">
              <w:rPr>
                <w:sz w:val="20"/>
                <w:szCs w:val="20"/>
                <w:lang w:val="en-US"/>
              </w:rPr>
              <w:t>Whitling</w:t>
            </w:r>
            <w:proofErr w:type="spellEnd"/>
            <w:r w:rsidRPr="007C3AA8">
              <w:rPr>
                <w:sz w:val="20"/>
                <w:szCs w:val="20"/>
                <w:lang w:val="en-US"/>
              </w:rPr>
              <w:t xml:space="preserve"> for the Intervener Criminal Trial Lawyers' Association (Alberta)</w:t>
            </w:r>
          </w:p>
          <w:p w:rsidR="0023192C" w:rsidRPr="007C3AA8" w:rsidRDefault="0023192C" w:rsidP="0023192C">
            <w:pPr>
              <w:rPr>
                <w:sz w:val="20"/>
                <w:szCs w:val="20"/>
                <w:lang w:val="en-US"/>
              </w:rPr>
            </w:pPr>
          </w:p>
          <w:p w:rsidR="0023192C" w:rsidRPr="007C3AA8" w:rsidRDefault="0023192C" w:rsidP="0023192C">
            <w:pPr>
              <w:rPr>
                <w:sz w:val="20"/>
                <w:szCs w:val="20"/>
                <w:lang w:val="en-US"/>
              </w:rPr>
            </w:pPr>
            <w:r w:rsidRPr="007C3AA8">
              <w:rPr>
                <w:sz w:val="20"/>
                <w:szCs w:val="20"/>
                <w:lang w:val="en-US"/>
              </w:rPr>
              <w:t>Christian Leblanc and Tess Layton for the Intervener Ad Idem / Canadian Media Lawyers Association</w:t>
            </w:r>
          </w:p>
          <w:p w:rsidR="0023192C" w:rsidRPr="007C3AA8" w:rsidRDefault="0023192C" w:rsidP="0023192C">
            <w:pPr>
              <w:rPr>
                <w:sz w:val="20"/>
                <w:szCs w:val="20"/>
                <w:lang w:val="en-US"/>
              </w:rPr>
            </w:pPr>
          </w:p>
          <w:p w:rsidR="0023192C" w:rsidRPr="007C3AA8" w:rsidRDefault="0023192C" w:rsidP="0023192C">
            <w:pPr>
              <w:rPr>
                <w:sz w:val="20"/>
                <w:szCs w:val="20"/>
                <w:lang w:val="en-US"/>
              </w:rPr>
            </w:pPr>
            <w:r w:rsidRPr="007C3AA8">
              <w:rPr>
                <w:sz w:val="20"/>
                <w:szCs w:val="20"/>
                <w:lang w:val="en-US"/>
              </w:rPr>
              <w:t xml:space="preserve">Joanne B. </w:t>
            </w:r>
            <w:proofErr w:type="spellStart"/>
            <w:r w:rsidRPr="007C3AA8">
              <w:rPr>
                <w:sz w:val="20"/>
                <w:szCs w:val="20"/>
                <w:lang w:val="en-US"/>
              </w:rPr>
              <w:t>Dartana</w:t>
            </w:r>
            <w:proofErr w:type="spellEnd"/>
            <w:r w:rsidRPr="007C3AA8">
              <w:rPr>
                <w:sz w:val="20"/>
                <w:szCs w:val="20"/>
                <w:lang w:val="en-US"/>
              </w:rPr>
              <w:t xml:space="preserve"> and Christine </w:t>
            </w:r>
            <w:proofErr w:type="spellStart"/>
            <w:r w:rsidRPr="007C3AA8">
              <w:rPr>
                <w:sz w:val="20"/>
                <w:szCs w:val="20"/>
                <w:lang w:val="en-US"/>
              </w:rPr>
              <w:t>Rideout</w:t>
            </w:r>
            <w:proofErr w:type="spellEnd"/>
            <w:r w:rsidRPr="007C3AA8">
              <w:rPr>
                <w:sz w:val="20"/>
                <w:szCs w:val="20"/>
                <w:lang w:val="en-US"/>
              </w:rPr>
              <w:t xml:space="preserve"> for the Respondent Her Majesty the Queen</w:t>
            </w:r>
          </w:p>
          <w:p w:rsidR="0023192C" w:rsidRPr="007C3AA8" w:rsidRDefault="0023192C" w:rsidP="0023192C">
            <w:pPr>
              <w:rPr>
                <w:sz w:val="20"/>
                <w:szCs w:val="20"/>
                <w:lang w:val="en-US"/>
              </w:rPr>
            </w:pPr>
          </w:p>
          <w:p w:rsidR="0023192C" w:rsidRPr="007C3AA8" w:rsidRDefault="0023192C" w:rsidP="0023192C">
            <w:pPr>
              <w:rPr>
                <w:sz w:val="20"/>
                <w:szCs w:val="20"/>
                <w:lang w:val="en-US"/>
              </w:rPr>
            </w:pPr>
            <w:r w:rsidRPr="007C3AA8">
              <w:rPr>
                <w:sz w:val="20"/>
                <w:szCs w:val="20"/>
                <w:lang w:val="en-US"/>
              </w:rPr>
              <w:t>Jeffrey G. Johnston for the Intervener Attorney General of Canada</w:t>
            </w:r>
          </w:p>
          <w:p w:rsidR="0023192C" w:rsidRPr="007C3AA8" w:rsidRDefault="0023192C" w:rsidP="0023192C">
            <w:pPr>
              <w:rPr>
                <w:sz w:val="20"/>
                <w:szCs w:val="20"/>
              </w:rPr>
            </w:pPr>
          </w:p>
          <w:p w:rsidR="0023192C" w:rsidRPr="007C3AA8" w:rsidRDefault="0023192C" w:rsidP="0023192C">
            <w:pPr>
              <w:rPr>
                <w:sz w:val="20"/>
                <w:szCs w:val="20"/>
                <w:lang w:val="en-US"/>
              </w:rPr>
            </w:pPr>
            <w:r w:rsidRPr="007C3AA8">
              <w:rPr>
                <w:sz w:val="20"/>
                <w:szCs w:val="20"/>
              </w:rPr>
              <w:t xml:space="preserve">Christine Bartlett-Hughes, </w:t>
            </w:r>
            <w:r w:rsidRPr="007C3AA8">
              <w:rPr>
                <w:sz w:val="20"/>
                <w:szCs w:val="20"/>
                <w:lang w:val="en-US"/>
              </w:rPr>
              <w:t xml:space="preserve">Benita </w:t>
            </w:r>
            <w:proofErr w:type="spellStart"/>
            <w:r w:rsidRPr="007C3AA8">
              <w:rPr>
                <w:sz w:val="20"/>
                <w:szCs w:val="20"/>
                <w:lang w:val="en-US"/>
              </w:rPr>
              <w:t>Wassenaar</w:t>
            </w:r>
            <w:proofErr w:type="spellEnd"/>
            <w:r w:rsidRPr="007C3AA8">
              <w:rPr>
                <w:sz w:val="20"/>
                <w:szCs w:val="20"/>
                <w:lang w:val="en-US"/>
              </w:rPr>
              <w:t xml:space="preserve"> and Kate Forget for the Intervener Attorney General of Ontario</w:t>
            </w:r>
          </w:p>
          <w:p w:rsidR="0023192C" w:rsidRPr="007C3AA8" w:rsidRDefault="0023192C" w:rsidP="0023192C">
            <w:pPr>
              <w:rPr>
                <w:sz w:val="20"/>
                <w:szCs w:val="20"/>
                <w:lang w:val="en-US"/>
              </w:rPr>
            </w:pPr>
          </w:p>
          <w:p w:rsidR="0023192C" w:rsidRPr="007C3AA8" w:rsidRDefault="0023192C" w:rsidP="0023192C">
            <w:pPr>
              <w:rPr>
                <w:sz w:val="20"/>
                <w:szCs w:val="20"/>
                <w:lang w:val="fr-CA"/>
              </w:rPr>
            </w:pPr>
            <w:proofErr w:type="spellStart"/>
            <w:r w:rsidRPr="007C3AA8">
              <w:rPr>
                <w:sz w:val="20"/>
                <w:szCs w:val="20"/>
                <w:lang w:val="fr-CA"/>
              </w:rPr>
              <w:t>Andrej</w:t>
            </w:r>
            <w:proofErr w:type="spellEnd"/>
            <w:r w:rsidRPr="007C3AA8">
              <w:rPr>
                <w:sz w:val="20"/>
                <w:szCs w:val="20"/>
                <w:lang w:val="fr-CA"/>
              </w:rPr>
              <w:t xml:space="preserve"> </w:t>
            </w:r>
            <w:proofErr w:type="spellStart"/>
            <w:r w:rsidRPr="007C3AA8">
              <w:rPr>
                <w:sz w:val="20"/>
                <w:szCs w:val="20"/>
                <w:lang w:val="fr-CA"/>
              </w:rPr>
              <w:t>Skoko</w:t>
            </w:r>
            <w:proofErr w:type="spellEnd"/>
            <w:r w:rsidRPr="007C3AA8">
              <w:rPr>
                <w:sz w:val="20"/>
                <w:szCs w:val="20"/>
                <w:lang w:val="fr-CA"/>
              </w:rPr>
              <w:t xml:space="preserve"> et Isabelle </w:t>
            </w:r>
            <w:proofErr w:type="spellStart"/>
            <w:r w:rsidRPr="007C3AA8">
              <w:rPr>
                <w:sz w:val="20"/>
                <w:szCs w:val="20"/>
                <w:lang w:val="fr-CA"/>
              </w:rPr>
              <w:t>Doray</w:t>
            </w:r>
            <w:proofErr w:type="spellEnd"/>
            <w:r w:rsidRPr="007C3AA8">
              <w:rPr>
                <w:sz w:val="20"/>
                <w:szCs w:val="20"/>
                <w:lang w:val="fr-CA"/>
              </w:rPr>
              <w:t xml:space="preserve"> pour l’intervenan</w:t>
            </w:r>
            <w:r w:rsidR="008F302C">
              <w:rPr>
                <w:sz w:val="20"/>
                <w:szCs w:val="20"/>
                <w:lang w:val="fr-CA"/>
              </w:rPr>
              <w:t>t</w:t>
            </w:r>
            <w:r w:rsidRPr="007C3AA8">
              <w:rPr>
                <w:sz w:val="20"/>
                <w:szCs w:val="20"/>
                <w:lang w:val="fr-CA"/>
              </w:rPr>
              <w:t xml:space="preserve"> Directeur des poursuites criminelles et pénales</w:t>
            </w:r>
          </w:p>
          <w:p w:rsidR="0023192C" w:rsidRPr="007C3AA8" w:rsidRDefault="0023192C" w:rsidP="0023192C">
            <w:pPr>
              <w:rPr>
                <w:sz w:val="20"/>
                <w:szCs w:val="20"/>
                <w:lang w:val="fr-CA"/>
              </w:rPr>
            </w:pPr>
          </w:p>
          <w:p w:rsidR="0023192C" w:rsidRPr="007C3AA8" w:rsidRDefault="0023192C" w:rsidP="0023192C">
            <w:pPr>
              <w:rPr>
                <w:sz w:val="20"/>
                <w:szCs w:val="20"/>
                <w:lang w:val="en-US"/>
              </w:rPr>
            </w:pPr>
            <w:r w:rsidRPr="007C3AA8">
              <w:rPr>
                <w:sz w:val="20"/>
                <w:szCs w:val="20"/>
                <w:lang w:val="en-US"/>
              </w:rPr>
              <w:t xml:space="preserve">Jennifer Mann and Renée </w:t>
            </w:r>
            <w:proofErr w:type="spellStart"/>
            <w:r w:rsidRPr="007C3AA8">
              <w:rPr>
                <w:sz w:val="20"/>
                <w:szCs w:val="20"/>
                <w:lang w:val="en-US"/>
              </w:rPr>
              <w:t>Lagimodière</w:t>
            </w:r>
            <w:proofErr w:type="spellEnd"/>
            <w:r w:rsidRPr="007C3AA8">
              <w:rPr>
                <w:sz w:val="20"/>
                <w:szCs w:val="20"/>
                <w:lang w:val="en-US"/>
              </w:rPr>
              <w:t xml:space="preserve"> for the Intervene</w:t>
            </w:r>
            <w:r w:rsidR="008F302C">
              <w:rPr>
                <w:sz w:val="20"/>
                <w:szCs w:val="20"/>
                <w:lang w:val="en-US"/>
              </w:rPr>
              <w:t>r</w:t>
            </w:r>
            <w:r w:rsidRPr="007C3AA8">
              <w:rPr>
                <w:sz w:val="20"/>
                <w:szCs w:val="20"/>
                <w:lang w:val="en-US"/>
              </w:rPr>
              <w:t xml:space="preserve"> Attorney General of Manitoba</w:t>
            </w:r>
          </w:p>
          <w:p w:rsidR="0023192C" w:rsidRPr="007C3AA8" w:rsidRDefault="0023192C" w:rsidP="0023192C">
            <w:pPr>
              <w:rPr>
                <w:sz w:val="20"/>
                <w:szCs w:val="20"/>
                <w:lang w:val="en-US"/>
              </w:rPr>
            </w:pPr>
          </w:p>
          <w:p w:rsidR="0023192C" w:rsidRPr="007C3AA8" w:rsidRDefault="0023192C" w:rsidP="0023192C">
            <w:pPr>
              <w:rPr>
                <w:sz w:val="20"/>
                <w:szCs w:val="20"/>
              </w:rPr>
            </w:pPr>
            <w:r w:rsidRPr="007C3AA8">
              <w:rPr>
                <w:sz w:val="20"/>
                <w:szCs w:val="20"/>
                <w:lang w:val="en-US"/>
              </w:rPr>
              <w:t xml:space="preserve">Janine </w:t>
            </w:r>
            <w:proofErr w:type="spellStart"/>
            <w:r w:rsidRPr="007C3AA8">
              <w:rPr>
                <w:sz w:val="20"/>
                <w:szCs w:val="20"/>
                <w:lang w:val="en-US"/>
              </w:rPr>
              <w:t>Benedet</w:t>
            </w:r>
            <w:proofErr w:type="spellEnd"/>
            <w:r w:rsidRPr="007C3AA8">
              <w:rPr>
                <w:sz w:val="20"/>
                <w:szCs w:val="20"/>
                <w:lang w:val="en-US"/>
              </w:rPr>
              <w:t xml:space="preserve"> and Gwendoline Allison for the Interveners Vancouver Rape Relief Society, et al.</w:t>
            </w:r>
          </w:p>
          <w:p w:rsidR="0023192C" w:rsidRPr="007C3AA8" w:rsidRDefault="0023192C" w:rsidP="0023192C">
            <w:pPr>
              <w:rPr>
                <w:sz w:val="20"/>
                <w:szCs w:val="20"/>
              </w:rPr>
            </w:pPr>
          </w:p>
          <w:p w:rsidR="0023192C" w:rsidRPr="007C3AA8" w:rsidRDefault="0023192C" w:rsidP="0023192C">
            <w:pPr>
              <w:rPr>
                <w:sz w:val="20"/>
                <w:szCs w:val="20"/>
                <w:lang w:val="en-US"/>
              </w:rPr>
            </w:pPr>
            <w:r w:rsidRPr="007C3AA8">
              <w:rPr>
                <w:sz w:val="20"/>
                <w:szCs w:val="20"/>
                <w:lang w:val="en-US"/>
              </w:rPr>
              <w:t>Julie McGregor</w:t>
            </w:r>
            <w:r w:rsidR="007C3AA8" w:rsidRPr="007C3AA8">
              <w:rPr>
                <w:sz w:val="20"/>
                <w:szCs w:val="20"/>
                <w:lang w:val="en-US"/>
              </w:rPr>
              <w:t xml:space="preserve"> and </w:t>
            </w:r>
            <w:r w:rsidR="007C3AA8" w:rsidRPr="007C3AA8">
              <w:rPr>
                <w:sz w:val="20"/>
                <w:szCs w:val="20"/>
              </w:rPr>
              <w:t xml:space="preserve">Stuart </w:t>
            </w:r>
            <w:proofErr w:type="spellStart"/>
            <w:r w:rsidR="007C3AA8" w:rsidRPr="007C3AA8">
              <w:rPr>
                <w:sz w:val="20"/>
                <w:szCs w:val="20"/>
              </w:rPr>
              <w:t>Wuttke</w:t>
            </w:r>
            <w:proofErr w:type="spellEnd"/>
            <w:r w:rsidR="007C3AA8" w:rsidRPr="007C3AA8">
              <w:rPr>
                <w:sz w:val="20"/>
                <w:szCs w:val="20"/>
              </w:rPr>
              <w:t xml:space="preserve"> f</w:t>
            </w:r>
            <w:r w:rsidR="007C3AA8" w:rsidRPr="007C3AA8">
              <w:rPr>
                <w:sz w:val="20"/>
                <w:szCs w:val="20"/>
                <w:lang w:val="en-US"/>
              </w:rPr>
              <w:t xml:space="preserve">or the Intervener </w:t>
            </w:r>
            <w:r w:rsidRPr="007C3AA8">
              <w:rPr>
                <w:sz w:val="20"/>
                <w:szCs w:val="20"/>
                <w:lang w:val="en-US"/>
              </w:rPr>
              <w:t>Assembly of First Nations</w:t>
            </w:r>
          </w:p>
          <w:p w:rsidR="0023192C" w:rsidRPr="007C3AA8" w:rsidRDefault="0023192C" w:rsidP="0023192C">
            <w:pPr>
              <w:rPr>
                <w:sz w:val="20"/>
                <w:szCs w:val="20"/>
                <w:lang w:val="en-US"/>
              </w:rPr>
            </w:pPr>
          </w:p>
          <w:p w:rsidR="0023192C" w:rsidRPr="007C3AA8" w:rsidRDefault="0023192C" w:rsidP="0023192C">
            <w:pPr>
              <w:rPr>
                <w:sz w:val="20"/>
                <w:szCs w:val="20"/>
                <w:lang w:val="en-US"/>
              </w:rPr>
            </w:pPr>
            <w:r w:rsidRPr="007C3AA8">
              <w:rPr>
                <w:sz w:val="20"/>
                <w:szCs w:val="20"/>
              </w:rPr>
              <w:t>Christa Big Canoe</w:t>
            </w:r>
            <w:r w:rsidR="007C3AA8" w:rsidRPr="007C3AA8">
              <w:rPr>
                <w:sz w:val="20"/>
                <w:szCs w:val="20"/>
              </w:rPr>
              <w:t xml:space="preserve"> and </w:t>
            </w:r>
            <w:r w:rsidR="007C3AA8" w:rsidRPr="007C3AA8">
              <w:rPr>
                <w:sz w:val="20"/>
                <w:szCs w:val="20"/>
                <w:lang w:val="en-US"/>
              </w:rPr>
              <w:t xml:space="preserve">Fanny </w:t>
            </w:r>
            <w:proofErr w:type="spellStart"/>
            <w:r w:rsidR="007C3AA8" w:rsidRPr="007C3AA8">
              <w:rPr>
                <w:sz w:val="20"/>
                <w:szCs w:val="20"/>
                <w:lang w:val="en-US"/>
              </w:rPr>
              <w:t>Wylde</w:t>
            </w:r>
            <w:proofErr w:type="spellEnd"/>
            <w:r w:rsidR="007C3AA8" w:rsidRPr="007C3AA8">
              <w:rPr>
                <w:sz w:val="20"/>
                <w:szCs w:val="20"/>
                <w:lang w:val="en-US"/>
              </w:rPr>
              <w:t xml:space="preserve"> for the Intervener </w:t>
            </w:r>
            <w:r w:rsidRPr="007C3AA8">
              <w:rPr>
                <w:sz w:val="20"/>
                <w:szCs w:val="20"/>
                <w:lang w:val="en-US"/>
              </w:rPr>
              <w:t xml:space="preserve">National Inquiry into Missing and </w:t>
            </w:r>
          </w:p>
          <w:p w:rsidR="0023192C" w:rsidRPr="007C3AA8" w:rsidRDefault="0023192C" w:rsidP="0023192C">
            <w:pPr>
              <w:rPr>
                <w:sz w:val="20"/>
                <w:szCs w:val="20"/>
                <w:lang w:val="en-US"/>
              </w:rPr>
            </w:pPr>
            <w:r w:rsidRPr="007C3AA8">
              <w:rPr>
                <w:sz w:val="20"/>
                <w:szCs w:val="20"/>
                <w:lang w:val="en-US"/>
              </w:rPr>
              <w:t xml:space="preserve">Murdered Indigenous Women and Girls </w:t>
            </w:r>
          </w:p>
          <w:p w:rsidR="0023192C" w:rsidRPr="007C3AA8" w:rsidRDefault="0023192C" w:rsidP="0023192C">
            <w:pPr>
              <w:rPr>
                <w:sz w:val="20"/>
                <w:szCs w:val="20"/>
                <w:lang w:val="en-US"/>
              </w:rPr>
            </w:pPr>
          </w:p>
          <w:p w:rsidR="0023192C" w:rsidRPr="007C3AA8" w:rsidRDefault="0023192C" w:rsidP="0023192C">
            <w:pPr>
              <w:rPr>
                <w:sz w:val="20"/>
                <w:szCs w:val="20"/>
                <w:lang w:val="en-US"/>
              </w:rPr>
            </w:pPr>
            <w:r w:rsidRPr="007C3AA8">
              <w:rPr>
                <w:sz w:val="20"/>
                <w:szCs w:val="20"/>
                <w:lang w:val="en-US"/>
              </w:rPr>
              <w:t xml:space="preserve">Jonathan </w:t>
            </w:r>
            <w:proofErr w:type="spellStart"/>
            <w:r w:rsidRPr="007C3AA8">
              <w:rPr>
                <w:sz w:val="20"/>
                <w:szCs w:val="20"/>
                <w:lang w:val="en-US"/>
              </w:rPr>
              <w:t>Rudin</w:t>
            </w:r>
            <w:proofErr w:type="spellEnd"/>
            <w:r w:rsidR="007C3AA8" w:rsidRPr="007C3AA8">
              <w:rPr>
                <w:sz w:val="20"/>
                <w:szCs w:val="20"/>
                <w:lang w:val="en-US"/>
              </w:rPr>
              <w:t xml:space="preserve"> and Emily R. Hill for the Intervener A</w:t>
            </w:r>
            <w:r w:rsidRPr="007C3AA8">
              <w:rPr>
                <w:sz w:val="20"/>
                <w:szCs w:val="20"/>
                <w:lang w:val="en-US"/>
              </w:rPr>
              <w:t>boriginal Legal Services</w:t>
            </w:r>
          </w:p>
          <w:p w:rsidR="0023192C" w:rsidRPr="007C3AA8" w:rsidRDefault="0023192C" w:rsidP="0023192C">
            <w:pPr>
              <w:rPr>
                <w:sz w:val="20"/>
                <w:szCs w:val="20"/>
                <w:lang w:val="en-US"/>
              </w:rPr>
            </w:pPr>
          </w:p>
          <w:p w:rsidR="007C3AA8" w:rsidRPr="007C3AA8" w:rsidRDefault="0023192C" w:rsidP="0023192C">
            <w:pPr>
              <w:rPr>
                <w:sz w:val="20"/>
                <w:szCs w:val="20"/>
                <w:lang w:val="en-US"/>
              </w:rPr>
            </w:pPr>
            <w:r w:rsidRPr="007C3AA8">
              <w:rPr>
                <w:sz w:val="20"/>
                <w:szCs w:val="20"/>
                <w:lang w:val="en-US"/>
              </w:rPr>
              <w:t>Shaun O’Brien</w:t>
            </w:r>
            <w:r w:rsidR="007C3AA8" w:rsidRPr="007C3AA8">
              <w:rPr>
                <w:sz w:val="20"/>
                <w:szCs w:val="20"/>
                <w:lang w:val="en-US"/>
              </w:rPr>
              <w:t xml:space="preserve"> and Beverly Jacob f</w:t>
            </w:r>
            <w:r w:rsidRPr="007C3AA8">
              <w:rPr>
                <w:sz w:val="20"/>
                <w:szCs w:val="20"/>
                <w:lang w:val="en-US"/>
              </w:rPr>
              <w:t>or the Interveners</w:t>
            </w:r>
            <w:r w:rsidR="007C3AA8" w:rsidRPr="007C3AA8">
              <w:rPr>
                <w:sz w:val="20"/>
                <w:szCs w:val="20"/>
                <w:lang w:val="en-US"/>
              </w:rPr>
              <w:t xml:space="preserve"> </w:t>
            </w:r>
            <w:r w:rsidRPr="007C3AA8">
              <w:rPr>
                <w:sz w:val="20"/>
                <w:szCs w:val="20"/>
                <w:lang w:val="en-US"/>
              </w:rPr>
              <w:t>Institute for the Advancement of Aborigina</w:t>
            </w:r>
            <w:r w:rsidR="007C3AA8" w:rsidRPr="007C3AA8">
              <w:rPr>
                <w:sz w:val="20"/>
                <w:szCs w:val="20"/>
                <w:lang w:val="en-US"/>
              </w:rPr>
              <w:t xml:space="preserve">l </w:t>
            </w:r>
            <w:r w:rsidRPr="007C3AA8">
              <w:rPr>
                <w:sz w:val="20"/>
                <w:szCs w:val="20"/>
                <w:lang w:val="en-US"/>
              </w:rPr>
              <w:t>Women, et al.</w:t>
            </w:r>
          </w:p>
          <w:p w:rsidR="007C3AA8" w:rsidRPr="007C3AA8" w:rsidRDefault="007C3AA8" w:rsidP="0023192C">
            <w:pPr>
              <w:rPr>
                <w:sz w:val="20"/>
                <w:szCs w:val="20"/>
                <w:lang w:val="en-US"/>
              </w:rPr>
            </w:pPr>
          </w:p>
          <w:p w:rsidR="0023192C" w:rsidRPr="007C3AA8" w:rsidRDefault="0023192C" w:rsidP="0023192C">
            <w:pPr>
              <w:rPr>
                <w:sz w:val="20"/>
                <w:szCs w:val="20"/>
                <w:lang w:val="en-US"/>
              </w:rPr>
            </w:pPr>
            <w:r w:rsidRPr="007C3AA8">
              <w:rPr>
                <w:sz w:val="20"/>
                <w:szCs w:val="20"/>
              </w:rPr>
              <w:lastRenderedPageBreak/>
              <w:t xml:space="preserve">Jean </w:t>
            </w:r>
            <w:proofErr w:type="spellStart"/>
            <w:r w:rsidRPr="007C3AA8">
              <w:rPr>
                <w:sz w:val="20"/>
                <w:szCs w:val="20"/>
              </w:rPr>
              <w:t>Teillet</w:t>
            </w:r>
            <w:proofErr w:type="spellEnd"/>
            <w:r w:rsidRPr="007C3AA8">
              <w:rPr>
                <w:sz w:val="20"/>
                <w:szCs w:val="20"/>
                <w:lang w:val="en-US"/>
              </w:rPr>
              <w:t xml:space="preserve"> </w:t>
            </w:r>
            <w:r w:rsidR="007C3AA8" w:rsidRPr="007C3AA8">
              <w:rPr>
                <w:sz w:val="20"/>
                <w:szCs w:val="20"/>
                <w:lang w:val="en-US"/>
              </w:rPr>
              <w:t xml:space="preserve">for the Intervener </w:t>
            </w:r>
            <w:r w:rsidRPr="007C3AA8">
              <w:rPr>
                <w:sz w:val="20"/>
                <w:szCs w:val="20"/>
              </w:rPr>
              <w:t>Women of the Métis Nation /</w:t>
            </w:r>
            <w:r w:rsidR="007C3AA8" w:rsidRPr="007C3AA8">
              <w:rPr>
                <w:sz w:val="20"/>
                <w:szCs w:val="20"/>
              </w:rPr>
              <w:t xml:space="preserve"> </w:t>
            </w:r>
            <w:r w:rsidRPr="007C3AA8">
              <w:rPr>
                <w:sz w:val="20"/>
                <w:szCs w:val="20"/>
                <w:lang w:val="en-US"/>
              </w:rPr>
              <w:t xml:space="preserve">Les Femmes </w:t>
            </w:r>
            <w:proofErr w:type="spellStart"/>
            <w:r w:rsidRPr="007C3AA8">
              <w:rPr>
                <w:sz w:val="20"/>
                <w:szCs w:val="20"/>
                <w:lang w:val="en-US"/>
              </w:rPr>
              <w:t>Michif</w:t>
            </w:r>
            <w:proofErr w:type="spellEnd"/>
            <w:r w:rsidRPr="007C3AA8">
              <w:rPr>
                <w:sz w:val="20"/>
                <w:szCs w:val="20"/>
                <w:lang w:val="en-US"/>
              </w:rPr>
              <w:t xml:space="preserve"> </w:t>
            </w:r>
            <w:proofErr w:type="spellStart"/>
            <w:r w:rsidRPr="007C3AA8">
              <w:rPr>
                <w:sz w:val="20"/>
                <w:szCs w:val="20"/>
                <w:lang w:val="en-US"/>
              </w:rPr>
              <w:t>Otipemisiwak</w:t>
            </w:r>
            <w:proofErr w:type="spellEnd"/>
          </w:p>
          <w:p w:rsidR="0023192C" w:rsidRPr="007C3AA8" w:rsidRDefault="0023192C" w:rsidP="0023192C">
            <w:pPr>
              <w:rPr>
                <w:sz w:val="20"/>
                <w:szCs w:val="20"/>
                <w:lang w:val="en-US"/>
              </w:rPr>
            </w:pPr>
          </w:p>
          <w:p w:rsidR="0023192C" w:rsidRPr="00DE467A" w:rsidRDefault="0023192C" w:rsidP="007C3AA8">
            <w:pPr>
              <w:rPr>
                <w:sz w:val="20"/>
                <w:szCs w:val="20"/>
                <w:lang w:val="en-US"/>
              </w:rPr>
            </w:pPr>
            <w:r w:rsidRPr="007C3AA8">
              <w:rPr>
                <w:sz w:val="20"/>
                <w:szCs w:val="20"/>
                <w:lang w:val="en-US"/>
              </w:rPr>
              <w:t>Cheryl Milne</w:t>
            </w:r>
            <w:r w:rsidR="007C3AA8" w:rsidRPr="007C3AA8">
              <w:rPr>
                <w:sz w:val="20"/>
                <w:szCs w:val="20"/>
                <w:lang w:val="en-US"/>
              </w:rPr>
              <w:t xml:space="preserve"> f</w:t>
            </w:r>
            <w:r w:rsidRPr="007C3AA8">
              <w:rPr>
                <w:sz w:val="20"/>
                <w:szCs w:val="20"/>
                <w:lang w:val="en-US"/>
              </w:rPr>
              <w:t>or the Intervener</w:t>
            </w:r>
            <w:r w:rsidR="007C3AA8" w:rsidRPr="007C3AA8">
              <w:rPr>
                <w:sz w:val="20"/>
                <w:szCs w:val="20"/>
                <w:lang w:val="en-US"/>
              </w:rPr>
              <w:t xml:space="preserve"> </w:t>
            </w:r>
            <w:r w:rsidRPr="007C3AA8">
              <w:rPr>
                <w:sz w:val="20"/>
                <w:szCs w:val="20"/>
                <w:lang w:val="en-US"/>
              </w:rPr>
              <w:t>David Asper Centre for Constitutional Rights</w:t>
            </w:r>
          </w:p>
        </w:tc>
      </w:tr>
    </w:tbl>
    <w:p w:rsidR="0023192C" w:rsidRPr="00DE467A" w:rsidRDefault="0023192C" w:rsidP="0023192C">
      <w:pPr>
        <w:widowControl w:val="0"/>
        <w:rPr>
          <w:sz w:val="20"/>
          <w:szCs w:val="20"/>
          <w:lang w:val="en-US"/>
        </w:rPr>
      </w:pPr>
    </w:p>
    <w:p w:rsidR="0023192C" w:rsidRPr="0085476B" w:rsidRDefault="0023192C" w:rsidP="0023192C">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23192C" w:rsidRDefault="0023192C" w:rsidP="0023192C"/>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23192C" w:rsidRPr="00DB1C5D" w:rsidTr="0023192C">
        <w:tc>
          <w:tcPr>
            <w:tcW w:w="4380" w:type="dxa"/>
            <w:tcMar>
              <w:left w:w="0" w:type="dxa"/>
              <w:right w:w="0" w:type="dxa"/>
            </w:tcMar>
          </w:tcPr>
          <w:p w:rsidR="0023192C" w:rsidRPr="00CC4D84" w:rsidRDefault="0023192C" w:rsidP="0023192C">
            <w:pPr>
              <w:widowControl w:val="0"/>
              <w:jc w:val="both"/>
              <w:rPr>
                <w:b/>
                <w:sz w:val="20"/>
                <w:szCs w:val="20"/>
                <w:u w:val="single"/>
              </w:rPr>
            </w:pPr>
            <w:r w:rsidRPr="00CC4D84">
              <w:rPr>
                <w:b/>
                <w:sz w:val="20"/>
                <w:szCs w:val="20"/>
                <w:u w:val="single"/>
              </w:rPr>
              <w:t>Nature of the case:</w:t>
            </w:r>
          </w:p>
          <w:p w:rsidR="0023192C" w:rsidRPr="001A663B" w:rsidRDefault="0023192C" w:rsidP="0023192C">
            <w:pPr>
              <w:widowControl w:val="0"/>
              <w:jc w:val="both"/>
              <w:rPr>
                <w:b/>
                <w:sz w:val="20"/>
                <w:szCs w:val="20"/>
              </w:rPr>
            </w:pPr>
          </w:p>
          <w:p w:rsidR="0023192C" w:rsidRPr="00E46519" w:rsidRDefault="00E46519" w:rsidP="0023192C">
            <w:pPr>
              <w:widowControl w:val="0"/>
              <w:jc w:val="both"/>
              <w:rPr>
                <w:sz w:val="20"/>
                <w:szCs w:val="20"/>
              </w:rPr>
            </w:pPr>
            <w:r w:rsidRPr="00E46519">
              <w:rPr>
                <w:sz w:val="20"/>
                <w:szCs w:val="20"/>
              </w:rPr>
              <w:t xml:space="preserve">Criminal law - Charge to jury, Appeals, Powers of court of appeal - Criminal law - Charge to jury - Appeals - Powers of Court of Appeal - Accused causes fatal injury - Accused claims injury occurred accidentally during consensual sexual activity - Accused’s </w:t>
            </w:r>
            <w:proofErr w:type="spellStart"/>
            <w:r w:rsidRPr="00E46519">
              <w:rPr>
                <w:sz w:val="20"/>
                <w:szCs w:val="20"/>
              </w:rPr>
              <w:t>aquittal</w:t>
            </w:r>
            <w:proofErr w:type="spellEnd"/>
            <w:r w:rsidRPr="00E46519">
              <w:rPr>
                <w:sz w:val="20"/>
                <w:szCs w:val="20"/>
              </w:rPr>
              <w:t xml:space="preserve"> by jury of first degree murder or manslaughter overturned on appeal - Whether Court of Appeal compromised fundamental fairness of appeal - Whether charge to jury or Court of Appeal erred in respect of motive, post-offence conduct, evidence of prior sexual activity, risk of reasoning prejudice or unlawful act manslaughter?</w:t>
            </w:r>
          </w:p>
        </w:tc>
        <w:tc>
          <w:tcPr>
            <w:tcW w:w="720" w:type="dxa"/>
            <w:tcMar>
              <w:left w:w="0" w:type="dxa"/>
              <w:right w:w="0" w:type="dxa"/>
            </w:tcMar>
          </w:tcPr>
          <w:p w:rsidR="0023192C" w:rsidRPr="00C1697B" w:rsidRDefault="0023192C" w:rsidP="0023192C">
            <w:pPr>
              <w:widowControl w:val="0"/>
              <w:jc w:val="center"/>
              <w:rPr>
                <w:sz w:val="20"/>
                <w:szCs w:val="20"/>
              </w:rPr>
            </w:pPr>
          </w:p>
        </w:tc>
        <w:tc>
          <w:tcPr>
            <w:tcW w:w="4380" w:type="dxa"/>
            <w:tcMar>
              <w:left w:w="0" w:type="dxa"/>
              <w:right w:w="0" w:type="dxa"/>
            </w:tcMar>
          </w:tcPr>
          <w:p w:rsidR="0023192C" w:rsidRPr="00CC4D84" w:rsidRDefault="0023192C" w:rsidP="0023192C">
            <w:pPr>
              <w:widowControl w:val="0"/>
              <w:jc w:val="both"/>
              <w:rPr>
                <w:b/>
                <w:sz w:val="20"/>
                <w:szCs w:val="20"/>
                <w:u w:val="single"/>
                <w:lang w:val="fr-CA"/>
              </w:rPr>
            </w:pPr>
            <w:r w:rsidRPr="00CC4D84">
              <w:rPr>
                <w:b/>
                <w:sz w:val="20"/>
                <w:szCs w:val="20"/>
                <w:u w:val="single"/>
                <w:lang w:val="fr-CA"/>
              </w:rPr>
              <w:t>Nature de la cause :</w:t>
            </w:r>
          </w:p>
          <w:p w:rsidR="0023192C" w:rsidRPr="00C1697B" w:rsidRDefault="0023192C" w:rsidP="0023192C">
            <w:pPr>
              <w:widowControl w:val="0"/>
              <w:jc w:val="both"/>
              <w:rPr>
                <w:sz w:val="20"/>
                <w:szCs w:val="20"/>
                <w:lang w:val="fr-CA"/>
              </w:rPr>
            </w:pPr>
          </w:p>
          <w:p w:rsidR="0023192C" w:rsidRPr="00E46519" w:rsidRDefault="00E46519" w:rsidP="0023192C">
            <w:pPr>
              <w:widowControl w:val="0"/>
              <w:jc w:val="both"/>
              <w:rPr>
                <w:sz w:val="20"/>
                <w:szCs w:val="20"/>
                <w:lang w:val="fr-CA"/>
              </w:rPr>
            </w:pPr>
            <w:r w:rsidRPr="00E46519">
              <w:rPr>
                <w:sz w:val="20"/>
                <w:szCs w:val="20"/>
                <w:lang w:val="fr-CA"/>
              </w:rPr>
              <w:t>Droit criminel - Exposé au jury, Appels, Pouvoirs de la cour d'appel - Droit criminel - Exposé au jury - Appels - Pouvoirs de la Cour d’appel - Accusé ayant causé des lésions corporelles fatales - Prétention de l’accusé selon laquelle les lésions corporelles sont survenues accidentellement pendant une activité sexuelle consensuelle - Annulation en appel de l’acquittement de l’accusé prononcé par un jury quant à l’accusation de meurtre au premier degré ou d’homicide involontaire coupable - La Cour d’appel a-t-elle compromis l’équité fondamentale de l’appel? - Le juge du procès, dans son exposé au jury, ou la Cour d’appel ont-ils commis une erreur concernant les questions du motif, du comportement postérieur à l’infraction, de la preuve de comportement sexuel antérieur, du risque de préjudice par raisonnement ou de l’homicide involontaire coupab</w:t>
            </w:r>
            <w:r>
              <w:rPr>
                <w:sz w:val="20"/>
                <w:szCs w:val="20"/>
                <w:lang w:val="fr-CA"/>
              </w:rPr>
              <w:t>le résultant d’un acte illégal?</w:t>
            </w:r>
          </w:p>
        </w:tc>
      </w:tr>
    </w:tbl>
    <w:p w:rsidR="0023192C" w:rsidRDefault="0023192C" w:rsidP="0023192C">
      <w:pPr>
        <w:widowControl w:val="0"/>
        <w:rPr>
          <w:sz w:val="20"/>
          <w:szCs w:val="20"/>
          <w:lang w:val="fr-CA"/>
        </w:rPr>
      </w:pPr>
    </w:p>
    <w:p w:rsidR="0023192C" w:rsidRDefault="00F13243" w:rsidP="0023192C">
      <w:pPr>
        <w:widowControl w:val="0"/>
        <w:rPr>
          <w:sz w:val="20"/>
          <w:szCs w:val="20"/>
        </w:rPr>
      </w:pPr>
      <w:r>
        <w:rPr>
          <w:sz w:val="20"/>
          <w:szCs w:val="20"/>
          <w:lang w:val="fr-CA"/>
        </w:rPr>
        <w:pict>
          <v:rect id="_x0000_i1061" style="width:2in;height:1pt" o:hrpct="0" o:hralign="center" o:hrstd="t" o:hrnoshade="t" o:hr="t" fillcolor="black [3213]" stroked="f"/>
        </w:pict>
      </w:r>
    </w:p>
    <w:p w:rsidR="0023192C" w:rsidRDefault="0023192C" w:rsidP="0023192C">
      <w:pPr>
        <w:widowControl w:val="0"/>
        <w:rPr>
          <w:sz w:val="20"/>
          <w:szCs w:val="20"/>
        </w:rPr>
      </w:pPr>
    </w:p>
    <w:p w:rsidR="007C47C2" w:rsidRDefault="007C47C2" w:rsidP="007C47C2">
      <w:pPr>
        <w:widowControl w:val="0"/>
        <w:rPr>
          <w:sz w:val="20"/>
          <w:szCs w:val="20"/>
          <w:lang w:val="fr-CA"/>
        </w:rPr>
      </w:pPr>
    </w:p>
    <w:p w:rsidR="00E940EB" w:rsidRDefault="00E940EB" w:rsidP="00732DB7">
      <w:pPr>
        <w:widowControl w:val="0"/>
        <w:rPr>
          <w:sz w:val="20"/>
          <w:szCs w:val="20"/>
          <w:lang w:val="fr-CA"/>
        </w:rPr>
      </w:pPr>
    </w:p>
    <w:p w:rsidR="007C3AA8" w:rsidRDefault="007C3AA8">
      <w:pPr>
        <w:rPr>
          <w:sz w:val="20"/>
          <w:szCs w:val="20"/>
          <w:lang w:val="fr-CA"/>
        </w:rPr>
      </w:pPr>
      <w:r>
        <w:rPr>
          <w:sz w:val="20"/>
          <w:szCs w:val="20"/>
          <w:lang w:val="fr-CA"/>
        </w:rPr>
        <w:br w:type="page"/>
      </w:r>
    </w:p>
    <w:p w:rsidR="007C3AA8" w:rsidRPr="00DE467A" w:rsidRDefault="007C3AA8" w:rsidP="007C3AA8">
      <w:pPr>
        <w:widowControl w:val="0"/>
        <w:rPr>
          <w:sz w:val="20"/>
          <w:szCs w:val="20"/>
          <w:lang w:val="en-US"/>
        </w:rPr>
      </w:pPr>
      <w:r>
        <w:rPr>
          <w:sz w:val="20"/>
          <w:szCs w:val="20"/>
          <w:lang w:val="en-US"/>
        </w:rPr>
        <w:lastRenderedPageBreak/>
        <w:t>12</w:t>
      </w:r>
      <w:r w:rsidRPr="00DE467A">
        <w:rPr>
          <w:sz w:val="20"/>
          <w:szCs w:val="20"/>
          <w:lang w:val="en-US"/>
        </w:rPr>
        <w:t>.10.2018</w:t>
      </w:r>
    </w:p>
    <w:p w:rsidR="007C3AA8" w:rsidRPr="00DE467A" w:rsidRDefault="007C3AA8" w:rsidP="007C3AA8">
      <w:pPr>
        <w:widowControl w:val="0"/>
        <w:rPr>
          <w:sz w:val="20"/>
          <w:szCs w:val="20"/>
          <w:lang w:val="en-US"/>
        </w:rPr>
      </w:pPr>
    </w:p>
    <w:p w:rsidR="007C3AA8" w:rsidRPr="00E32F3A" w:rsidRDefault="007C3AA8" w:rsidP="007C3AA8">
      <w:pPr>
        <w:widowControl w:val="0"/>
        <w:ind w:left="720" w:hanging="720"/>
        <w:rPr>
          <w:sz w:val="20"/>
          <w:szCs w:val="20"/>
          <w:u w:val="single"/>
        </w:rPr>
      </w:pPr>
      <w:r w:rsidRPr="00DE467A">
        <w:rPr>
          <w:sz w:val="20"/>
          <w:szCs w:val="20"/>
          <w:lang w:val="en-US"/>
        </w:rPr>
        <w:t xml:space="preserve">Coram: </w:t>
      </w:r>
      <w:r w:rsidRPr="00DE467A">
        <w:rPr>
          <w:sz w:val="20"/>
          <w:szCs w:val="20"/>
          <w:lang w:val="en-US"/>
        </w:rPr>
        <w:tab/>
      </w:r>
      <w:r w:rsidRPr="00E32F3A">
        <w:rPr>
          <w:sz w:val="20"/>
          <w:szCs w:val="20"/>
          <w:u w:val="single"/>
        </w:rPr>
        <w:t>Wagner C.J. and Moldaver, Karakatsanis, Brown and Martin JJ.</w:t>
      </w:r>
    </w:p>
    <w:p w:rsidR="007C3AA8" w:rsidRPr="00DE467A" w:rsidRDefault="007C3AA8" w:rsidP="007C3AA8">
      <w:pPr>
        <w:widowControl w:val="0"/>
        <w:ind w:left="720" w:hanging="720"/>
        <w:rPr>
          <w:sz w:val="20"/>
          <w:szCs w:val="20"/>
          <w:u w:val="single"/>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3AA8" w:rsidRPr="00DE467A" w:rsidTr="00F13243">
        <w:tc>
          <w:tcPr>
            <w:tcW w:w="4380" w:type="dxa"/>
            <w:tcMar>
              <w:left w:w="0" w:type="dxa"/>
              <w:right w:w="0" w:type="dxa"/>
            </w:tcMar>
          </w:tcPr>
          <w:p w:rsidR="007C3AA8" w:rsidRPr="007C3AA8" w:rsidRDefault="007C3AA8" w:rsidP="00F13243">
            <w:pPr>
              <w:widowControl w:val="0"/>
              <w:rPr>
                <w:b/>
                <w:sz w:val="20"/>
                <w:szCs w:val="20"/>
                <w:lang w:val="en-US"/>
              </w:rPr>
            </w:pPr>
            <w:r>
              <w:rPr>
                <w:b/>
                <w:sz w:val="20"/>
                <w:szCs w:val="20"/>
                <w:lang w:val="en-US"/>
              </w:rPr>
              <w:t>Tom Le</w:t>
            </w:r>
          </w:p>
          <w:p w:rsidR="007C3AA8" w:rsidRPr="007C3AA8" w:rsidRDefault="007C3AA8" w:rsidP="00F13243">
            <w:pPr>
              <w:widowControl w:val="0"/>
              <w:rPr>
                <w:b/>
                <w:sz w:val="20"/>
                <w:szCs w:val="20"/>
                <w:lang w:val="en-US"/>
              </w:rPr>
            </w:pPr>
          </w:p>
          <w:p w:rsidR="007C3AA8" w:rsidRPr="007C3AA8" w:rsidRDefault="007C3AA8" w:rsidP="00F13243">
            <w:pPr>
              <w:widowControl w:val="0"/>
              <w:rPr>
                <w:b/>
                <w:sz w:val="20"/>
                <w:szCs w:val="20"/>
                <w:lang w:val="en-US"/>
              </w:rPr>
            </w:pPr>
            <w:r w:rsidRPr="007C3AA8">
              <w:rPr>
                <w:b/>
                <w:sz w:val="20"/>
                <w:szCs w:val="20"/>
                <w:lang w:val="en-US"/>
              </w:rPr>
              <w:tab/>
              <w:t xml:space="preserve">v. </w:t>
            </w:r>
            <w:r w:rsidRPr="007C3AA8">
              <w:rPr>
                <w:sz w:val="20"/>
                <w:szCs w:val="20"/>
                <w:lang w:val="en-US"/>
              </w:rPr>
              <w:t>(</w:t>
            </w:r>
            <w:hyperlink r:id="rId69" w:history="1">
              <w:r>
                <w:rPr>
                  <w:rStyle w:val="Hyperlink"/>
                  <w:sz w:val="20"/>
                  <w:szCs w:val="20"/>
                  <w:lang w:val="en-US"/>
                </w:rPr>
                <w:t>37971</w:t>
              </w:r>
            </w:hyperlink>
            <w:r w:rsidRPr="007C3AA8">
              <w:rPr>
                <w:sz w:val="20"/>
                <w:szCs w:val="20"/>
                <w:lang w:val="en-US"/>
              </w:rPr>
              <w:t>)</w:t>
            </w:r>
          </w:p>
          <w:p w:rsidR="007C3AA8" w:rsidRPr="007C3AA8" w:rsidRDefault="007C3AA8" w:rsidP="00F13243">
            <w:pPr>
              <w:widowControl w:val="0"/>
              <w:rPr>
                <w:b/>
                <w:sz w:val="20"/>
                <w:szCs w:val="20"/>
                <w:lang w:val="en-US"/>
              </w:rPr>
            </w:pPr>
          </w:p>
          <w:p w:rsidR="007C3AA8" w:rsidRPr="007C3AA8" w:rsidRDefault="007C3AA8" w:rsidP="007C3AA8">
            <w:pPr>
              <w:widowControl w:val="0"/>
              <w:rPr>
                <w:sz w:val="20"/>
                <w:szCs w:val="20"/>
                <w:lang w:val="en-US"/>
              </w:rPr>
            </w:pPr>
            <w:r>
              <w:rPr>
                <w:b/>
                <w:sz w:val="20"/>
                <w:szCs w:val="20"/>
                <w:lang w:val="en-US"/>
              </w:rPr>
              <w:t>Her Majesty the Queen</w:t>
            </w:r>
            <w:r w:rsidRPr="00DE467A">
              <w:rPr>
                <w:b/>
                <w:sz w:val="20"/>
                <w:szCs w:val="20"/>
                <w:lang w:val="en-US"/>
              </w:rPr>
              <w:t xml:space="preserve"> </w:t>
            </w:r>
            <w:r w:rsidRPr="007C3AA8">
              <w:rPr>
                <w:b/>
                <w:sz w:val="20"/>
                <w:szCs w:val="20"/>
                <w:lang w:val="en-US"/>
              </w:rPr>
              <w:t>(Ont.)</w:t>
            </w:r>
            <w:r>
              <w:rPr>
                <w:b/>
                <w:sz w:val="20"/>
                <w:szCs w:val="20"/>
                <w:lang w:val="en-US"/>
              </w:rPr>
              <w:t xml:space="preserve"> (Criminal</w:t>
            </w:r>
            <w:r w:rsidRPr="007C3AA8">
              <w:rPr>
                <w:b/>
                <w:sz w:val="20"/>
                <w:szCs w:val="20"/>
                <w:lang w:val="en-US"/>
              </w:rPr>
              <w:t>) (</w:t>
            </w:r>
            <w:r>
              <w:rPr>
                <w:b/>
                <w:sz w:val="20"/>
                <w:szCs w:val="20"/>
                <w:lang w:val="en-US"/>
              </w:rPr>
              <w:t>As of Right</w:t>
            </w:r>
            <w:r w:rsidRPr="007C3AA8">
              <w:rPr>
                <w:b/>
                <w:sz w:val="20"/>
                <w:szCs w:val="20"/>
                <w:lang w:val="en-US"/>
              </w:rPr>
              <w:t>)</w:t>
            </w:r>
            <w:r w:rsidRPr="007C3AA8">
              <w:rPr>
                <w:sz w:val="20"/>
                <w:szCs w:val="20"/>
                <w:lang w:val="en-US"/>
              </w:rPr>
              <w:t xml:space="preserve"> </w:t>
            </w:r>
          </w:p>
        </w:tc>
        <w:tc>
          <w:tcPr>
            <w:tcW w:w="720" w:type="dxa"/>
            <w:tcMar>
              <w:left w:w="0" w:type="dxa"/>
              <w:right w:w="0" w:type="dxa"/>
            </w:tcMar>
          </w:tcPr>
          <w:p w:rsidR="007C3AA8" w:rsidRPr="007C3AA8" w:rsidRDefault="007C3AA8" w:rsidP="00F13243">
            <w:pPr>
              <w:widowControl w:val="0"/>
              <w:jc w:val="center"/>
              <w:rPr>
                <w:sz w:val="20"/>
                <w:szCs w:val="20"/>
                <w:lang w:val="en-US"/>
              </w:rPr>
            </w:pPr>
          </w:p>
        </w:tc>
        <w:tc>
          <w:tcPr>
            <w:tcW w:w="4380" w:type="dxa"/>
            <w:tcMar>
              <w:left w:w="0" w:type="dxa"/>
              <w:right w:w="0" w:type="dxa"/>
            </w:tcMar>
          </w:tcPr>
          <w:p w:rsidR="007C3AA8" w:rsidRPr="007C3AA8" w:rsidRDefault="007C3AA8" w:rsidP="007C3AA8">
            <w:pPr>
              <w:rPr>
                <w:sz w:val="20"/>
                <w:szCs w:val="20"/>
                <w:lang w:val="en-US"/>
              </w:rPr>
            </w:pPr>
            <w:r w:rsidRPr="007C3AA8">
              <w:rPr>
                <w:sz w:val="20"/>
                <w:szCs w:val="20"/>
                <w:lang w:val="en-US"/>
              </w:rPr>
              <w:t>Emily Lam</w:t>
            </w:r>
            <w:r>
              <w:rPr>
                <w:sz w:val="20"/>
                <w:szCs w:val="20"/>
                <w:lang w:val="en-US"/>
              </w:rPr>
              <w:t xml:space="preserve"> and </w:t>
            </w:r>
            <w:r w:rsidRPr="007C3AA8">
              <w:rPr>
                <w:sz w:val="20"/>
                <w:szCs w:val="20"/>
                <w:lang w:val="en-US"/>
              </w:rPr>
              <w:t xml:space="preserve">Samara </w:t>
            </w:r>
            <w:proofErr w:type="spellStart"/>
            <w:r w:rsidRPr="007C3AA8">
              <w:rPr>
                <w:sz w:val="20"/>
                <w:szCs w:val="20"/>
                <w:lang w:val="en-US"/>
              </w:rPr>
              <w:t>Secter</w:t>
            </w:r>
            <w:proofErr w:type="spellEnd"/>
            <w:r>
              <w:rPr>
                <w:sz w:val="20"/>
                <w:szCs w:val="20"/>
                <w:lang w:val="en-US"/>
              </w:rPr>
              <w:t xml:space="preserve"> f</w:t>
            </w:r>
            <w:r w:rsidRPr="007C3AA8">
              <w:rPr>
                <w:sz w:val="20"/>
                <w:szCs w:val="20"/>
                <w:lang w:val="en-US"/>
              </w:rPr>
              <w:t>or the Appellant</w:t>
            </w:r>
          </w:p>
          <w:p w:rsidR="007C3AA8" w:rsidRPr="007C3AA8" w:rsidRDefault="007C3AA8" w:rsidP="007C3AA8">
            <w:pPr>
              <w:rPr>
                <w:sz w:val="20"/>
                <w:szCs w:val="20"/>
                <w:lang w:val="en-US"/>
              </w:rPr>
            </w:pPr>
            <w:r w:rsidRPr="007C3AA8">
              <w:rPr>
                <w:sz w:val="20"/>
                <w:szCs w:val="20"/>
                <w:lang w:val="en-US"/>
              </w:rPr>
              <w:t>Tom Le</w:t>
            </w:r>
          </w:p>
          <w:p w:rsidR="007C3AA8" w:rsidRPr="007C3AA8" w:rsidRDefault="007C3AA8" w:rsidP="007C3AA8">
            <w:pPr>
              <w:rPr>
                <w:sz w:val="20"/>
                <w:szCs w:val="20"/>
                <w:lang w:val="en-US"/>
              </w:rPr>
            </w:pPr>
          </w:p>
          <w:p w:rsidR="007C3AA8" w:rsidRPr="007C3AA8" w:rsidRDefault="007C3AA8" w:rsidP="007C3AA8">
            <w:pPr>
              <w:rPr>
                <w:sz w:val="20"/>
                <w:szCs w:val="20"/>
                <w:lang w:val="en-US"/>
              </w:rPr>
            </w:pPr>
            <w:r w:rsidRPr="007C3AA8">
              <w:rPr>
                <w:sz w:val="20"/>
                <w:szCs w:val="20"/>
                <w:lang w:val="en-US"/>
              </w:rPr>
              <w:t>Jonathan Dawe</w:t>
            </w:r>
            <w:r>
              <w:rPr>
                <w:sz w:val="20"/>
                <w:szCs w:val="20"/>
                <w:lang w:val="en-US"/>
              </w:rPr>
              <w:t xml:space="preserve"> and </w:t>
            </w:r>
            <w:proofErr w:type="spellStart"/>
            <w:r w:rsidRPr="007C3AA8">
              <w:rPr>
                <w:sz w:val="20"/>
                <w:szCs w:val="20"/>
                <w:lang w:val="en-US"/>
              </w:rPr>
              <w:t>Sherif</w:t>
            </w:r>
            <w:proofErr w:type="spellEnd"/>
            <w:r w:rsidRPr="007C3AA8">
              <w:rPr>
                <w:sz w:val="20"/>
                <w:szCs w:val="20"/>
                <w:lang w:val="en-US"/>
              </w:rPr>
              <w:t xml:space="preserve"> M. </w:t>
            </w:r>
            <w:proofErr w:type="spellStart"/>
            <w:r w:rsidRPr="007C3AA8">
              <w:rPr>
                <w:sz w:val="20"/>
                <w:szCs w:val="20"/>
                <w:lang w:val="en-US"/>
              </w:rPr>
              <w:t>Foda</w:t>
            </w:r>
            <w:proofErr w:type="spellEnd"/>
            <w:r w:rsidRPr="007C3AA8">
              <w:rPr>
                <w:sz w:val="20"/>
                <w:szCs w:val="20"/>
                <w:lang w:val="en-US"/>
              </w:rPr>
              <w:t xml:space="preserve"> </w:t>
            </w:r>
            <w:r>
              <w:rPr>
                <w:sz w:val="20"/>
                <w:szCs w:val="20"/>
                <w:lang w:val="en-US"/>
              </w:rPr>
              <w:t>f</w:t>
            </w:r>
            <w:r w:rsidRPr="007C3AA8">
              <w:rPr>
                <w:sz w:val="20"/>
                <w:szCs w:val="20"/>
                <w:lang w:val="en-US"/>
              </w:rPr>
              <w:t>or the Intervener</w:t>
            </w:r>
          </w:p>
          <w:p w:rsidR="007C3AA8" w:rsidRPr="007C3AA8" w:rsidRDefault="007C3AA8" w:rsidP="007C3AA8">
            <w:pPr>
              <w:rPr>
                <w:sz w:val="20"/>
                <w:szCs w:val="20"/>
                <w:lang w:val="en-US"/>
              </w:rPr>
            </w:pPr>
            <w:r w:rsidRPr="007C3AA8">
              <w:rPr>
                <w:sz w:val="20"/>
                <w:szCs w:val="20"/>
                <w:lang w:val="en-US"/>
              </w:rPr>
              <w:t>Criminal Lawyers’ Association of Ontario</w:t>
            </w:r>
          </w:p>
          <w:p w:rsidR="007C3AA8" w:rsidRPr="007C3AA8" w:rsidRDefault="007C3AA8" w:rsidP="007C3AA8">
            <w:pPr>
              <w:rPr>
                <w:sz w:val="20"/>
                <w:szCs w:val="20"/>
                <w:lang w:val="en-US"/>
              </w:rPr>
            </w:pPr>
          </w:p>
          <w:p w:rsidR="007C3AA8" w:rsidRPr="007C3AA8" w:rsidRDefault="007C3AA8" w:rsidP="007C3AA8">
            <w:pPr>
              <w:rPr>
                <w:sz w:val="20"/>
                <w:szCs w:val="20"/>
                <w:lang w:val="en-US"/>
              </w:rPr>
            </w:pPr>
            <w:r w:rsidRPr="007C3AA8">
              <w:rPr>
                <w:sz w:val="20"/>
                <w:szCs w:val="20"/>
                <w:lang w:val="en-US"/>
              </w:rPr>
              <w:t>Kate Robertson</w:t>
            </w:r>
            <w:r>
              <w:rPr>
                <w:sz w:val="20"/>
                <w:szCs w:val="20"/>
                <w:lang w:val="en-US"/>
              </w:rPr>
              <w:t xml:space="preserve">, </w:t>
            </w:r>
            <w:r w:rsidRPr="007C3AA8">
              <w:rPr>
                <w:sz w:val="20"/>
                <w:szCs w:val="20"/>
                <w:lang w:val="en-US"/>
              </w:rPr>
              <w:t xml:space="preserve">Danielle </w:t>
            </w:r>
            <w:proofErr w:type="spellStart"/>
            <w:r w:rsidRPr="007C3AA8">
              <w:rPr>
                <w:sz w:val="20"/>
                <w:szCs w:val="20"/>
                <w:lang w:val="en-US"/>
              </w:rPr>
              <w:t>Glatt</w:t>
            </w:r>
            <w:proofErr w:type="spellEnd"/>
            <w:r>
              <w:rPr>
                <w:sz w:val="20"/>
                <w:szCs w:val="20"/>
                <w:lang w:val="en-US"/>
              </w:rPr>
              <w:t xml:space="preserve"> and </w:t>
            </w:r>
            <w:r w:rsidRPr="007C3AA8">
              <w:rPr>
                <w:sz w:val="20"/>
                <w:szCs w:val="20"/>
                <w:lang w:val="en-US"/>
              </w:rPr>
              <w:t xml:space="preserve">Sean Lewis </w:t>
            </w:r>
            <w:r>
              <w:rPr>
                <w:sz w:val="20"/>
                <w:szCs w:val="20"/>
                <w:lang w:val="en-US"/>
              </w:rPr>
              <w:t>f</w:t>
            </w:r>
            <w:r w:rsidRPr="007C3AA8">
              <w:rPr>
                <w:sz w:val="20"/>
                <w:szCs w:val="20"/>
                <w:lang w:val="en-US"/>
              </w:rPr>
              <w:t>or the Intervener</w:t>
            </w:r>
            <w:r>
              <w:rPr>
                <w:sz w:val="20"/>
                <w:szCs w:val="20"/>
                <w:lang w:val="en-US"/>
              </w:rPr>
              <w:t xml:space="preserve"> </w:t>
            </w:r>
            <w:r w:rsidRPr="007C3AA8">
              <w:rPr>
                <w:sz w:val="20"/>
                <w:szCs w:val="20"/>
                <w:lang w:val="en-US"/>
              </w:rPr>
              <w:t>Canadian Civil Liberties Association</w:t>
            </w:r>
          </w:p>
          <w:p w:rsidR="007C3AA8" w:rsidRPr="007C3AA8" w:rsidRDefault="007C3AA8" w:rsidP="007C3AA8">
            <w:pPr>
              <w:rPr>
                <w:sz w:val="20"/>
                <w:szCs w:val="20"/>
                <w:lang w:val="en-US"/>
              </w:rPr>
            </w:pPr>
          </w:p>
          <w:p w:rsidR="007C3AA8" w:rsidRPr="007C3AA8" w:rsidRDefault="007C3AA8" w:rsidP="007C3AA8">
            <w:pPr>
              <w:rPr>
                <w:sz w:val="20"/>
                <w:szCs w:val="20"/>
                <w:lang w:val="en-US"/>
              </w:rPr>
            </w:pPr>
            <w:r w:rsidRPr="007C3AA8">
              <w:rPr>
                <w:sz w:val="20"/>
                <w:szCs w:val="20"/>
                <w:lang w:val="en-US"/>
              </w:rPr>
              <w:t>Faisal Mirza</w:t>
            </w:r>
            <w:r>
              <w:rPr>
                <w:sz w:val="20"/>
                <w:szCs w:val="20"/>
                <w:lang w:val="en-US"/>
              </w:rPr>
              <w:t xml:space="preserve"> f</w:t>
            </w:r>
            <w:r w:rsidRPr="007C3AA8">
              <w:rPr>
                <w:sz w:val="20"/>
                <w:szCs w:val="20"/>
                <w:lang w:val="en-US"/>
              </w:rPr>
              <w:t>or the Intervener</w:t>
            </w:r>
            <w:r w:rsidR="008F302C">
              <w:rPr>
                <w:sz w:val="20"/>
                <w:szCs w:val="20"/>
                <w:lang w:val="en-US"/>
              </w:rPr>
              <w:t xml:space="preserve"> </w:t>
            </w:r>
            <w:r w:rsidRPr="007C3AA8">
              <w:rPr>
                <w:sz w:val="20"/>
                <w:szCs w:val="20"/>
                <w:lang w:val="en-US"/>
              </w:rPr>
              <w:t>Canadian Muslim Lawyers Association</w:t>
            </w:r>
          </w:p>
          <w:p w:rsidR="007C3AA8" w:rsidRPr="007C3AA8" w:rsidRDefault="007C3AA8" w:rsidP="007C3AA8">
            <w:pPr>
              <w:rPr>
                <w:sz w:val="20"/>
                <w:szCs w:val="20"/>
                <w:lang w:val="en-US"/>
              </w:rPr>
            </w:pPr>
          </w:p>
          <w:p w:rsidR="007C3AA8" w:rsidRPr="007C3AA8" w:rsidRDefault="007C3AA8" w:rsidP="007C3AA8">
            <w:pPr>
              <w:rPr>
                <w:sz w:val="20"/>
                <w:szCs w:val="20"/>
                <w:lang w:val="en-US"/>
              </w:rPr>
            </w:pPr>
            <w:r w:rsidRPr="007C3AA8">
              <w:rPr>
                <w:sz w:val="20"/>
                <w:szCs w:val="20"/>
                <w:lang w:val="en-US"/>
              </w:rPr>
              <w:t>Gerald Chan</w:t>
            </w:r>
            <w:r>
              <w:rPr>
                <w:sz w:val="20"/>
                <w:szCs w:val="20"/>
                <w:lang w:val="en-US"/>
              </w:rPr>
              <w:t xml:space="preserve">, </w:t>
            </w:r>
            <w:r w:rsidRPr="007C3AA8">
              <w:rPr>
                <w:sz w:val="20"/>
                <w:szCs w:val="20"/>
                <w:lang w:val="en-US"/>
              </w:rPr>
              <w:t>Lindsay Board</w:t>
            </w:r>
            <w:r>
              <w:rPr>
                <w:sz w:val="20"/>
                <w:szCs w:val="20"/>
                <w:lang w:val="en-US"/>
              </w:rPr>
              <w:t xml:space="preserve"> and </w:t>
            </w:r>
            <w:bookmarkStart w:id="1" w:name="_GoBack"/>
            <w:bookmarkEnd w:id="1"/>
            <w:r>
              <w:rPr>
                <w:sz w:val="20"/>
                <w:szCs w:val="20"/>
                <w:lang w:val="en-US"/>
              </w:rPr>
              <w:t>f</w:t>
            </w:r>
            <w:r w:rsidRPr="007C3AA8">
              <w:rPr>
                <w:sz w:val="20"/>
                <w:szCs w:val="20"/>
                <w:lang w:val="en-US"/>
              </w:rPr>
              <w:t>or the Interveners</w:t>
            </w:r>
            <w:r>
              <w:rPr>
                <w:sz w:val="20"/>
                <w:szCs w:val="20"/>
                <w:lang w:val="en-US"/>
              </w:rPr>
              <w:t xml:space="preserve"> </w:t>
            </w:r>
            <w:r w:rsidRPr="007C3AA8">
              <w:rPr>
                <w:sz w:val="20"/>
                <w:szCs w:val="20"/>
                <w:lang w:val="en-US"/>
              </w:rPr>
              <w:t>Federation of Asian Canadian Lawyers, et al</w:t>
            </w:r>
          </w:p>
          <w:p w:rsidR="007C3AA8" w:rsidRPr="007C3AA8" w:rsidRDefault="007C3AA8" w:rsidP="007C3AA8">
            <w:pPr>
              <w:rPr>
                <w:sz w:val="20"/>
                <w:szCs w:val="20"/>
                <w:lang w:val="en-US"/>
              </w:rPr>
            </w:pPr>
          </w:p>
          <w:p w:rsidR="007C3AA8" w:rsidRPr="007C3AA8" w:rsidRDefault="007C3AA8" w:rsidP="007C3AA8">
            <w:pPr>
              <w:rPr>
                <w:sz w:val="20"/>
                <w:szCs w:val="20"/>
                <w:lang w:val="en-US"/>
              </w:rPr>
            </w:pPr>
            <w:r w:rsidRPr="007C3AA8">
              <w:rPr>
                <w:sz w:val="20"/>
                <w:szCs w:val="20"/>
                <w:lang w:val="en-US"/>
              </w:rPr>
              <w:t>Tina Lie</w:t>
            </w:r>
            <w:r>
              <w:rPr>
                <w:sz w:val="20"/>
                <w:szCs w:val="20"/>
                <w:lang w:val="en-US"/>
              </w:rPr>
              <w:t xml:space="preserve"> f</w:t>
            </w:r>
            <w:r w:rsidRPr="007C3AA8">
              <w:rPr>
                <w:sz w:val="20"/>
                <w:szCs w:val="20"/>
                <w:lang w:val="en-US"/>
              </w:rPr>
              <w:t>or the Intervener</w:t>
            </w:r>
            <w:r>
              <w:rPr>
                <w:sz w:val="20"/>
                <w:szCs w:val="20"/>
                <w:lang w:val="en-US"/>
              </w:rPr>
              <w:t xml:space="preserve"> </w:t>
            </w:r>
            <w:proofErr w:type="spellStart"/>
            <w:r w:rsidRPr="007C3AA8">
              <w:rPr>
                <w:sz w:val="20"/>
                <w:szCs w:val="20"/>
                <w:lang w:val="en-US"/>
              </w:rPr>
              <w:t>Scadding</w:t>
            </w:r>
            <w:proofErr w:type="spellEnd"/>
            <w:r w:rsidRPr="007C3AA8">
              <w:rPr>
                <w:sz w:val="20"/>
                <w:szCs w:val="20"/>
                <w:lang w:val="en-US"/>
              </w:rPr>
              <w:t xml:space="preserve"> Court Community Centre</w:t>
            </w:r>
          </w:p>
          <w:p w:rsidR="007C3AA8" w:rsidRPr="007C3AA8" w:rsidRDefault="007C3AA8" w:rsidP="007C3AA8">
            <w:pPr>
              <w:rPr>
                <w:sz w:val="20"/>
                <w:szCs w:val="20"/>
                <w:lang w:val="en-US"/>
              </w:rPr>
            </w:pPr>
          </w:p>
          <w:p w:rsidR="007C3AA8" w:rsidRPr="007C3AA8" w:rsidRDefault="007C3AA8" w:rsidP="007C3AA8">
            <w:pPr>
              <w:rPr>
                <w:sz w:val="20"/>
                <w:szCs w:val="20"/>
                <w:lang w:val="en-US"/>
              </w:rPr>
            </w:pPr>
            <w:r w:rsidRPr="007C3AA8">
              <w:rPr>
                <w:sz w:val="20"/>
                <w:szCs w:val="20"/>
                <w:lang w:val="en-US"/>
              </w:rPr>
              <w:t xml:space="preserve">Mary </w:t>
            </w:r>
            <w:proofErr w:type="spellStart"/>
            <w:r w:rsidRPr="007C3AA8">
              <w:rPr>
                <w:sz w:val="20"/>
                <w:szCs w:val="20"/>
                <w:lang w:val="en-US"/>
              </w:rPr>
              <w:t>Birdsell</w:t>
            </w:r>
            <w:proofErr w:type="spellEnd"/>
            <w:r>
              <w:rPr>
                <w:sz w:val="20"/>
                <w:szCs w:val="20"/>
                <w:lang w:val="en-US"/>
              </w:rPr>
              <w:t xml:space="preserve"> and </w:t>
            </w:r>
            <w:r w:rsidRPr="007C3AA8">
              <w:rPr>
                <w:sz w:val="20"/>
                <w:szCs w:val="20"/>
                <w:lang w:val="en-US"/>
              </w:rPr>
              <w:t xml:space="preserve">Jane Stewart </w:t>
            </w:r>
            <w:r>
              <w:rPr>
                <w:sz w:val="20"/>
                <w:szCs w:val="20"/>
                <w:lang w:val="en-US"/>
              </w:rPr>
              <w:t>f</w:t>
            </w:r>
            <w:r w:rsidRPr="007C3AA8">
              <w:rPr>
                <w:sz w:val="20"/>
                <w:szCs w:val="20"/>
                <w:lang w:val="en-US"/>
              </w:rPr>
              <w:t>or the Interveners</w:t>
            </w:r>
          </w:p>
          <w:p w:rsidR="007C3AA8" w:rsidRPr="007C3AA8" w:rsidRDefault="007C3AA8" w:rsidP="007C3AA8">
            <w:pPr>
              <w:rPr>
                <w:sz w:val="20"/>
                <w:szCs w:val="20"/>
                <w:lang w:val="en-US"/>
              </w:rPr>
            </w:pPr>
            <w:r w:rsidRPr="007C3AA8">
              <w:rPr>
                <w:sz w:val="20"/>
                <w:szCs w:val="20"/>
                <w:lang w:val="en-US"/>
              </w:rPr>
              <w:t>Justice for Children and Youth</w:t>
            </w:r>
          </w:p>
          <w:p w:rsidR="007C3AA8" w:rsidRPr="007C3AA8" w:rsidRDefault="007C3AA8" w:rsidP="007C3AA8">
            <w:pPr>
              <w:rPr>
                <w:sz w:val="20"/>
                <w:szCs w:val="20"/>
                <w:lang w:val="en-US"/>
              </w:rPr>
            </w:pPr>
          </w:p>
          <w:p w:rsidR="007C3AA8" w:rsidRPr="007C3AA8" w:rsidRDefault="007C3AA8" w:rsidP="007C3AA8">
            <w:pPr>
              <w:rPr>
                <w:sz w:val="20"/>
                <w:szCs w:val="20"/>
                <w:lang w:val="en-US"/>
              </w:rPr>
            </w:pPr>
            <w:r w:rsidRPr="007C3AA8">
              <w:rPr>
                <w:sz w:val="20"/>
                <w:szCs w:val="20"/>
                <w:lang w:val="en-US"/>
              </w:rPr>
              <w:t>No one appearing</w:t>
            </w:r>
            <w:r>
              <w:rPr>
                <w:sz w:val="20"/>
                <w:szCs w:val="20"/>
                <w:lang w:val="en-US"/>
              </w:rPr>
              <w:t xml:space="preserve"> f</w:t>
            </w:r>
            <w:r w:rsidRPr="007C3AA8">
              <w:rPr>
                <w:sz w:val="20"/>
                <w:szCs w:val="20"/>
                <w:lang w:val="en-US"/>
              </w:rPr>
              <w:t>or the Intervener</w:t>
            </w:r>
            <w:r>
              <w:rPr>
                <w:sz w:val="20"/>
                <w:szCs w:val="20"/>
                <w:lang w:val="en-US"/>
              </w:rPr>
              <w:t xml:space="preserve"> </w:t>
            </w:r>
            <w:r w:rsidRPr="007C3AA8">
              <w:rPr>
                <w:sz w:val="20"/>
                <w:szCs w:val="20"/>
                <w:lang w:val="en-US"/>
              </w:rPr>
              <w:t>Canada Without Poverty, et al.</w:t>
            </w:r>
          </w:p>
          <w:p w:rsidR="007C3AA8" w:rsidRPr="007C3AA8" w:rsidRDefault="007C3AA8" w:rsidP="007C3AA8">
            <w:pPr>
              <w:rPr>
                <w:sz w:val="20"/>
                <w:szCs w:val="20"/>
                <w:lang w:val="en-US"/>
              </w:rPr>
            </w:pPr>
          </w:p>
          <w:p w:rsidR="007C3AA8" w:rsidRPr="007C3AA8" w:rsidRDefault="007C3AA8" w:rsidP="007C3AA8">
            <w:pPr>
              <w:rPr>
                <w:sz w:val="20"/>
                <w:szCs w:val="20"/>
                <w:lang w:val="en-US"/>
              </w:rPr>
            </w:pPr>
            <w:r w:rsidRPr="007C3AA8">
              <w:rPr>
                <w:sz w:val="20"/>
                <w:szCs w:val="20"/>
                <w:lang w:val="en-US"/>
              </w:rPr>
              <w:t xml:space="preserve">No one appearing </w:t>
            </w:r>
            <w:r>
              <w:rPr>
                <w:sz w:val="20"/>
                <w:szCs w:val="20"/>
                <w:lang w:val="en-US"/>
              </w:rPr>
              <w:t>f</w:t>
            </w:r>
            <w:r w:rsidRPr="007C3AA8">
              <w:rPr>
                <w:sz w:val="20"/>
                <w:szCs w:val="20"/>
                <w:lang w:val="en-US"/>
              </w:rPr>
              <w:t>or the Intervener</w:t>
            </w:r>
            <w:r>
              <w:rPr>
                <w:sz w:val="20"/>
                <w:szCs w:val="20"/>
                <w:lang w:val="en-US"/>
              </w:rPr>
              <w:t xml:space="preserve"> </w:t>
            </w:r>
            <w:r w:rsidRPr="007C3AA8">
              <w:rPr>
                <w:sz w:val="20"/>
                <w:szCs w:val="20"/>
                <w:lang w:val="en-US"/>
              </w:rPr>
              <w:t>Urban Alliance on Race Relations</w:t>
            </w:r>
          </w:p>
          <w:p w:rsidR="007C3AA8" w:rsidRPr="007C3AA8" w:rsidRDefault="007C3AA8" w:rsidP="007C3AA8">
            <w:pPr>
              <w:rPr>
                <w:sz w:val="20"/>
                <w:szCs w:val="20"/>
                <w:lang w:val="en-US"/>
              </w:rPr>
            </w:pPr>
          </w:p>
          <w:p w:rsidR="007C3AA8" w:rsidRPr="007C3AA8" w:rsidRDefault="007C3AA8" w:rsidP="007C3AA8">
            <w:pPr>
              <w:rPr>
                <w:sz w:val="20"/>
                <w:szCs w:val="20"/>
                <w:lang w:val="en-US"/>
              </w:rPr>
            </w:pPr>
            <w:r w:rsidRPr="007C3AA8">
              <w:rPr>
                <w:sz w:val="20"/>
                <w:szCs w:val="20"/>
                <w:lang w:val="en-US"/>
              </w:rPr>
              <w:t xml:space="preserve">Sandy </w:t>
            </w:r>
            <w:proofErr w:type="spellStart"/>
            <w:r w:rsidRPr="007C3AA8">
              <w:rPr>
                <w:sz w:val="20"/>
                <w:szCs w:val="20"/>
                <w:lang w:val="en-US"/>
              </w:rPr>
              <w:t>Tse</w:t>
            </w:r>
            <w:proofErr w:type="spellEnd"/>
            <w:r>
              <w:rPr>
                <w:sz w:val="20"/>
                <w:szCs w:val="20"/>
                <w:lang w:val="en-US"/>
              </w:rPr>
              <w:t xml:space="preserve"> and </w:t>
            </w:r>
            <w:r w:rsidRPr="007C3AA8">
              <w:rPr>
                <w:sz w:val="20"/>
                <w:szCs w:val="20"/>
                <w:lang w:val="en-US"/>
              </w:rPr>
              <w:t>Amy Rose</w:t>
            </w:r>
            <w:r>
              <w:rPr>
                <w:sz w:val="20"/>
                <w:szCs w:val="20"/>
                <w:lang w:val="en-US"/>
              </w:rPr>
              <w:t xml:space="preserve"> f</w:t>
            </w:r>
            <w:r w:rsidRPr="007C3AA8">
              <w:rPr>
                <w:sz w:val="20"/>
                <w:szCs w:val="20"/>
                <w:lang w:val="en-US"/>
              </w:rPr>
              <w:t>or the Respondent</w:t>
            </w:r>
          </w:p>
          <w:p w:rsidR="007C3AA8" w:rsidRPr="007C3AA8" w:rsidRDefault="007C3AA8" w:rsidP="007C3AA8">
            <w:pPr>
              <w:rPr>
                <w:sz w:val="20"/>
                <w:szCs w:val="20"/>
                <w:lang w:val="en-US"/>
              </w:rPr>
            </w:pPr>
            <w:r w:rsidRPr="007C3AA8">
              <w:rPr>
                <w:sz w:val="20"/>
                <w:szCs w:val="20"/>
                <w:lang w:val="en-US"/>
              </w:rPr>
              <w:t>Her Majesty the Queen</w:t>
            </w:r>
          </w:p>
          <w:p w:rsidR="007C3AA8" w:rsidRPr="007C3AA8" w:rsidRDefault="007C3AA8" w:rsidP="007C3AA8">
            <w:pPr>
              <w:rPr>
                <w:sz w:val="20"/>
                <w:szCs w:val="20"/>
                <w:lang w:val="en-US"/>
              </w:rPr>
            </w:pPr>
          </w:p>
          <w:p w:rsidR="007C3AA8" w:rsidRPr="00DE467A" w:rsidRDefault="007C3AA8" w:rsidP="007C3AA8">
            <w:pPr>
              <w:rPr>
                <w:sz w:val="20"/>
                <w:szCs w:val="20"/>
                <w:lang w:val="en-US"/>
              </w:rPr>
            </w:pPr>
            <w:r w:rsidRPr="007C3AA8">
              <w:rPr>
                <w:sz w:val="20"/>
                <w:szCs w:val="20"/>
                <w:lang w:val="en-US"/>
              </w:rPr>
              <w:t>Janna A. Hyman</w:t>
            </w:r>
            <w:r>
              <w:rPr>
                <w:sz w:val="20"/>
                <w:szCs w:val="20"/>
                <w:lang w:val="en-US"/>
              </w:rPr>
              <w:t xml:space="preserve"> and Carole Sheppard f</w:t>
            </w:r>
            <w:r w:rsidRPr="007C3AA8">
              <w:rPr>
                <w:sz w:val="20"/>
                <w:szCs w:val="20"/>
                <w:lang w:val="en-US"/>
              </w:rPr>
              <w:t>or the Intervener</w:t>
            </w:r>
            <w:r>
              <w:rPr>
                <w:sz w:val="20"/>
                <w:szCs w:val="20"/>
                <w:lang w:val="en-US"/>
              </w:rPr>
              <w:t xml:space="preserve"> Director of Public Prosecutions</w:t>
            </w:r>
          </w:p>
        </w:tc>
      </w:tr>
    </w:tbl>
    <w:p w:rsidR="007C3AA8" w:rsidRPr="00DE467A" w:rsidRDefault="007C3AA8" w:rsidP="007C3AA8">
      <w:pPr>
        <w:widowControl w:val="0"/>
        <w:rPr>
          <w:sz w:val="20"/>
          <w:szCs w:val="20"/>
          <w:lang w:val="en-US"/>
        </w:rPr>
      </w:pPr>
    </w:p>
    <w:p w:rsidR="007C3AA8" w:rsidRPr="0085476B" w:rsidRDefault="007C3AA8" w:rsidP="007C3AA8">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7C3AA8" w:rsidRDefault="007C3AA8" w:rsidP="007C3AA8"/>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3AA8" w:rsidRPr="00DB1C5D" w:rsidTr="00F13243">
        <w:tc>
          <w:tcPr>
            <w:tcW w:w="4380" w:type="dxa"/>
            <w:tcMar>
              <w:left w:w="0" w:type="dxa"/>
              <w:right w:w="0" w:type="dxa"/>
            </w:tcMar>
          </w:tcPr>
          <w:p w:rsidR="007C3AA8" w:rsidRPr="00CC4D84" w:rsidRDefault="007C3AA8" w:rsidP="00F13243">
            <w:pPr>
              <w:widowControl w:val="0"/>
              <w:jc w:val="both"/>
              <w:rPr>
                <w:b/>
                <w:sz w:val="20"/>
                <w:szCs w:val="20"/>
                <w:u w:val="single"/>
              </w:rPr>
            </w:pPr>
            <w:r w:rsidRPr="00CC4D84">
              <w:rPr>
                <w:b/>
                <w:sz w:val="20"/>
                <w:szCs w:val="20"/>
                <w:u w:val="single"/>
              </w:rPr>
              <w:t>Nature of the case:</w:t>
            </w:r>
          </w:p>
          <w:p w:rsidR="007C3AA8" w:rsidRPr="001A663B" w:rsidRDefault="007C3AA8" w:rsidP="00F13243">
            <w:pPr>
              <w:widowControl w:val="0"/>
              <w:jc w:val="both"/>
              <w:rPr>
                <w:b/>
                <w:sz w:val="20"/>
                <w:szCs w:val="20"/>
              </w:rPr>
            </w:pPr>
          </w:p>
          <w:p w:rsidR="007C3AA8" w:rsidRPr="00B418CC" w:rsidRDefault="00B418CC" w:rsidP="00F13243">
            <w:pPr>
              <w:widowControl w:val="0"/>
              <w:jc w:val="both"/>
              <w:rPr>
                <w:sz w:val="20"/>
                <w:szCs w:val="20"/>
              </w:rPr>
            </w:pPr>
            <w:r w:rsidRPr="00B418CC">
              <w:rPr>
                <w:sz w:val="20"/>
                <w:szCs w:val="20"/>
              </w:rPr>
              <w:t>Constitutional law - Charter of Rights - Search and seizure - Arbitrary detention - Remedy - Exclusion of evidence - Whether police breached accused’s right to be free from unreasonable search or seizure - Whether police breached accused’s right to be free from arbitrary detention - Whether breaches of accused’s rights warrant exclusion of evidence - Canadian Charter of Rights and Freedoms, ss. 8, 9, 24(2).</w:t>
            </w:r>
          </w:p>
        </w:tc>
        <w:tc>
          <w:tcPr>
            <w:tcW w:w="720" w:type="dxa"/>
            <w:tcMar>
              <w:left w:w="0" w:type="dxa"/>
              <w:right w:w="0" w:type="dxa"/>
            </w:tcMar>
          </w:tcPr>
          <w:p w:rsidR="007C3AA8" w:rsidRPr="00C1697B" w:rsidRDefault="007C3AA8" w:rsidP="00F13243">
            <w:pPr>
              <w:widowControl w:val="0"/>
              <w:jc w:val="center"/>
              <w:rPr>
                <w:sz w:val="20"/>
                <w:szCs w:val="20"/>
              </w:rPr>
            </w:pPr>
          </w:p>
        </w:tc>
        <w:tc>
          <w:tcPr>
            <w:tcW w:w="4380" w:type="dxa"/>
            <w:tcMar>
              <w:left w:w="0" w:type="dxa"/>
              <w:right w:w="0" w:type="dxa"/>
            </w:tcMar>
          </w:tcPr>
          <w:p w:rsidR="007C3AA8" w:rsidRPr="00CC4D84" w:rsidRDefault="007C3AA8" w:rsidP="00F13243">
            <w:pPr>
              <w:widowControl w:val="0"/>
              <w:jc w:val="both"/>
              <w:rPr>
                <w:b/>
                <w:sz w:val="20"/>
                <w:szCs w:val="20"/>
                <w:u w:val="single"/>
                <w:lang w:val="fr-CA"/>
              </w:rPr>
            </w:pPr>
            <w:r w:rsidRPr="00CC4D84">
              <w:rPr>
                <w:b/>
                <w:sz w:val="20"/>
                <w:szCs w:val="20"/>
                <w:u w:val="single"/>
                <w:lang w:val="fr-CA"/>
              </w:rPr>
              <w:t>Nature de la cause :</w:t>
            </w:r>
          </w:p>
          <w:p w:rsidR="007C3AA8" w:rsidRPr="00C1697B" w:rsidRDefault="007C3AA8" w:rsidP="00F13243">
            <w:pPr>
              <w:widowControl w:val="0"/>
              <w:jc w:val="both"/>
              <w:rPr>
                <w:sz w:val="20"/>
                <w:szCs w:val="20"/>
                <w:lang w:val="fr-CA"/>
              </w:rPr>
            </w:pPr>
          </w:p>
          <w:p w:rsidR="007C3AA8" w:rsidRPr="00B418CC" w:rsidRDefault="00B418CC" w:rsidP="00F13243">
            <w:pPr>
              <w:widowControl w:val="0"/>
              <w:jc w:val="both"/>
              <w:rPr>
                <w:sz w:val="20"/>
                <w:szCs w:val="20"/>
                <w:lang w:val="fr-CA"/>
              </w:rPr>
            </w:pPr>
            <w:r w:rsidRPr="00B418CC">
              <w:rPr>
                <w:sz w:val="20"/>
                <w:szCs w:val="20"/>
                <w:lang w:val="fr-CA"/>
              </w:rPr>
              <w:t>Droit constitutionnel - Charte des droits - Fouilles, perquisitions et saisies - Détention arbitraire - Réparation - Exclusion de la preuve - Les policiers ont-ils porté atteinte au droit de l’accusé à la protection contre les fouilles, perquisitions ou saisies abusives? - Les policiers ont-ils porté atteinte au droit de l’accusé à la protection contre la détention arbitraire? - Les atteintes aux droits de l’accusé justifient-elles l’exclusion de la preuve? - Charte canadienne des droits et libertés, art. 8, 9, 24(2).</w:t>
            </w:r>
          </w:p>
        </w:tc>
      </w:tr>
    </w:tbl>
    <w:p w:rsidR="007C3AA8" w:rsidRDefault="00F13243" w:rsidP="007C3AA8">
      <w:pPr>
        <w:widowControl w:val="0"/>
        <w:rPr>
          <w:sz w:val="20"/>
          <w:szCs w:val="20"/>
        </w:rPr>
      </w:pPr>
      <w:r>
        <w:rPr>
          <w:sz w:val="20"/>
          <w:szCs w:val="20"/>
          <w:lang w:val="fr-CA"/>
        </w:rPr>
        <w:pict>
          <v:rect id="_x0000_i1062" style="width:2in;height:1pt" o:hrpct="0" o:hralign="center" o:hrstd="t" o:hrnoshade="t" o:hr="t" fillcolor="black [3213]" stroked="f"/>
        </w:pict>
      </w: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70"/>
          <w:headerReference w:type="default" r:id="rId71"/>
          <w:footerReference w:type="even" r:id="rId72"/>
          <w:footerReference w:type="default" r:id="rId73"/>
          <w:headerReference w:type="first" r:id="rId74"/>
          <w:footerReference w:type="first" r:id="rId75"/>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DB1C5D"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D17E89" w:rsidRDefault="00E32F3A" w:rsidP="0052229C">
      <w:pPr>
        <w:rPr>
          <w:b/>
          <w:sz w:val="20"/>
          <w:szCs w:val="20"/>
          <w:lang w:val="en-US"/>
        </w:rPr>
      </w:pPr>
      <w:r w:rsidRPr="00D17E89">
        <w:rPr>
          <w:b/>
          <w:sz w:val="20"/>
          <w:szCs w:val="20"/>
          <w:lang w:val="en-US"/>
        </w:rPr>
        <w:t>OCTOBER 11</w:t>
      </w:r>
      <w:r w:rsidR="0052229C" w:rsidRPr="00D17E89">
        <w:rPr>
          <w:b/>
          <w:sz w:val="20"/>
          <w:szCs w:val="20"/>
          <w:lang w:val="en-US"/>
        </w:rPr>
        <w:t>, 201</w:t>
      </w:r>
      <w:r w:rsidR="00C406CA" w:rsidRPr="00D17E89">
        <w:rPr>
          <w:b/>
          <w:sz w:val="20"/>
          <w:szCs w:val="20"/>
          <w:lang w:val="en-US"/>
        </w:rPr>
        <w:t>8</w:t>
      </w:r>
      <w:r w:rsidR="0052229C" w:rsidRPr="00D17E89">
        <w:rPr>
          <w:b/>
          <w:sz w:val="20"/>
          <w:szCs w:val="20"/>
          <w:lang w:val="en-US"/>
        </w:rPr>
        <w:t xml:space="preserve"> / LE </w:t>
      </w:r>
      <w:r w:rsidRPr="00D17E89">
        <w:rPr>
          <w:b/>
          <w:sz w:val="20"/>
          <w:szCs w:val="20"/>
          <w:lang w:val="en-US"/>
        </w:rPr>
        <w:t>11 OCTOBRE</w:t>
      </w:r>
      <w:r w:rsidR="0052229C" w:rsidRPr="00D17E89">
        <w:rPr>
          <w:b/>
          <w:sz w:val="20"/>
          <w:szCs w:val="20"/>
          <w:lang w:val="en-US"/>
        </w:rPr>
        <w:t xml:space="preserve"> 201</w:t>
      </w:r>
      <w:r w:rsidR="00C406CA" w:rsidRPr="00D17E89">
        <w:rPr>
          <w:b/>
          <w:sz w:val="20"/>
          <w:szCs w:val="20"/>
          <w:lang w:val="en-US"/>
        </w:rPr>
        <w:t>8</w:t>
      </w:r>
    </w:p>
    <w:p w:rsidR="0052229C" w:rsidRPr="00D17E89" w:rsidRDefault="0052229C" w:rsidP="0052229C">
      <w:pPr>
        <w:rPr>
          <w:sz w:val="20"/>
          <w:szCs w:val="20"/>
          <w:lang w:val="en-US"/>
        </w:rPr>
      </w:pPr>
    </w:p>
    <w:p w:rsidR="0052229C" w:rsidRPr="00E32F3A" w:rsidRDefault="000E27A5" w:rsidP="00E32F3A">
      <w:pPr>
        <w:ind w:left="1440" w:hanging="1440"/>
        <w:jc w:val="both"/>
        <w:rPr>
          <w:sz w:val="20"/>
          <w:lang w:val="en-US"/>
        </w:rPr>
      </w:pPr>
      <w:r w:rsidRPr="00202C5F">
        <w:rPr>
          <w:b/>
          <w:sz w:val="20"/>
        </w:rPr>
        <w:fldChar w:fldCharType="begin"/>
      </w:r>
      <w:r w:rsidR="0052229C" w:rsidRPr="00E32F3A">
        <w:rPr>
          <w:b/>
          <w:sz w:val="20"/>
          <w:lang w:val="en-US"/>
        </w:rPr>
        <w:instrText xml:space="preserve"> SEQ CHAPTER \h \r 1</w:instrText>
      </w:r>
      <w:r w:rsidRPr="00202C5F">
        <w:rPr>
          <w:b/>
          <w:sz w:val="20"/>
        </w:rPr>
        <w:fldChar w:fldCharType="end"/>
      </w:r>
      <w:r w:rsidR="003C28C4">
        <w:rPr>
          <w:b/>
          <w:sz w:val="20"/>
        </w:rPr>
        <w:t>37441</w:t>
      </w:r>
      <w:r w:rsidR="0052229C" w:rsidRPr="00E32F3A">
        <w:rPr>
          <w:sz w:val="20"/>
          <w:lang w:val="en-US"/>
        </w:rPr>
        <w:tab/>
      </w:r>
      <w:r w:rsidR="00E32F3A" w:rsidRPr="00E32F3A">
        <w:rPr>
          <w:b/>
          <w:sz w:val="20"/>
          <w:u w:val="single"/>
        </w:rPr>
        <w:t xml:space="preserve">Chief Steve </w:t>
      </w:r>
      <w:proofErr w:type="spellStart"/>
      <w:r w:rsidR="00E32F3A" w:rsidRPr="00E32F3A">
        <w:rPr>
          <w:b/>
          <w:sz w:val="20"/>
          <w:u w:val="single"/>
        </w:rPr>
        <w:t>Courtoreille</w:t>
      </w:r>
      <w:proofErr w:type="spellEnd"/>
      <w:r w:rsidR="00E32F3A" w:rsidRPr="00E32F3A">
        <w:rPr>
          <w:b/>
          <w:sz w:val="20"/>
          <w:u w:val="single"/>
        </w:rPr>
        <w:t xml:space="preserve"> on behalf of himself and the members of the </w:t>
      </w:r>
      <w:proofErr w:type="spellStart"/>
      <w:r w:rsidR="00E32F3A" w:rsidRPr="00E32F3A">
        <w:rPr>
          <w:b/>
          <w:sz w:val="20"/>
          <w:u w:val="single"/>
        </w:rPr>
        <w:t>Mikisew</w:t>
      </w:r>
      <w:proofErr w:type="spellEnd"/>
      <w:r w:rsidR="00E32F3A" w:rsidRPr="00E32F3A">
        <w:rPr>
          <w:b/>
          <w:sz w:val="20"/>
          <w:u w:val="single"/>
        </w:rPr>
        <w:t xml:space="preserve"> Cree First Nation</w:t>
      </w:r>
      <w:r w:rsidR="00E32F3A" w:rsidRPr="00E32F3A">
        <w:rPr>
          <w:b/>
          <w:iCs/>
          <w:sz w:val="20"/>
          <w:u w:val="single"/>
          <w:lang w:val="en-US"/>
        </w:rPr>
        <w:t xml:space="preserve"> </w:t>
      </w:r>
      <w:r w:rsidR="00E32F3A">
        <w:rPr>
          <w:b/>
          <w:iCs/>
          <w:sz w:val="20"/>
          <w:u w:val="single"/>
          <w:lang w:val="en-US"/>
        </w:rPr>
        <w:t xml:space="preserve">v. Governor General in Council et al. </w:t>
      </w:r>
      <w:r w:rsidR="0052229C" w:rsidRPr="00E32F3A">
        <w:rPr>
          <w:iCs/>
          <w:sz w:val="20"/>
          <w:lang w:val="en-US"/>
        </w:rPr>
        <w:t>(</w:t>
      </w:r>
      <w:r w:rsidR="00E32F3A">
        <w:rPr>
          <w:iCs/>
          <w:sz w:val="20"/>
          <w:lang w:val="en-US"/>
        </w:rPr>
        <w:t>F.C.</w:t>
      </w:r>
      <w:r w:rsidR="0052229C" w:rsidRPr="00E32F3A">
        <w:rPr>
          <w:iCs/>
          <w:sz w:val="20"/>
          <w:lang w:val="en-US"/>
        </w:rPr>
        <w:t>)</w:t>
      </w:r>
    </w:p>
    <w:p w:rsidR="0052229C" w:rsidRPr="00D17E89" w:rsidRDefault="003008F5"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060581">
        <w:rPr>
          <w:b/>
          <w:sz w:val="20"/>
          <w:lang w:val="en-US"/>
        </w:rPr>
        <w:t>2018</w:t>
      </w:r>
      <w:r w:rsidR="0052229C" w:rsidRPr="00060581">
        <w:rPr>
          <w:b/>
          <w:sz w:val="20"/>
          <w:lang w:val="en-US"/>
        </w:rPr>
        <w:t xml:space="preserve"> SCC </w:t>
      </w:r>
      <w:r w:rsidR="00403BCD" w:rsidRPr="00060581">
        <w:rPr>
          <w:b/>
          <w:sz w:val="20"/>
          <w:lang w:val="en-US"/>
        </w:rPr>
        <w:t>40</w:t>
      </w:r>
      <w:r w:rsidR="0052229C" w:rsidRPr="00060581">
        <w:rPr>
          <w:b/>
          <w:sz w:val="20"/>
          <w:lang w:val="en-US"/>
        </w:rPr>
        <w:t xml:space="preserve"> / </w:t>
      </w:r>
      <w:r w:rsidRPr="00060581">
        <w:rPr>
          <w:b/>
          <w:sz w:val="20"/>
          <w:lang w:val="en-US"/>
        </w:rPr>
        <w:t>2018</w:t>
      </w:r>
      <w:r w:rsidR="00403BCD" w:rsidRPr="00060581">
        <w:rPr>
          <w:b/>
          <w:sz w:val="20"/>
          <w:lang w:val="en-US"/>
        </w:rPr>
        <w:t xml:space="preserve"> CSC 40</w:t>
      </w:r>
    </w:p>
    <w:p w:rsidR="0052229C" w:rsidRPr="00D17E89"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E32F3A" w:rsidRPr="00E32F3A" w:rsidRDefault="0052229C" w:rsidP="00E32F3A">
      <w:pPr>
        <w:widowControl w:val="0"/>
        <w:ind w:left="720" w:hanging="720"/>
        <w:rPr>
          <w:sz w:val="20"/>
          <w:szCs w:val="20"/>
          <w:u w:val="single"/>
        </w:rPr>
      </w:pPr>
      <w:r w:rsidRPr="00E32F3A">
        <w:rPr>
          <w:sz w:val="20"/>
          <w:lang w:val="en-US"/>
        </w:rPr>
        <w:t>Coram:</w:t>
      </w:r>
      <w:r w:rsidRPr="00E32F3A">
        <w:rPr>
          <w:sz w:val="20"/>
          <w:lang w:val="en-US"/>
        </w:rPr>
        <w:tab/>
      </w:r>
      <w:r w:rsidR="00E32F3A" w:rsidRPr="00E32F3A">
        <w:rPr>
          <w:sz w:val="20"/>
          <w:szCs w:val="20"/>
          <w:u w:val="single"/>
        </w:rPr>
        <w:t>Wagner C.J. and Abella, Moldaver, Karakatsanis, Gascon, Côté, Brown, Rowe and Martin JJ.</w:t>
      </w:r>
    </w:p>
    <w:p w:rsidR="0056248C" w:rsidRPr="00E32F3A" w:rsidRDefault="0056248C" w:rsidP="0056248C">
      <w:pPr>
        <w:widowControl w:val="0"/>
        <w:ind w:left="720" w:hanging="720"/>
        <w:rPr>
          <w:sz w:val="20"/>
          <w:szCs w:val="20"/>
          <w:u w:val="single"/>
        </w:rPr>
      </w:pPr>
    </w:p>
    <w:p w:rsidR="004B5088" w:rsidRDefault="004B5088" w:rsidP="004B5088">
      <w:pPr>
        <w:rPr>
          <w:sz w:val="20"/>
          <w:szCs w:val="20"/>
        </w:rPr>
      </w:pPr>
      <w:r w:rsidRPr="00472360">
        <w:rPr>
          <w:sz w:val="20"/>
          <w:szCs w:val="20"/>
        </w:rPr>
        <w:t xml:space="preserve">The appeal from the judgment </w:t>
      </w:r>
      <w:bookmarkStart w:id="2" w:name="BM_1_"/>
      <w:bookmarkEnd w:id="2"/>
      <w:r w:rsidRPr="00472360">
        <w:rPr>
          <w:sz w:val="20"/>
          <w:szCs w:val="20"/>
        </w:rPr>
        <w:t>of the Federal Court of Appeal, Number A-29-15, 2016 FCA 311, dated December 7, 2016, heard on January 15, 2018, is dismissed.</w:t>
      </w:r>
    </w:p>
    <w:p w:rsidR="004B5088" w:rsidRDefault="004B5088" w:rsidP="004B5088">
      <w:pPr>
        <w:rPr>
          <w:sz w:val="20"/>
          <w:szCs w:val="20"/>
        </w:rPr>
      </w:pPr>
    </w:p>
    <w:p w:rsidR="004B5088" w:rsidRDefault="004B5088" w:rsidP="004B5088">
      <w:pPr>
        <w:jc w:val="both"/>
        <w:rPr>
          <w:sz w:val="20"/>
          <w:lang w:val="fr-CA"/>
        </w:rPr>
      </w:pPr>
      <w:r w:rsidRPr="00472360">
        <w:rPr>
          <w:sz w:val="20"/>
          <w:lang w:val="fr-CA"/>
        </w:rPr>
        <w:t>L’appel interjeté contre l’arrêt de la Cour d’appel fédérale, numéro A-29-15, 2016 CAF 311, daté du 7 décembre 2016, entendu le 15 janvier 2018, est rejeté.</w:t>
      </w:r>
    </w:p>
    <w:p w:rsidR="0052229C" w:rsidRPr="004B5088" w:rsidRDefault="0052229C" w:rsidP="0052229C">
      <w:pPr>
        <w:ind w:left="1440" w:hanging="1440"/>
        <w:rPr>
          <w:sz w:val="16"/>
          <w:u w:val="single"/>
          <w:lang w:val="fr-CA"/>
        </w:rPr>
      </w:pPr>
    </w:p>
    <w:p w:rsidR="0052229C" w:rsidRPr="004B5088" w:rsidRDefault="0052229C" w:rsidP="0052229C">
      <w:pPr>
        <w:rPr>
          <w:sz w:val="20"/>
          <w:szCs w:val="20"/>
          <w:lang w:val="fr-CA"/>
        </w:rPr>
      </w:pPr>
    </w:p>
    <w:p w:rsidR="0052229C" w:rsidRPr="003B3977" w:rsidRDefault="00F13243" w:rsidP="0052229C">
      <w:pPr>
        <w:spacing w:line="0" w:lineRule="atLeast"/>
        <w:rPr>
          <w:sz w:val="20"/>
          <w:szCs w:val="20"/>
        </w:rPr>
      </w:pPr>
      <w:r>
        <w:rPr>
          <w:b/>
          <w:sz w:val="20"/>
          <w:szCs w:val="20"/>
        </w:rPr>
        <w:pict>
          <v:rect id="_x0000_i1065"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76"/>
          <w:headerReference w:type="default" r:id="rId77"/>
          <w:footerReference w:type="even" r:id="rId78"/>
          <w:footerReference w:type="default" r:id="rId79"/>
          <w:headerReference w:type="first" r:id="rId80"/>
          <w:footerReference w:type="first" r:id="rId81"/>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2229C" w:rsidRPr="00DE5F0D" w:rsidRDefault="00DE5F0D" w:rsidP="00DE5F0D">
      <w:pPr>
        <w:tabs>
          <w:tab w:val="left" w:pos="0"/>
        </w:tabs>
        <w:jc w:val="both"/>
        <w:rPr>
          <w:sz w:val="20"/>
          <w:szCs w:val="20"/>
          <w:lang w:val="en-US"/>
        </w:rPr>
      </w:pPr>
      <w:r w:rsidRPr="00DE5F0D">
        <w:rPr>
          <w:rFonts w:eastAsia="Calibri"/>
          <w:i/>
          <w:sz w:val="20"/>
          <w:szCs w:val="20"/>
        </w:rPr>
        <w:t xml:space="preserve">Chief Steve </w:t>
      </w:r>
      <w:proofErr w:type="spellStart"/>
      <w:r w:rsidRPr="00DE5F0D">
        <w:rPr>
          <w:rFonts w:eastAsia="Calibri"/>
          <w:i/>
          <w:sz w:val="20"/>
          <w:szCs w:val="20"/>
        </w:rPr>
        <w:t>Courtoreille</w:t>
      </w:r>
      <w:proofErr w:type="spellEnd"/>
      <w:r w:rsidRPr="00DE5F0D">
        <w:rPr>
          <w:rFonts w:eastAsia="Calibri"/>
          <w:i/>
          <w:sz w:val="20"/>
          <w:szCs w:val="20"/>
        </w:rPr>
        <w:t xml:space="preserve"> on behalf of himself and the members of the </w:t>
      </w:r>
      <w:proofErr w:type="spellStart"/>
      <w:r w:rsidRPr="00DE5F0D">
        <w:rPr>
          <w:rFonts w:eastAsia="Calibri"/>
          <w:i/>
          <w:sz w:val="20"/>
          <w:szCs w:val="20"/>
        </w:rPr>
        <w:t>Mikisew</w:t>
      </w:r>
      <w:proofErr w:type="spellEnd"/>
      <w:r w:rsidRPr="00DE5F0D">
        <w:rPr>
          <w:rFonts w:eastAsia="Calibri"/>
          <w:i/>
          <w:sz w:val="20"/>
          <w:szCs w:val="20"/>
        </w:rPr>
        <w:t xml:space="preserve"> Cree First Nation</w:t>
      </w:r>
      <w:r w:rsidRPr="00DE5F0D">
        <w:rPr>
          <w:rFonts w:eastAsia="Calibri"/>
          <w:i/>
          <w:iCs/>
          <w:sz w:val="20"/>
          <w:szCs w:val="20"/>
          <w:lang w:val="en-US"/>
        </w:rPr>
        <w:t xml:space="preserve"> v. Governor General in Council et al.</w:t>
      </w:r>
      <w:r w:rsidRPr="00DE5F0D">
        <w:rPr>
          <w:rFonts w:eastAsia="Calibri"/>
          <w:i/>
          <w:sz w:val="20"/>
          <w:szCs w:val="20"/>
          <w:lang w:val="en-US"/>
        </w:rPr>
        <w:t xml:space="preserve"> </w:t>
      </w:r>
      <w:r w:rsidR="0052229C" w:rsidRPr="00DE5F0D">
        <w:rPr>
          <w:sz w:val="20"/>
          <w:szCs w:val="20"/>
          <w:lang w:val="en-US"/>
        </w:rPr>
        <w:t>(</w:t>
      </w:r>
      <w:r>
        <w:rPr>
          <w:sz w:val="20"/>
          <w:szCs w:val="20"/>
          <w:lang w:val="en-US"/>
        </w:rPr>
        <w:t>F.C.</w:t>
      </w:r>
      <w:r w:rsidR="0052229C" w:rsidRPr="00DE5F0D">
        <w:rPr>
          <w:sz w:val="20"/>
          <w:szCs w:val="20"/>
          <w:lang w:val="en-US"/>
        </w:rPr>
        <w:t>) (</w:t>
      </w:r>
      <w:hyperlink r:id="rId82" w:history="1">
        <w:r>
          <w:rPr>
            <w:rStyle w:val="Hyperlink"/>
            <w:sz w:val="20"/>
            <w:szCs w:val="20"/>
            <w:lang w:val="en-US"/>
          </w:rPr>
          <w:t>37441</w:t>
        </w:r>
      </w:hyperlink>
      <w:r w:rsidR="0052229C" w:rsidRPr="00DE5F0D">
        <w:rPr>
          <w:sz w:val="20"/>
          <w:szCs w:val="20"/>
          <w:lang w:val="en-US"/>
        </w:rPr>
        <w:t>)</w:t>
      </w:r>
    </w:p>
    <w:p w:rsidR="00DE5F0D" w:rsidRPr="00060581" w:rsidRDefault="00DE5F0D" w:rsidP="00DE5F0D">
      <w:pPr>
        <w:jc w:val="both"/>
        <w:rPr>
          <w:rFonts w:cs="Times New Roman"/>
          <w:b/>
          <w:sz w:val="20"/>
          <w:szCs w:val="20"/>
          <w:lang w:val="en-US" w:eastAsia="en-CA"/>
        </w:rPr>
      </w:pPr>
      <w:r>
        <w:rPr>
          <w:b/>
          <w:sz w:val="20"/>
          <w:szCs w:val="20"/>
          <w:lang w:val="en-US"/>
        </w:rPr>
        <w:t xml:space="preserve">Indexed as: </w:t>
      </w:r>
      <w:proofErr w:type="spellStart"/>
      <w:r w:rsidRPr="00DE5F0D">
        <w:rPr>
          <w:rFonts w:cs="Times New Roman"/>
          <w:b/>
          <w:sz w:val="20"/>
          <w:szCs w:val="20"/>
          <w:lang w:eastAsia="en-CA"/>
        </w:rPr>
        <w:t>Mikisew</w:t>
      </w:r>
      <w:proofErr w:type="spellEnd"/>
      <w:r w:rsidRPr="00DE5F0D">
        <w:rPr>
          <w:rFonts w:cs="Times New Roman"/>
          <w:b/>
          <w:sz w:val="20"/>
          <w:szCs w:val="20"/>
          <w:lang w:eastAsia="en-CA"/>
        </w:rPr>
        <w:t xml:space="preserve"> Cree First Nation </w:t>
      </w:r>
      <w:r w:rsidRPr="00DE5F0D">
        <w:rPr>
          <w:rFonts w:cs="Times New Roman"/>
          <w:b/>
          <w:i/>
          <w:sz w:val="20"/>
          <w:szCs w:val="20"/>
          <w:lang w:eastAsia="en-CA"/>
        </w:rPr>
        <w:t xml:space="preserve">v. </w:t>
      </w:r>
      <w:r w:rsidRPr="00DE5F0D">
        <w:rPr>
          <w:rFonts w:cs="Times New Roman"/>
          <w:b/>
          <w:sz w:val="20"/>
          <w:szCs w:val="20"/>
          <w:lang w:eastAsia="en-CA"/>
        </w:rPr>
        <w:t>Canada (Governor General in Council)</w:t>
      </w:r>
      <w:r w:rsidR="0052229C" w:rsidRPr="00DE5F0D">
        <w:rPr>
          <w:rStyle w:val="SCCRespondentForIndexChar"/>
          <w:rFonts w:eastAsiaTheme="minorHAnsi"/>
          <w:sz w:val="20"/>
          <w:lang w:val="en-US"/>
        </w:rPr>
        <w:t xml:space="preserve"> / </w:t>
      </w:r>
      <w:proofErr w:type="spellStart"/>
      <w:r>
        <w:rPr>
          <w:b/>
          <w:sz w:val="20"/>
          <w:szCs w:val="20"/>
          <w:lang w:val="en-US"/>
        </w:rPr>
        <w:t>Répertorié</w:t>
      </w:r>
      <w:proofErr w:type="spellEnd"/>
      <w:r w:rsidRPr="00DE5F0D">
        <w:rPr>
          <w:b/>
          <w:sz w:val="20"/>
          <w:szCs w:val="20"/>
          <w:lang w:val="en-US"/>
        </w:rPr>
        <w:t>:</w:t>
      </w:r>
      <w:r w:rsidRPr="00DE5F0D">
        <w:rPr>
          <w:rFonts w:cs="Times New Roman"/>
          <w:b/>
          <w:sz w:val="20"/>
          <w:szCs w:val="20"/>
          <w:lang w:val="en-US" w:eastAsia="en-CA"/>
        </w:rPr>
        <w:t> </w:t>
      </w:r>
      <w:proofErr w:type="spellStart"/>
      <w:r w:rsidRPr="00DE5F0D">
        <w:rPr>
          <w:rFonts w:cs="Times New Roman"/>
          <w:b/>
          <w:sz w:val="20"/>
          <w:szCs w:val="20"/>
          <w:lang w:val="en-US" w:eastAsia="en-CA"/>
        </w:rPr>
        <w:t>Mikisew</w:t>
      </w:r>
      <w:proofErr w:type="spellEnd"/>
      <w:r w:rsidRPr="00DE5F0D">
        <w:rPr>
          <w:rFonts w:cs="Times New Roman"/>
          <w:b/>
          <w:sz w:val="20"/>
          <w:szCs w:val="20"/>
          <w:lang w:val="en-US" w:eastAsia="en-CA"/>
        </w:rPr>
        <w:t xml:space="preserve"> Cree First </w:t>
      </w:r>
      <w:r w:rsidRPr="00060581">
        <w:rPr>
          <w:rFonts w:cs="Times New Roman"/>
          <w:b/>
          <w:sz w:val="20"/>
          <w:szCs w:val="20"/>
          <w:lang w:val="en-US" w:eastAsia="en-CA"/>
        </w:rPr>
        <w:t xml:space="preserve">Nation </w:t>
      </w:r>
      <w:r w:rsidRPr="00060581">
        <w:rPr>
          <w:rFonts w:cs="Times New Roman"/>
          <w:b/>
          <w:i/>
          <w:sz w:val="20"/>
          <w:szCs w:val="20"/>
          <w:lang w:val="en-US" w:eastAsia="en-CA"/>
        </w:rPr>
        <w:t xml:space="preserve">c. </w:t>
      </w:r>
      <w:r w:rsidRPr="00060581">
        <w:rPr>
          <w:rFonts w:cs="Times New Roman"/>
          <w:b/>
          <w:sz w:val="20"/>
          <w:szCs w:val="20"/>
          <w:lang w:val="en-US" w:eastAsia="en-CA"/>
        </w:rPr>
        <w:t>Canada (</w:t>
      </w:r>
      <w:proofErr w:type="spellStart"/>
      <w:r w:rsidRPr="00060581">
        <w:rPr>
          <w:rFonts w:cs="Times New Roman"/>
          <w:b/>
          <w:sz w:val="20"/>
          <w:szCs w:val="20"/>
          <w:lang w:val="en-US" w:eastAsia="en-CA"/>
        </w:rPr>
        <w:t>Gouverneur</w:t>
      </w:r>
      <w:proofErr w:type="spellEnd"/>
      <w:r w:rsidRPr="00060581">
        <w:rPr>
          <w:rFonts w:cs="Times New Roman"/>
          <w:b/>
          <w:sz w:val="20"/>
          <w:szCs w:val="20"/>
          <w:lang w:val="en-US" w:eastAsia="en-CA"/>
        </w:rPr>
        <w:t xml:space="preserve"> </w:t>
      </w:r>
      <w:proofErr w:type="spellStart"/>
      <w:r w:rsidRPr="00060581">
        <w:rPr>
          <w:rFonts w:cs="Times New Roman"/>
          <w:b/>
          <w:sz w:val="20"/>
          <w:szCs w:val="20"/>
          <w:lang w:val="en-US" w:eastAsia="en-CA"/>
        </w:rPr>
        <w:t>général</w:t>
      </w:r>
      <w:proofErr w:type="spellEnd"/>
      <w:r w:rsidRPr="00060581">
        <w:rPr>
          <w:rFonts w:cs="Times New Roman"/>
          <w:b/>
          <w:sz w:val="20"/>
          <w:szCs w:val="20"/>
          <w:lang w:val="en-US" w:eastAsia="en-CA"/>
        </w:rPr>
        <w:t xml:space="preserve"> en </w:t>
      </w:r>
      <w:proofErr w:type="spellStart"/>
      <w:r w:rsidRPr="00060581">
        <w:rPr>
          <w:rFonts w:cs="Times New Roman"/>
          <w:b/>
          <w:sz w:val="20"/>
          <w:szCs w:val="20"/>
          <w:lang w:val="en-US" w:eastAsia="en-CA"/>
        </w:rPr>
        <w:t>conseil</w:t>
      </w:r>
      <w:proofErr w:type="spellEnd"/>
      <w:r w:rsidRPr="00060581">
        <w:rPr>
          <w:rFonts w:cs="Times New Roman"/>
          <w:b/>
          <w:sz w:val="20"/>
          <w:szCs w:val="20"/>
          <w:lang w:val="en-US" w:eastAsia="en-CA"/>
        </w:rPr>
        <w:t>)</w:t>
      </w:r>
    </w:p>
    <w:p w:rsidR="0052229C" w:rsidRPr="00DE5F0D" w:rsidRDefault="00DE5F0D" w:rsidP="00DE5F0D">
      <w:pPr>
        <w:jc w:val="both"/>
        <w:rPr>
          <w:sz w:val="20"/>
          <w:lang w:val="fr-CA"/>
        </w:rPr>
      </w:pPr>
      <w:proofErr w:type="spellStart"/>
      <w:r w:rsidRPr="00060581">
        <w:rPr>
          <w:sz w:val="20"/>
          <w:lang w:val="fr-CA"/>
        </w:rPr>
        <w:t>Neutral</w:t>
      </w:r>
      <w:proofErr w:type="spellEnd"/>
      <w:r w:rsidRPr="00060581">
        <w:rPr>
          <w:sz w:val="20"/>
          <w:lang w:val="fr-CA"/>
        </w:rPr>
        <w:t xml:space="preserve"> citation:</w:t>
      </w:r>
      <w:r w:rsidR="0052229C" w:rsidRPr="00060581">
        <w:rPr>
          <w:sz w:val="20"/>
          <w:lang w:val="fr-CA"/>
        </w:rPr>
        <w:t xml:space="preserve"> </w:t>
      </w:r>
      <w:r w:rsidR="003008F5" w:rsidRPr="00060581">
        <w:rPr>
          <w:sz w:val="20"/>
          <w:lang w:val="fr-CA"/>
        </w:rPr>
        <w:t>2018</w:t>
      </w:r>
      <w:r w:rsidR="0052229C" w:rsidRPr="00060581">
        <w:rPr>
          <w:sz w:val="20"/>
          <w:lang w:val="fr-CA"/>
        </w:rPr>
        <w:t xml:space="preserve"> SCC </w:t>
      </w:r>
      <w:r w:rsidR="00403BCD" w:rsidRPr="00060581">
        <w:rPr>
          <w:sz w:val="20"/>
          <w:lang w:val="fr-CA"/>
        </w:rPr>
        <w:t>40</w:t>
      </w:r>
      <w:r w:rsidR="0052229C" w:rsidRPr="00060581">
        <w:rPr>
          <w:sz w:val="20"/>
          <w:lang w:val="fr-CA"/>
        </w:rPr>
        <w:t xml:space="preserve"> / Référence neutre : </w:t>
      </w:r>
      <w:r w:rsidR="003008F5" w:rsidRPr="00060581">
        <w:rPr>
          <w:sz w:val="20"/>
          <w:lang w:val="fr-CA"/>
        </w:rPr>
        <w:t>2018</w:t>
      </w:r>
      <w:r w:rsidR="00403BCD" w:rsidRPr="00060581">
        <w:rPr>
          <w:sz w:val="20"/>
          <w:lang w:val="fr-CA"/>
        </w:rPr>
        <w:t xml:space="preserve"> CSC 40</w:t>
      </w:r>
    </w:p>
    <w:p w:rsidR="0052229C" w:rsidRPr="00DE5F0D" w:rsidRDefault="0052229C" w:rsidP="0052229C">
      <w:pPr>
        <w:rPr>
          <w:rFonts w:cs="Times New Roman"/>
          <w:sz w:val="20"/>
          <w:szCs w:val="20"/>
          <w:lang w:val="fr-CA"/>
        </w:rPr>
      </w:pPr>
      <w:proofErr w:type="spellStart"/>
      <w:r w:rsidRPr="00DE5F0D">
        <w:rPr>
          <w:rFonts w:cs="Times New Roman"/>
          <w:sz w:val="20"/>
          <w:szCs w:val="20"/>
          <w:lang w:val="fr-CA"/>
        </w:rPr>
        <w:t>Hearing</w:t>
      </w:r>
      <w:proofErr w:type="spellEnd"/>
      <w:r w:rsidR="0056734C" w:rsidRPr="00DE5F0D">
        <w:rPr>
          <w:rFonts w:cs="Times New Roman"/>
          <w:sz w:val="20"/>
          <w:szCs w:val="20"/>
          <w:lang w:val="fr-CA"/>
        </w:rPr>
        <w:t xml:space="preserve">: </w:t>
      </w:r>
      <w:proofErr w:type="spellStart"/>
      <w:r w:rsidR="0056734C" w:rsidRPr="00DE5F0D">
        <w:rPr>
          <w:rFonts w:cs="Times New Roman"/>
          <w:sz w:val="20"/>
          <w:szCs w:val="20"/>
          <w:lang w:val="fr-CA"/>
        </w:rPr>
        <w:t>January</w:t>
      </w:r>
      <w:proofErr w:type="spellEnd"/>
      <w:r w:rsidR="00DE5F0D" w:rsidRPr="00DE5F0D">
        <w:rPr>
          <w:rFonts w:cs="Times New Roman"/>
          <w:sz w:val="20"/>
          <w:szCs w:val="20"/>
          <w:lang w:val="fr-CA"/>
        </w:rPr>
        <w:t xml:space="preserve"> 15</w:t>
      </w:r>
      <w:r w:rsidRPr="00DE5F0D">
        <w:rPr>
          <w:rFonts w:cs="Times New Roman"/>
          <w:sz w:val="20"/>
          <w:szCs w:val="20"/>
          <w:lang w:val="fr-CA"/>
        </w:rPr>
        <w:t xml:space="preserve">, </w:t>
      </w:r>
      <w:r w:rsidR="003008F5" w:rsidRPr="00DE5F0D">
        <w:rPr>
          <w:rFonts w:cs="Times New Roman"/>
          <w:sz w:val="20"/>
          <w:szCs w:val="20"/>
          <w:lang w:val="fr-CA"/>
        </w:rPr>
        <w:t>2018</w:t>
      </w:r>
      <w:r w:rsidRPr="00DE5F0D">
        <w:rPr>
          <w:rFonts w:cs="Times New Roman"/>
          <w:sz w:val="20"/>
          <w:szCs w:val="20"/>
          <w:lang w:val="fr-CA"/>
        </w:rPr>
        <w:t xml:space="preserve"> / Judgment: </w:t>
      </w:r>
      <w:r w:rsidR="00DE5F0D" w:rsidRPr="00DE5F0D">
        <w:rPr>
          <w:rFonts w:cs="Times New Roman"/>
          <w:sz w:val="20"/>
          <w:szCs w:val="20"/>
          <w:lang w:val="fr-CA"/>
        </w:rPr>
        <w:t>October 11</w:t>
      </w:r>
      <w:r w:rsidRPr="00DE5F0D">
        <w:rPr>
          <w:rFonts w:cs="Times New Roman"/>
          <w:sz w:val="20"/>
          <w:szCs w:val="20"/>
          <w:lang w:val="fr-CA"/>
        </w:rPr>
        <w:t xml:space="preserve">, </w:t>
      </w:r>
      <w:r w:rsidR="00351475" w:rsidRPr="00DE5F0D">
        <w:rPr>
          <w:rFonts w:cs="Times New Roman"/>
          <w:sz w:val="20"/>
          <w:szCs w:val="20"/>
          <w:lang w:val="fr-CA"/>
        </w:rPr>
        <w:t>2018</w:t>
      </w:r>
    </w:p>
    <w:p w:rsidR="0052229C" w:rsidRPr="003B3977" w:rsidRDefault="00DE5F0D" w:rsidP="0052229C">
      <w:pPr>
        <w:rPr>
          <w:rFonts w:cs="Times New Roman"/>
          <w:sz w:val="20"/>
          <w:szCs w:val="20"/>
          <w:lang w:val="fr-CA"/>
        </w:rPr>
      </w:pPr>
      <w:r w:rsidRPr="00DE5F0D">
        <w:rPr>
          <w:rFonts w:cs="Times New Roman"/>
          <w:sz w:val="20"/>
          <w:szCs w:val="20"/>
          <w:lang w:val="fr-CA"/>
        </w:rPr>
        <w:t>Audition</w:t>
      </w:r>
      <w:r w:rsidR="0052229C" w:rsidRPr="00DE5F0D">
        <w:rPr>
          <w:rFonts w:cs="Times New Roman"/>
          <w:sz w:val="20"/>
          <w:szCs w:val="20"/>
          <w:lang w:val="fr-CA"/>
        </w:rPr>
        <w:t xml:space="preserve">: Le </w:t>
      </w:r>
      <w:r>
        <w:rPr>
          <w:rFonts w:cs="Times New Roman"/>
          <w:sz w:val="20"/>
          <w:szCs w:val="20"/>
          <w:lang w:val="fr-CA"/>
        </w:rPr>
        <w:t>15 janvier</w:t>
      </w:r>
      <w:r w:rsidR="0052229C" w:rsidRPr="00DE5F0D">
        <w:rPr>
          <w:rFonts w:cs="Times New Roman"/>
          <w:sz w:val="20"/>
          <w:szCs w:val="20"/>
          <w:lang w:val="fr-CA"/>
        </w:rPr>
        <w:t xml:space="preserve"> </w:t>
      </w:r>
      <w:r w:rsidR="003008F5" w:rsidRPr="00DE5F0D">
        <w:rPr>
          <w:rFonts w:cs="Times New Roman"/>
          <w:sz w:val="20"/>
          <w:szCs w:val="20"/>
          <w:lang w:val="fr-CA"/>
        </w:rPr>
        <w:t>2018</w:t>
      </w:r>
      <w:r w:rsidR="0052229C" w:rsidRPr="00DE5F0D">
        <w:rPr>
          <w:rFonts w:cs="Times New Roman"/>
          <w:sz w:val="20"/>
          <w:szCs w:val="20"/>
          <w:lang w:val="fr-CA"/>
        </w:rPr>
        <w:t xml:space="preserve"> / J</w:t>
      </w:r>
      <w:r w:rsidR="0052229C" w:rsidRPr="003B3977">
        <w:rPr>
          <w:rFonts w:cs="Times New Roman"/>
          <w:sz w:val="20"/>
          <w:szCs w:val="20"/>
          <w:lang w:val="fr-CA"/>
        </w:rPr>
        <w:t xml:space="preserve">ugement : Le </w:t>
      </w:r>
      <w:r>
        <w:rPr>
          <w:rFonts w:cs="Times New Roman"/>
          <w:sz w:val="20"/>
          <w:szCs w:val="20"/>
          <w:lang w:val="fr-CA"/>
        </w:rPr>
        <w:t>11 octobre</w:t>
      </w:r>
      <w:r w:rsidR="0052229C" w:rsidRPr="003B3977">
        <w:rPr>
          <w:rFonts w:cs="Times New Roman"/>
          <w:sz w:val="20"/>
          <w:szCs w:val="20"/>
          <w:lang w:val="fr-CA"/>
        </w:rPr>
        <w:t xml:space="preserve"> </w:t>
      </w:r>
      <w:r w:rsidR="0030050B">
        <w:rPr>
          <w:rFonts w:cs="Times New Roman"/>
          <w:sz w:val="20"/>
          <w:szCs w:val="20"/>
          <w:lang w:val="fr-CA"/>
        </w:rPr>
        <w:t>201</w:t>
      </w:r>
      <w:r w:rsidR="00351475">
        <w:rPr>
          <w:rFonts w:cs="Times New Roman"/>
          <w:sz w:val="20"/>
          <w:szCs w:val="20"/>
          <w:lang w:val="fr-CA"/>
        </w:rPr>
        <w:t>8</w:t>
      </w:r>
    </w:p>
    <w:p w:rsidR="005C6840" w:rsidRPr="003B3977" w:rsidRDefault="00F13243" w:rsidP="005C6840">
      <w:pPr>
        <w:rPr>
          <w:rFonts w:cs="Times New Roman"/>
          <w:sz w:val="20"/>
          <w:szCs w:val="20"/>
          <w:lang w:val="fr-CA"/>
        </w:rPr>
      </w:pPr>
      <w:r>
        <w:rPr>
          <w:rFonts w:cs="Times New Roman"/>
          <w:i/>
          <w:sz w:val="20"/>
          <w:szCs w:val="20"/>
        </w:rPr>
        <w:pict>
          <v:rect id="_x0000_i1068"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472360" w:rsidRDefault="004B5088" w:rsidP="00472360">
      <w:pPr>
        <w:rPr>
          <w:sz w:val="20"/>
          <w:szCs w:val="20"/>
        </w:rPr>
      </w:pPr>
      <w:r>
        <w:rPr>
          <w:sz w:val="20"/>
          <w:szCs w:val="20"/>
        </w:rPr>
        <w:t>Present</w:t>
      </w:r>
      <w:r w:rsidR="00DE5F0D" w:rsidRPr="00472360">
        <w:rPr>
          <w:sz w:val="20"/>
          <w:szCs w:val="20"/>
        </w:rPr>
        <w:t>: Wagner C.J. and Abella, Moldaver, Karakatsanis, Gascon, Côté, Brown, Rowe and Martin JJ.</w:t>
      </w:r>
    </w:p>
    <w:p w:rsidR="00472360" w:rsidRPr="004B5088" w:rsidRDefault="00472360" w:rsidP="004B5088">
      <w:pPr>
        <w:spacing w:before="240" w:after="240"/>
        <w:contextualSpacing/>
        <w:rPr>
          <w:rFonts w:cs="Times New Roman"/>
          <w:sz w:val="20"/>
          <w:szCs w:val="20"/>
        </w:rPr>
      </w:pPr>
    </w:p>
    <w:p w:rsidR="004B5088" w:rsidRDefault="004B5088" w:rsidP="003A1ADC">
      <w:pPr>
        <w:pStyle w:val="SCCNormalDoubleSpacing"/>
        <w:spacing w:before="240" w:after="240" w:line="240" w:lineRule="auto"/>
        <w:ind w:firstLine="720"/>
        <w:contextualSpacing/>
        <w:rPr>
          <w:i/>
          <w:sz w:val="20"/>
          <w:lang w:val="en"/>
        </w:rPr>
      </w:pPr>
      <w:r w:rsidRPr="004B5088">
        <w:rPr>
          <w:i/>
          <w:sz w:val="20"/>
        </w:rPr>
        <w:t xml:space="preserve">Courts — Federal Court — Jurisdiction — Judicial review — Parliament adopting legislation amending Canada’s environmental protection regime — First Nation bringing application for judicial review with respect to development and introduction of legislation — Whether Federal Court had jurisdiction to consider First Nation’s application — </w:t>
      </w:r>
      <w:r w:rsidRPr="004B5088">
        <w:rPr>
          <w:i/>
          <w:sz w:val="20"/>
          <w:lang w:val="en"/>
        </w:rPr>
        <w:t>Federal Courts Act, R.S.C. 1985, c. F</w:t>
      </w:r>
      <w:r w:rsidRPr="004B5088">
        <w:rPr>
          <w:i/>
          <w:sz w:val="20"/>
          <w:lang w:val="en"/>
        </w:rPr>
        <w:noBreakHyphen/>
        <w:t>7, ss. 2(1) “federal board, commission or other tribunal”, 2(2), 17, 18, 18.1.</w:t>
      </w:r>
    </w:p>
    <w:p w:rsidR="004B5088" w:rsidRPr="004B5088" w:rsidRDefault="004B5088" w:rsidP="004B5088">
      <w:pPr>
        <w:pStyle w:val="SCCNormalDoubleSpacing"/>
        <w:spacing w:before="240" w:after="240" w:line="240" w:lineRule="auto"/>
        <w:contextualSpacing/>
        <w:rPr>
          <w:i/>
          <w:sz w:val="20"/>
        </w:rPr>
      </w:pPr>
    </w:p>
    <w:p w:rsidR="004B5088" w:rsidRDefault="004B5088" w:rsidP="004B5088">
      <w:pPr>
        <w:pStyle w:val="SCCNormalDoubleSpacing"/>
        <w:spacing w:before="240" w:after="240" w:line="240" w:lineRule="auto"/>
        <w:contextualSpacing/>
        <w:rPr>
          <w:i/>
          <w:sz w:val="20"/>
          <w:lang w:val="en"/>
        </w:rPr>
      </w:pPr>
      <w:r w:rsidRPr="004B5088">
        <w:rPr>
          <w:sz w:val="20"/>
        </w:rPr>
        <w:tab/>
      </w:r>
      <w:r w:rsidRPr="004B5088">
        <w:rPr>
          <w:i/>
          <w:sz w:val="20"/>
        </w:rPr>
        <w:t>Constitutional law — Aboriginal peoples — Treaty rights — Crown — Duty to consult — Parliament adopting legislation amending Canada’s environmental protection regime — First Nation not consulted on legislation at any stage of development or prior to granting of royal assent — First Nation seeking declaration that Crown owed and breached duty to consult since legislation had potential to adversely affect treaty rights to hunt, trap, and fish — Whether duty to consult applies to law</w:t>
      </w:r>
      <w:r w:rsidRPr="004B5088">
        <w:rPr>
          <w:i/>
          <w:sz w:val="20"/>
        </w:rPr>
        <w:noBreakHyphen/>
        <w:t>making process</w:t>
      </w:r>
      <w:r w:rsidRPr="004B5088">
        <w:rPr>
          <w:i/>
          <w:sz w:val="20"/>
          <w:lang w:val="en"/>
        </w:rPr>
        <w:t>.</w:t>
      </w:r>
    </w:p>
    <w:p w:rsidR="004B5088" w:rsidRPr="004B5088" w:rsidRDefault="004B5088" w:rsidP="004B5088">
      <w:pPr>
        <w:pStyle w:val="SCCNormalDoubleSpacing"/>
        <w:spacing w:before="240" w:after="240" w:line="240" w:lineRule="auto"/>
        <w:contextualSpacing/>
        <w:rPr>
          <w:i/>
          <w:sz w:val="20"/>
          <w:lang w:val="en"/>
        </w:rPr>
      </w:pPr>
    </w:p>
    <w:p w:rsidR="004B5088" w:rsidRPr="004B5088" w:rsidRDefault="004B5088" w:rsidP="004B5088">
      <w:pPr>
        <w:pStyle w:val="SCCNormalDoubleSpacing"/>
        <w:spacing w:before="240" w:after="240" w:line="240" w:lineRule="auto"/>
        <w:contextualSpacing/>
        <w:rPr>
          <w:sz w:val="20"/>
        </w:rPr>
      </w:pPr>
      <w:r w:rsidRPr="004B5088">
        <w:rPr>
          <w:sz w:val="20"/>
        </w:rPr>
        <w:tab/>
        <w:t xml:space="preserve">In April 2012, two pieces of omnibus legislation with significant effects on Canada’s environmental protection regime were introduced into Parliament. The </w:t>
      </w:r>
      <w:proofErr w:type="spellStart"/>
      <w:r w:rsidRPr="004B5088">
        <w:rPr>
          <w:sz w:val="20"/>
        </w:rPr>
        <w:t>Mikisew</w:t>
      </w:r>
      <w:proofErr w:type="spellEnd"/>
      <w:r w:rsidRPr="004B5088">
        <w:rPr>
          <w:sz w:val="20"/>
        </w:rPr>
        <w:t xml:space="preserve"> Cree First Nation was not consulted on either of these omnibus bills at any stage in their development or prior to the granting of royal assent. The </w:t>
      </w:r>
      <w:proofErr w:type="spellStart"/>
      <w:r w:rsidRPr="004B5088">
        <w:rPr>
          <w:sz w:val="20"/>
        </w:rPr>
        <w:t>Mikisew</w:t>
      </w:r>
      <w:proofErr w:type="spellEnd"/>
      <w:r w:rsidRPr="004B5088">
        <w:rPr>
          <w:sz w:val="20"/>
        </w:rPr>
        <w:t xml:space="preserve"> brought an application for judicial review in Federal Court, arguing that the Crown had a duty to consult them on the development of the legislation, since it had the potential to adversely affect their treaty rights to hunt, trap, and fish under Treaty No. 8. The reviewing judge granted a declaration to the effect that the duty to consult was triggered and that the </w:t>
      </w:r>
      <w:proofErr w:type="spellStart"/>
      <w:r w:rsidRPr="004B5088">
        <w:rPr>
          <w:sz w:val="20"/>
        </w:rPr>
        <w:t>Mikisew</w:t>
      </w:r>
      <w:proofErr w:type="spellEnd"/>
      <w:r w:rsidRPr="004B5088">
        <w:rPr>
          <w:sz w:val="20"/>
        </w:rPr>
        <w:t xml:space="preserve"> were entitled to notice of the relevant provisions of the bills, as well as an opportunity to make submissions. On appeal, a majority of the Federal Court of Appeal concluded that the reviewing judge erred by conducting a judicial review of legislative action contrary to the </w:t>
      </w:r>
      <w:r w:rsidRPr="004B5088">
        <w:rPr>
          <w:i/>
          <w:sz w:val="20"/>
        </w:rPr>
        <w:t>Federal Courts Act</w:t>
      </w:r>
      <w:r w:rsidRPr="004B5088">
        <w:rPr>
          <w:sz w:val="20"/>
        </w:rPr>
        <w:t xml:space="preserve">. The majority held that when ministers develop policy, they act in a legislative capacity and their actions are immune from judicial review. It deemed the reviewing judge’s decision to be inconsistent with the principles of parliamentary sovereignty, the separation of powers, and parliamentary privilege. The </w:t>
      </w:r>
      <w:proofErr w:type="spellStart"/>
      <w:r w:rsidRPr="004B5088">
        <w:rPr>
          <w:sz w:val="20"/>
        </w:rPr>
        <w:t>Mikisew</w:t>
      </w:r>
      <w:proofErr w:type="spellEnd"/>
      <w:r w:rsidRPr="004B5088">
        <w:rPr>
          <w:sz w:val="20"/>
        </w:rPr>
        <w:t xml:space="preserve"> appealed.</w:t>
      </w:r>
    </w:p>
    <w:p w:rsidR="004B5088" w:rsidRDefault="004B5088" w:rsidP="004B5088">
      <w:pPr>
        <w:pStyle w:val="SCCNormalDoubleSpacing"/>
        <w:spacing w:before="240" w:after="240" w:line="240" w:lineRule="auto"/>
        <w:contextualSpacing/>
        <w:rPr>
          <w:sz w:val="20"/>
        </w:rPr>
      </w:pPr>
      <w:r w:rsidRPr="004B5088">
        <w:rPr>
          <w:sz w:val="20"/>
        </w:rPr>
        <w:tab/>
      </w:r>
      <w:r w:rsidRPr="004B5088">
        <w:rPr>
          <w:rStyle w:val="QuoteChar"/>
          <w:sz w:val="20"/>
        </w:rPr>
        <w:t>Held:</w:t>
      </w:r>
      <w:r w:rsidRPr="004B5088">
        <w:rPr>
          <w:sz w:val="20"/>
        </w:rPr>
        <w:t xml:space="preserve"> The appeal should be dismissed.</w:t>
      </w:r>
    </w:p>
    <w:p w:rsidR="004B5088" w:rsidRPr="004B5088" w:rsidRDefault="004B5088" w:rsidP="004B5088">
      <w:pPr>
        <w:pStyle w:val="SCCNormalDoubleSpacing"/>
        <w:spacing w:before="240" w:after="240" w:line="240" w:lineRule="auto"/>
        <w:contextualSpacing/>
        <w:rPr>
          <w:sz w:val="20"/>
        </w:rPr>
      </w:pPr>
    </w:p>
    <w:p w:rsidR="004B5088" w:rsidRDefault="004B5088" w:rsidP="004B5088">
      <w:pPr>
        <w:pStyle w:val="SCCNormalDoubleSpacing"/>
        <w:spacing w:before="240" w:after="240" w:line="240" w:lineRule="auto"/>
        <w:contextualSpacing/>
        <w:rPr>
          <w:sz w:val="20"/>
        </w:rPr>
      </w:pPr>
      <w:r w:rsidRPr="004B5088">
        <w:rPr>
          <w:sz w:val="20"/>
        </w:rPr>
        <w:tab/>
      </w:r>
      <w:r w:rsidRPr="004B5088">
        <w:rPr>
          <w:i/>
          <w:sz w:val="20"/>
        </w:rPr>
        <w:t>Per</w:t>
      </w:r>
      <w:r w:rsidRPr="004B5088">
        <w:rPr>
          <w:sz w:val="20"/>
        </w:rPr>
        <w:t xml:space="preserve"> Wagner C.J. and </w:t>
      </w:r>
      <w:r w:rsidRPr="004B5088">
        <w:rPr>
          <w:b/>
          <w:sz w:val="20"/>
        </w:rPr>
        <w:t>Karakatsanis</w:t>
      </w:r>
      <w:r w:rsidRPr="004B5088">
        <w:rPr>
          <w:sz w:val="20"/>
        </w:rPr>
        <w:t xml:space="preserve"> and Gascon JJ.: The Federal Court lacked jurisdiction to consider the </w:t>
      </w:r>
      <w:proofErr w:type="spellStart"/>
      <w:r w:rsidRPr="004B5088">
        <w:rPr>
          <w:sz w:val="20"/>
        </w:rPr>
        <w:t>Mikisew’s</w:t>
      </w:r>
      <w:proofErr w:type="spellEnd"/>
      <w:r w:rsidRPr="004B5088">
        <w:rPr>
          <w:sz w:val="20"/>
        </w:rPr>
        <w:t xml:space="preserve"> application for judicial review. For the Federal Court to have jurisdiction over a claim, it must have a statutory grant of jurisdiction. Section 17(1) of the </w:t>
      </w:r>
      <w:r w:rsidRPr="004B5088">
        <w:rPr>
          <w:i/>
          <w:sz w:val="20"/>
        </w:rPr>
        <w:t xml:space="preserve">Federal Courts Act </w:t>
      </w:r>
      <w:r w:rsidRPr="004B5088">
        <w:rPr>
          <w:sz w:val="20"/>
        </w:rPr>
        <w:t>provides that the Federal Court has concurrent original jurisdiction where relief is claimed against the Crown, which the Act</w:t>
      </w:r>
      <w:r w:rsidRPr="004B5088">
        <w:rPr>
          <w:i/>
          <w:sz w:val="20"/>
        </w:rPr>
        <w:t xml:space="preserve"> </w:t>
      </w:r>
      <w:r w:rsidRPr="004B5088">
        <w:rPr>
          <w:sz w:val="20"/>
        </w:rPr>
        <w:t xml:space="preserve">defines as Her Majesty in right of Canada. However, this definition does not extend to executive actors when they are exercising legislative power. In this case, the </w:t>
      </w:r>
      <w:proofErr w:type="spellStart"/>
      <w:r w:rsidRPr="004B5088">
        <w:rPr>
          <w:sz w:val="20"/>
        </w:rPr>
        <w:t>Mikisew</w:t>
      </w:r>
      <w:proofErr w:type="spellEnd"/>
      <w:r w:rsidRPr="004B5088">
        <w:rPr>
          <w:sz w:val="20"/>
        </w:rPr>
        <w:t xml:space="preserve"> challenge actions which are uniformly legislative in character, therefore, their application is not against the Crown in its executive capacity. In addition, ss. 18 and 18.1 of the Act only grant the Federal Court jurisdiction to judicially review action taken by </w:t>
      </w:r>
      <w:r w:rsidRPr="004B5088">
        <w:rPr>
          <w:sz w:val="20"/>
          <w:lang w:val="en"/>
        </w:rPr>
        <w:t xml:space="preserve">a “federal board, commission or other tribunal”, defined in s. 2(1) of the Act as a body exercising statutory powers or powers under an order made pursuant to a prerogative of the Crown. Section 2(2) specifies that the Senate, the House of Commons, or any committee or member of either House is not included in this definition. </w:t>
      </w:r>
      <w:r w:rsidRPr="004B5088">
        <w:rPr>
          <w:sz w:val="20"/>
        </w:rPr>
        <w:t xml:space="preserve">Ministers do not act pursuant to statutory powers when developing legislation; rather, they act pursuant to powers under Part IV of the </w:t>
      </w:r>
      <w:r w:rsidRPr="004B5088">
        <w:rPr>
          <w:i/>
          <w:sz w:val="20"/>
        </w:rPr>
        <w:t>Constitution Act, 1867</w:t>
      </w:r>
      <w:r w:rsidRPr="004B5088">
        <w:rPr>
          <w:sz w:val="20"/>
        </w:rPr>
        <w:t xml:space="preserve">. As such, when developing legislation, they do not act as a federal board, commission or other tribunal and their actions are immune from judicial review. Accordingly, the Federal Court was not validly seized of the </w:t>
      </w:r>
      <w:proofErr w:type="spellStart"/>
      <w:r w:rsidRPr="004B5088">
        <w:rPr>
          <w:sz w:val="20"/>
        </w:rPr>
        <w:t>Mikisew’s</w:t>
      </w:r>
      <w:proofErr w:type="spellEnd"/>
      <w:r w:rsidRPr="004B5088">
        <w:rPr>
          <w:sz w:val="20"/>
        </w:rPr>
        <w:t xml:space="preserve"> application for judicial review in this case.</w:t>
      </w:r>
    </w:p>
    <w:p w:rsidR="004B5088" w:rsidRPr="004B5088" w:rsidRDefault="004B5088" w:rsidP="004B5088">
      <w:pPr>
        <w:pStyle w:val="SCCNormalDoubleSpacing"/>
        <w:spacing w:before="240" w:after="240" w:line="240" w:lineRule="auto"/>
        <w:contextualSpacing/>
        <w:rPr>
          <w:sz w:val="20"/>
        </w:rPr>
      </w:pPr>
    </w:p>
    <w:p w:rsidR="004B5088" w:rsidRDefault="004B5088" w:rsidP="004B5088">
      <w:pPr>
        <w:pStyle w:val="SCCNormalDoubleSpacing"/>
        <w:spacing w:before="240" w:after="240" w:line="240" w:lineRule="auto"/>
        <w:contextualSpacing/>
        <w:rPr>
          <w:sz w:val="20"/>
        </w:rPr>
      </w:pPr>
      <w:r w:rsidRPr="004B5088">
        <w:rPr>
          <w:sz w:val="20"/>
        </w:rPr>
        <w:lastRenderedPageBreak/>
        <w:tab/>
        <w:t>With respect to the duty to consult, the development of legislation by ministers is legislative action that does not trigger this duty. The duty to consult is an obligation that flows from the honour of the Crown, a foundational principle of Aboriginal law which governs the relationship between the Crown and Aboriginal peoples. This duty</w:t>
      </w:r>
      <w:r w:rsidRPr="004B5088">
        <w:rPr>
          <w:sz w:val="20"/>
          <w:lang w:val="en-GB"/>
        </w:rPr>
        <w:t xml:space="preserve"> requires the Crown to consult Aboriginal peoples before taking action that may adversely affect their asserted or established rights under s. 35 of the </w:t>
      </w:r>
      <w:r w:rsidRPr="004B5088">
        <w:rPr>
          <w:i/>
          <w:sz w:val="20"/>
          <w:lang w:val="en-GB"/>
        </w:rPr>
        <w:t>Constitution Act, 1982</w:t>
      </w:r>
      <w:r w:rsidRPr="004B5088">
        <w:rPr>
          <w:sz w:val="20"/>
          <w:lang w:val="en-GB"/>
        </w:rPr>
        <w:t xml:space="preserve"> and </w:t>
      </w:r>
      <w:r w:rsidRPr="004B5088">
        <w:rPr>
          <w:sz w:val="20"/>
        </w:rPr>
        <w:t xml:space="preserve">ensures that the Crown acts honourably by preventing it from acting unilaterally in ways that undermine s. 35 rights. Although the duty to consult has been recognized in a variety of contexts, Crown conduct sufficient to trigger the duty has only been found to include executive action or action taken on behalf of the executive. </w:t>
      </w:r>
    </w:p>
    <w:p w:rsidR="004B5088" w:rsidRPr="004B5088" w:rsidRDefault="004B5088" w:rsidP="004B5088">
      <w:pPr>
        <w:pStyle w:val="SCCNormalDoubleSpacing"/>
        <w:spacing w:before="240" w:after="240" w:line="240" w:lineRule="auto"/>
        <w:contextualSpacing/>
        <w:rPr>
          <w:sz w:val="20"/>
        </w:rPr>
      </w:pPr>
    </w:p>
    <w:p w:rsidR="004B5088" w:rsidRDefault="004B5088" w:rsidP="004B5088">
      <w:pPr>
        <w:pStyle w:val="SCCNormalDoubleSpacing"/>
        <w:spacing w:before="240" w:after="240" w:line="240" w:lineRule="auto"/>
        <w:contextualSpacing/>
        <w:rPr>
          <w:sz w:val="20"/>
        </w:rPr>
      </w:pPr>
      <w:r w:rsidRPr="004B5088">
        <w:rPr>
          <w:sz w:val="20"/>
        </w:rPr>
        <w:tab/>
        <w:t>The duty to consult doctrine is ill</w:t>
      </w:r>
      <w:r w:rsidRPr="004B5088">
        <w:rPr>
          <w:sz w:val="20"/>
        </w:rPr>
        <w:noBreakHyphen/>
        <w:t>suited for legislative action. It is rarely appropriate for courts to scrutinize the law</w:t>
      </w:r>
      <w:r w:rsidRPr="004B5088">
        <w:rPr>
          <w:sz w:val="20"/>
        </w:rPr>
        <w:noBreakHyphen/>
        <w:t>making process, which includes the development of legislation by ministers. Longstanding constitutional principles underlie this reluctance to supervise the law</w:t>
      </w:r>
      <w:r w:rsidRPr="004B5088">
        <w:rPr>
          <w:sz w:val="20"/>
        </w:rPr>
        <w:noBreakHyphen/>
        <w:t xml:space="preserve">making process. The separation of powers is an essential feature of Canada’s Constitution. It recognizes that each branch of government will be unable to fulfill its role if it is unduly interfered with by the others. </w:t>
      </w:r>
      <w:r w:rsidRPr="004B5088">
        <w:rPr>
          <w:sz w:val="20"/>
          <w:lang w:val="en"/>
        </w:rPr>
        <w:t>Recognizing that a duty to consult applies during the law</w:t>
      </w:r>
      <w:r w:rsidRPr="004B5088">
        <w:rPr>
          <w:sz w:val="20"/>
          <w:lang w:val="en"/>
        </w:rPr>
        <w:noBreakHyphen/>
        <w:t xml:space="preserve">making process may require courts to improperly trespass onto the legislature’s domain. </w:t>
      </w:r>
      <w:r w:rsidRPr="004B5088">
        <w:rPr>
          <w:sz w:val="20"/>
        </w:rPr>
        <w:t>Parliamentary sovereignty</w:t>
      </w:r>
      <w:r w:rsidRPr="004B5088">
        <w:rPr>
          <w:b/>
          <w:sz w:val="20"/>
        </w:rPr>
        <w:t xml:space="preserve"> </w:t>
      </w:r>
      <w:r w:rsidRPr="004B5088">
        <w:rPr>
          <w:sz w:val="20"/>
        </w:rPr>
        <w:t xml:space="preserve">mandates that the legislature can make or unmake any law it wishes, within the confines of its constitutional authority. </w:t>
      </w:r>
      <w:r w:rsidRPr="004B5088">
        <w:rPr>
          <w:sz w:val="20"/>
          <w:lang w:val="en"/>
        </w:rPr>
        <w:t xml:space="preserve">Recognizing that the elected legislature has specific consultation obligations may constrain it. Parliamentary privilege </w:t>
      </w:r>
      <w:r w:rsidRPr="004B5088">
        <w:rPr>
          <w:sz w:val="20"/>
        </w:rPr>
        <w:t>also generally prevents courts from enforcing procedural constraints on the parliamentary process. Applying the duty to consult doctrine during the law</w:t>
      </w:r>
      <w:r w:rsidRPr="004B5088">
        <w:rPr>
          <w:sz w:val="20"/>
        </w:rPr>
        <w:noBreakHyphen/>
        <w:t xml:space="preserve">making process would lead to significant judicial incursion into the workings of the legislature. </w:t>
      </w:r>
    </w:p>
    <w:p w:rsidR="004B5088" w:rsidRPr="004B5088" w:rsidRDefault="004B5088" w:rsidP="004B5088">
      <w:pPr>
        <w:pStyle w:val="SCCNormalDoubleSpacing"/>
        <w:spacing w:before="240" w:after="240" w:line="240" w:lineRule="auto"/>
        <w:contextualSpacing/>
        <w:rPr>
          <w:sz w:val="20"/>
        </w:rPr>
      </w:pPr>
    </w:p>
    <w:p w:rsidR="004B5088" w:rsidRDefault="004B5088" w:rsidP="004B5088">
      <w:pPr>
        <w:pStyle w:val="SCCNormalDoubleSpacing"/>
        <w:spacing w:before="240" w:after="240" w:line="240" w:lineRule="auto"/>
        <w:contextualSpacing/>
        <w:rPr>
          <w:sz w:val="20"/>
        </w:rPr>
      </w:pPr>
      <w:r w:rsidRPr="004B5088">
        <w:rPr>
          <w:sz w:val="20"/>
        </w:rPr>
        <w:tab/>
        <w:t>Furthermore, the administrative law remedies normally available for breach of a duty to consult would invite inappropriate judicial intervention into the legislature’s domain, as the duty would require the judiciary to directly interfere with the development of legislation.</w:t>
      </w:r>
      <w:r w:rsidRPr="004B5088">
        <w:rPr>
          <w:sz w:val="20"/>
          <w:lang w:val="en"/>
        </w:rPr>
        <w:t xml:space="preserve"> </w:t>
      </w:r>
      <w:r w:rsidRPr="004B5088">
        <w:rPr>
          <w:sz w:val="20"/>
        </w:rPr>
        <w:t>Applying a duty to consult to the development of legislation by ministers also raises practical concerns. If changes are made to a proposed bill to address concerns raised during consultation, these changes could later be undone by Parliament, as it is free to amend the proposed law. This may limit the possibility of meaningful accommodation. Additionally, private member bills would not trigger the duty, rendering the approach incongruous. Moreover, in the long chain of events contributing to the development of legislation, disentangling what steps the duty to consult applies to (because they are executive) and what actions are immune (because they are parliamentary) would be an enormously difficult task.</w:t>
      </w:r>
    </w:p>
    <w:p w:rsidR="004B5088" w:rsidRPr="004B5088" w:rsidRDefault="004B5088" w:rsidP="004B5088">
      <w:pPr>
        <w:pStyle w:val="SCCNormalDoubleSpacing"/>
        <w:spacing w:before="240" w:after="240" w:line="240" w:lineRule="auto"/>
        <w:contextualSpacing/>
        <w:rPr>
          <w:sz w:val="20"/>
          <w:lang w:val="en"/>
        </w:rPr>
      </w:pPr>
    </w:p>
    <w:p w:rsidR="004B5088" w:rsidRDefault="004B5088" w:rsidP="004B5088">
      <w:pPr>
        <w:pStyle w:val="SCCNormalDoubleSpacing"/>
        <w:spacing w:before="240" w:after="240" w:line="240" w:lineRule="auto"/>
        <w:contextualSpacing/>
        <w:rPr>
          <w:sz w:val="20"/>
        </w:rPr>
      </w:pPr>
      <w:r w:rsidRPr="004B5088">
        <w:rPr>
          <w:sz w:val="20"/>
        </w:rPr>
        <w:tab/>
        <w:t xml:space="preserve">However, when legislation undermines s. 35 rights, Aboriginal groups are not left without a remedy. The duty to consult is not the only means to give effect to the honour of the Crown. Simply because the duty to consult doctrine, as it has evolved to regulate executive conduct, is inapplicable in the legislative sphere, does not mean the Crown is absolved of its obligation to conduct itself honourably. While an Aboriginal group will not be able to challenge legislation on the basis that the legislature had failed to fulfill the duty to consult, other protections may well be recognized in future cases when Aboriginal or treaty rights may be adversely affected by legislation, such as </w:t>
      </w:r>
      <w:r w:rsidRPr="004B5088">
        <w:rPr>
          <w:sz w:val="20"/>
          <w:lang w:val="en"/>
        </w:rPr>
        <w:t>declaratory relief</w:t>
      </w:r>
      <w:r w:rsidRPr="004B5088">
        <w:rPr>
          <w:sz w:val="20"/>
        </w:rPr>
        <w:t>.</w:t>
      </w:r>
    </w:p>
    <w:p w:rsidR="004B5088" w:rsidRPr="004B5088" w:rsidRDefault="004B5088" w:rsidP="004B5088">
      <w:pPr>
        <w:pStyle w:val="SCCNormalDoubleSpacing"/>
        <w:spacing w:before="240" w:after="240" w:line="240" w:lineRule="auto"/>
        <w:contextualSpacing/>
        <w:rPr>
          <w:sz w:val="20"/>
        </w:rPr>
      </w:pPr>
    </w:p>
    <w:p w:rsidR="004B5088" w:rsidRDefault="004B5088" w:rsidP="004B5088">
      <w:pPr>
        <w:pStyle w:val="SCCNormalDoubleSpacing"/>
        <w:spacing w:before="240" w:after="240" w:line="240" w:lineRule="auto"/>
        <w:contextualSpacing/>
        <w:rPr>
          <w:sz w:val="20"/>
        </w:rPr>
      </w:pPr>
      <w:r w:rsidRPr="004B5088">
        <w:rPr>
          <w:i/>
          <w:sz w:val="20"/>
        </w:rPr>
        <w:tab/>
        <w:t>Per</w:t>
      </w:r>
      <w:r w:rsidRPr="004B5088">
        <w:rPr>
          <w:sz w:val="20"/>
        </w:rPr>
        <w:t xml:space="preserve"> </w:t>
      </w:r>
      <w:r w:rsidRPr="004B5088">
        <w:rPr>
          <w:b/>
          <w:sz w:val="20"/>
        </w:rPr>
        <w:t>Abella</w:t>
      </w:r>
      <w:r w:rsidRPr="004B5088">
        <w:rPr>
          <w:sz w:val="20"/>
        </w:rPr>
        <w:t xml:space="preserve"> and Martin JJ.: There is agreement with Karakatsanis J. that the appeal should be dismissed on the grounds that judicial review under the </w:t>
      </w:r>
      <w:r w:rsidRPr="004B5088">
        <w:rPr>
          <w:i/>
          <w:sz w:val="20"/>
        </w:rPr>
        <w:t>Federal Courts Act</w:t>
      </w:r>
      <w:r w:rsidRPr="004B5088">
        <w:rPr>
          <w:sz w:val="20"/>
        </w:rPr>
        <w:t xml:space="preserve"> is not available for the actions of federal ministers in the parliamentary process. </w:t>
      </w:r>
    </w:p>
    <w:p w:rsidR="004B5088" w:rsidRPr="004B5088" w:rsidRDefault="004B5088" w:rsidP="004B5088">
      <w:pPr>
        <w:pStyle w:val="SCCNormalDoubleSpacing"/>
        <w:spacing w:before="240" w:after="240" w:line="240" w:lineRule="auto"/>
        <w:contextualSpacing/>
        <w:rPr>
          <w:sz w:val="20"/>
        </w:rPr>
      </w:pPr>
    </w:p>
    <w:p w:rsidR="004B5088" w:rsidRDefault="004B5088" w:rsidP="004B5088">
      <w:pPr>
        <w:pStyle w:val="SCCNormalDoubleSpacing"/>
        <w:spacing w:before="240" w:after="240" w:line="240" w:lineRule="auto"/>
        <w:contextualSpacing/>
        <w:rPr>
          <w:sz w:val="20"/>
        </w:rPr>
      </w:pPr>
      <w:r w:rsidRPr="004B5088">
        <w:rPr>
          <w:sz w:val="20"/>
        </w:rPr>
        <w:tab/>
        <w:t xml:space="preserve">However, there is disagreement with respect to the duty to consult. The enactment of legislation with the potential to adversely affect rights protected by s. 35 of the </w:t>
      </w:r>
      <w:r w:rsidRPr="004B5088">
        <w:rPr>
          <w:i/>
          <w:sz w:val="20"/>
        </w:rPr>
        <w:t>Constitution Act, 1982</w:t>
      </w:r>
      <w:r w:rsidRPr="004B5088">
        <w:rPr>
          <w:sz w:val="20"/>
        </w:rPr>
        <w:t xml:space="preserve"> gives rise to a duty to consult, and legislation enacted in breach of that duty may be challenged directly for relief. The honour of the Crown governs the relationship between the government of Canada and Indigenous peoples. This obligation of honour gives rise to a duty to consult that applies to all contemplated government conduct with the potential to adversely impact asserted or established Aboriginal and treaty rights, including legislative action. </w:t>
      </w:r>
    </w:p>
    <w:p w:rsidR="004B5088" w:rsidRPr="004B5088" w:rsidRDefault="004B5088" w:rsidP="004B5088">
      <w:pPr>
        <w:pStyle w:val="SCCNormalDoubleSpacing"/>
        <w:spacing w:before="240" w:after="240" w:line="240" w:lineRule="auto"/>
        <w:contextualSpacing/>
        <w:rPr>
          <w:sz w:val="20"/>
        </w:rPr>
      </w:pPr>
    </w:p>
    <w:p w:rsidR="004B5088" w:rsidRDefault="004B5088" w:rsidP="004B5088">
      <w:pPr>
        <w:pStyle w:val="SCCNormalDoubleSpacing"/>
        <w:spacing w:before="240" w:after="240" w:line="240" w:lineRule="auto"/>
        <w:contextualSpacing/>
        <w:rPr>
          <w:sz w:val="20"/>
        </w:rPr>
      </w:pPr>
      <w:r w:rsidRPr="004B5088">
        <w:rPr>
          <w:sz w:val="20"/>
        </w:rPr>
        <w:tab/>
        <w:t>The honour of the Crown is always at stake in its dealings with Indigenous peoples, whether through the exercise of legislative power or executive authority. It is a constitutional imperative giving rise to obligations on the Crown which are enforced by the courts. When the government contemplates conduct that might adversely affect Aboriginal or treaty rights, the honour of the Crown gives rise to a duty to consult and accommodate. This duty is more than just a means of upholding the honour of the Crown. The question is not whether a duty to consult is appropriate in the circumstances, but whether the decision is one to which the duty to consult applies.</w:t>
      </w:r>
    </w:p>
    <w:p w:rsidR="004B5088" w:rsidRPr="004B5088" w:rsidRDefault="004B5088" w:rsidP="004B5088">
      <w:pPr>
        <w:pStyle w:val="SCCNormalDoubleSpacing"/>
        <w:spacing w:before="240" w:after="240" w:line="240" w:lineRule="auto"/>
        <w:contextualSpacing/>
        <w:rPr>
          <w:sz w:val="20"/>
        </w:rPr>
      </w:pPr>
    </w:p>
    <w:p w:rsidR="004B5088" w:rsidRDefault="004B5088" w:rsidP="004B5088">
      <w:pPr>
        <w:pStyle w:val="SCCNormalDoubleSpacing"/>
        <w:spacing w:before="240" w:after="240" w:line="240" w:lineRule="auto"/>
        <w:contextualSpacing/>
        <w:rPr>
          <w:sz w:val="20"/>
        </w:rPr>
      </w:pPr>
      <w:r w:rsidRPr="004B5088">
        <w:rPr>
          <w:sz w:val="20"/>
        </w:rPr>
        <w:lastRenderedPageBreak/>
        <w:tab/>
        <w:t xml:space="preserve">Because the honour of the Crown infuses the entirety of the government’s relationship with Indigenous peoples, the duty to consult must apply to all exercises of authority which are subject to scrutiny under s. 35. This includes the enactment of legislation. This conclusion flows from the jurisprudential development of the duty to consult from an aspect of the infringement and justification analysis in </w:t>
      </w:r>
      <w:r w:rsidRPr="004B5088">
        <w:rPr>
          <w:i/>
          <w:sz w:val="20"/>
        </w:rPr>
        <w:t>R. v. Sparrow</w:t>
      </w:r>
      <w:r w:rsidRPr="004B5088">
        <w:rPr>
          <w:sz w:val="20"/>
        </w:rPr>
        <w:t xml:space="preserve">, [1990] 1 S.C.R. 1075, to an independent obligation in </w:t>
      </w:r>
      <w:proofErr w:type="spellStart"/>
      <w:r w:rsidRPr="004B5088">
        <w:rPr>
          <w:i/>
          <w:iCs/>
          <w:sz w:val="20"/>
        </w:rPr>
        <w:t>Haida</w:t>
      </w:r>
      <w:proofErr w:type="spellEnd"/>
      <w:r w:rsidRPr="004B5088">
        <w:rPr>
          <w:i/>
          <w:iCs/>
          <w:sz w:val="20"/>
        </w:rPr>
        <w:t xml:space="preserve"> Nation v. British Columbia (Minister of Forests), </w:t>
      </w:r>
      <w:r w:rsidRPr="004B5088">
        <w:rPr>
          <w:sz w:val="20"/>
        </w:rPr>
        <w:t>2004 SCC 73, [2004] S.C.R. 511. No longer confined to the justification context, the duty to consult now forms part of the essential legal framework of Aboriginal law, and requires consultation wherever the potential for adverse effects on claimed or established s. 35 rights arises. This approach recognizes that the legislative sphere is not excluded from the honour of the Crown. Endorsing such a void in the honour of the Crown would create a corresponding gap in the s. 35 framework, leaving Aboriginal rights</w:t>
      </w:r>
      <w:r w:rsidRPr="004B5088">
        <w:rPr>
          <w:sz w:val="20"/>
        </w:rPr>
        <w:noBreakHyphen/>
        <w:t xml:space="preserve">holders vulnerable to the same government objectives carried out through legislative, rather than executive, action. </w:t>
      </w:r>
    </w:p>
    <w:p w:rsidR="004B5088" w:rsidRPr="004B5088" w:rsidRDefault="004B5088" w:rsidP="004B5088">
      <w:pPr>
        <w:pStyle w:val="SCCNormalDoubleSpacing"/>
        <w:spacing w:before="240" w:after="240" w:line="240" w:lineRule="auto"/>
        <w:contextualSpacing/>
        <w:rPr>
          <w:sz w:val="20"/>
        </w:rPr>
      </w:pPr>
    </w:p>
    <w:p w:rsidR="004B5088" w:rsidRDefault="004B5088" w:rsidP="004B5088">
      <w:pPr>
        <w:pStyle w:val="SCCNormalDoubleSpacing"/>
        <w:spacing w:before="240" w:after="240" w:line="240" w:lineRule="auto"/>
        <w:contextualSpacing/>
        <w:rPr>
          <w:sz w:val="20"/>
        </w:rPr>
      </w:pPr>
      <w:r w:rsidRPr="004B5088">
        <w:rPr>
          <w:sz w:val="20"/>
        </w:rPr>
        <w:tab/>
        <w:t>Although parliamentary sovereignty and parliamentary privilege are central to ensuring that the legislative branch of government is able to do its work without undue interference, these concepts cannot displace the honour of the Crown. The issues in this appeal require this Court to reconcile, not choose between, protecting the legislative process from judicial interference and protecting Aboriginal rights from the legislative process. The right of Aboriginal groups to be consulted on decisions that may adversely affect their interests is not merely political, but a legal right with constitutional force. Cases which advocate against intrusion into the parliamentary process must therefore be read in the context of a duty that is not only a constitutional imperative, but a recognition of the limits of Crown sovereignty itself. Parliamentary sovereignty should not be interpreted</w:t>
      </w:r>
      <w:r w:rsidRPr="004B5088">
        <w:rPr>
          <w:b/>
          <w:sz w:val="20"/>
        </w:rPr>
        <w:t xml:space="preserve"> </w:t>
      </w:r>
      <w:r w:rsidRPr="004B5088">
        <w:rPr>
          <w:sz w:val="20"/>
        </w:rPr>
        <w:t xml:space="preserve">in a way that eradicates obligations under the honour of the Crown. Like all constitutional principles, parliamentary sovereignty must be balanced against other aspects of the constitutional order, including the duty to consult. </w:t>
      </w:r>
    </w:p>
    <w:p w:rsidR="004B5088" w:rsidRPr="004B5088" w:rsidRDefault="004B5088" w:rsidP="004B5088">
      <w:pPr>
        <w:pStyle w:val="SCCNormalDoubleSpacing"/>
        <w:spacing w:before="240" w:after="240" w:line="240" w:lineRule="auto"/>
        <w:contextualSpacing/>
        <w:rPr>
          <w:sz w:val="20"/>
        </w:rPr>
      </w:pPr>
    </w:p>
    <w:p w:rsidR="004B5088" w:rsidRDefault="004B5088" w:rsidP="004B5088">
      <w:pPr>
        <w:pStyle w:val="SCCNormalDoubleSpacing"/>
        <w:spacing w:before="240" w:after="240" w:line="240" w:lineRule="auto"/>
        <w:contextualSpacing/>
        <w:rPr>
          <w:sz w:val="20"/>
        </w:rPr>
      </w:pPr>
      <w:r w:rsidRPr="004B5088">
        <w:rPr>
          <w:sz w:val="20"/>
        </w:rPr>
        <w:tab/>
        <w:t>Although parliamentary sovereignty cannot displace the honour of the Crown, its force as a constitutional principle must be given adequate weight to achieve an appropriate balance between these concepts. The flexibility inherent in the duty to consult doctrine should be used to account for the wider area of discretion that legislatures must be afforded in the legislative context. Since the content of the duty to consult depends heavily on the circumstances, there is no reason why the unique challenges raised in the legislative sphere cannot be addressed by the spectrum of consultation and accommodation duties. Further, not every legislative effort triggers the duty to consult — it is triggered only where the Crown, with knowledge of the potential existence of the Aboriginal right or title in question, contemplates enacting legislation that might adversely affect it.</w:t>
      </w:r>
    </w:p>
    <w:p w:rsidR="004B5088" w:rsidRPr="004B5088" w:rsidRDefault="004B5088" w:rsidP="004B5088">
      <w:pPr>
        <w:pStyle w:val="SCCNormalDoubleSpacing"/>
        <w:spacing w:before="240" w:after="240" w:line="240" w:lineRule="auto"/>
        <w:contextualSpacing/>
        <w:rPr>
          <w:sz w:val="20"/>
        </w:rPr>
      </w:pPr>
    </w:p>
    <w:p w:rsidR="004B5088" w:rsidRDefault="004B5088" w:rsidP="004B5088">
      <w:pPr>
        <w:pStyle w:val="SCCNormalDoubleSpacing"/>
        <w:spacing w:before="240" w:after="240" w:line="240" w:lineRule="auto"/>
        <w:contextualSpacing/>
        <w:rPr>
          <w:sz w:val="20"/>
        </w:rPr>
      </w:pPr>
      <w:r w:rsidRPr="004B5088">
        <w:rPr>
          <w:sz w:val="20"/>
        </w:rPr>
        <w:tab/>
        <w:t>The procedure and scope of remedies available where the government breaches its duty to consult in the law</w:t>
      </w:r>
      <w:r w:rsidRPr="004B5088">
        <w:rPr>
          <w:sz w:val="20"/>
        </w:rPr>
        <w:noBreakHyphen/>
        <w:t xml:space="preserve">making process is also limited by the constitutional balance between the judiciary and the legislature. Institutional constraints in the legislative context require that applicants challenge existing legislation. It would unduly interfere with the legislative process to allow direct challenges to a legislature’s procedure prior to the enactment of legislation. While it is not the role of the courts to dictate the procedures legislatures adopt, they may consider whether the chosen process accords with the special relationship between the Crown and Indigenous peoples. Challenging existing legislation on procedural grounds is not a novel proposition in Canadian law. </w:t>
      </w:r>
    </w:p>
    <w:p w:rsidR="004B5088" w:rsidRPr="004B5088" w:rsidRDefault="004B5088" w:rsidP="004B5088">
      <w:pPr>
        <w:pStyle w:val="SCCNormalDoubleSpacing"/>
        <w:spacing w:before="240" w:after="240" w:line="240" w:lineRule="auto"/>
        <w:contextualSpacing/>
        <w:rPr>
          <w:sz w:val="20"/>
        </w:rPr>
      </w:pPr>
    </w:p>
    <w:p w:rsidR="004B5088" w:rsidRDefault="004B5088" w:rsidP="004B5088">
      <w:pPr>
        <w:pStyle w:val="SCCNormalDoubleSpacing"/>
        <w:spacing w:before="240" w:after="240" w:line="240" w:lineRule="auto"/>
        <w:contextualSpacing/>
        <w:rPr>
          <w:sz w:val="20"/>
        </w:rPr>
      </w:pPr>
      <w:r w:rsidRPr="004B5088">
        <w:rPr>
          <w:sz w:val="20"/>
        </w:rPr>
        <w:tab/>
        <w:t xml:space="preserve">A successful </w:t>
      </w:r>
      <w:proofErr w:type="spellStart"/>
      <w:r w:rsidRPr="004B5088">
        <w:rPr>
          <w:i/>
          <w:sz w:val="20"/>
        </w:rPr>
        <w:t>Haida</w:t>
      </w:r>
      <w:proofErr w:type="spellEnd"/>
      <w:r w:rsidRPr="004B5088">
        <w:rPr>
          <w:i/>
          <w:sz w:val="20"/>
        </w:rPr>
        <w:t xml:space="preserve"> Nation </w:t>
      </w:r>
      <w:r w:rsidRPr="004B5088">
        <w:rPr>
          <w:sz w:val="20"/>
        </w:rPr>
        <w:t xml:space="preserve">challenge will not, however, necessarily invalidate legislation. The duty to consult is about encouraging governments to consider their effects on Indigenous communities and consult proactively, and should not replace the </w:t>
      </w:r>
      <w:r w:rsidRPr="004B5088">
        <w:rPr>
          <w:i/>
          <w:sz w:val="20"/>
        </w:rPr>
        <w:t>Sparrow</w:t>
      </w:r>
      <w:r w:rsidRPr="004B5088">
        <w:rPr>
          <w:sz w:val="20"/>
        </w:rPr>
        <w:t xml:space="preserve"> infringement and justification test or become a means by which legislation is routinely struck down. Without ruling out the possibility that in certain cases legislation enacted in breach of the duty to consult could be struck down, a declaration will generally be the appropriate remedy. This allows courts to shape the legal framework while respecting the constitutional role of another branch of government to act within those constraints. Therefore, an Indigenous group will be entitled to declaratory relief where the Crown has failed to consult during the process leading to the enactment of legislation that could adversely affect its interests.</w:t>
      </w:r>
    </w:p>
    <w:p w:rsidR="004B5088" w:rsidRPr="004B5088" w:rsidRDefault="004B5088" w:rsidP="004B5088">
      <w:pPr>
        <w:pStyle w:val="SCCNormalDoubleSpacing"/>
        <w:spacing w:before="240" w:after="240" w:line="240" w:lineRule="auto"/>
        <w:contextualSpacing/>
        <w:rPr>
          <w:sz w:val="20"/>
        </w:rPr>
      </w:pPr>
    </w:p>
    <w:p w:rsidR="004B5088" w:rsidRDefault="004B5088" w:rsidP="004B5088">
      <w:pPr>
        <w:pStyle w:val="SCCNormalDoubleSpacing"/>
        <w:spacing w:before="240" w:after="240" w:line="240" w:lineRule="auto"/>
        <w:contextualSpacing/>
        <w:rPr>
          <w:sz w:val="20"/>
        </w:rPr>
      </w:pPr>
      <w:r w:rsidRPr="004B5088">
        <w:rPr>
          <w:i/>
          <w:sz w:val="20"/>
        </w:rPr>
        <w:tab/>
        <w:t>Per</w:t>
      </w:r>
      <w:r w:rsidRPr="004B5088">
        <w:rPr>
          <w:sz w:val="20"/>
        </w:rPr>
        <w:t xml:space="preserve"> </w:t>
      </w:r>
      <w:r w:rsidRPr="004B5088">
        <w:rPr>
          <w:b/>
          <w:sz w:val="20"/>
        </w:rPr>
        <w:t>Brown </w:t>
      </w:r>
      <w:r w:rsidRPr="004B5088">
        <w:rPr>
          <w:sz w:val="20"/>
        </w:rPr>
        <w:t xml:space="preserve">J.: There is agreement that the appeal should be dismissed on the grounds that the Federal Court did not have jurisdiction to consider the application for judicial review. </w:t>
      </w:r>
    </w:p>
    <w:p w:rsidR="004B5088" w:rsidRPr="004B5088" w:rsidRDefault="004B5088" w:rsidP="004B5088">
      <w:pPr>
        <w:pStyle w:val="SCCNormalDoubleSpacing"/>
        <w:spacing w:before="240" w:after="240" w:line="240" w:lineRule="auto"/>
        <w:contextualSpacing/>
        <w:rPr>
          <w:sz w:val="20"/>
        </w:rPr>
      </w:pPr>
    </w:p>
    <w:p w:rsidR="004B5088" w:rsidRDefault="004B5088" w:rsidP="004B5088">
      <w:pPr>
        <w:pStyle w:val="SCCNormalDoubleSpacing"/>
        <w:spacing w:before="240" w:after="240" w:line="240" w:lineRule="auto"/>
        <w:contextualSpacing/>
        <w:rPr>
          <w:sz w:val="20"/>
        </w:rPr>
      </w:pPr>
      <w:r w:rsidRPr="004B5088">
        <w:rPr>
          <w:sz w:val="20"/>
        </w:rPr>
        <w:tab/>
        <w:t xml:space="preserve">Even absent this jurisdictional bar, however, the separation of powers, parliamentary privilege, the scope of judicial review properly understood and the existing jurisprudence on the duty to consult all lead to the conclusion that the </w:t>
      </w:r>
      <w:proofErr w:type="spellStart"/>
      <w:r w:rsidRPr="004B5088">
        <w:rPr>
          <w:sz w:val="20"/>
        </w:rPr>
        <w:t>Mikisew’s</w:t>
      </w:r>
      <w:proofErr w:type="spellEnd"/>
      <w:r w:rsidRPr="004B5088">
        <w:rPr>
          <w:sz w:val="20"/>
        </w:rPr>
        <w:t xml:space="preserve"> application for judicial review cannot succeed. The entire law</w:t>
      </w:r>
      <w:r w:rsidRPr="004B5088">
        <w:rPr>
          <w:sz w:val="20"/>
        </w:rPr>
        <w:noBreakHyphen/>
        <w:t xml:space="preserve">making process — from initial policy development to and including royal assent — is an exercise of legislative power which is immune from judicial </w:t>
      </w:r>
      <w:r w:rsidRPr="004B5088">
        <w:rPr>
          <w:sz w:val="20"/>
        </w:rPr>
        <w:lastRenderedPageBreak/>
        <w:t>interference. The making of policy choices is a legislative function, while the implementation and administration of those choices is an executive function. This precludes judicial imposition of a duty to consult in the course of the law</w:t>
      </w:r>
      <w:r w:rsidRPr="004B5088">
        <w:rPr>
          <w:sz w:val="20"/>
        </w:rPr>
        <w:noBreakHyphen/>
        <w:t>making process.</w:t>
      </w:r>
    </w:p>
    <w:p w:rsidR="004B5088" w:rsidRPr="004B5088" w:rsidRDefault="004B5088" w:rsidP="004B5088">
      <w:pPr>
        <w:pStyle w:val="SCCNormalDoubleSpacing"/>
        <w:spacing w:before="240" w:after="240" w:line="240" w:lineRule="auto"/>
        <w:contextualSpacing/>
        <w:rPr>
          <w:sz w:val="20"/>
        </w:rPr>
      </w:pPr>
    </w:p>
    <w:p w:rsidR="004B5088" w:rsidRDefault="004B5088" w:rsidP="004B5088">
      <w:pPr>
        <w:pStyle w:val="SCCNormalDoubleSpacing"/>
        <w:spacing w:before="240" w:after="240" w:line="240" w:lineRule="auto"/>
        <w:contextualSpacing/>
        <w:rPr>
          <w:sz w:val="20"/>
        </w:rPr>
      </w:pPr>
      <w:r w:rsidRPr="004B5088">
        <w:rPr>
          <w:sz w:val="20"/>
        </w:rPr>
        <w:tab/>
        <w:t xml:space="preserve">The formulation and introduction of bills is protected from judicial review by the separation of powers. In order for each branch of the Canadian state — legislative, executive and judiciary — to fulfill its role, it must not be unduly interfered with by the others. Ministers of the Crown play an essential role in, and are an integral part of, the legislative process. Their dual membership in the executive and legislative branches of the Canadian state does not render their corresponding executive and legislative roles indistinguishable for the purposes of judicial review. In the instant case, federal ministers took a set of policy decisions that eventually led to the drafting of a legislative proposal, and then to the formulation and introduction of the omnibus bills in the House of Commons. All of these actions form part of the legislative process of introducing bills in Parliament and were taken by the ministers acting in a legislative capacity. </w:t>
      </w:r>
    </w:p>
    <w:p w:rsidR="004B5088" w:rsidRPr="004B5088" w:rsidRDefault="004B5088" w:rsidP="004B5088">
      <w:pPr>
        <w:pStyle w:val="SCCNormalDoubleSpacing"/>
        <w:spacing w:before="240" w:after="240" w:line="240" w:lineRule="auto"/>
        <w:contextualSpacing/>
        <w:rPr>
          <w:sz w:val="20"/>
        </w:rPr>
      </w:pPr>
    </w:p>
    <w:p w:rsidR="004B5088" w:rsidRDefault="004B5088" w:rsidP="004B5088">
      <w:pPr>
        <w:pStyle w:val="SCCNormalDoubleSpacing"/>
        <w:spacing w:before="240" w:after="240" w:line="240" w:lineRule="auto"/>
        <w:contextualSpacing/>
        <w:rPr>
          <w:sz w:val="20"/>
        </w:rPr>
      </w:pPr>
      <w:r w:rsidRPr="004B5088">
        <w:rPr>
          <w:sz w:val="20"/>
        </w:rPr>
        <w:tab/>
        <w:t xml:space="preserve">The formulation and introduction of bills is also protected from judicial review by parliamentary privilege, which is understood as freedom from interference with the parliamentary work of a Member of Parliament. Parliamentary privilege is essential to allowing Parliament to perform its constitutional functions by giving it the right to exercise unfettered freedom in the formulation, tabling, amendment, and passage of legislation. While parliamentary privilege operates within certain constraints imposed by the Constitution, the duty to consult is distinct from the constitutionally mandated manner and form requirements with which Parliament must comply in order to enact valid legislation. The only procedure due any citizen of Canada is that proposed legislation receive three readings in the Senate and House of Commons and that it receive royal assent. While the Constitution’s status as the supreme law of Canada operates to render of no force and effect enacted legislation that is inconsistent with its provisions, it does not empower plaintiffs to override parliamentary privilege. </w:t>
      </w:r>
    </w:p>
    <w:p w:rsidR="004B5088" w:rsidRPr="004B5088" w:rsidRDefault="004B5088" w:rsidP="004B5088">
      <w:pPr>
        <w:pStyle w:val="SCCNormalDoubleSpacing"/>
        <w:spacing w:before="240" w:after="240" w:line="240" w:lineRule="auto"/>
        <w:contextualSpacing/>
        <w:rPr>
          <w:sz w:val="20"/>
        </w:rPr>
      </w:pPr>
    </w:p>
    <w:p w:rsidR="004B5088" w:rsidRDefault="004B5088" w:rsidP="004B5088">
      <w:pPr>
        <w:pStyle w:val="SCCNormalDoubleSpacing"/>
        <w:spacing w:before="240" w:after="240" w:line="240" w:lineRule="auto"/>
        <w:contextualSpacing/>
        <w:rPr>
          <w:sz w:val="20"/>
        </w:rPr>
      </w:pPr>
      <w:r w:rsidRPr="004B5088">
        <w:rPr>
          <w:sz w:val="20"/>
        </w:rPr>
        <w:tab/>
        <w:t>The development, introduction, consideration and enactment of bills is not Crown conduct which triggers the duty to consult. Crown conduct triggering this duty must be understood as excluding the parliamentary functions of the Canadian state. The steps taken as part of the parliamentary process of law</w:t>
      </w:r>
      <w:r w:rsidRPr="004B5088">
        <w:rPr>
          <w:sz w:val="20"/>
        </w:rPr>
        <w:noBreakHyphen/>
        <w:t xml:space="preserve">making, including royal assent, are not the vehicle through which the Crown acts. The exercise of Crown authority in enacting legislation (assenting, refusing assent to, or reserving legislative or parliamentary bills) is legislative. It is not an instance of Crown conduct — that is, executive conduct — which can trigger the duty to consult. The Crown does not enact legislation, Parliament does. </w:t>
      </w:r>
    </w:p>
    <w:p w:rsidR="004B5088" w:rsidRPr="004B5088" w:rsidRDefault="004B5088" w:rsidP="004B5088">
      <w:pPr>
        <w:pStyle w:val="SCCNormalDoubleSpacing"/>
        <w:spacing w:before="240" w:after="240" w:line="240" w:lineRule="auto"/>
        <w:contextualSpacing/>
        <w:rPr>
          <w:sz w:val="20"/>
        </w:rPr>
      </w:pPr>
    </w:p>
    <w:p w:rsidR="004B5088" w:rsidRDefault="004B5088" w:rsidP="004B5088">
      <w:pPr>
        <w:pStyle w:val="SCCNormalDoubleSpacing"/>
        <w:spacing w:before="240" w:after="240" w:line="240" w:lineRule="auto"/>
        <w:contextualSpacing/>
        <w:rPr>
          <w:sz w:val="20"/>
        </w:rPr>
      </w:pPr>
      <w:r w:rsidRPr="004B5088">
        <w:rPr>
          <w:sz w:val="20"/>
        </w:rPr>
        <w:tab/>
        <w:t xml:space="preserve">Consequently, judicial review of the legislative process, including </w:t>
      </w:r>
      <w:r w:rsidRPr="004B5088">
        <w:rPr>
          <w:i/>
          <w:sz w:val="20"/>
        </w:rPr>
        <w:t>post</w:t>
      </w:r>
      <w:r w:rsidRPr="004B5088">
        <w:rPr>
          <w:i/>
          <w:sz w:val="20"/>
        </w:rPr>
        <w:noBreakHyphen/>
        <w:t>facto</w:t>
      </w:r>
      <w:r w:rsidRPr="004B5088">
        <w:rPr>
          <w:sz w:val="20"/>
        </w:rPr>
        <w:t xml:space="preserve"> review of the process of legislative enactment, for adherence to s. 35 of the </w:t>
      </w:r>
      <w:r w:rsidRPr="004B5088">
        <w:rPr>
          <w:i/>
          <w:sz w:val="20"/>
        </w:rPr>
        <w:t>Constitution Act, 1982</w:t>
      </w:r>
      <w:r w:rsidRPr="004B5088">
        <w:rPr>
          <w:sz w:val="20"/>
        </w:rPr>
        <w:t>,</w:t>
      </w:r>
      <w:r w:rsidRPr="004B5088">
        <w:rPr>
          <w:i/>
          <w:sz w:val="20"/>
        </w:rPr>
        <w:t xml:space="preserve"> </w:t>
      </w:r>
      <w:r w:rsidRPr="004B5088">
        <w:rPr>
          <w:sz w:val="20"/>
        </w:rPr>
        <w:t xml:space="preserve">and for consistency with the honour of the Crown, is unconstitutional. That this is so, should not, however, be seen to diminish the value and wisdom of consulting Indigenous peoples prior to enacting legislation that has the potential to adversely impact the exercise of Aboriginal or treaty rights. Consultation during the legislative process is an important consideration in the justification analysis under s. 35. But the absence </w:t>
      </w:r>
      <w:proofErr w:type="spellStart"/>
      <w:r w:rsidRPr="004B5088">
        <w:rPr>
          <w:sz w:val="20"/>
        </w:rPr>
        <w:t>or</w:t>
      </w:r>
      <w:proofErr w:type="spellEnd"/>
      <w:r w:rsidRPr="004B5088">
        <w:rPr>
          <w:sz w:val="20"/>
        </w:rPr>
        <w:t xml:space="preserve"> inadequacy of consultation may be considered only once the legislation at issue has been enacted, and then, only in respect of a challenge under s. 35 to the substance or the effects of such enacted legislation, as opposed to a challenge to the legislative process. </w:t>
      </w:r>
    </w:p>
    <w:p w:rsidR="004B5088" w:rsidRPr="004B5088" w:rsidRDefault="004B5088" w:rsidP="004B5088">
      <w:pPr>
        <w:pStyle w:val="SCCNormalDoubleSpacing"/>
        <w:spacing w:before="240" w:after="240" w:line="240" w:lineRule="auto"/>
        <w:contextualSpacing/>
        <w:rPr>
          <w:sz w:val="20"/>
        </w:rPr>
      </w:pPr>
    </w:p>
    <w:p w:rsidR="004B5088" w:rsidRDefault="004B5088" w:rsidP="004B5088">
      <w:pPr>
        <w:pStyle w:val="SCCNormalDoubleSpacing"/>
        <w:spacing w:before="240" w:after="240" w:line="240" w:lineRule="auto"/>
        <w:contextualSpacing/>
        <w:rPr>
          <w:sz w:val="20"/>
        </w:rPr>
      </w:pPr>
      <w:r w:rsidRPr="004B5088">
        <w:rPr>
          <w:sz w:val="20"/>
        </w:rPr>
        <w:tab/>
        <w:t>Raising the possibility that legislation which adversely affects s. 35 rights might be declared inconsistent with the honour of the Crown undercuts the same principles of separation of powers and parliamentary privilege that lead to the conclusion that imposing the duty to consult would be inappropriate in the circumstances of this case. Further, this would cast the law into considerable uncertainty for all who rely upon the efficacy of validly enacted and constitutionally compliant laws.</w:t>
      </w:r>
    </w:p>
    <w:p w:rsidR="004B5088" w:rsidRPr="004B5088" w:rsidRDefault="004B5088" w:rsidP="004B5088">
      <w:pPr>
        <w:pStyle w:val="SCCNormalDoubleSpacing"/>
        <w:spacing w:before="240" w:after="240" w:line="240" w:lineRule="auto"/>
        <w:contextualSpacing/>
        <w:rPr>
          <w:sz w:val="20"/>
        </w:rPr>
      </w:pPr>
    </w:p>
    <w:p w:rsidR="004B5088" w:rsidRPr="004B5088" w:rsidRDefault="004B5088" w:rsidP="004B5088">
      <w:pPr>
        <w:pStyle w:val="SCCNormalDoubleSpacing"/>
        <w:spacing w:before="240" w:after="240" w:line="240" w:lineRule="auto"/>
        <w:contextualSpacing/>
        <w:rPr>
          <w:sz w:val="20"/>
        </w:rPr>
      </w:pPr>
      <w:r w:rsidRPr="004B5088">
        <w:rPr>
          <w:i/>
          <w:sz w:val="20"/>
        </w:rPr>
        <w:tab/>
        <w:t>Per</w:t>
      </w:r>
      <w:r w:rsidRPr="004B5088">
        <w:rPr>
          <w:sz w:val="20"/>
        </w:rPr>
        <w:t xml:space="preserve"> Moldaver, Côté and </w:t>
      </w:r>
      <w:r w:rsidRPr="004B5088">
        <w:rPr>
          <w:b/>
          <w:sz w:val="20"/>
        </w:rPr>
        <w:t>Rowe </w:t>
      </w:r>
      <w:r w:rsidRPr="004B5088">
        <w:rPr>
          <w:sz w:val="20"/>
        </w:rPr>
        <w:t>JJ.: There is agreement with Brown J.</w:t>
      </w:r>
      <w:r w:rsidRPr="004B5088">
        <w:rPr>
          <w:i/>
          <w:sz w:val="20"/>
        </w:rPr>
        <w:t xml:space="preserve"> </w:t>
      </w:r>
      <w:r w:rsidRPr="004B5088">
        <w:rPr>
          <w:sz w:val="20"/>
        </w:rPr>
        <w:t xml:space="preserve">In addition, the fact that the duty to consult has not been recognized as a procedural requirement in the legislative process does not leave Aboriginal claimants without effective means to have their rights, which are protected under s. 35 of the </w:t>
      </w:r>
      <w:r w:rsidRPr="004B5088">
        <w:rPr>
          <w:i/>
          <w:sz w:val="20"/>
        </w:rPr>
        <w:t>Constitution Act, 1982</w:t>
      </w:r>
      <w:r w:rsidRPr="004B5088">
        <w:rPr>
          <w:sz w:val="20"/>
        </w:rPr>
        <w:t>,</w:t>
      </w:r>
      <w:r w:rsidRPr="004B5088">
        <w:rPr>
          <w:i/>
          <w:sz w:val="20"/>
        </w:rPr>
        <w:t xml:space="preserve"> </w:t>
      </w:r>
      <w:r w:rsidRPr="004B5088">
        <w:rPr>
          <w:sz w:val="20"/>
        </w:rPr>
        <w:t xml:space="preserve">vindicated by the courts. When legislation has been adopted, those who assert that the effect of the legislation is to infringe s. 35 rights have their remedies under the infringement and justification framework set out in </w:t>
      </w:r>
      <w:r w:rsidRPr="004B5088">
        <w:rPr>
          <w:i/>
          <w:sz w:val="20"/>
        </w:rPr>
        <w:t>R. v. Sparrow</w:t>
      </w:r>
      <w:r w:rsidRPr="004B5088">
        <w:rPr>
          <w:sz w:val="20"/>
        </w:rPr>
        <w:t xml:space="preserve">, [1990] 1 S.C.R. 1075. Those who assert that government decisions made pursuant to the legislation’s authority will adversely affect their claims can rely on the duty to consult first recognized in </w:t>
      </w:r>
      <w:proofErr w:type="spellStart"/>
      <w:r w:rsidRPr="004B5088">
        <w:rPr>
          <w:i/>
          <w:iCs/>
          <w:sz w:val="20"/>
        </w:rPr>
        <w:t>Haida</w:t>
      </w:r>
      <w:proofErr w:type="spellEnd"/>
      <w:r w:rsidRPr="004B5088">
        <w:rPr>
          <w:i/>
          <w:iCs/>
          <w:sz w:val="20"/>
        </w:rPr>
        <w:t xml:space="preserve"> Nation v. British Columbia (Minister of Forests)</w:t>
      </w:r>
      <w:r w:rsidRPr="004B5088">
        <w:rPr>
          <w:iCs/>
          <w:sz w:val="20"/>
        </w:rPr>
        <w:t xml:space="preserve">, </w:t>
      </w:r>
      <w:r w:rsidRPr="004B5088">
        <w:rPr>
          <w:sz w:val="20"/>
        </w:rPr>
        <w:t>2004 SCC 73, [2004] S.C.R. 511</w:t>
      </w:r>
      <w:r w:rsidRPr="004B5088">
        <w:rPr>
          <w:i/>
          <w:iCs/>
          <w:sz w:val="20"/>
        </w:rPr>
        <w:t>.</w:t>
      </w:r>
      <w:r w:rsidRPr="004B5088">
        <w:rPr>
          <w:sz w:val="20"/>
        </w:rPr>
        <w:t xml:space="preserve"> </w:t>
      </w:r>
      <w:r w:rsidRPr="004B5088">
        <w:rPr>
          <w:sz w:val="20"/>
          <w:lang w:val="en-US"/>
        </w:rPr>
        <w:t xml:space="preserve">Where new situations arise that require the adaptation or extension of the existing jurisprudence, the courts provide a means for further development of the law. No such requirement has been shown on the facts of this case. </w:t>
      </w:r>
      <w:r w:rsidRPr="004B5088">
        <w:rPr>
          <w:sz w:val="20"/>
        </w:rPr>
        <w:lastRenderedPageBreak/>
        <w:t xml:space="preserve">The current jurisprudence provides for protection and vindication of Aboriginal rights while upholding the constitutional principles of parliamentary sovereignty and the separation of powers. </w:t>
      </w:r>
    </w:p>
    <w:p w:rsidR="004B5088" w:rsidRPr="004B5088" w:rsidRDefault="004B5088" w:rsidP="004B5088">
      <w:pPr>
        <w:pStyle w:val="SCCNormalDoubleSpacing"/>
        <w:spacing w:before="240" w:after="240" w:line="240" w:lineRule="auto"/>
        <w:contextualSpacing/>
        <w:rPr>
          <w:sz w:val="20"/>
        </w:rPr>
      </w:pPr>
      <w:r w:rsidRPr="004B5088">
        <w:rPr>
          <w:sz w:val="20"/>
        </w:rPr>
        <w:tab/>
        <w:t>Furthermore, recognizing a constitutionally mandated duty to consult during the process of preparing legislation would be highly disruptive to the carrying out of that work. The preparation of legislation is not a simple process. Rather, it is a highly complex process involving multiple actors across government. Imposing a duty to consult at this stage could effectively grind the day</w:t>
      </w:r>
      <w:r w:rsidRPr="004B5088">
        <w:rPr>
          <w:sz w:val="20"/>
        </w:rPr>
        <w:noBreakHyphen/>
        <w:t>to</w:t>
      </w:r>
      <w:r w:rsidRPr="004B5088">
        <w:rPr>
          <w:sz w:val="20"/>
        </w:rPr>
        <w:noBreakHyphen/>
        <w:t>day internal operation of government to a halt. What is now complex and difficult could become drawn out and dysfunctional.</w:t>
      </w:r>
    </w:p>
    <w:p w:rsidR="00472360" w:rsidRPr="004B5088" w:rsidRDefault="004B5088" w:rsidP="004B5088">
      <w:pPr>
        <w:spacing w:before="240" w:after="240"/>
        <w:contextualSpacing/>
        <w:jc w:val="both"/>
        <w:rPr>
          <w:rFonts w:cs="Times New Roman"/>
          <w:sz w:val="20"/>
          <w:szCs w:val="20"/>
        </w:rPr>
      </w:pPr>
      <w:r w:rsidRPr="004B5088">
        <w:rPr>
          <w:rFonts w:cs="Times New Roman"/>
          <w:sz w:val="20"/>
          <w:szCs w:val="20"/>
        </w:rPr>
        <w:tab/>
        <w:t>Finally, an additional and serious consequence of recognizing a duty to consult during the law</w:t>
      </w:r>
      <w:r w:rsidRPr="004B5088">
        <w:rPr>
          <w:rFonts w:cs="Times New Roman"/>
          <w:sz w:val="20"/>
          <w:szCs w:val="20"/>
        </w:rPr>
        <w:noBreakHyphen/>
        <w:t>making process would be the interventionist role that the courts would be called upon to play in order to supervise interactions between Indigenous parties and those preparing legislation for consideration by Parliament and by provincial legislatures. If a duty to consult were to be imposed on the legislative process, disputes would arise about the way that this obligation would be fulfilled. Affected parties would inevitably turn to the courts, who would be drawn into a supervisory role as to the operation of a duty to consult in the preparation of legislation. The courts are ill</w:t>
      </w:r>
      <w:r w:rsidRPr="004B5088">
        <w:rPr>
          <w:rFonts w:cs="Times New Roman"/>
          <w:sz w:val="20"/>
          <w:szCs w:val="20"/>
        </w:rPr>
        <w:noBreakHyphen/>
        <w:t>equipped to deal with the procedural complexities of the legislative process. If a legislature chooses to participate in consultation with Indigenous peoples, the stage at which such consultation takes place is a matter of discretion. Interference by a court in the exercise of that discretion would offend the separation of powers. Engaging the courts in regulating the exercise by Parliament and legislatures of their powers and privileges would be a profound change in Canada’s system of government.</w:t>
      </w:r>
    </w:p>
    <w:p w:rsidR="004B5088" w:rsidRPr="004B5088" w:rsidRDefault="004B5088" w:rsidP="004B5088">
      <w:pPr>
        <w:spacing w:before="240" w:after="240"/>
        <w:contextualSpacing/>
        <w:jc w:val="both"/>
        <w:rPr>
          <w:rFonts w:cs="Times New Roman"/>
          <w:sz w:val="20"/>
          <w:szCs w:val="20"/>
        </w:rPr>
      </w:pPr>
    </w:p>
    <w:p w:rsidR="004B5088" w:rsidRDefault="004B5088" w:rsidP="004B5088">
      <w:pPr>
        <w:pStyle w:val="SCCNormalDoubleSpacing"/>
        <w:spacing w:before="240" w:after="240" w:line="240" w:lineRule="auto"/>
        <w:contextualSpacing/>
        <w:rPr>
          <w:sz w:val="20"/>
        </w:rPr>
      </w:pPr>
      <w:r w:rsidRPr="004B5088">
        <w:rPr>
          <w:sz w:val="20"/>
        </w:rPr>
        <w:t xml:space="preserve">APPEAL from a judgment of the Federal Court of Appeal (Pelletier, Webb and de </w:t>
      </w:r>
      <w:proofErr w:type="spellStart"/>
      <w:r w:rsidRPr="004B5088">
        <w:rPr>
          <w:sz w:val="20"/>
        </w:rPr>
        <w:t>Montigny</w:t>
      </w:r>
      <w:proofErr w:type="spellEnd"/>
      <w:r w:rsidRPr="004B5088">
        <w:rPr>
          <w:sz w:val="20"/>
        </w:rPr>
        <w:t xml:space="preserve"> JJ.A.), 2016 FCA 311, [2017] 3 F.C.R. 298, 405 D.L.R. (4th) 721, 5 C.E.L.R. (4th) 302, [2017] 1 C.N.L.R. 354, [2016] F.C.J. No. 1389 (QL), 2016 </w:t>
      </w:r>
      <w:proofErr w:type="spellStart"/>
      <w:r w:rsidRPr="004B5088">
        <w:rPr>
          <w:sz w:val="20"/>
        </w:rPr>
        <w:t>CarswellNat</w:t>
      </w:r>
      <w:proofErr w:type="spellEnd"/>
      <w:r w:rsidRPr="004B5088">
        <w:rPr>
          <w:sz w:val="20"/>
        </w:rPr>
        <w:t xml:space="preserve"> 6599 (WL Can.), setting aside a declaration of Hughes J., 2014 FC 1244, 470 F.T.R. 243, 93 C.E.L.R. (3d) 199, [2015] 1 C.N.L.R. 243, [2014] F.C.J. No. 1308 (QL), 2014 </w:t>
      </w:r>
      <w:proofErr w:type="spellStart"/>
      <w:r w:rsidRPr="004B5088">
        <w:rPr>
          <w:sz w:val="20"/>
        </w:rPr>
        <w:t>CarswellNat</w:t>
      </w:r>
      <w:proofErr w:type="spellEnd"/>
      <w:r w:rsidRPr="004B5088">
        <w:rPr>
          <w:sz w:val="20"/>
        </w:rPr>
        <w:t xml:space="preserve"> 5539 (WL Can.). Appeal dismissed. </w:t>
      </w:r>
    </w:p>
    <w:p w:rsidR="004B5088" w:rsidRPr="004B5088" w:rsidRDefault="004B5088" w:rsidP="004B5088">
      <w:pPr>
        <w:pStyle w:val="SCCNormalDoubleSpacing"/>
        <w:spacing w:before="240" w:after="240" w:line="240" w:lineRule="auto"/>
        <w:contextualSpacing/>
        <w:rPr>
          <w:sz w:val="20"/>
        </w:rPr>
      </w:pPr>
    </w:p>
    <w:p w:rsidR="004B5088" w:rsidRDefault="004B5088" w:rsidP="004B5088">
      <w:pPr>
        <w:pStyle w:val="SCCNormalDoubleSpacing"/>
        <w:spacing w:before="240" w:after="240" w:line="240" w:lineRule="auto"/>
        <w:contextualSpacing/>
        <w:rPr>
          <w:rStyle w:val="SCCCounselPartyRoleChar"/>
          <w:sz w:val="20"/>
        </w:rPr>
      </w:pPr>
      <w:r w:rsidRPr="004B5088">
        <w:rPr>
          <w:rStyle w:val="SCCCounselNameChar"/>
          <w:sz w:val="20"/>
        </w:rPr>
        <w:tab/>
        <w:t>Robert J. M. Janes, Q.C.</w:t>
      </w:r>
      <w:r w:rsidRPr="004B5088">
        <w:rPr>
          <w:rStyle w:val="SCCCounselSeparatorChar"/>
          <w:rFonts w:eastAsia="Calibri"/>
          <w:sz w:val="20"/>
          <w:lang w:val="en-US"/>
        </w:rPr>
        <w:t xml:space="preserve">, </w:t>
      </w:r>
      <w:proofErr w:type="spellStart"/>
      <w:r w:rsidRPr="004B5088">
        <w:rPr>
          <w:rStyle w:val="SCCCounselNameChar"/>
          <w:sz w:val="20"/>
        </w:rPr>
        <w:t>Karey</w:t>
      </w:r>
      <w:proofErr w:type="spellEnd"/>
      <w:r w:rsidRPr="004B5088">
        <w:rPr>
          <w:rStyle w:val="SCCCounselNameChar"/>
          <w:sz w:val="20"/>
        </w:rPr>
        <w:t xml:space="preserve"> Brooks</w:t>
      </w:r>
      <w:r w:rsidRPr="004B5088">
        <w:rPr>
          <w:rStyle w:val="SCCCounselSeparatorChar"/>
          <w:rFonts w:eastAsia="Calibri"/>
          <w:sz w:val="20"/>
          <w:lang w:val="en-US"/>
        </w:rPr>
        <w:t xml:space="preserve"> and </w:t>
      </w:r>
      <w:r w:rsidRPr="004B5088">
        <w:rPr>
          <w:rStyle w:val="SCCCounselNameChar"/>
          <w:sz w:val="20"/>
        </w:rPr>
        <w:t>Estella White</w:t>
      </w:r>
      <w:r w:rsidRPr="004B5088">
        <w:rPr>
          <w:rStyle w:val="SCCCounselPartyRoleChar"/>
          <w:sz w:val="20"/>
        </w:rPr>
        <w:t>, for the appellant.</w:t>
      </w:r>
    </w:p>
    <w:p w:rsidR="004B5088" w:rsidRPr="004B5088" w:rsidRDefault="004B5088" w:rsidP="004B5088">
      <w:pPr>
        <w:pStyle w:val="SCCNormalDoubleSpacing"/>
        <w:spacing w:before="240" w:after="240" w:line="240" w:lineRule="auto"/>
        <w:contextualSpacing/>
        <w:rPr>
          <w:sz w:val="20"/>
        </w:rPr>
      </w:pPr>
    </w:p>
    <w:p w:rsidR="004B5088" w:rsidRDefault="004B5088" w:rsidP="004B5088">
      <w:pPr>
        <w:pStyle w:val="SCCNormalDoubleSpacing"/>
        <w:spacing w:before="240" w:after="240" w:line="240" w:lineRule="auto"/>
        <w:contextualSpacing/>
        <w:rPr>
          <w:rStyle w:val="SCCCounselPartyRoleChar"/>
          <w:sz w:val="20"/>
        </w:rPr>
      </w:pPr>
      <w:r w:rsidRPr="004B5088">
        <w:rPr>
          <w:rStyle w:val="SCCCounselNameChar"/>
          <w:sz w:val="20"/>
        </w:rPr>
        <w:tab/>
        <w:t>Christopher M. Rupar</w:t>
      </w:r>
      <w:r w:rsidRPr="004B5088">
        <w:rPr>
          <w:rStyle w:val="SCCCounselSeparatorChar"/>
          <w:rFonts w:eastAsia="Calibri"/>
          <w:sz w:val="20"/>
          <w:lang w:val="en-US"/>
        </w:rPr>
        <w:t xml:space="preserve"> and </w:t>
      </w:r>
      <w:r w:rsidRPr="004B5088">
        <w:rPr>
          <w:rStyle w:val="SCCCounselNameChar"/>
          <w:sz w:val="20"/>
        </w:rPr>
        <w:t>Cynthia Dickins</w:t>
      </w:r>
      <w:r w:rsidRPr="004B5088">
        <w:rPr>
          <w:rStyle w:val="SCCCounselPartyRoleChar"/>
          <w:sz w:val="20"/>
        </w:rPr>
        <w:t>, for the respondents.</w:t>
      </w:r>
    </w:p>
    <w:p w:rsidR="004B5088" w:rsidRPr="004B5088" w:rsidRDefault="004B5088" w:rsidP="004B5088">
      <w:pPr>
        <w:pStyle w:val="SCCNormalDoubleSpacing"/>
        <w:spacing w:before="240" w:after="240" w:line="240" w:lineRule="auto"/>
        <w:contextualSpacing/>
        <w:rPr>
          <w:sz w:val="20"/>
        </w:rPr>
      </w:pPr>
    </w:p>
    <w:p w:rsidR="004B5088" w:rsidRDefault="004B5088" w:rsidP="004B5088">
      <w:pPr>
        <w:pStyle w:val="SCCNormalDoubleSpacing"/>
        <w:spacing w:before="240" w:after="240" w:line="240" w:lineRule="auto"/>
        <w:contextualSpacing/>
        <w:rPr>
          <w:rStyle w:val="SCCCounselPartyRoleChar"/>
          <w:sz w:val="20"/>
        </w:rPr>
      </w:pPr>
      <w:r w:rsidRPr="004B5088">
        <w:rPr>
          <w:rStyle w:val="SCCCounselNameChar"/>
          <w:sz w:val="20"/>
        </w:rPr>
        <w:tab/>
        <w:t>Samuel Chayer</w:t>
      </w:r>
      <w:r w:rsidRPr="004B5088">
        <w:rPr>
          <w:rStyle w:val="SCCCounselPartyRoleChar"/>
          <w:sz w:val="20"/>
        </w:rPr>
        <w:t>, for the intervener the Attorney General of Quebec.</w:t>
      </w:r>
    </w:p>
    <w:p w:rsidR="004B5088" w:rsidRPr="004B5088" w:rsidRDefault="004B5088" w:rsidP="004B5088">
      <w:pPr>
        <w:pStyle w:val="SCCNormalDoubleSpacing"/>
        <w:spacing w:before="240" w:after="240" w:line="240" w:lineRule="auto"/>
        <w:contextualSpacing/>
        <w:rPr>
          <w:sz w:val="20"/>
        </w:rPr>
      </w:pPr>
    </w:p>
    <w:p w:rsidR="004B5088" w:rsidRDefault="004B5088" w:rsidP="004B5088">
      <w:pPr>
        <w:pStyle w:val="SCCNormalDoubleSpacing"/>
        <w:spacing w:before="240" w:after="240" w:line="240" w:lineRule="auto"/>
        <w:contextualSpacing/>
        <w:rPr>
          <w:rStyle w:val="SCCCounselPartyRoleChar"/>
          <w:sz w:val="20"/>
        </w:rPr>
      </w:pPr>
      <w:r w:rsidRPr="004B5088">
        <w:rPr>
          <w:rStyle w:val="SCCCounselNameChar"/>
          <w:sz w:val="20"/>
        </w:rPr>
        <w:tab/>
        <w:t>William Gould</w:t>
      </w:r>
      <w:r w:rsidRPr="004B5088">
        <w:rPr>
          <w:rStyle w:val="SCCCounselSeparatorChar"/>
          <w:rFonts w:eastAsia="Calibri"/>
          <w:sz w:val="20"/>
          <w:lang w:val="en-US"/>
        </w:rPr>
        <w:t xml:space="preserve"> and </w:t>
      </w:r>
      <w:r w:rsidRPr="004B5088">
        <w:rPr>
          <w:rStyle w:val="SCCCounselNameChar"/>
          <w:sz w:val="20"/>
        </w:rPr>
        <w:t>Rachelle Standing</w:t>
      </w:r>
      <w:r w:rsidRPr="004B5088">
        <w:rPr>
          <w:rStyle w:val="SCCCounselPartyRoleChar"/>
          <w:sz w:val="20"/>
        </w:rPr>
        <w:t>, for the intervener the Attorney General of New Brunswick.</w:t>
      </w:r>
    </w:p>
    <w:p w:rsidR="004B5088" w:rsidRPr="004B5088" w:rsidRDefault="004B5088" w:rsidP="004B5088">
      <w:pPr>
        <w:pStyle w:val="SCCNormalDoubleSpacing"/>
        <w:spacing w:before="240" w:after="240" w:line="240" w:lineRule="auto"/>
        <w:contextualSpacing/>
        <w:rPr>
          <w:sz w:val="20"/>
        </w:rPr>
      </w:pPr>
    </w:p>
    <w:p w:rsidR="004B5088" w:rsidRDefault="004B5088" w:rsidP="004B5088">
      <w:pPr>
        <w:pStyle w:val="SCCNormalDoubleSpacing"/>
        <w:spacing w:before="240" w:after="240" w:line="240" w:lineRule="auto"/>
        <w:contextualSpacing/>
        <w:rPr>
          <w:rStyle w:val="SCCCounselPartyRoleChar"/>
          <w:sz w:val="20"/>
        </w:rPr>
      </w:pPr>
      <w:r w:rsidRPr="004B5088">
        <w:rPr>
          <w:rStyle w:val="SCCCounselNameChar"/>
          <w:sz w:val="20"/>
        </w:rPr>
        <w:tab/>
        <w:t>Glen R. Thompson</w:t>
      </w:r>
      <w:r w:rsidRPr="004B5088">
        <w:rPr>
          <w:rStyle w:val="SCCCounselSeparatorChar"/>
          <w:rFonts w:eastAsia="Calibri"/>
          <w:sz w:val="20"/>
          <w:lang w:val="en-US"/>
        </w:rPr>
        <w:t xml:space="preserve"> and </w:t>
      </w:r>
      <w:r w:rsidRPr="004B5088">
        <w:rPr>
          <w:rStyle w:val="SCCCounselNameChar"/>
          <w:sz w:val="20"/>
        </w:rPr>
        <w:t>Heather Cochran</w:t>
      </w:r>
      <w:r w:rsidRPr="004B5088">
        <w:rPr>
          <w:rStyle w:val="SCCCounselPartyRoleChar"/>
          <w:sz w:val="20"/>
        </w:rPr>
        <w:t>, for the intervener the Attorney General of British Columbia.</w:t>
      </w:r>
    </w:p>
    <w:p w:rsidR="004B5088" w:rsidRPr="004B5088" w:rsidRDefault="004B5088" w:rsidP="004B5088">
      <w:pPr>
        <w:pStyle w:val="SCCNormalDoubleSpacing"/>
        <w:spacing w:before="240" w:after="240" w:line="240" w:lineRule="auto"/>
        <w:contextualSpacing/>
        <w:rPr>
          <w:sz w:val="20"/>
        </w:rPr>
      </w:pPr>
    </w:p>
    <w:p w:rsidR="004B5088" w:rsidRDefault="004B5088" w:rsidP="004B5088">
      <w:pPr>
        <w:pStyle w:val="SCCNormalDoubleSpacing"/>
        <w:spacing w:before="240" w:after="240" w:line="240" w:lineRule="auto"/>
        <w:contextualSpacing/>
        <w:rPr>
          <w:rStyle w:val="SCCCounselPartyRoleChar"/>
          <w:sz w:val="20"/>
        </w:rPr>
      </w:pPr>
      <w:r w:rsidRPr="004B5088">
        <w:rPr>
          <w:rStyle w:val="SCCCounselNameChar"/>
          <w:sz w:val="20"/>
        </w:rPr>
        <w:tab/>
        <w:t>Richard James Fyfe</w:t>
      </w:r>
      <w:r w:rsidRPr="004B5088">
        <w:rPr>
          <w:rStyle w:val="SCCCounselPartyRoleChar"/>
          <w:sz w:val="20"/>
        </w:rPr>
        <w:t>, for the intervener the Attorney General of Saskatchewan.</w:t>
      </w:r>
    </w:p>
    <w:p w:rsidR="004B5088" w:rsidRPr="004B5088" w:rsidRDefault="004B5088" w:rsidP="004B5088">
      <w:pPr>
        <w:pStyle w:val="SCCNormalDoubleSpacing"/>
        <w:spacing w:before="240" w:after="240" w:line="240" w:lineRule="auto"/>
        <w:contextualSpacing/>
        <w:rPr>
          <w:sz w:val="20"/>
        </w:rPr>
      </w:pPr>
    </w:p>
    <w:p w:rsidR="004B5088" w:rsidRDefault="004B5088" w:rsidP="004B5088">
      <w:pPr>
        <w:pStyle w:val="SCCNormalDoubleSpacing"/>
        <w:spacing w:before="240" w:after="240" w:line="240" w:lineRule="auto"/>
        <w:contextualSpacing/>
        <w:rPr>
          <w:rStyle w:val="SCCCounselPartyRoleChar"/>
          <w:sz w:val="20"/>
        </w:rPr>
      </w:pPr>
      <w:r w:rsidRPr="004B5088">
        <w:rPr>
          <w:rStyle w:val="SCCCounselNameChar"/>
          <w:sz w:val="20"/>
        </w:rPr>
        <w:tab/>
        <w:t xml:space="preserve">Krista </w:t>
      </w:r>
      <w:proofErr w:type="spellStart"/>
      <w:r w:rsidRPr="004B5088">
        <w:rPr>
          <w:rStyle w:val="SCCCounselNameChar"/>
          <w:sz w:val="20"/>
        </w:rPr>
        <w:t>Epton</w:t>
      </w:r>
      <w:proofErr w:type="spellEnd"/>
      <w:r w:rsidRPr="004B5088">
        <w:rPr>
          <w:rStyle w:val="SCCCounselPartyRoleChar"/>
          <w:sz w:val="20"/>
        </w:rPr>
        <w:t>, for the intervener the Attorney General of Alberta.</w:t>
      </w:r>
    </w:p>
    <w:p w:rsidR="004B5088" w:rsidRPr="004B5088" w:rsidRDefault="004B5088" w:rsidP="004B5088">
      <w:pPr>
        <w:pStyle w:val="SCCNormalDoubleSpacing"/>
        <w:spacing w:before="240" w:after="240" w:line="240" w:lineRule="auto"/>
        <w:contextualSpacing/>
        <w:rPr>
          <w:sz w:val="20"/>
        </w:rPr>
      </w:pPr>
    </w:p>
    <w:p w:rsidR="004B5088" w:rsidRDefault="004B5088" w:rsidP="004B5088">
      <w:pPr>
        <w:pStyle w:val="SCCNormalDoubleSpacing"/>
        <w:spacing w:before="240" w:after="240" w:line="240" w:lineRule="auto"/>
        <w:contextualSpacing/>
        <w:rPr>
          <w:rStyle w:val="SCCCounselPartyRoleChar"/>
          <w:sz w:val="20"/>
        </w:rPr>
      </w:pPr>
      <w:r w:rsidRPr="004B5088">
        <w:rPr>
          <w:rStyle w:val="SCCCounselNameChar"/>
          <w:sz w:val="20"/>
        </w:rPr>
        <w:tab/>
        <w:t>Gregory J. McDade, Q.C., and</w:t>
      </w:r>
      <w:r w:rsidRPr="004B5088">
        <w:rPr>
          <w:rStyle w:val="SCCCounselSeparatorChar"/>
          <w:rFonts w:eastAsia="Calibri"/>
          <w:sz w:val="20"/>
          <w:lang w:val="en-US"/>
        </w:rPr>
        <w:t xml:space="preserve"> </w:t>
      </w:r>
      <w:r w:rsidRPr="004B5088">
        <w:rPr>
          <w:rStyle w:val="SCCCounselNameChar"/>
          <w:sz w:val="20"/>
        </w:rPr>
        <w:t xml:space="preserve">Kate </w:t>
      </w:r>
      <w:proofErr w:type="spellStart"/>
      <w:r w:rsidRPr="004B5088">
        <w:rPr>
          <w:rStyle w:val="SCCCounselNameChar"/>
          <w:sz w:val="20"/>
        </w:rPr>
        <w:t>Blomfield</w:t>
      </w:r>
      <w:proofErr w:type="spellEnd"/>
      <w:r w:rsidRPr="004B5088">
        <w:rPr>
          <w:rStyle w:val="SCCCounselPartyRoleChar"/>
          <w:sz w:val="20"/>
        </w:rPr>
        <w:t xml:space="preserve">, for the interveners the Champagne and </w:t>
      </w:r>
      <w:proofErr w:type="spellStart"/>
      <w:r w:rsidRPr="004B5088">
        <w:rPr>
          <w:rStyle w:val="SCCCounselPartyRoleChar"/>
          <w:sz w:val="20"/>
        </w:rPr>
        <w:t>Aishihik</w:t>
      </w:r>
      <w:proofErr w:type="spellEnd"/>
      <w:r w:rsidRPr="004B5088">
        <w:rPr>
          <w:rStyle w:val="SCCCounselPartyRoleChar"/>
          <w:sz w:val="20"/>
        </w:rPr>
        <w:t xml:space="preserve"> First Nations, the </w:t>
      </w:r>
      <w:proofErr w:type="spellStart"/>
      <w:r w:rsidRPr="004B5088">
        <w:rPr>
          <w:rStyle w:val="SCCCounselPartyRoleChar"/>
          <w:sz w:val="20"/>
        </w:rPr>
        <w:t>Kwanlin</w:t>
      </w:r>
      <w:proofErr w:type="spellEnd"/>
      <w:r w:rsidRPr="004B5088">
        <w:rPr>
          <w:rStyle w:val="SCCCounselPartyRoleChar"/>
          <w:sz w:val="20"/>
        </w:rPr>
        <w:t xml:space="preserve"> </w:t>
      </w:r>
      <w:proofErr w:type="spellStart"/>
      <w:r w:rsidRPr="004B5088">
        <w:rPr>
          <w:rStyle w:val="SCCCounselPartyRoleChar"/>
          <w:sz w:val="20"/>
        </w:rPr>
        <w:t>Dün</w:t>
      </w:r>
      <w:proofErr w:type="spellEnd"/>
      <w:r w:rsidRPr="004B5088">
        <w:rPr>
          <w:rStyle w:val="SCCCounselPartyRoleChar"/>
          <w:sz w:val="20"/>
        </w:rPr>
        <w:t xml:space="preserve"> First Nation, the Little Salmon </w:t>
      </w:r>
      <w:proofErr w:type="spellStart"/>
      <w:r w:rsidRPr="004B5088">
        <w:rPr>
          <w:rStyle w:val="SCCCounselPartyRoleChar"/>
          <w:sz w:val="20"/>
        </w:rPr>
        <w:t>Carmacks</w:t>
      </w:r>
      <w:proofErr w:type="spellEnd"/>
      <w:r w:rsidRPr="004B5088">
        <w:rPr>
          <w:rStyle w:val="SCCCounselPartyRoleChar"/>
          <w:sz w:val="20"/>
        </w:rPr>
        <w:t xml:space="preserve"> First Nation, the First Nation of Na</w:t>
      </w:r>
      <w:r w:rsidRPr="004B5088">
        <w:rPr>
          <w:rStyle w:val="SCCCounselPartyRoleChar"/>
          <w:sz w:val="20"/>
        </w:rPr>
        <w:noBreakHyphen/>
        <w:t xml:space="preserve">Cho </w:t>
      </w:r>
      <w:proofErr w:type="spellStart"/>
      <w:r w:rsidRPr="004B5088">
        <w:rPr>
          <w:rStyle w:val="SCCCounselPartyRoleChar"/>
          <w:sz w:val="20"/>
        </w:rPr>
        <w:t>Nyak</w:t>
      </w:r>
      <w:proofErr w:type="spellEnd"/>
      <w:r w:rsidRPr="004B5088">
        <w:rPr>
          <w:rStyle w:val="SCCCounselPartyRoleChar"/>
          <w:sz w:val="20"/>
        </w:rPr>
        <w:t xml:space="preserve"> Dun, the Teslin Tlingit Council and the First Nations of the </w:t>
      </w:r>
      <w:proofErr w:type="spellStart"/>
      <w:r w:rsidRPr="004B5088">
        <w:rPr>
          <w:rStyle w:val="SCCCounselPartyRoleChar"/>
          <w:sz w:val="20"/>
        </w:rPr>
        <w:t>Maa</w:t>
      </w:r>
      <w:r w:rsidRPr="004B5088">
        <w:rPr>
          <w:rStyle w:val="SCCCounselPartyRoleChar"/>
          <w:sz w:val="20"/>
        </w:rPr>
        <w:noBreakHyphen/>
        <w:t>nulth</w:t>
      </w:r>
      <w:proofErr w:type="spellEnd"/>
      <w:r w:rsidRPr="004B5088">
        <w:rPr>
          <w:rStyle w:val="SCCCounselPartyRoleChar"/>
          <w:sz w:val="20"/>
        </w:rPr>
        <w:t xml:space="preserve"> Treaty Society.</w:t>
      </w:r>
    </w:p>
    <w:p w:rsidR="004B5088" w:rsidRPr="004B5088" w:rsidRDefault="004B5088" w:rsidP="004B5088">
      <w:pPr>
        <w:pStyle w:val="SCCNormalDoubleSpacing"/>
        <w:spacing w:before="240" w:after="240" w:line="240" w:lineRule="auto"/>
        <w:contextualSpacing/>
        <w:rPr>
          <w:sz w:val="20"/>
        </w:rPr>
      </w:pPr>
    </w:p>
    <w:p w:rsidR="004B5088" w:rsidRDefault="004B5088" w:rsidP="004B5088">
      <w:pPr>
        <w:pStyle w:val="SCCNormalDoubleSpacing"/>
        <w:spacing w:before="240" w:after="240" w:line="240" w:lineRule="auto"/>
        <w:contextualSpacing/>
        <w:rPr>
          <w:rStyle w:val="SCCCounselPartyRoleChar"/>
          <w:sz w:val="20"/>
        </w:rPr>
      </w:pPr>
      <w:r w:rsidRPr="004B5088">
        <w:rPr>
          <w:rStyle w:val="SCCCounselNameChar"/>
          <w:sz w:val="20"/>
        </w:rPr>
        <w:tab/>
        <w:t>Julie McGregor</w:t>
      </w:r>
      <w:r w:rsidRPr="004B5088">
        <w:rPr>
          <w:rStyle w:val="SCCCounselSeparatorChar"/>
          <w:rFonts w:eastAsia="Calibri"/>
          <w:sz w:val="20"/>
          <w:lang w:val="en-US"/>
        </w:rPr>
        <w:t xml:space="preserve"> and </w:t>
      </w:r>
      <w:r w:rsidRPr="004B5088">
        <w:rPr>
          <w:rStyle w:val="SCCCounselNameChar"/>
          <w:sz w:val="20"/>
        </w:rPr>
        <w:t xml:space="preserve">Stuart </w:t>
      </w:r>
      <w:proofErr w:type="spellStart"/>
      <w:r w:rsidRPr="004B5088">
        <w:rPr>
          <w:rStyle w:val="SCCCounselNameChar"/>
          <w:sz w:val="20"/>
        </w:rPr>
        <w:t>Wuttke</w:t>
      </w:r>
      <w:proofErr w:type="spellEnd"/>
      <w:r w:rsidRPr="004B5088">
        <w:rPr>
          <w:rStyle w:val="SCCCounselPartyRoleChar"/>
          <w:sz w:val="20"/>
        </w:rPr>
        <w:t>, for the intervener the Assembly of First Nations.</w:t>
      </w:r>
    </w:p>
    <w:p w:rsidR="004B5088" w:rsidRPr="004B5088" w:rsidRDefault="004B5088" w:rsidP="004B5088">
      <w:pPr>
        <w:pStyle w:val="SCCNormalDoubleSpacing"/>
        <w:spacing w:before="240" w:after="240" w:line="240" w:lineRule="auto"/>
        <w:contextualSpacing/>
        <w:rPr>
          <w:sz w:val="20"/>
        </w:rPr>
      </w:pPr>
    </w:p>
    <w:p w:rsidR="004B5088" w:rsidRDefault="004B5088" w:rsidP="004B5088">
      <w:pPr>
        <w:pStyle w:val="SCCNormalDoubleSpacing"/>
        <w:spacing w:before="240" w:after="240" w:line="240" w:lineRule="auto"/>
        <w:contextualSpacing/>
        <w:rPr>
          <w:rStyle w:val="SCCCounselPartyRoleChar"/>
          <w:sz w:val="20"/>
        </w:rPr>
      </w:pPr>
      <w:r w:rsidRPr="004B5088">
        <w:rPr>
          <w:rStyle w:val="SCCCounselNameChar"/>
          <w:sz w:val="20"/>
        </w:rPr>
        <w:tab/>
        <w:t>John Hurley</w:t>
      </w:r>
      <w:r w:rsidRPr="004B5088">
        <w:rPr>
          <w:rStyle w:val="SCCCounselSeparatorChar"/>
          <w:rFonts w:eastAsia="Calibri"/>
          <w:sz w:val="20"/>
          <w:lang w:val="en-US"/>
        </w:rPr>
        <w:t xml:space="preserve"> and </w:t>
      </w:r>
      <w:r w:rsidRPr="004B5088">
        <w:rPr>
          <w:rStyle w:val="SCCCounselNameChar"/>
          <w:sz w:val="20"/>
        </w:rPr>
        <w:t xml:space="preserve">François </w:t>
      </w:r>
      <w:proofErr w:type="spellStart"/>
      <w:r w:rsidRPr="004B5088">
        <w:rPr>
          <w:rStyle w:val="SCCCounselNameChar"/>
          <w:sz w:val="20"/>
        </w:rPr>
        <w:t>Dandonneau</w:t>
      </w:r>
      <w:proofErr w:type="spellEnd"/>
      <w:r w:rsidRPr="004B5088">
        <w:rPr>
          <w:rStyle w:val="SCCCounselPartyRoleChar"/>
          <w:sz w:val="20"/>
        </w:rPr>
        <w:t xml:space="preserve">, for the interveners the Grand Council of the </w:t>
      </w:r>
      <w:proofErr w:type="spellStart"/>
      <w:r w:rsidRPr="004B5088">
        <w:rPr>
          <w:rStyle w:val="SCCCounselPartyRoleChar"/>
          <w:sz w:val="20"/>
        </w:rPr>
        <w:t>Crees</w:t>
      </w:r>
      <w:proofErr w:type="spellEnd"/>
      <w:r w:rsidRPr="004B5088">
        <w:rPr>
          <w:rStyle w:val="SCCCounselPartyRoleChar"/>
          <w:sz w:val="20"/>
        </w:rPr>
        <w:t xml:space="preserve"> (</w:t>
      </w:r>
      <w:proofErr w:type="spellStart"/>
      <w:r w:rsidRPr="004B5088">
        <w:rPr>
          <w:rStyle w:val="SCCCounselPartyRoleChar"/>
          <w:sz w:val="20"/>
        </w:rPr>
        <w:t>Eeyou</w:t>
      </w:r>
      <w:proofErr w:type="spellEnd"/>
      <w:r w:rsidRPr="004B5088">
        <w:rPr>
          <w:rStyle w:val="SCCCounselPartyRoleChar"/>
          <w:sz w:val="20"/>
        </w:rPr>
        <w:t xml:space="preserve"> </w:t>
      </w:r>
      <w:proofErr w:type="spellStart"/>
      <w:r w:rsidRPr="004B5088">
        <w:rPr>
          <w:rStyle w:val="SCCCounselPartyRoleChar"/>
          <w:sz w:val="20"/>
        </w:rPr>
        <w:t>Istchee</w:t>
      </w:r>
      <w:proofErr w:type="spellEnd"/>
      <w:r w:rsidRPr="004B5088">
        <w:rPr>
          <w:rStyle w:val="SCCCounselPartyRoleChar"/>
          <w:sz w:val="20"/>
        </w:rPr>
        <w:t>) and the Cree Nation Government.</w:t>
      </w:r>
    </w:p>
    <w:p w:rsidR="004B5088" w:rsidRPr="004B5088" w:rsidRDefault="004B5088" w:rsidP="004B5088">
      <w:pPr>
        <w:pStyle w:val="SCCNormalDoubleSpacing"/>
        <w:spacing w:before="240" w:after="240" w:line="240" w:lineRule="auto"/>
        <w:contextualSpacing/>
        <w:rPr>
          <w:sz w:val="20"/>
        </w:rPr>
      </w:pPr>
    </w:p>
    <w:p w:rsidR="004B5088" w:rsidRDefault="004B5088" w:rsidP="004B5088">
      <w:pPr>
        <w:pStyle w:val="SCCNormalDoubleSpacing"/>
        <w:spacing w:before="240" w:after="240" w:line="240" w:lineRule="auto"/>
        <w:contextualSpacing/>
        <w:rPr>
          <w:rStyle w:val="SCCCounselPartyRoleChar"/>
          <w:sz w:val="20"/>
        </w:rPr>
      </w:pPr>
      <w:r w:rsidRPr="004B5088">
        <w:rPr>
          <w:rStyle w:val="SCCCounselNameChar"/>
          <w:sz w:val="20"/>
        </w:rPr>
        <w:tab/>
        <w:t>Jason T. Madden</w:t>
      </w:r>
      <w:r w:rsidRPr="004B5088">
        <w:rPr>
          <w:rStyle w:val="SCCCounselSeparatorChar"/>
          <w:rFonts w:eastAsia="Calibri"/>
          <w:sz w:val="20"/>
          <w:lang w:val="en-US"/>
        </w:rPr>
        <w:t xml:space="preserve">, </w:t>
      </w:r>
      <w:r w:rsidRPr="004B5088">
        <w:rPr>
          <w:rStyle w:val="SCCCounselNameChar"/>
          <w:sz w:val="20"/>
        </w:rPr>
        <w:t xml:space="preserve">Alexandria </w:t>
      </w:r>
      <w:proofErr w:type="spellStart"/>
      <w:r w:rsidRPr="004B5088">
        <w:rPr>
          <w:rStyle w:val="SCCCounselNameChar"/>
          <w:sz w:val="20"/>
        </w:rPr>
        <w:t>Winterburn</w:t>
      </w:r>
      <w:proofErr w:type="spellEnd"/>
      <w:r w:rsidRPr="004B5088">
        <w:rPr>
          <w:rStyle w:val="SCCCounselSeparatorChar"/>
          <w:rFonts w:eastAsia="Calibri"/>
          <w:sz w:val="20"/>
          <w:lang w:val="en-US"/>
        </w:rPr>
        <w:t xml:space="preserve"> and </w:t>
      </w:r>
      <w:r w:rsidRPr="004B5088">
        <w:rPr>
          <w:rStyle w:val="SCCCounselNameChar"/>
          <w:sz w:val="20"/>
        </w:rPr>
        <w:t>Megan Strachan</w:t>
      </w:r>
      <w:r w:rsidRPr="004B5088">
        <w:rPr>
          <w:rStyle w:val="SCCCounselPartyRoleChar"/>
          <w:sz w:val="20"/>
        </w:rPr>
        <w:t>, for the intervener the Manitoba Metis Federation Inc.</w:t>
      </w:r>
    </w:p>
    <w:p w:rsidR="004B5088" w:rsidRPr="004B5088" w:rsidRDefault="004B5088" w:rsidP="004B5088">
      <w:pPr>
        <w:pStyle w:val="SCCNormalDoubleSpacing"/>
        <w:spacing w:before="240" w:after="240" w:line="240" w:lineRule="auto"/>
        <w:contextualSpacing/>
        <w:rPr>
          <w:sz w:val="20"/>
        </w:rPr>
      </w:pPr>
    </w:p>
    <w:p w:rsidR="004B5088" w:rsidRDefault="004B5088" w:rsidP="004B5088">
      <w:pPr>
        <w:pStyle w:val="SCCNormalDoubleSpacing"/>
        <w:spacing w:before="240" w:after="240" w:line="240" w:lineRule="auto"/>
        <w:contextualSpacing/>
        <w:rPr>
          <w:rStyle w:val="SCCCounselPartyRoleChar"/>
          <w:sz w:val="20"/>
        </w:rPr>
      </w:pPr>
      <w:r w:rsidRPr="004B5088">
        <w:rPr>
          <w:rStyle w:val="SCCCounselNameChar"/>
          <w:sz w:val="20"/>
        </w:rPr>
        <w:tab/>
        <w:t xml:space="preserve">Brandon </w:t>
      </w:r>
      <w:proofErr w:type="spellStart"/>
      <w:r w:rsidRPr="004B5088">
        <w:rPr>
          <w:rStyle w:val="SCCCounselNameChar"/>
          <w:sz w:val="20"/>
        </w:rPr>
        <w:t>Kain</w:t>
      </w:r>
      <w:proofErr w:type="spellEnd"/>
      <w:r w:rsidRPr="004B5088">
        <w:rPr>
          <w:rStyle w:val="SCCCounselSeparatorChar"/>
          <w:rFonts w:eastAsia="Calibri"/>
          <w:sz w:val="20"/>
          <w:lang w:val="en-US"/>
        </w:rPr>
        <w:t xml:space="preserve">, </w:t>
      </w:r>
      <w:r w:rsidRPr="004B5088">
        <w:rPr>
          <w:rStyle w:val="SCCCounselNameChar"/>
          <w:sz w:val="20"/>
        </w:rPr>
        <w:t>Bryn Gray</w:t>
      </w:r>
      <w:r w:rsidRPr="004B5088">
        <w:rPr>
          <w:rStyle w:val="SCCCounselSeparatorChar"/>
          <w:rFonts w:eastAsia="Calibri"/>
          <w:sz w:val="20"/>
          <w:lang w:val="en-US"/>
        </w:rPr>
        <w:t xml:space="preserve"> and </w:t>
      </w:r>
      <w:r w:rsidRPr="004B5088">
        <w:rPr>
          <w:rStyle w:val="SCCCounselNameChar"/>
          <w:sz w:val="20"/>
        </w:rPr>
        <w:t>Asher Honickman</w:t>
      </w:r>
      <w:r w:rsidRPr="004B5088">
        <w:rPr>
          <w:rStyle w:val="SCCCounselPartyRoleChar"/>
          <w:sz w:val="20"/>
        </w:rPr>
        <w:t>, for the intervener the Advocates for the Rule of Law.</w:t>
      </w:r>
    </w:p>
    <w:p w:rsidR="004B5088" w:rsidRPr="004B5088" w:rsidRDefault="004B5088" w:rsidP="004B5088">
      <w:pPr>
        <w:pStyle w:val="SCCNormalDoubleSpacing"/>
        <w:spacing w:before="240" w:after="240" w:line="240" w:lineRule="auto"/>
        <w:contextualSpacing/>
        <w:rPr>
          <w:sz w:val="20"/>
        </w:rPr>
      </w:pPr>
    </w:p>
    <w:p w:rsidR="004B5088" w:rsidRPr="004B5088" w:rsidRDefault="004B5088" w:rsidP="004B5088">
      <w:pPr>
        <w:pStyle w:val="SCCNormalDoubleSpacing"/>
        <w:spacing w:before="240" w:after="240" w:line="240" w:lineRule="auto"/>
        <w:contextualSpacing/>
        <w:rPr>
          <w:sz w:val="20"/>
        </w:rPr>
      </w:pPr>
      <w:r w:rsidRPr="004B5088">
        <w:rPr>
          <w:rStyle w:val="SCCCounselNameChar"/>
          <w:sz w:val="20"/>
        </w:rPr>
        <w:tab/>
        <w:t>Victor Carter</w:t>
      </w:r>
      <w:r w:rsidRPr="004B5088">
        <w:rPr>
          <w:rStyle w:val="SCCCounselSeparatorChar"/>
          <w:rFonts w:eastAsia="Calibri"/>
          <w:sz w:val="20"/>
          <w:lang w:val="en-US"/>
        </w:rPr>
        <w:t xml:space="preserve">, </w:t>
      </w:r>
      <w:r w:rsidRPr="004B5088">
        <w:rPr>
          <w:rStyle w:val="SCCCounselNameChar"/>
          <w:sz w:val="20"/>
        </w:rPr>
        <w:t xml:space="preserve">Allison </w:t>
      </w:r>
      <w:proofErr w:type="spellStart"/>
      <w:r w:rsidRPr="004B5088">
        <w:rPr>
          <w:rStyle w:val="SCCCounselNameChar"/>
          <w:sz w:val="20"/>
        </w:rPr>
        <w:t>Lachance</w:t>
      </w:r>
      <w:proofErr w:type="spellEnd"/>
      <w:r w:rsidRPr="004B5088">
        <w:rPr>
          <w:rStyle w:val="SCCCounselSeparatorChar"/>
          <w:rFonts w:eastAsia="Calibri"/>
          <w:sz w:val="20"/>
          <w:lang w:val="en-US"/>
        </w:rPr>
        <w:t xml:space="preserve"> and </w:t>
      </w:r>
      <w:r w:rsidRPr="004B5088">
        <w:rPr>
          <w:rStyle w:val="SCCCounselNameChar"/>
          <w:sz w:val="20"/>
        </w:rPr>
        <w:t xml:space="preserve">Darryl </w:t>
      </w:r>
      <w:proofErr w:type="spellStart"/>
      <w:r w:rsidRPr="004B5088">
        <w:rPr>
          <w:rStyle w:val="SCCCounselNameChar"/>
          <w:sz w:val="20"/>
        </w:rPr>
        <w:t>Korell</w:t>
      </w:r>
      <w:proofErr w:type="spellEnd"/>
      <w:r w:rsidRPr="004B5088">
        <w:rPr>
          <w:rStyle w:val="SCCCounselPartyRoleChar"/>
          <w:sz w:val="20"/>
        </w:rPr>
        <w:t>, for the intervener the Federation of Sovereign Indigenous Nations.</w:t>
      </w:r>
    </w:p>
    <w:p w:rsidR="004B5088" w:rsidRPr="004B5088" w:rsidRDefault="004B5088" w:rsidP="004B5088">
      <w:pPr>
        <w:spacing w:before="240" w:after="240"/>
        <w:contextualSpacing/>
        <w:jc w:val="both"/>
        <w:rPr>
          <w:rStyle w:val="SCCCounselPartyRoleChar"/>
          <w:rFonts w:eastAsiaTheme="minorHAnsi"/>
          <w:sz w:val="20"/>
        </w:rPr>
      </w:pPr>
      <w:r w:rsidRPr="004B5088">
        <w:rPr>
          <w:rStyle w:val="SCCCounselNameChar"/>
          <w:rFonts w:eastAsiaTheme="minorHAnsi"/>
          <w:sz w:val="20"/>
        </w:rPr>
        <w:lastRenderedPageBreak/>
        <w:tab/>
        <w:t>Karenna Williams and Jeff Huberman</w:t>
      </w:r>
      <w:r w:rsidRPr="004B5088">
        <w:rPr>
          <w:rStyle w:val="SCCCounselPartyRoleChar"/>
          <w:rFonts w:eastAsiaTheme="minorHAnsi"/>
          <w:sz w:val="20"/>
        </w:rPr>
        <w:t xml:space="preserve">, for the intervener the </w:t>
      </w:r>
      <w:proofErr w:type="spellStart"/>
      <w:r w:rsidRPr="004B5088">
        <w:rPr>
          <w:rStyle w:val="SCCCounselPartyRoleChar"/>
          <w:rFonts w:eastAsiaTheme="minorHAnsi"/>
          <w:sz w:val="20"/>
        </w:rPr>
        <w:t>Gitanyow</w:t>
      </w:r>
      <w:proofErr w:type="spellEnd"/>
      <w:r w:rsidRPr="004B5088">
        <w:rPr>
          <w:rStyle w:val="SCCCounselPartyRoleChar"/>
          <w:rFonts w:eastAsiaTheme="minorHAnsi"/>
          <w:sz w:val="20"/>
        </w:rPr>
        <w:t xml:space="preserve"> Hereditary Chiefs.</w:t>
      </w:r>
    </w:p>
    <w:p w:rsidR="004B5088" w:rsidRPr="004B5088" w:rsidRDefault="004B5088" w:rsidP="004B5088">
      <w:pPr>
        <w:spacing w:before="240" w:after="240"/>
        <w:contextualSpacing/>
        <w:jc w:val="both"/>
        <w:rPr>
          <w:rStyle w:val="SCCCounselPartyRoleChar"/>
          <w:rFonts w:eastAsiaTheme="minorHAnsi"/>
          <w:sz w:val="20"/>
        </w:rPr>
      </w:pPr>
    </w:p>
    <w:p w:rsidR="004B5088" w:rsidRPr="004B5088" w:rsidRDefault="004B5088" w:rsidP="004B5088">
      <w:pPr>
        <w:pStyle w:val="SCCNormalDoubleSpacing"/>
        <w:spacing w:before="240" w:after="240" w:line="240" w:lineRule="auto"/>
        <w:contextualSpacing/>
        <w:rPr>
          <w:sz w:val="20"/>
        </w:rPr>
      </w:pPr>
      <w:r w:rsidRPr="004B5088">
        <w:rPr>
          <w:i/>
          <w:sz w:val="20"/>
        </w:rPr>
        <w:t xml:space="preserve">Appeal dismissed. </w:t>
      </w:r>
    </w:p>
    <w:p w:rsidR="004B5088" w:rsidRPr="004B5088" w:rsidRDefault="004B5088" w:rsidP="004B5088">
      <w:pPr>
        <w:pStyle w:val="SCCLawFirm"/>
        <w:spacing w:before="240" w:after="240" w:line="240" w:lineRule="auto"/>
        <w:contextualSpacing/>
        <w:rPr>
          <w:sz w:val="20"/>
        </w:rPr>
      </w:pPr>
      <w:r w:rsidRPr="004B5088">
        <w:rPr>
          <w:sz w:val="20"/>
        </w:rPr>
        <w:tab/>
        <w:t>Solicitors for the appellant: JFK Law Corporation, Victoria and Vancouver.</w:t>
      </w:r>
    </w:p>
    <w:p w:rsidR="004B5088" w:rsidRPr="004B5088" w:rsidRDefault="004B5088" w:rsidP="004B5088">
      <w:pPr>
        <w:pStyle w:val="SCCLawFirm"/>
        <w:spacing w:before="240" w:after="240" w:line="240" w:lineRule="auto"/>
        <w:contextualSpacing/>
        <w:rPr>
          <w:sz w:val="20"/>
        </w:rPr>
      </w:pPr>
      <w:r w:rsidRPr="004B5088">
        <w:rPr>
          <w:sz w:val="20"/>
        </w:rPr>
        <w:tab/>
        <w:t>Solicitor for the respondents: Attorney General of Canada, Ottawa.</w:t>
      </w:r>
    </w:p>
    <w:p w:rsidR="004B5088" w:rsidRPr="004B5088" w:rsidRDefault="004B5088" w:rsidP="004B5088">
      <w:pPr>
        <w:pStyle w:val="SCCLawFirm"/>
        <w:spacing w:before="240" w:after="240" w:line="240" w:lineRule="auto"/>
        <w:contextualSpacing/>
        <w:rPr>
          <w:sz w:val="20"/>
        </w:rPr>
      </w:pPr>
      <w:r w:rsidRPr="004B5088">
        <w:rPr>
          <w:sz w:val="20"/>
        </w:rPr>
        <w:tab/>
        <w:t>Solicitor for the intervener the Attorney General of Quebec: Attorney General of Quebec, Québec.</w:t>
      </w:r>
    </w:p>
    <w:p w:rsidR="004B5088" w:rsidRPr="004B5088" w:rsidRDefault="004B5088" w:rsidP="004B5088">
      <w:pPr>
        <w:pStyle w:val="SCCLawFirm"/>
        <w:spacing w:before="240" w:after="240" w:line="240" w:lineRule="auto"/>
        <w:contextualSpacing/>
        <w:rPr>
          <w:sz w:val="20"/>
        </w:rPr>
      </w:pPr>
      <w:r w:rsidRPr="004B5088">
        <w:rPr>
          <w:sz w:val="20"/>
        </w:rPr>
        <w:tab/>
        <w:t>Solicitor for the intervener the Attorney General of New Brunswick: Attorney General of New Brunswick, Fredericton.</w:t>
      </w:r>
    </w:p>
    <w:p w:rsidR="004B5088" w:rsidRPr="004B5088" w:rsidRDefault="004B5088" w:rsidP="004B5088">
      <w:pPr>
        <w:pStyle w:val="SCCLawFirm"/>
        <w:spacing w:before="240" w:after="240" w:line="240" w:lineRule="auto"/>
        <w:contextualSpacing/>
        <w:rPr>
          <w:sz w:val="20"/>
        </w:rPr>
      </w:pPr>
      <w:r w:rsidRPr="004B5088">
        <w:rPr>
          <w:sz w:val="20"/>
        </w:rPr>
        <w:tab/>
        <w:t>Solicitor for the intervener the Attorney General of British Columbia: Attorney General of British Columbia, Victoria.</w:t>
      </w:r>
    </w:p>
    <w:p w:rsidR="004B5088" w:rsidRPr="004B5088" w:rsidRDefault="004B5088" w:rsidP="004B5088">
      <w:pPr>
        <w:pStyle w:val="SCCLawFirm"/>
        <w:spacing w:before="240" w:after="240" w:line="240" w:lineRule="auto"/>
        <w:contextualSpacing/>
        <w:rPr>
          <w:sz w:val="20"/>
        </w:rPr>
      </w:pPr>
      <w:r w:rsidRPr="004B5088">
        <w:rPr>
          <w:sz w:val="20"/>
        </w:rPr>
        <w:tab/>
        <w:t>Solicitor for the intervener the Attorney General of Saskatchewan: Attorney General of Saskatchewan, Regina.</w:t>
      </w:r>
    </w:p>
    <w:p w:rsidR="004B5088" w:rsidRPr="004B5088" w:rsidRDefault="004B5088" w:rsidP="004B5088">
      <w:pPr>
        <w:pStyle w:val="SCCLawFirm"/>
        <w:spacing w:before="240" w:after="240" w:line="240" w:lineRule="auto"/>
        <w:contextualSpacing/>
        <w:rPr>
          <w:sz w:val="20"/>
        </w:rPr>
      </w:pPr>
      <w:r w:rsidRPr="004B5088">
        <w:rPr>
          <w:sz w:val="20"/>
        </w:rPr>
        <w:tab/>
        <w:t>Solicitor for the intervener the Attorney General of Alberta: Attorney General of Alberta, Edmonton.</w:t>
      </w:r>
    </w:p>
    <w:p w:rsidR="004B5088" w:rsidRPr="004B5088" w:rsidRDefault="004B5088" w:rsidP="004B5088">
      <w:pPr>
        <w:pStyle w:val="SCCLawFirm"/>
        <w:spacing w:before="240" w:after="240" w:line="240" w:lineRule="auto"/>
        <w:contextualSpacing/>
        <w:rPr>
          <w:sz w:val="20"/>
        </w:rPr>
      </w:pPr>
      <w:r w:rsidRPr="004B5088">
        <w:rPr>
          <w:sz w:val="20"/>
        </w:rPr>
        <w:tab/>
        <w:t xml:space="preserve">Solicitors for the interveners the Champagne and </w:t>
      </w:r>
      <w:proofErr w:type="spellStart"/>
      <w:r w:rsidRPr="004B5088">
        <w:rPr>
          <w:sz w:val="20"/>
        </w:rPr>
        <w:t>Aishihik</w:t>
      </w:r>
      <w:proofErr w:type="spellEnd"/>
      <w:r w:rsidRPr="004B5088">
        <w:rPr>
          <w:sz w:val="20"/>
        </w:rPr>
        <w:t xml:space="preserve"> First Nations, the </w:t>
      </w:r>
      <w:proofErr w:type="spellStart"/>
      <w:r w:rsidRPr="004B5088">
        <w:rPr>
          <w:sz w:val="20"/>
        </w:rPr>
        <w:t>Kwanlin</w:t>
      </w:r>
      <w:proofErr w:type="spellEnd"/>
      <w:r w:rsidRPr="004B5088">
        <w:rPr>
          <w:sz w:val="20"/>
        </w:rPr>
        <w:t xml:space="preserve"> </w:t>
      </w:r>
      <w:proofErr w:type="spellStart"/>
      <w:r w:rsidRPr="004B5088">
        <w:rPr>
          <w:sz w:val="20"/>
        </w:rPr>
        <w:t>Dün</w:t>
      </w:r>
      <w:proofErr w:type="spellEnd"/>
      <w:r w:rsidRPr="004B5088">
        <w:rPr>
          <w:sz w:val="20"/>
        </w:rPr>
        <w:t xml:space="preserve"> First Nation, the Little Salmon </w:t>
      </w:r>
      <w:proofErr w:type="spellStart"/>
      <w:r w:rsidRPr="004B5088">
        <w:rPr>
          <w:sz w:val="20"/>
        </w:rPr>
        <w:t>Carmacks</w:t>
      </w:r>
      <w:proofErr w:type="spellEnd"/>
      <w:r w:rsidRPr="004B5088">
        <w:rPr>
          <w:sz w:val="20"/>
        </w:rPr>
        <w:t xml:space="preserve"> First Nation, the First Nation of Na</w:t>
      </w:r>
      <w:r w:rsidRPr="004B5088">
        <w:rPr>
          <w:sz w:val="20"/>
        </w:rPr>
        <w:noBreakHyphen/>
        <w:t xml:space="preserve">Cho </w:t>
      </w:r>
      <w:proofErr w:type="spellStart"/>
      <w:r w:rsidRPr="004B5088">
        <w:rPr>
          <w:sz w:val="20"/>
        </w:rPr>
        <w:t>Nyak</w:t>
      </w:r>
      <w:proofErr w:type="spellEnd"/>
      <w:r w:rsidRPr="004B5088">
        <w:rPr>
          <w:sz w:val="20"/>
        </w:rPr>
        <w:t xml:space="preserve"> Dun, the Teslin Tlingit Council, and the First Nations of the </w:t>
      </w:r>
      <w:proofErr w:type="spellStart"/>
      <w:r w:rsidRPr="004B5088">
        <w:rPr>
          <w:sz w:val="20"/>
        </w:rPr>
        <w:t>Maa</w:t>
      </w:r>
      <w:r w:rsidRPr="004B5088">
        <w:rPr>
          <w:sz w:val="20"/>
        </w:rPr>
        <w:noBreakHyphen/>
        <w:t>nulth</w:t>
      </w:r>
      <w:proofErr w:type="spellEnd"/>
      <w:r w:rsidRPr="004B5088">
        <w:rPr>
          <w:sz w:val="20"/>
        </w:rPr>
        <w:t xml:space="preserve"> Treaty Society: Ratcliff &amp; Company, North Vancouver.</w:t>
      </w:r>
    </w:p>
    <w:p w:rsidR="004B5088" w:rsidRPr="004B5088" w:rsidRDefault="004B5088" w:rsidP="004B5088">
      <w:pPr>
        <w:pStyle w:val="SCCLawFirm"/>
        <w:spacing w:before="240" w:after="240" w:line="240" w:lineRule="auto"/>
        <w:contextualSpacing/>
        <w:rPr>
          <w:sz w:val="20"/>
        </w:rPr>
      </w:pPr>
      <w:r w:rsidRPr="004B5088">
        <w:rPr>
          <w:sz w:val="20"/>
        </w:rPr>
        <w:tab/>
        <w:t>Solicitor for the intervener the Assembly of First Nations: Assembly of First Nations, Ottawa.</w:t>
      </w:r>
    </w:p>
    <w:p w:rsidR="004B5088" w:rsidRPr="004B5088" w:rsidRDefault="004B5088" w:rsidP="004B5088">
      <w:pPr>
        <w:pStyle w:val="SCCLawFirm"/>
        <w:spacing w:before="240" w:after="240" w:line="240" w:lineRule="auto"/>
        <w:contextualSpacing/>
        <w:rPr>
          <w:sz w:val="20"/>
        </w:rPr>
      </w:pPr>
      <w:r w:rsidRPr="004B5088">
        <w:rPr>
          <w:sz w:val="20"/>
        </w:rPr>
        <w:tab/>
        <w:t xml:space="preserve">Solicitors for the interveners the Grand Council of the </w:t>
      </w:r>
      <w:proofErr w:type="spellStart"/>
      <w:r w:rsidRPr="004B5088">
        <w:rPr>
          <w:sz w:val="20"/>
        </w:rPr>
        <w:t>Crees</w:t>
      </w:r>
      <w:proofErr w:type="spellEnd"/>
      <w:r w:rsidRPr="004B5088">
        <w:rPr>
          <w:sz w:val="20"/>
        </w:rPr>
        <w:t xml:space="preserve"> (</w:t>
      </w:r>
      <w:proofErr w:type="spellStart"/>
      <w:r w:rsidRPr="004B5088">
        <w:rPr>
          <w:sz w:val="20"/>
        </w:rPr>
        <w:t>Eeyou</w:t>
      </w:r>
      <w:proofErr w:type="spellEnd"/>
      <w:r w:rsidRPr="004B5088">
        <w:rPr>
          <w:sz w:val="20"/>
        </w:rPr>
        <w:t xml:space="preserve"> </w:t>
      </w:r>
      <w:proofErr w:type="spellStart"/>
      <w:r w:rsidRPr="004B5088">
        <w:rPr>
          <w:sz w:val="20"/>
        </w:rPr>
        <w:t>Istchee</w:t>
      </w:r>
      <w:proofErr w:type="spellEnd"/>
      <w:r w:rsidRPr="004B5088">
        <w:rPr>
          <w:sz w:val="20"/>
        </w:rPr>
        <w:t>) and the Cree Nation Government: </w:t>
      </w:r>
      <w:proofErr w:type="spellStart"/>
      <w:r w:rsidRPr="004B5088">
        <w:rPr>
          <w:sz w:val="20"/>
        </w:rPr>
        <w:t>Gowling</w:t>
      </w:r>
      <w:proofErr w:type="spellEnd"/>
      <w:r w:rsidRPr="004B5088">
        <w:rPr>
          <w:sz w:val="20"/>
        </w:rPr>
        <w:t xml:space="preserve"> WLG (Canada), Montréal.</w:t>
      </w:r>
    </w:p>
    <w:p w:rsidR="004B5088" w:rsidRPr="004B5088" w:rsidRDefault="004B5088" w:rsidP="004B5088">
      <w:pPr>
        <w:pStyle w:val="SCCLawFirm"/>
        <w:spacing w:before="240" w:after="240" w:line="240" w:lineRule="auto"/>
        <w:contextualSpacing/>
        <w:rPr>
          <w:sz w:val="20"/>
        </w:rPr>
      </w:pPr>
      <w:r w:rsidRPr="004B5088">
        <w:rPr>
          <w:sz w:val="20"/>
        </w:rPr>
        <w:tab/>
        <w:t xml:space="preserve">Solicitors for the intervener the Manitoba Metis Federation Inc.: Pape Salter </w:t>
      </w:r>
      <w:proofErr w:type="spellStart"/>
      <w:r w:rsidRPr="004B5088">
        <w:rPr>
          <w:sz w:val="20"/>
        </w:rPr>
        <w:t>Teillet</w:t>
      </w:r>
      <w:proofErr w:type="spellEnd"/>
      <w:r w:rsidRPr="004B5088">
        <w:rPr>
          <w:sz w:val="20"/>
        </w:rPr>
        <w:t>, Toronto.</w:t>
      </w:r>
    </w:p>
    <w:p w:rsidR="004B5088" w:rsidRPr="004B5088" w:rsidRDefault="004B5088" w:rsidP="004B5088">
      <w:pPr>
        <w:pStyle w:val="SCCLawFirm"/>
        <w:spacing w:before="240" w:after="240" w:line="240" w:lineRule="auto"/>
        <w:contextualSpacing/>
        <w:rPr>
          <w:sz w:val="20"/>
        </w:rPr>
      </w:pPr>
      <w:r w:rsidRPr="004B5088">
        <w:rPr>
          <w:sz w:val="20"/>
        </w:rPr>
        <w:tab/>
        <w:t xml:space="preserve">Solicitors for the intervener the Advocates for the Rule of Law: McCarthy </w:t>
      </w:r>
      <w:proofErr w:type="spellStart"/>
      <w:r w:rsidRPr="004B5088">
        <w:rPr>
          <w:sz w:val="20"/>
        </w:rPr>
        <w:t>Tétrault</w:t>
      </w:r>
      <w:proofErr w:type="spellEnd"/>
      <w:r w:rsidRPr="004B5088">
        <w:rPr>
          <w:sz w:val="20"/>
        </w:rPr>
        <w:t>, Toronto.</w:t>
      </w:r>
    </w:p>
    <w:p w:rsidR="004B5088" w:rsidRPr="004B5088" w:rsidRDefault="004B5088" w:rsidP="004B5088">
      <w:pPr>
        <w:pStyle w:val="SCCLawFirm"/>
        <w:spacing w:before="240" w:after="240" w:line="240" w:lineRule="auto"/>
        <w:contextualSpacing/>
        <w:rPr>
          <w:sz w:val="20"/>
        </w:rPr>
      </w:pPr>
      <w:r w:rsidRPr="004B5088">
        <w:rPr>
          <w:sz w:val="20"/>
        </w:rPr>
        <w:tab/>
        <w:t>Solicitors for the intervener the Federation of Sovereign Indigenous Nations: Federation of Sovereign Indigenous Nations, Saskatoon; Westaway Law Group Professional Corporation, Ottawa.</w:t>
      </w:r>
    </w:p>
    <w:p w:rsidR="004B5088" w:rsidRPr="004B5088" w:rsidRDefault="004B5088" w:rsidP="004B5088">
      <w:pPr>
        <w:pStyle w:val="SCCLawFirm"/>
        <w:spacing w:before="240" w:after="240" w:line="240" w:lineRule="auto"/>
        <w:contextualSpacing/>
        <w:rPr>
          <w:sz w:val="20"/>
        </w:rPr>
      </w:pPr>
      <w:r w:rsidRPr="004B5088">
        <w:rPr>
          <w:sz w:val="20"/>
        </w:rPr>
        <w:tab/>
        <w:t xml:space="preserve">Solicitors for the intervener the </w:t>
      </w:r>
      <w:proofErr w:type="spellStart"/>
      <w:r w:rsidRPr="004B5088">
        <w:rPr>
          <w:sz w:val="20"/>
        </w:rPr>
        <w:t>Gitanyow</w:t>
      </w:r>
      <w:proofErr w:type="spellEnd"/>
      <w:r w:rsidRPr="004B5088">
        <w:rPr>
          <w:sz w:val="20"/>
        </w:rPr>
        <w:t xml:space="preserve"> Hereditary Chiefs: Grant Huberman, Vancouver.</w:t>
      </w:r>
    </w:p>
    <w:p w:rsidR="004B5088" w:rsidRPr="00DB1C5D" w:rsidRDefault="003A1ADC" w:rsidP="004B5088">
      <w:pPr>
        <w:jc w:val="both"/>
        <w:rPr>
          <w:sz w:val="20"/>
          <w:lang w:val="fr-CA"/>
        </w:rPr>
      </w:pPr>
      <w:r w:rsidRPr="00DB1C5D">
        <w:rPr>
          <w:sz w:val="20"/>
          <w:lang w:val="fr-CA"/>
        </w:rPr>
        <w:t>________</w:t>
      </w:r>
    </w:p>
    <w:p w:rsidR="003A1ADC" w:rsidRPr="00DB1C5D" w:rsidRDefault="003A1ADC" w:rsidP="004B5088">
      <w:pPr>
        <w:jc w:val="both"/>
        <w:rPr>
          <w:sz w:val="20"/>
          <w:lang w:val="fr-CA"/>
        </w:rPr>
      </w:pPr>
    </w:p>
    <w:p w:rsidR="003A1ADC" w:rsidRPr="003A1ADC" w:rsidRDefault="003A1ADC" w:rsidP="003A1ADC">
      <w:pPr>
        <w:spacing w:before="240" w:after="240"/>
        <w:rPr>
          <w:rFonts w:cs="Times New Roman"/>
          <w:sz w:val="20"/>
          <w:szCs w:val="20"/>
          <w:lang w:val="fr-CA"/>
        </w:rPr>
      </w:pPr>
      <w:r w:rsidRPr="003A1ADC">
        <w:rPr>
          <w:rFonts w:cs="Times New Roman"/>
          <w:sz w:val="20"/>
          <w:szCs w:val="20"/>
          <w:lang w:val="fr-CA"/>
        </w:rPr>
        <w:t>Présents : Le juge en chef Wagner et les juges Abella, Moldaver, Karakatsanis, Gascon, Côté, Brown, Rowe et Martin.</w:t>
      </w:r>
    </w:p>
    <w:p w:rsidR="003A1ADC" w:rsidRPr="003A1ADC" w:rsidRDefault="003A1ADC" w:rsidP="003A1ADC">
      <w:pPr>
        <w:pStyle w:val="SCCNormalDoubleSpacing"/>
        <w:spacing w:after="480" w:line="240" w:lineRule="auto"/>
        <w:ind w:firstLine="720"/>
        <w:rPr>
          <w:i/>
          <w:sz w:val="20"/>
          <w:lang w:val="fr-CA"/>
        </w:rPr>
      </w:pPr>
      <w:r w:rsidRPr="003A1ADC">
        <w:rPr>
          <w:i/>
          <w:sz w:val="20"/>
          <w:lang w:val="fr-CA"/>
        </w:rPr>
        <w:t>Tribunaux — Cour fédérale — Compétence — Contrôle judiciaire — Adoption par le Parlement de lois modifiant le régime canadien de protection de l’environnement — Présentation par une première nation d’une demande de contrôle judiciaire concernant l’élaboration et le dépôt de projets de loi</w:t>
      </w:r>
      <w:r w:rsidRPr="003A1ADC">
        <w:rPr>
          <w:sz w:val="20"/>
          <w:lang w:val="fr-CA"/>
        </w:rPr>
        <w:t xml:space="preserve"> </w:t>
      </w:r>
      <w:r w:rsidRPr="003A1ADC">
        <w:rPr>
          <w:i/>
          <w:sz w:val="20"/>
          <w:lang w:val="fr-CA"/>
        </w:rPr>
        <w:t>— La Cour fédérale avait-elle compétence pour se prononcer quant à la demande de la première nation?</w:t>
      </w:r>
      <w:r w:rsidRPr="003A1ADC">
        <w:rPr>
          <w:sz w:val="20"/>
          <w:lang w:val="fr-CA"/>
        </w:rPr>
        <w:t xml:space="preserve"> </w:t>
      </w:r>
      <w:r w:rsidRPr="003A1ADC">
        <w:rPr>
          <w:i/>
          <w:sz w:val="20"/>
          <w:lang w:val="fr-CA"/>
        </w:rPr>
        <w:t>— Loi sur les Cours fédérales, L.R.C. 1985, c. F-7, art. 2(1) « office fédéral », 2(2), 17, 18, 18.1.</w:t>
      </w:r>
    </w:p>
    <w:p w:rsidR="003A1ADC" w:rsidRPr="003A1ADC" w:rsidRDefault="003A1ADC" w:rsidP="003A1ADC">
      <w:pPr>
        <w:pStyle w:val="SCCNormalDoubleSpacing"/>
        <w:spacing w:after="480" w:line="240" w:lineRule="auto"/>
        <w:rPr>
          <w:i/>
          <w:sz w:val="20"/>
          <w:lang w:val="fr-CA"/>
        </w:rPr>
      </w:pPr>
      <w:r w:rsidRPr="003A1ADC">
        <w:rPr>
          <w:sz w:val="20"/>
          <w:lang w:val="fr-CA"/>
        </w:rPr>
        <w:tab/>
      </w:r>
      <w:r w:rsidRPr="003A1ADC">
        <w:rPr>
          <w:i/>
          <w:sz w:val="20"/>
          <w:lang w:val="fr-CA"/>
        </w:rPr>
        <w:t>Droit constitutionnel — Peuples autochtones — Droits issus de traités — Couronne — Obligation de consulter — Adoption par le Parlement de lois modifiant le régime canadien de protection de l’environnement — Absence de consultation d’une première nation pendant toute l’élaboration des projets de loi et avant que ceux</w:t>
      </w:r>
      <w:r w:rsidRPr="003A1ADC">
        <w:rPr>
          <w:i/>
          <w:sz w:val="20"/>
          <w:lang w:val="fr-CA"/>
        </w:rPr>
        <w:noBreakHyphen/>
        <w:t>ci reçoivent la sanction royale — Demande par la première nation d’un jugement déclarant que la Couronne avait l’obligation de la consulter parce que les mesures législatives étaient susceptibles d’avoir un effet préjudiciable sur ses droits de chasser, de piéger et de pêcher issus de traité et qu’elle a manqué à cette obligation — L’obligation de consulter s’applique-t-elle au processus législatif?</w:t>
      </w:r>
    </w:p>
    <w:p w:rsidR="003A1ADC" w:rsidRPr="003A1ADC" w:rsidRDefault="003A1ADC" w:rsidP="003A1ADC">
      <w:pPr>
        <w:pStyle w:val="SCCNormalDoubleSpacing"/>
        <w:spacing w:after="480" w:line="240" w:lineRule="auto"/>
        <w:rPr>
          <w:sz w:val="20"/>
          <w:lang w:val="fr-CA"/>
        </w:rPr>
      </w:pPr>
      <w:r w:rsidRPr="003A1ADC">
        <w:rPr>
          <w:sz w:val="20"/>
          <w:lang w:val="fr-CA"/>
        </w:rPr>
        <w:tab/>
        <w:t xml:space="preserve">Au mois d’avril 2012, deux projets de lois omnibus ayant une incidence importante sur le régime canadien de protection environnementale ont été déposés au Parlement. Aucune consultation n’a été menée auprès de la Première Nation crie </w:t>
      </w:r>
      <w:proofErr w:type="spellStart"/>
      <w:r w:rsidRPr="003A1ADC">
        <w:rPr>
          <w:sz w:val="20"/>
          <w:lang w:val="fr-CA"/>
        </w:rPr>
        <w:t>Mikisew</w:t>
      </w:r>
      <w:proofErr w:type="spellEnd"/>
      <w:r w:rsidRPr="003A1ADC">
        <w:rPr>
          <w:sz w:val="20"/>
          <w:lang w:val="fr-CA"/>
        </w:rPr>
        <w:t xml:space="preserve"> quant aux deux projets de loi omnibus ni à quelque étape que ce soit de leur élaboration ni avant qu’ils ne reçoivent la sanction royale. Les </w:t>
      </w:r>
      <w:proofErr w:type="spellStart"/>
      <w:r w:rsidRPr="003A1ADC">
        <w:rPr>
          <w:sz w:val="20"/>
          <w:lang w:val="fr-CA"/>
        </w:rPr>
        <w:t>Mikisew</w:t>
      </w:r>
      <w:proofErr w:type="spellEnd"/>
      <w:r w:rsidRPr="003A1ADC">
        <w:rPr>
          <w:sz w:val="20"/>
          <w:lang w:val="fr-CA"/>
        </w:rPr>
        <w:t xml:space="preserve"> ont présenté une demande de contrôle judiciaire devant la Cour fédérale, plaidant que la Couronne avait l’obligation de les consulter en ce qui concerne l’élaboration des mesures législatives, car celles</w:t>
      </w:r>
      <w:r w:rsidRPr="003A1ADC">
        <w:rPr>
          <w:sz w:val="20"/>
          <w:lang w:val="fr-CA"/>
        </w:rPr>
        <w:noBreakHyphen/>
        <w:t>ci étaient susceptibles d’avoir un effet préjudiciable sur leurs droits de chasse, de piégeage et de pêche, qui leur sont garantis par le Traité n</w:t>
      </w:r>
      <w:r w:rsidRPr="003A1ADC">
        <w:rPr>
          <w:sz w:val="20"/>
          <w:vertAlign w:val="superscript"/>
          <w:lang w:val="fr-CA"/>
        </w:rPr>
        <w:t>o</w:t>
      </w:r>
      <w:r w:rsidRPr="003A1ADC">
        <w:rPr>
          <w:sz w:val="20"/>
          <w:lang w:val="fr-CA"/>
        </w:rPr>
        <w:t xml:space="preserve"> 8. Le juge saisi de la demande de contrôle a rendu un jugement déclaratoire portant que l’obligation de consulter s’appliquait et que les </w:t>
      </w:r>
      <w:proofErr w:type="spellStart"/>
      <w:r w:rsidRPr="003A1ADC">
        <w:rPr>
          <w:sz w:val="20"/>
          <w:lang w:val="fr-CA"/>
        </w:rPr>
        <w:t>Mikisew</w:t>
      </w:r>
      <w:proofErr w:type="spellEnd"/>
      <w:r w:rsidRPr="003A1ADC">
        <w:rPr>
          <w:sz w:val="20"/>
          <w:lang w:val="fr-CA"/>
        </w:rPr>
        <w:t xml:space="preserve"> avaient le droit de recevoir un avis les informant des </w:t>
      </w:r>
      <w:r w:rsidRPr="003A1ADC">
        <w:rPr>
          <w:sz w:val="20"/>
          <w:lang w:val="fr-CA"/>
        </w:rPr>
        <w:lastRenderedPageBreak/>
        <w:t xml:space="preserve">dispositions pertinentes des projets de loi et de se voir offrir la possibilité de présenter des observations. En appel, les juges majoritaires de la Cour d’appel fédérale ont statué que le juge saisi de la demande de contrôle avait commis une erreur en procédant au contrôle judiciaire d’une mesure législative en contravention de la </w:t>
      </w:r>
      <w:r w:rsidRPr="003A1ADC">
        <w:rPr>
          <w:i/>
          <w:sz w:val="20"/>
          <w:lang w:val="fr-CA"/>
        </w:rPr>
        <w:t>Loi sur les Cours fédérales</w:t>
      </w:r>
      <w:r w:rsidRPr="003A1ADC">
        <w:rPr>
          <w:sz w:val="20"/>
          <w:lang w:val="fr-CA"/>
        </w:rPr>
        <w:t xml:space="preserve">. Les juges majoritaires ont conclu que lorsque les ministres élaborent une politique, ils agissent à titre de législateurs et leurs actions ne sont pas assujetties au pouvoir de contrôle des tribunaux. Selon eux, la décision de première instance ne respectait pas les principes de la souveraineté parlementaire, de la séparation des pouvoirs et du privilège parlementaire. Les </w:t>
      </w:r>
      <w:proofErr w:type="spellStart"/>
      <w:r w:rsidRPr="003A1ADC">
        <w:rPr>
          <w:sz w:val="20"/>
          <w:lang w:val="fr-CA"/>
        </w:rPr>
        <w:t>Mikisew</w:t>
      </w:r>
      <w:proofErr w:type="spellEnd"/>
      <w:r w:rsidRPr="003A1ADC">
        <w:rPr>
          <w:sz w:val="20"/>
          <w:lang w:val="fr-CA"/>
        </w:rPr>
        <w:t xml:space="preserve"> ont porté la décision en appel.</w:t>
      </w:r>
    </w:p>
    <w:p w:rsidR="003A1ADC" w:rsidRPr="003A1ADC" w:rsidRDefault="003A1ADC" w:rsidP="003A1ADC">
      <w:pPr>
        <w:pStyle w:val="SCCNormalDoubleSpacing"/>
        <w:spacing w:after="480" w:line="240" w:lineRule="auto"/>
        <w:rPr>
          <w:sz w:val="20"/>
          <w:lang w:val="fr-CA"/>
        </w:rPr>
      </w:pPr>
      <w:r w:rsidRPr="003A1ADC">
        <w:rPr>
          <w:sz w:val="20"/>
          <w:lang w:val="fr-CA"/>
        </w:rPr>
        <w:tab/>
      </w:r>
      <w:r w:rsidRPr="003A1ADC">
        <w:rPr>
          <w:i/>
          <w:sz w:val="20"/>
          <w:lang w:val="fr-CA"/>
        </w:rPr>
        <w:t>Arrêt</w:t>
      </w:r>
      <w:r w:rsidRPr="003A1ADC">
        <w:rPr>
          <w:sz w:val="20"/>
          <w:lang w:val="fr-CA"/>
        </w:rPr>
        <w:t> : Le pourvoi est rejeté.</w:t>
      </w:r>
    </w:p>
    <w:p w:rsidR="003A1ADC" w:rsidRPr="003A1ADC" w:rsidRDefault="003A1ADC" w:rsidP="003A1ADC">
      <w:pPr>
        <w:pStyle w:val="SCCNormalDoubleSpacing"/>
        <w:spacing w:before="240" w:after="480" w:line="240" w:lineRule="auto"/>
        <w:rPr>
          <w:sz w:val="20"/>
          <w:lang w:val="fr-CA"/>
        </w:rPr>
      </w:pPr>
      <w:r w:rsidRPr="003A1ADC">
        <w:rPr>
          <w:sz w:val="20"/>
          <w:lang w:val="fr-CA"/>
        </w:rPr>
        <w:tab/>
      </w:r>
      <w:r w:rsidRPr="003A1ADC">
        <w:rPr>
          <w:i/>
          <w:sz w:val="20"/>
          <w:lang w:val="fr-CA"/>
        </w:rPr>
        <w:t>Le juge en chef</w:t>
      </w:r>
      <w:r w:rsidRPr="003A1ADC">
        <w:rPr>
          <w:sz w:val="20"/>
          <w:lang w:val="fr-CA"/>
        </w:rPr>
        <w:t xml:space="preserve"> Wagner et les juges </w:t>
      </w:r>
      <w:r w:rsidRPr="003A1ADC">
        <w:rPr>
          <w:b/>
          <w:sz w:val="20"/>
          <w:lang w:val="fr-CA"/>
        </w:rPr>
        <w:t>Karakatsanis</w:t>
      </w:r>
      <w:r w:rsidRPr="003A1ADC">
        <w:rPr>
          <w:sz w:val="20"/>
          <w:lang w:val="fr-CA"/>
        </w:rPr>
        <w:t xml:space="preserve"> et Gascon : La Cour fédérale n’avait pas la compétence requise pour se prononcer sur la demande de contrôle judiciaire des </w:t>
      </w:r>
      <w:proofErr w:type="spellStart"/>
      <w:r w:rsidRPr="003A1ADC">
        <w:rPr>
          <w:sz w:val="20"/>
          <w:lang w:val="fr-CA"/>
        </w:rPr>
        <w:t>Mikisew</w:t>
      </w:r>
      <w:proofErr w:type="spellEnd"/>
      <w:r w:rsidRPr="003A1ADC">
        <w:rPr>
          <w:sz w:val="20"/>
          <w:lang w:val="fr-CA"/>
        </w:rPr>
        <w:t xml:space="preserve">. Pour que la Cour fédérale ait compétence, elle doit lui avoir été attribuée par la loi. Le paragraphe 17(1) de la </w:t>
      </w:r>
      <w:r w:rsidRPr="003A1ADC">
        <w:rPr>
          <w:i/>
          <w:sz w:val="20"/>
          <w:lang w:val="fr-CA"/>
        </w:rPr>
        <w:t>Loi sur les Cours fédérales</w:t>
      </w:r>
      <w:r w:rsidRPr="003A1ADC">
        <w:rPr>
          <w:sz w:val="20"/>
          <w:lang w:val="fr-CA"/>
        </w:rPr>
        <w:t xml:space="preserve"> prévoit que la Cour fédérale </w:t>
      </w:r>
      <w:r w:rsidRPr="003A1ADC">
        <w:rPr>
          <w:sz w:val="20"/>
          <w:lang w:val="fr-FR"/>
        </w:rPr>
        <w:t>a compétence concurrente, en première instance, en cas de demande de réparation contre la Couronne</w:t>
      </w:r>
      <w:r w:rsidRPr="003A1ADC">
        <w:rPr>
          <w:sz w:val="20"/>
          <w:lang w:val="fr-CA"/>
        </w:rPr>
        <w:t xml:space="preserve">, terme que la Loi définit comme étant Sa Majesté du chef du Canada. Toutefois, cette définition ne s’étend pas aux acteurs de l’exécutif qui exercent un pouvoir législatif. En l’espèce, les </w:t>
      </w:r>
      <w:proofErr w:type="spellStart"/>
      <w:r w:rsidRPr="003A1ADC">
        <w:rPr>
          <w:sz w:val="20"/>
          <w:lang w:val="fr-CA"/>
        </w:rPr>
        <w:t>Mikisew</w:t>
      </w:r>
      <w:proofErr w:type="spellEnd"/>
      <w:r w:rsidRPr="003A1ADC">
        <w:rPr>
          <w:sz w:val="20"/>
          <w:lang w:val="fr-CA"/>
        </w:rPr>
        <w:t xml:space="preserve"> contestent des mesures qui sont uniformément de nature législative et, de ce fait, leur demande ne vise pas la Couronne dans l’exercice de sa fonction exécutive. De plus, les articles 18 et 18.1 de la Loi</w:t>
      </w:r>
      <w:r w:rsidRPr="003A1ADC">
        <w:rPr>
          <w:i/>
          <w:sz w:val="20"/>
          <w:lang w:val="fr-CA"/>
        </w:rPr>
        <w:t xml:space="preserve"> </w:t>
      </w:r>
      <w:r w:rsidRPr="003A1ADC">
        <w:rPr>
          <w:sz w:val="20"/>
          <w:lang w:val="fr-CA"/>
        </w:rPr>
        <w:t xml:space="preserve">ne confèrent à la Cour fédérale que la compétence de contrôler les actions d’un « office fédéral », que le par. 2(1) de la Loi définit </w:t>
      </w:r>
      <w:r w:rsidRPr="003A1ADC">
        <w:rPr>
          <w:sz w:val="20"/>
          <w:lang w:val="fr-FR"/>
        </w:rPr>
        <w:t>comme étant un organisme exerçant une compétence ou des pouvoirs prévus par une loi ou par une ordonnance prise en vertu d’une prérogative royale. Le paragraphe 2(2) précise que sont exclus de cette définition le Sénat, la Chambre des communes et tout comité ou membre de l’une ou l’autre chambre. Les ministres n’agissent pas en application de pouvoirs que leur confère la loi lorsqu’ils élaborent les textes législatifs</w:t>
      </w:r>
      <w:r w:rsidRPr="003A1ADC">
        <w:rPr>
          <w:sz w:val="20"/>
          <w:lang w:val="fr-CA"/>
        </w:rPr>
        <w:t xml:space="preserve">; ils agissent plutôt en vertu des pouvoirs qui leur sont dévolus par la partie IV de la </w:t>
      </w:r>
      <w:r w:rsidRPr="003A1ADC">
        <w:rPr>
          <w:i/>
          <w:sz w:val="20"/>
          <w:lang w:val="fr-CA"/>
        </w:rPr>
        <w:t>Loi constitutionnelle de 1867</w:t>
      </w:r>
      <w:r w:rsidRPr="003A1ADC">
        <w:rPr>
          <w:sz w:val="20"/>
          <w:lang w:val="fr-CA"/>
        </w:rPr>
        <w:t xml:space="preserve">. Ainsi, dans le cadre de leur fonction de législateurs, ils n’agissent pas comme un office fédéral et leurs actions ne sont pas </w:t>
      </w:r>
      <w:proofErr w:type="gramStart"/>
      <w:r w:rsidRPr="003A1ADC">
        <w:rPr>
          <w:sz w:val="20"/>
          <w:lang w:val="fr-CA"/>
        </w:rPr>
        <w:t>assujetties</w:t>
      </w:r>
      <w:proofErr w:type="gramEnd"/>
      <w:r w:rsidRPr="003A1ADC">
        <w:rPr>
          <w:sz w:val="20"/>
          <w:lang w:val="fr-CA"/>
        </w:rPr>
        <w:t xml:space="preserve"> au contrôle des tribunaux. Par conséquent, la Cour fédérale n’a pas été saisie à bon droit de la demande de contrôle judiciaire des </w:t>
      </w:r>
      <w:proofErr w:type="spellStart"/>
      <w:r w:rsidRPr="003A1ADC">
        <w:rPr>
          <w:sz w:val="20"/>
          <w:lang w:val="fr-CA"/>
        </w:rPr>
        <w:t>Mikisew</w:t>
      </w:r>
      <w:proofErr w:type="spellEnd"/>
      <w:r w:rsidRPr="003A1ADC">
        <w:rPr>
          <w:sz w:val="20"/>
          <w:lang w:val="fr-CA"/>
        </w:rPr>
        <w:t xml:space="preserve"> en l’espèce.</w:t>
      </w:r>
    </w:p>
    <w:p w:rsidR="003A1ADC" w:rsidRPr="003A1ADC" w:rsidRDefault="003A1ADC" w:rsidP="003A1ADC">
      <w:pPr>
        <w:pStyle w:val="SCCNormalDoubleSpacing"/>
        <w:spacing w:before="240" w:after="480" w:line="240" w:lineRule="auto"/>
        <w:rPr>
          <w:sz w:val="20"/>
          <w:lang w:val="fr-CA"/>
        </w:rPr>
      </w:pPr>
      <w:r w:rsidRPr="003A1ADC">
        <w:rPr>
          <w:sz w:val="20"/>
          <w:lang w:val="fr-CA"/>
        </w:rPr>
        <w:tab/>
        <w:t xml:space="preserve">En ce qui concerne l’obligation de consulter, l’élaboration d’une loi par des ministres est une mesure législative qui ne déclenche pas cette obligation. L’obligation de consulter découle de l’honneur de la Couronne, un principe fondamental du droit des Autochtones qui régit la relation entre la Couronne et les peuples autochtones. Elle oblige la Couronne à consulter les peuples autochtones avant de prendre des mesures susceptibles d’avoir un effet préjudiciable sur les droits protégés par l’art. 35 de la </w:t>
      </w:r>
      <w:r w:rsidRPr="003A1ADC">
        <w:rPr>
          <w:i/>
          <w:sz w:val="20"/>
          <w:lang w:val="fr-CA"/>
        </w:rPr>
        <w:t>Loi constitutionnelle de 1982</w:t>
      </w:r>
      <w:r w:rsidRPr="003A1ADC">
        <w:rPr>
          <w:sz w:val="20"/>
          <w:lang w:val="fr-CA"/>
        </w:rPr>
        <w:t xml:space="preserve"> qu’ils revendiquent ou dont l’existence a été établie, en plus de garantir que la Couronne agit honorablement en l’empêchant d’agir unilatéralement d’une façon qui porte atteinte aux droits visés à l’art. 35. Bien que l’obligation de consulter ait été reconnue dans divers contextes, il a été jugé que la conduite de la Couronne suffisante pour déclencher cette obligation englobe uniquement les actes accomplis par l’exécutif, ou en son nom. </w:t>
      </w:r>
    </w:p>
    <w:p w:rsidR="003A1ADC" w:rsidRPr="003A1ADC" w:rsidRDefault="003A1ADC" w:rsidP="003A1ADC">
      <w:pPr>
        <w:pStyle w:val="SCCNormalDoubleSpacing"/>
        <w:spacing w:before="240" w:after="480" w:line="240" w:lineRule="auto"/>
        <w:rPr>
          <w:sz w:val="20"/>
          <w:lang w:val="fr-CA"/>
        </w:rPr>
      </w:pPr>
      <w:r w:rsidRPr="003A1ADC">
        <w:rPr>
          <w:sz w:val="20"/>
          <w:lang w:val="fr-CA"/>
        </w:rPr>
        <w:tab/>
        <w:t>La doctrine de l’obligation de consulter ne convient pas relativement à l’action législative. Il est rarement approprié que les tribunaux examinent de près le processus législatif, y compris l’élaboration de projets de loi par les ministres. Des principes constitutionnels établis depuis longtemps justifient cette réticence à surveiller le processus législatif. Le principe de la séparation des pouvoirs est un élément essentiel de la Constitution du Canada. Il reconnaît qu’un organe du gouvernement ne peut jouer son rôle lorsqu’un autre empiète indûment sur lui. Si l’on devait reconnaître qu’une obligation de consulter s’applique au processus législatif, cela risquerait d’obliger les tribunaux à s’ingérer indûment dans la sphère du législateur. Le principe de la souveraineté parlementaire suppose que l’assemblée législative peut adopter ou abroger une loi à son gré, dans les limites des pouvoirs que lui confère la Constitution. Si l’on devait reconnaître qu’une assemblée législative élue a des obligations précises en matière de consultation, cela risquerait de lui nuire. Le privilège parlementaire empêche en outre généralement les tribunaux d’assujettir le processus parlementaire à des contraintes procédurales. L’application de la doctrine de l’obligation de consulter durant le processus législatif donnerait lieu à une ingérence importante des tribunaux dans les travaux du législateur.</w:t>
      </w:r>
    </w:p>
    <w:p w:rsidR="003A1ADC" w:rsidRPr="003A1ADC" w:rsidRDefault="003A1ADC" w:rsidP="003A1ADC">
      <w:pPr>
        <w:pStyle w:val="SCCNormalDoubleSpacing"/>
        <w:spacing w:before="240" w:after="480" w:line="240" w:lineRule="auto"/>
        <w:rPr>
          <w:sz w:val="20"/>
          <w:lang w:val="fr-CA"/>
        </w:rPr>
      </w:pPr>
      <w:r w:rsidRPr="003A1ADC">
        <w:rPr>
          <w:sz w:val="20"/>
          <w:lang w:val="fr-CA"/>
        </w:rPr>
        <w:lastRenderedPageBreak/>
        <w:tab/>
        <w:t>Qui plus est, les recours propres au droit administratif qui peuvent être normalement intentés pour manquement à l’obligation de consulter inciteraient davantage les tribunaux à intervenir indûment dans la sphère du législateur puisque, suivant cette obligation, il faudrait que les tribunaux interviennent directement dans l’élaboration des projets de loi. Assujettir le processus d’élaboration des projets de loi par les ministres à une obligation de consulter soulèverait aussi des préoccupations d’ordre pratique. Si des amendements sont apportés au projet de loi proposé afin de tenir compte de préoccupations soulevées pendant des consultations, ceux-ci pourraient être supprimés par le Parlement, puisqu’il peut modifier le texte de loi proposé. Les possibilités de trouver des mesures d’accommodement utiles pourraient s’en trouver limitées. De plus, les projets de loi d’initiative parlementaire ne donneraient pas naissance à l’obligation de consulter, ce qui rendrait l’approche incongrue. Par ailleurs, dans la longue série de démarches accomplies pour élaborer une loi, il serait extrêmement difficile de départager les étapes assujetties à l’obligation de consulter (parce qu’elles relèvent du pouvoir exécutif) et les actions qui n’y sont pas subordonnées (parce qu’elles relèvent du pouvoir législatif).</w:t>
      </w:r>
    </w:p>
    <w:p w:rsidR="003A1ADC" w:rsidRPr="003A1ADC" w:rsidRDefault="003A1ADC" w:rsidP="003A1ADC">
      <w:pPr>
        <w:pStyle w:val="SCCNormalDoubleSpacing"/>
        <w:spacing w:before="240" w:after="480" w:line="240" w:lineRule="auto"/>
        <w:rPr>
          <w:sz w:val="20"/>
          <w:lang w:val="fr-CA"/>
        </w:rPr>
      </w:pPr>
      <w:r w:rsidRPr="003A1ADC">
        <w:rPr>
          <w:sz w:val="20"/>
          <w:lang w:val="fr-CA"/>
        </w:rPr>
        <w:tab/>
        <w:t>Toutefois, lorsqu’une loi porte atteinte aux droits protégés par l’art. 35, les groupes autochtones ne sont pas privés de tout recours. L’obligation de consulter n’est pas le seul moyen de donner effet au principe de l’honneur de la Couronne. Ce n’est pas parce que la doctrine de l’obligation de consulter, qui a évolué de manière à encadrer la conduite de l’exécutif, ne s’applique pas dans la sphère législative que la Couronne est libérée de son obligation de se comporter honorablement. Même si un groupe autochtone sera empêché de contester une loi en invoquant un manquement du législateur à l’obligation de consulter, les tribunaux pourront possiblement reconnaître l’existence d’autres mesures de protection dans des causes à venir quand une loi sera susceptible d’avoir un effet préjudiciable sur des droits ancestraux ou issus de traités, par exemple un jugement déclaratoire.</w:t>
      </w:r>
    </w:p>
    <w:p w:rsidR="003A1ADC" w:rsidRPr="003A1ADC" w:rsidRDefault="003A1ADC" w:rsidP="003A1ADC">
      <w:pPr>
        <w:pStyle w:val="SCCNormalDoubleSpacing"/>
        <w:spacing w:before="240" w:after="480" w:line="240" w:lineRule="auto"/>
        <w:rPr>
          <w:sz w:val="20"/>
          <w:lang w:val="fr-CA"/>
        </w:rPr>
      </w:pPr>
      <w:r w:rsidRPr="003A1ADC">
        <w:rPr>
          <w:sz w:val="20"/>
          <w:lang w:val="fr-CA"/>
        </w:rPr>
        <w:tab/>
      </w:r>
      <w:r w:rsidRPr="003A1ADC">
        <w:rPr>
          <w:i/>
          <w:sz w:val="20"/>
          <w:lang w:val="fr-CA"/>
        </w:rPr>
        <w:t>Les juges</w:t>
      </w:r>
      <w:r w:rsidRPr="003A1ADC">
        <w:rPr>
          <w:sz w:val="20"/>
          <w:lang w:val="fr-CA"/>
        </w:rPr>
        <w:t xml:space="preserve"> </w:t>
      </w:r>
      <w:r w:rsidRPr="003A1ADC">
        <w:rPr>
          <w:b/>
          <w:sz w:val="20"/>
          <w:lang w:val="fr-CA"/>
        </w:rPr>
        <w:t>Abella</w:t>
      </w:r>
      <w:r w:rsidRPr="003A1ADC">
        <w:rPr>
          <w:sz w:val="20"/>
          <w:lang w:val="fr-CA"/>
        </w:rPr>
        <w:t xml:space="preserve"> et Martin : Il y a accord avec la juge Karakatsanis pour dire que le pourvoi devrait être rejeté au motif que le contrôle judiciaire prévu par la </w:t>
      </w:r>
      <w:r w:rsidRPr="003A1ADC">
        <w:rPr>
          <w:i/>
          <w:sz w:val="20"/>
          <w:lang w:val="fr-CA"/>
        </w:rPr>
        <w:t>Loi sur les Cours fédérales</w:t>
      </w:r>
      <w:r w:rsidRPr="003A1ADC">
        <w:rPr>
          <w:sz w:val="20"/>
          <w:lang w:val="fr-CA"/>
        </w:rPr>
        <w:t xml:space="preserve"> ne pouvait être exercé à l’encontre de mesures prises par des ministres fédéraux dans le cadre du processus parlementaire.  </w:t>
      </w:r>
    </w:p>
    <w:p w:rsidR="003A1ADC" w:rsidRPr="003A1ADC" w:rsidRDefault="003A1ADC" w:rsidP="003A1ADC">
      <w:pPr>
        <w:pStyle w:val="SCCNormalDoubleSpacing"/>
        <w:spacing w:before="240" w:after="480" w:line="240" w:lineRule="auto"/>
        <w:rPr>
          <w:sz w:val="20"/>
          <w:lang w:val="fr-CA"/>
        </w:rPr>
      </w:pPr>
      <w:r w:rsidRPr="003A1ADC">
        <w:rPr>
          <w:sz w:val="20"/>
          <w:lang w:val="fr-CA"/>
        </w:rPr>
        <w:tab/>
        <w:t xml:space="preserve">Toutefois, il y a désaccord en ce qui concerne l’obligation de consulter. L’adoption de lois qui sont susceptibles d’avoir un effet préjudiciable sur les droits protégés par l’art. 35 de la </w:t>
      </w:r>
      <w:r w:rsidRPr="003A1ADC">
        <w:rPr>
          <w:i/>
          <w:sz w:val="20"/>
          <w:lang w:val="fr-CA"/>
        </w:rPr>
        <w:t>Loi constitutionnelle de 1982</w:t>
      </w:r>
      <w:r w:rsidRPr="003A1ADC">
        <w:rPr>
          <w:sz w:val="20"/>
          <w:lang w:val="fr-CA"/>
        </w:rPr>
        <w:t xml:space="preserve"> fait naître une obligation de consulter, et les lois adoptées en violation de cette obligation peuvent être contestées directement en vue d’obtenir réparation. L’honneur de la Couronne régit la relation qui unit le gouvernement du Canada et les peuples autochtones. Ce principe fait naître une obligation de consulter applicable à toutes les mesures gouvernementales envisagées susceptibles d’avoir un effet préjudiciable sur les droits ancestraux et issus de traités, revendiqués ou établis, y compris aux mesures législatives.</w:t>
      </w:r>
    </w:p>
    <w:p w:rsidR="003A1ADC" w:rsidRPr="003A1ADC" w:rsidRDefault="003A1ADC" w:rsidP="003A1ADC">
      <w:pPr>
        <w:pStyle w:val="SCCNormalDoubleSpacing"/>
        <w:spacing w:before="240" w:after="480" w:line="240" w:lineRule="auto"/>
        <w:rPr>
          <w:sz w:val="20"/>
          <w:lang w:val="fr-CA"/>
        </w:rPr>
      </w:pPr>
      <w:r w:rsidRPr="003A1ADC">
        <w:rPr>
          <w:sz w:val="20"/>
          <w:lang w:val="fr-CA"/>
        </w:rPr>
        <w:tab/>
        <w:t>L’honneur de la Couronne est toujours en jeu lorsque cette dernière transige avec les peuples autochtones, que ce soit en exerçant ses pouvoirs législatifs ou ses pouvoirs exécutifs. Il s’agit d’un impératif constitutionnel qui donne naissance à des obligations de la Couronne que les tribunaux sont appelés à faire respecter. Lorsque le gouvernement envisage une mesure susceptible d’avoir un effet préjudiciable sur des droits ancestraux ou issus de traités, l’honneur de la Couronne fait naître une obligation de consulter et d’accommoder. Cette obligation de consulter est plus qu’un simple moyen de respecter le principe de l’honneur de la Couronne. Il ne s’agit pas de savoir si l’obligation de consulter convient dans les circonstances, mais de savoir si l’obligation de consulter s’applique à la décision.</w:t>
      </w:r>
    </w:p>
    <w:p w:rsidR="003A1ADC" w:rsidRPr="003A1ADC" w:rsidRDefault="003A1ADC" w:rsidP="003A1ADC">
      <w:pPr>
        <w:pStyle w:val="SCCNormalDoubleSpacing"/>
        <w:spacing w:before="240" w:after="480" w:line="240" w:lineRule="auto"/>
        <w:rPr>
          <w:sz w:val="20"/>
          <w:lang w:val="fr-CA"/>
        </w:rPr>
      </w:pPr>
      <w:r w:rsidRPr="003A1ADC">
        <w:rPr>
          <w:sz w:val="20"/>
          <w:lang w:val="fr-CA"/>
        </w:rPr>
        <w:tab/>
        <w:t xml:space="preserve">Comme l’honneur de la Couronne imprègne l’ensemble des rapports du gouvernement avec les peuples autochtones, l’obligation de consulter doit s’appliquer à l’exercice de tous les pouvoirs qui sont assujettis à un examen fondé sur l’art. 35. Ces pouvoirs comprennent l’adoption des lois. Cette conclusion découle de l’évolution jurisprudentielle de l’obligation de consulter, qui est passée d’un aspect de l’analyse de l’atteinte et de la justification dans l’arrêt </w:t>
      </w:r>
      <w:r w:rsidRPr="003A1ADC">
        <w:rPr>
          <w:i/>
          <w:sz w:val="20"/>
          <w:lang w:val="fr-CA"/>
        </w:rPr>
        <w:t xml:space="preserve">R. c. </w:t>
      </w:r>
      <w:proofErr w:type="spellStart"/>
      <w:r w:rsidRPr="003A1ADC">
        <w:rPr>
          <w:i/>
          <w:sz w:val="20"/>
          <w:lang w:val="fr-CA"/>
        </w:rPr>
        <w:t>Sparrow</w:t>
      </w:r>
      <w:proofErr w:type="spellEnd"/>
      <w:r w:rsidRPr="003A1ADC">
        <w:rPr>
          <w:sz w:val="20"/>
          <w:lang w:val="fr-CA"/>
        </w:rPr>
        <w:t xml:space="preserve">, [1990] 1 R.C.S. 1075, à une obligation indépendante dans </w:t>
      </w:r>
      <w:r w:rsidRPr="003A1ADC">
        <w:rPr>
          <w:i/>
          <w:sz w:val="20"/>
          <w:lang w:val="fr-CA"/>
        </w:rPr>
        <w:t xml:space="preserve">Nation </w:t>
      </w:r>
      <w:proofErr w:type="spellStart"/>
      <w:r w:rsidRPr="003A1ADC">
        <w:rPr>
          <w:i/>
          <w:sz w:val="20"/>
          <w:lang w:val="fr-CA"/>
        </w:rPr>
        <w:t>haïda</w:t>
      </w:r>
      <w:proofErr w:type="spellEnd"/>
      <w:r w:rsidRPr="003A1ADC">
        <w:rPr>
          <w:i/>
          <w:sz w:val="20"/>
          <w:lang w:val="fr-CA"/>
        </w:rPr>
        <w:t xml:space="preserve"> c. Colombie</w:t>
      </w:r>
      <w:r w:rsidRPr="003A1ADC">
        <w:rPr>
          <w:i/>
          <w:sz w:val="20"/>
          <w:lang w:val="fr-CA"/>
        </w:rPr>
        <w:noBreakHyphen/>
        <w:t>Britannique (Ministre des Forêts)</w:t>
      </w:r>
      <w:r w:rsidRPr="003A1ADC">
        <w:rPr>
          <w:sz w:val="20"/>
          <w:lang w:val="fr-CA"/>
        </w:rPr>
        <w:t xml:space="preserve">, 2004 CSC 73, [2004] 3 R.C.S. 511. N’étant plus limitée au contexte de la justification, l’obligation de consulter fait désormais partie du cadre juridique essentiel du droit des Autochtones et exige une consultation chaque fois que des mesures sont susceptibles d’avoir un effet préjudiciable sur les droits revendiqués </w:t>
      </w:r>
      <w:r w:rsidRPr="003A1ADC">
        <w:rPr>
          <w:sz w:val="20"/>
          <w:lang w:val="fr-CA"/>
        </w:rPr>
        <w:lastRenderedPageBreak/>
        <w:t>ou établis qui sont protégés par l’art. 35. Cette approche reconnaît que la sphère législative n’échappe pas au principe de l’honneur de la Couronne. Approuver une telle lacune dans le principe de l’honneur de la Couronne créerait également un vide dans le cadre d’analyse régissant l’art. 35, laissant les titulaires de droits ancestraux vulnérables aux mêmes objectifs gouvernementaux réalisés grâce à des mesures législatives plutôt qu’exécutives.</w:t>
      </w:r>
    </w:p>
    <w:p w:rsidR="003A1ADC" w:rsidRPr="003A1ADC" w:rsidRDefault="003A1ADC" w:rsidP="003A1ADC">
      <w:pPr>
        <w:pStyle w:val="SCCNormalDoubleSpacing"/>
        <w:spacing w:before="240" w:after="480" w:line="240" w:lineRule="auto"/>
        <w:rPr>
          <w:sz w:val="20"/>
          <w:lang w:val="fr-CA"/>
        </w:rPr>
      </w:pPr>
      <w:r w:rsidRPr="003A1ADC">
        <w:rPr>
          <w:sz w:val="20"/>
          <w:lang w:val="fr-CA"/>
        </w:rPr>
        <w:tab/>
        <w:t>Même si les concepts de souveraineté et de privilège parlementaires sont fondamentaux pour assurer que la branche législative du gouvernement est en mesure de s’acquitter de son travail sans interférence indue, ils ne peuvent pas supplanter le principe de l’honneur de la Couronne. Les questions soulevées par le présent appel exigent que la Cour concilie la protection du processus législatif contre l’interférence des tribunaux et la protection des droits autochtones contre le processus législatif, plutôt que de choisir entre elles. Le droit des groupes autochtones d’être consultés quant aux décisions susceptibles d’avoir un effet préjudiciable sur leurs intérêts n’est pas simplement politique. Il s’agit d’un droit juridique ayant force constitutionnelle. Les décisions qui préconisent une protection contre l’ingérence dans le processus parlementaire doivent donc être interprétées dans le contexte d’une obligation qui ne constitue pas seulement un impératif constitutionnel, mais qui consiste en une reconnaissance des limites de la souveraineté de la Couronne elle</w:t>
      </w:r>
      <w:r w:rsidRPr="003A1ADC">
        <w:rPr>
          <w:sz w:val="20"/>
          <w:lang w:val="fr-CA"/>
        </w:rPr>
        <w:noBreakHyphen/>
        <w:t xml:space="preserve">même. La souveraineté parlementaire ne saurait être interprétée de manière à écarter des obligations découlant de l’honneur de la Couronne. Comme tous les principes constitutionnels, la souveraineté parlementaire doit être mise en balance avec d’autres aspects de l’ordre constitutionnel, dont l’obligation de consulter. </w:t>
      </w:r>
    </w:p>
    <w:p w:rsidR="003A1ADC" w:rsidRPr="003A1ADC" w:rsidRDefault="003A1ADC" w:rsidP="003A1ADC">
      <w:pPr>
        <w:pStyle w:val="SCCNormalDoubleSpacing"/>
        <w:spacing w:before="240" w:after="480" w:line="240" w:lineRule="auto"/>
        <w:rPr>
          <w:sz w:val="20"/>
          <w:lang w:val="fr-CA"/>
        </w:rPr>
      </w:pPr>
      <w:r w:rsidRPr="003A1ADC">
        <w:rPr>
          <w:sz w:val="20"/>
          <w:lang w:val="fr-CA"/>
        </w:rPr>
        <w:tab/>
        <w:t>Même si la souveraineté parlementaire ne peut supplanter l’honneur de la Couronne, il importe de donner à sa force en tant que principe constitutionnel le poids qui convient afin d’atteindre un juste équilibre entre ces concepts. La souplesse inhérente à la doctrine de l’obligation de consulter devrait être utilisée pour tenir compte du pouvoir discrétionnaire plus large dont le législateur doit pouvoir jouir dans le contexte législatif. Puisque la portée de l’obligation de consulter est fortement tributaire des circonstances, il n’y a aucune raison pour laquelle l’éventail des obligations de consulter et d’accommoder qui peuvent prendre naissance ne suffit pas pour répondre aux difficultés singulières soulevées dans la sphère législative. En outre, les mesures législatives ne vont pas toutes déclencher l’obligation de consulter. Cette obligation est déclenchée uniquement lorsque la Couronne, ayant connaissance de l’existence potentielle du droit ou titre ancestral en cause, envisage d’adopter une loi qui pourrait avoir un effet préjudiciable sur ce droit ou ce titre.</w:t>
      </w:r>
    </w:p>
    <w:p w:rsidR="003A1ADC" w:rsidRPr="003A1ADC" w:rsidRDefault="003A1ADC" w:rsidP="003A1ADC">
      <w:pPr>
        <w:pStyle w:val="SCCNormalDoubleSpacing"/>
        <w:spacing w:before="240" w:after="480" w:line="240" w:lineRule="auto"/>
        <w:rPr>
          <w:sz w:val="20"/>
          <w:lang w:val="fr-CA"/>
        </w:rPr>
      </w:pPr>
      <w:r w:rsidRPr="003A1ADC">
        <w:rPr>
          <w:sz w:val="20"/>
          <w:lang w:val="fr-CA"/>
        </w:rPr>
        <w:tab/>
        <w:t>La procédure applicable et l’étendue des mesures de réparation lorsque le gouvernement manque à son obligation de consulter dans le contexte du processus législatif sont également limitées par la mise en balance constitutionnelle entre le pouvoir judiciaire et le pouvoir législatif. Les contraintes institutionnelles dans le contexte législatif exigent que les demandeurs contestent la loi existante. Autoriser les contestations directes de la procédure parlementaire avant l’adoption de la loi empiéterait indûment sur le processus législatif. Bien que les tribunaux n’aient pas pour rôle de dicter les procédures que les législateurs doivent adopter, ils peuvent néanmoins examiner si le processus choisi concorde avec la relation particulière qu’entretient la Couronne avec les peuples autochtones. Contester une loi existante sur le fondement de vices de procédure n’est pas nouveau en droit canadien.</w:t>
      </w:r>
    </w:p>
    <w:p w:rsidR="003A1ADC" w:rsidRPr="003A1ADC" w:rsidRDefault="003A1ADC" w:rsidP="003A1ADC">
      <w:pPr>
        <w:pStyle w:val="SCCNormalDoubleSpacing"/>
        <w:spacing w:before="240" w:after="480" w:line="240" w:lineRule="auto"/>
        <w:rPr>
          <w:sz w:val="20"/>
          <w:lang w:val="fr-CA"/>
        </w:rPr>
      </w:pPr>
      <w:r w:rsidRPr="003A1ADC">
        <w:rPr>
          <w:sz w:val="20"/>
          <w:lang w:val="fr-CA"/>
        </w:rPr>
        <w:tab/>
        <w:t xml:space="preserve">Toutefois, une contestation fondée sur l’arrêt </w:t>
      </w:r>
      <w:r w:rsidRPr="003A1ADC">
        <w:rPr>
          <w:i/>
          <w:sz w:val="20"/>
          <w:lang w:val="fr-CA"/>
        </w:rPr>
        <w:t xml:space="preserve">Nation </w:t>
      </w:r>
      <w:proofErr w:type="spellStart"/>
      <w:r w:rsidRPr="003A1ADC">
        <w:rPr>
          <w:i/>
          <w:sz w:val="20"/>
          <w:lang w:val="fr-CA"/>
        </w:rPr>
        <w:t>haïda</w:t>
      </w:r>
      <w:proofErr w:type="spellEnd"/>
      <w:r w:rsidRPr="003A1ADC">
        <w:rPr>
          <w:sz w:val="20"/>
          <w:lang w:val="fr-CA"/>
        </w:rPr>
        <w:t xml:space="preserve">, si elle était accueillie, n’invaliderait pas nécessairement la loi attaquée. L’obligation de consulter vise à encourager les gouvernements à tenir compte des effets des mesures qu’ils adoptent sur les collectivités autochtones et à consulter de façon proactive. Elle ne devrait pas remplacer le test de l’atteinte et de la justification énoncé dans l’arrêt </w:t>
      </w:r>
      <w:proofErr w:type="spellStart"/>
      <w:r w:rsidRPr="003A1ADC">
        <w:rPr>
          <w:i/>
          <w:sz w:val="20"/>
          <w:lang w:val="fr-CA"/>
        </w:rPr>
        <w:t>Sparrow</w:t>
      </w:r>
      <w:proofErr w:type="spellEnd"/>
      <w:r w:rsidRPr="003A1ADC">
        <w:rPr>
          <w:sz w:val="20"/>
          <w:lang w:val="fr-CA"/>
        </w:rPr>
        <w:t xml:space="preserve"> ou devenir un moyen de routine pour invalider la loi. Sans écarter la possibilité que, dans certains cas, une loi adoptée en violation de l’obligation de consulter puisse être invalidée, la mesure de redressement généralement appropriée prendra la forme d’une déclaration, qui permet aux tribunaux de façonner le cadre juridique tout en respectant le rôle constitutionnel d’une autre branche de l’État d’agir à l’intérieur de ces limites. Par conséquent, un groupe autochtone </w:t>
      </w:r>
      <w:proofErr w:type="gramStart"/>
      <w:r w:rsidRPr="003A1ADC">
        <w:rPr>
          <w:sz w:val="20"/>
          <w:lang w:val="fr-CA"/>
        </w:rPr>
        <w:t>a</w:t>
      </w:r>
      <w:proofErr w:type="gramEnd"/>
      <w:r w:rsidRPr="003A1ADC">
        <w:rPr>
          <w:sz w:val="20"/>
          <w:lang w:val="fr-CA"/>
        </w:rPr>
        <w:t xml:space="preserve"> droit à un jugement déclaratoire si la Couronne ne l’a pas consulté durant le processus menant à l’édiction d’une loi qui pourrait avoir un effet préjudiciable sur ses intérêts.</w:t>
      </w:r>
    </w:p>
    <w:p w:rsidR="003A1ADC" w:rsidRPr="003A1ADC" w:rsidRDefault="003A1ADC" w:rsidP="003A1ADC">
      <w:pPr>
        <w:pStyle w:val="SCCNormalDoubleSpacing"/>
        <w:spacing w:before="480" w:after="480" w:line="240" w:lineRule="auto"/>
        <w:rPr>
          <w:sz w:val="20"/>
          <w:lang w:val="fr-CA"/>
        </w:rPr>
      </w:pPr>
      <w:r w:rsidRPr="003A1ADC">
        <w:rPr>
          <w:i/>
          <w:sz w:val="20"/>
          <w:lang w:val="fr-CA"/>
        </w:rPr>
        <w:tab/>
        <w:t>Le juge</w:t>
      </w:r>
      <w:r w:rsidRPr="003A1ADC">
        <w:rPr>
          <w:sz w:val="20"/>
          <w:lang w:val="fr-CA"/>
        </w:rPr>
        <w:t xml:space="preserve"> </w:t>
      </w:r>
      <w:r w:rsidRPr="003A1ADC">
        <w:rPr>
          <w:b/>
          <w:sz w:val="20"/>
          <w:lang w:val="fr-CA"/>
        </w:rPr>
        <w:t>Brown </w:t>
      </w:r>
      <w:r w:rsidRPr="003A1ADC">
        <w:rPr>
          <w:sz w:val="20"/>
          <w:lang w:val="fr-CA"/>
        </w:rPr>
        <w:t>: Il y a accord pour dire que l’appel devrait être rejeté parce que la Cour fédérale n’avait pas compétence pour examiner la demande de contrôle judiciaire.</w:t>
      </w:r>
    </w:p>
    <w:p w:rsidR="003A1ADC" w:rsidRPr="003A1ADC" w:rsidRDefault="003A1ADC" w:rsidP="003A1ADC">
      <w:pPr>
        <w:pStyle w:val="SCCNormalDoubleSpacing"/>
        <w:spacing w:before="480" w:after="480" w:line="240" w:lineRule="auto"/>
        <w:rPr>
          <w:sz w:val="20"/>
          <w:lang w:val="fr-CA"/>
        </w:rPr>
      </w:pPr>
      <w:r w:rsidRPr="003A1ADC">
        <w:rPr>
          <w:sz w:val="20"/>
          <w:lang w:val="fr-CA"/>
        </w:rPr>
        <w:lastRenderedPageBreak/>
        <w:tab/>
        <w:t xml:space="preserve">Même en faisant fi de cet obstacle juridictionnel, tant la séparation des pouvoirs que le privilège parlementaire, ainsi que la portée bien interprétée du contrôle judiciaire et la jurisprudence existante de la Cour sur l’obligation de consulter mènent à la conclusion que la demande de contrôle judiciaire des </w:t>
      </w:r>
      <w:proofErr w:type="spellStart"/>
      <w:r w:rsidRPr="003A1ADC">
        <w:rPr>
          <w:sz w:val="20"/>
          <w:lang w:val="fr-CA"/>
        </w:rPr>
        <w:t>Mikisew</w:t>
      </w:r>
      <w:proofErr w:type="spellEnd"/>
      <w:r w:rsidRPr="003A1ADC">
        <w:rPr>
          <w:sz w:val="20"/>
          <w:lang w:val="fr-CA"/>
        </w:rPr>
        <w:t xml:space="preserve"> ne peut pas être accueillie. L’ensemble du processus législatif — de l’élaboration initiale des politiques à la sanction royale inclusivement — constitue un exercice du pouvoir législatif qui est à l’abri de l’ingérence des tribunaux. Les choix politiques relèvent du pouvoir législatif, tandis que leur mise en œuvre et leur administration incombent au pouvoir exécutif. Cela empêche les tribunaux d’imposer une obligation de consulter dans le cadre du processus législatif.</w:t>
      </w:r>
    </w:p>
    <w:p w:rsidR="003A1ADC" w:rsidRPr="003A1ADC" w:rsidRDefault="003A1ADC" w:rsidP="003A1ADC">
      <w:pPr>
        <w:pStyle w:val="SCCNormalDoubleSpacing"/>
        <w:spacing w:before="480" w:after="480" w:line="240" w:lineRule="auto"/>
        <w:rPr>
          <w:sz w:val="20"/>
          <w:lang w:val="fr-CA"/>
        </w:rPr>
      </w:pPr>
      <w:r w:rsidRPr="003A1ADC">
        <w:rPr>
          <w:sz w:val="20"/>
          <w:lang w:val="fr-CA"/>
        </w:rPr>
        <w:tab/>
        <w:t xml:space="preserve">La formulation et le dépôt des projets de loi échappent au contrôle judiciaire du fait de la séparation des pouvoirs. Pour que chacun des pouvoirs de l’État canadien — le législatif, l’exécutif et </w:t>
      </w:r>
      <w:proofErr w:type="gramStart"/>
      <w:r w:rsidRPr="003A1ADC">
        <w:rPr>
          <w:sz w:val="20"/>
          <w:lang w:val="fr-CA"/>
        </w:rPr>
        <w:t>le</w:t>
      </w:r>
      <w:proofErr w:type="gramEnd"/>
      <w:r w:rsidRPr="003A1ADC">
        <w:rPr>
          <w:sz w:val="20"/>
          <w:lang w:val="fr-CA"/>
        </w:rPr>
        <w:t xml:space="preserve"> judiciaire — puisse jouer son rôle, il faut qu’ils n’empiètent pas indûment les uns sur les autres. Les ministres de la Couronne jouent un rôle essentiel dans le processus législatif dont ils font partie intégrante. Leur appartenance </w:t>
      </w:r>
      <w:proofErr w:type="gramStart"/>
      <w:r w:rsidRPr="003A1ADC">
        <w:rPr>
          <w:sz w:val="20"/>
          <w:lang w:val="fr-CA"/>
        </w:rPr>
        <w:t>aux pouvoirs tant exécutif</w:t>
      </w:r>
      <w:proofErr w:type="gramEnd"/>
      <w:r w:rsidRPr="003A1ADC">
        <w:rPr>
          <w:sz w:val="20"/>
          <w:lang w:val="fr-CA"/>
        </w:rPr>
        <w:t xml:space="preserve"> que législatif de l’État canadien ne rend pas leurs rôles dans l’une ou l’autre de ces branches indissociables aux fins du contrôle judiciaire. Dans la présente affaire, des ministres fédéraux ont pris une série de décisions politiques, qui ont mené à la rédaction d’une proposition législative et, ensuite, à l’élaboration des projets de loi omnibus et à leur dépôt à la Chambre des communes. Toutes ces mesures appartenaient au processus législatif qui consiste à déposer des projets de loi au Parlement et elles ont été prises par des ministres qui agissaient en leur capacité législative.</w:t>
      </w:r>
    </w:p>
    <w:p w:rsidR="003A1ADC" w:rsidRPr="003A1ADC" w:rsidRDefault="003A1ADC" w:rsidP="003A1ADC">
      <w:pPr>
        <w:pStyle w:val="SCCNormalDoubleSpacing"/>
        <w:spacing w:before="480" w:after="480" w:line="240" w:lineRule="auto"/>
        <w:rPr>
          <w:sz w:val="20"/>
          <w:lang w:val="fr-CA"/>
        </w:rPr>
      </w:pPr>
      <w:r w:rsidRPr="003A1ADC">
        <w:rPr>
          <w:sz w:val="20"/>
          <w:lang w:val="fr-CA"/>
        </w:rPr>
        <w:tab/>
        <w:t>La formulation et le dépôt des projets de loi échappent également au contrôle judiciaire du fait du privilège parlementaire, lequel consiste en une protection contre l’ingérence dans le travail parlementaire des députés. Le principe du privilège parlementaire est essentiel pour que le Parlement s’acquitte de ses fonctions constitutionnelles, puisqu’il lui accorde le droit d’exercer une liberté absolue pour ce qui est de la formulation, du dépôt, de la modification et de l’adoption d’une loi. S’il est vrai que le privilège parlementaire s’applique sous réserve de certaines contraintes imposées par la Constitution, l’obligation de consulter se distingue des exigences quant aux modalités et à la forme imposées par la Constitution que doit respecter le législateur afin d’adopter une loi valide. Tout ce qu’un citoyen canadien peut exiger, sur le plan procédural, c’est qu’un projet de loi fasse l’objet de trois lectures à la Chambre des communes et au Sénat et qu’il reçoive la sanction royale. Bien que la Constitution soit la loi suprême du Canada et qu’elle rende inopérante toute loi incompatible avec ses dispositions, elle ne permet pas aux demandeurs d’écarter le privilège parlementaire</w:t>
      </w:r>
    </w:p>
    <w:p w:rsidR="003A1ADC" w:rsidRPr="003A1ADC" w:rsidRDefault="003A1ADC" w:rsidP="003A1ADC">
      <w:pPr>
        <w:pStyle w:val="SCCNormalDoubleSpacing"/>
        <w:spacing w:before="480" w:after="480" w:line="240" w:lineRule="auto"/>
        <w:rPr>
          <w:sz w:val="20"/>
          <w:lang w:val="fr-CA"/>
        </w:rPr>
      </w:pPr>
      <w:r w:rsidRPr="003A1ADC">
        <w:rPr>
          <w:sz w:val="20"/>
          <w:lang w:val="fr-CA"/>
        </w:rPr>
        <w:tab/>
        <w:t>L’élaboration, le dépôt, l’examen et l’adoption des projets de loi ne constituent pas des conduites de la Couronne qui donnent naissance à l’obligation de consulter. La conduite de la Couronne qui fait naître cette obligation exclut les fonctions parlementaires de l’État canadien. Les étapes suivies dans le cadre du processus parlementaire d’élaboration des lois, y compris la sanction royale, ne sont pas le moyen par lequel la Couronne agit. L’exercice de son pouvoir dans l’adoption des lois (lorsqu’elle sanctionne les projets de loi, qu’elle refuse de les sanctionner ou qu’elle réserve sa décision) est de nature législative. Il ne s’agit pas d’une conduite de la Couronne — c’est</w:t>
      </w:r>
      <w:r w:rsidRPr="003A1ADC">
        <w:rPr>
          <w:sz w:val="20"/>
          <w:lang w:val="fr-CA"/>
        </w:rPr>
        <w:noBreakHyphen/>
        <w:t>à</w:t>
      </w:r>
      <w:r w:rsidRPr="003A1ADC">
        <w:rPr>
          <w:sz w:val="20"/>
          <w:lang w:val="fr-CA"/>
        </w:rPr>
        <w:noBreakHyphen/>
        <w:t>dire d’une conduite de nature exécutive — qui peut donner naissance à l’obligation de consulter. La Couronne n’adopte pas les lois. C’est le Parlement qui le fait.</w:t>
      </w:r>
    </w:p>
    <w:p w:rsidR="003A1ADC" w:rsidRPr="003A1ADC" w:rsidRDefault="003A1ADC" w:rsidP="003A1ADC">
      <w:pPr>
        <w:pStyle w:val="SCCNormalDoubleSpacing"/>
        <w:spacing w:before="480" w:after="480" w:line="240" w:lineRule="auto"/>
        <w:rPr>
          <w:sz w:val="20"/>
          <w:lang w:val="fr-CA"/>
        </w:rPr>
      </w:pPr>
      <w:r w:rsidRPr="003A1ADC">
        <w:rPr>
          <w:sz w:val="20"/>
          <w:lang w:val="fr-CA"/>
        </w:rPr>
        <w:tab/>
        <w:t xml:space="preserve">Par conséquent, procéder au contrôle judiciaire du processus législatif, en contrôlant notamment, après le fait, le processus d’adoption des lois pour vérifier leur conformité à l’art. 35 de la </w:t>
      </w:r>
      <w:r w:rsidRPr="003A1ADC">
        <w:rPr>
          <w:i/>
          <w:sz w:val="20"/>
          <w:lang w:val="fr-CA"/>
        </w:rPr>
        <w:t>Loi constitutionnelle de 1982</w:t>
      </w:r>
      <w:r w:rsidRPr="003A1ADC">
        <w:rPr>
          <w:sz w:val="20"/>
          <w:lang w:val="fr-CA"/>
        </w:rPr>
        <w:t xml:space="preserve"> et à l’honneur de la Couronne, est inconstitutionnel. Le fait qu’il en soit ainsi ne diminue pas la valeur et la sagesse inhérentes à la consultation des peuples autochtones avant l’adoption de lois susceptibles d’avoir un effet préjudiciable sur l’exercice de droits ancestraux ou issus de traités. La consultation durant le processus législatif est une considération importante dans l’analyse de la justification au regard de l’art. 35. Toutefois, l’absence de consultation ou les lacunes de ce processus ne peuvent être examinées qu’une fois la loi adoptée, et encore, uniquement dans le contexte d’une contestation, fondée sur l’art. 35, de la teneur de la loi ainsi adoptée ou de ses effets, par opposition à une contestation du processus législatif.</w:t>
      </w:r>
    </w:p>
    <w:p w:rsidR="003A1ADC" w:rsidRPr="003A1ADC" w:rsidRDefault="003A1ADC" w:rsidP="003A1ADC">
      <w:pPr>
        <w:pStyle w:val="SCCNormalDoubleSpacing"/>
        <w:spacing w:before="480" w:after="480" w:line="240" w:lineRule="auto"/>
        <w:rPr>
          <w:sz w:val="20"/>
          <w:lang w:val="fr-CA"/>
        </w:rPr>
      </w:pPr>
      <w:r w:rsidRPr="003A1ADC">
        <w:rPr>
          <w:sz w:val="20"/>
          <w:lang w:val="fr-CA"/>
        </w:rPr>
        <w:tab/>
        <w:t xml:space="preserve">Soulever la possibilité qu’une loi qui aurait un effet préjudiciable sur des droits protégés par l’art. 35 soit déclarée incompatible avec l’honneur de la Couronne mine les principes mêmes de la séparation des pouvoirs et du privilège </w:t>
      </w:r>
      <w:r w:rsidRPr="003A1ADC">
        <w:rPr>
          <w:sz w:val="20"/>
          <w:lang w:val="fr-CA"/>
        </w:rPr>
        <w:lastRenderedPageBreak/>
        <w:t xml:space="preserve">parlementaire qui mènent à la conclusion selon laquelle l’imposition de l’obligation de consulter constituerait une entrave indue dans les circonstances de la présente cause. De plus, cela </w:t>
      </w:r>
      <w:r w:rsidRPr="003A1ADC">
        <w:rPr>
          <w:rFonts w:eastAsiaTheme="minorHAnsi"/>
          <w:sz w:val="20"/>
          <w:lang w:val="fr-CA"/>
        </w:rPr>
        <w:t xml:space="preserve">jetterait le droit dans une incertitude considérable pour </w:t>
      </w:r>
      <w:r w:rsidRPr="003A1ADC">
        <w:rPr>
          <w:sz w:val="20"/>
          <w:lang w:val="fr-CA"/>
        </w:rPr>
        <w:t>toutes les personnes qui se fient sur l’efficacité des lois valablement adoptées et conformes à la Constitution.</w:t>
      </w:r>
    </w:p>
    <w:p w:rsidR="003A1ADC" w:rsidRPr="003A1ADC" w:rsidRDefault="003A1ADC" w:rsidP="003A1ADC">
      <w:pPr>
        <w:pStyle w:val="SCCNormalDoubleSpacing"/>
        <w:spacing w:before="480" w:after="480" w:line="240" w:lineRule="auto"/>
        <w:rPr>
          <w:sz w:val="20"/>
          <w:lang w:val="fr-CA"/>
        </w:rPr>
      </w:pPr>
      <w:r w:rsidRPr="003A1ADC">
        <w:rPr>
          <w:sz w:val="20"/>
          <w:lang w:val="fr-CA"/>
        </w:rPr>
        <w:tab/>
      </w:r>
      <w:r w:rsidRPr="003A1ADC">
        <w:rPr>
          <w:i/>
          <w:sz w:val="20"/>
          <w:lang w:val="fr-CA"/>
        </w:rPr>
        <w:t xml:space="preserve">Les juges </w:t>
      </w:r>
      <w:r w:rsidRPr="003A1ADC">
        <w:rPr>
          <w:sz w:val="20"/>
          <w:lang w:val="fr-CA"/>
        </w:rPr>
        <w:t xml:space="preserve">Moldaver, Côté et </w:t>
      </w:r>
      <w:r w:rsidRPr="003A1ADC">
        <w:rPr>
          <w:b/>
          <w:sz w:val="20"/>
          <w:lang w:val="fr-CA"/>
        </w:rPr>
        <w:t>Rowe</w:t>
      </w:r>
      <w:r w:rsidRPr="003A1ADC">
        <w:rPr>
          <w:sz w:val="20"/>
          <w:lang w:val="fr-CA"/>
        </w:rPr>
        <w:t> : Il y a accord avec le juge Brown.</w:t>
      </w:r>
      <w:r w:rsidRPr="003A1ADC">
        <w:rPr>
          <w:i/>
          <w:sz w:val="20"/>
          <w:lang w:val="fr-CA"/>
        </w:rPr>
        <w:t xml:space="preserve"> </w:t>
      </w:r>
      <w:r w:rsidRPr="003A1ADC">
        <w:rPr>
          <w:sz w:val="20"/>
          <w:lang w:val="fr-CA"/>
        </w:rPr>
        <w:t xml:space="preserve">De plus, le fait que l’obligation de consulter n’a pas été reconnue comme exigence procédurale dans le cadre du processus législatif ne prive pas les demandeurs autochtones de tout moyen efficace de faire reconnaître par les tribunaux les atteintes à leurs droits protégés par l’art. 35 de la </w:t>
      </w:r>
      <w:r w:rsidRPr="003A1ADC">
        <w:rPr>
          <w:i/>
          <w:sz w:val="20"/>
          <w:lang w:val="fr-CA"/>
        </w:rPr>
        <w:t>Loi constitutionnelle de 1982</w:t>
      </w:r>
      <w:r w:rsidRPr="003A1ADC">
        <w:rPr>
          <w:sz w:val="20"/>
          <w:lang w:val="fr-CA"/>
        </w:rPr>
        <w:t xml:space="preserve">. Quand une loi est adoptée, les parties qui soutiennent qu’elle a pour effet de porter atteinte aux droits protégés par l’art. 35 disposent de recours fondés sur le cadre d’analyse relatif à l’atteinte et à la justification exposé dans l’arrêt </w:t>
      </w:r>
      <w:r w:rsidRPr="003A1ADC">
        <w:rPr>
          <w:i/>
          <w:sz w:val="20"/>
          <w:lang w:val="fr-CA"/>
        </w:rPr>
        <w:t xml:space="preserve">R. c. </w:t>
      </w:r>
      <w:proofErr w:type="spellStart"/>
      <w:r w:rsidRPr="003A1ADC">
        <w:rPr>
          <w:i/>
          <w:sz w:val="20"/>
          <w:lang w:val="fr-CA"/>
        </w:rPr>
        <w:t>Sparrow</w:t>
      </w:r>
      <w:proofErr w:type="spellEnd"/>
      <w:r w:rsidRPr="003A1ADC">
        <w:rPr>
          <w:sz w:val="20"/>
          <w:lang w:val="fr-CA"/>
        </w:rPr>
        <w:t>,</w:t>
      </w:r>
      <w:r w:rsidRPr="003A1ADC">
        <w:rPr>
          <w:i/>
          <w:sz w:val="20"/>
          <w:lang w:val="fr-CA"/>
        </w:rPr>
        <w:t xml:space="preserve"> </w:t>
      </w:r>
      <w:r w:rsidRPr="003A1ADC">
        <w:rPr>
          <w:sz w:val="20"/>
          <w:lang w:val="fr-CA"/>
        </w:rPr>
        <w:t xml:space="preserve">[1990] 1 R.C.S. 1075. Celles qui prétendent qu’une décision prise par le gouvernement en vertu du pouvoir que lui confère cette loi nuira à un droit qu’elles revendiquent peuvent invoquer l’obligation de consulter reconnue pour la première fois dans l’arrêt </w:t>
      </w:r>
      <w:r w:rsidRPr="003A1ADC">
        <w:rPr>
          <w:i/>
          <w:sz w:val="20"/>
          <w:lang w:val="fr-CA"/>
        </w:rPr>
        <w:t xml:space="preserve">Nation </w:t>
      </w:r>
      <w:proofErr w:type="spellStart"/>
      <w:r w:rsidRPr="003A1ADC">
        <w:rPr>
          <w:i/>
          <w:sz w:val="20"/>
          <w:lang w:val="fr-CA"/>
        </w:rPr>
        <w:t>haïda</w:t>
      </w:r>
      <w:proofErr w:type="spellEnd"/>
      <w:r w:rsidRPr="003A1ADC">
        <w:rPr>
          <w:i/>
          <w:sz w:val="20"/>
          <w:lang w:val="fr-CA"/>
        </w:rPr>
        <w:t xml:space="preserve"> c. Colombie</w:t>
      </w:r>
      <w:r w:rsidRPr="003A1ADC">
        <w:rPr>
          <w:i/>
          <w:sz w:val="20"/>
          <w:lang w:val="fr-CA"/>
        </w:rPr>
        <w:noBreakHyphen/>
        <w:t>Britannique (Ministre des Forêts)</w:t>
      </w:r>
      <w:r w:rsidRPr="003A1ADC">
        <w:rPr>
          <w:sz w:val="20"/>
          <w:lang w:val="fr-CA"/>
        </w:rPr>
        <w:t>, 2004 CSC 73, [2004] 3 R.C.S. 511. Lorsque surviennent de nouvelles situations où il faut adapter ou étendre la jurisprudence existante, les tribunaux constituent un moyen de faire évoluer le droit davantage. Le besoin de le faire n’a toutefois pas été démontré au vu des faits de l’espèce. La jurisprudence actuelle prévoit la protection et la défense des droits ancestraux tout en assurant le respect des principes constitutionnels de la souveraineté parlementaire et de la séparation des pouvoirs.</w:t>
      </w:r>
    </w:p>
    <w:p w:rsidR="003A1ADC" w:rsidRPr="003A1ADC" w:rsidRDefault="003A1ADC" w:rsidP="003A1ADC">
      <w:pPr>
        <w:pStyle w:val="SCCNormalDoubleSpacing"/>
        <w:spacing w:before="480" w:after="480" w:line="240" w:lineRule="auto"/>
        <w:rPr>
          <w:sz w:val="20"/>
          <w:lang w:val="fr-CA"/>
        </w:rPr>
      </w:pPr>
      <w:r w:rsidRPr="003A1ADC">
        <w:rPr>
          <w:sz w:val="20"/>
          <w:lang w:val="fr-CA"/>
        </w:rPr>
        <w:tab/>
        <w:t>Qui plus est, si l’on reconnaissait l’existence d’une obligation constitutionnelle de consulter les peuples autochtones durant le processus de l’élaboration des projets de loi, cela perturberait grandement l’exécution de ce travail. L’élaboration des projets de loi n’est pas un processus simple. Il s’agit plutôt d’un processus fort complexe qui mobilise de nombreux acteurs au sein du gouvernement. L’imposition de l’obligation de consulter à ce stade pourrait en fait paralyser le fonctionnement interne au quotidien du gouvernement. Ce qui est aujourd’hui complexe et difficile risquerait de devenir interminable et dysfonctionnel.</w:t>
      </w:r>
    </w:p>
    <w:p w:rsidR="003A1ADC" w:rsidRPr="003A1ADC" w:rsidRDefault="003A1ADC" w:rsidP="003A1ADC">
      <w:pPr>
        <w:pStyle w:val="SCCNormalDoubleSpacing"/>
        <w:spacing w:before="480" w:after="480" w:line="240" w:lineRule="auto"/>
        <w:rPr>
          <w:sz w:val="20"/>
          <w:lang w:val="fr-CA"/>
        </w:rPr>
      </w:pPr>
      <w:r w:rsidRPr="003A1ADC">
        <w:rPr>
          <w:sz w:val="20"/>
          <w:lang w:val="fr-CA"/>
        </w:rPr>
        <w:tab/>
        <w:t>Enfin, reconnaître l’existence d’une obligation de consulter pendant le processus législatif aurait une autre conséquence sérieuse : les tribunaux seraient appelés à intervenir pour superviser les interactions entre les parties autochtones et les responsables de l’élaboration des projets de loi soumis à l’examen du Parlement et des législatures provinciales. Si une obligation de consulter durant le processus législatif devait être imposée, des différends se soulèveraient quant à la façon de s’acquitter de cette obligation. Les parties concernées s’adresseraient inévitablement aux tribunaux, qui seraient appelés à surveiller l’exécution d’une obligation de consulter durant l’élaboration des projets de loi. Les tribunaux sont mal outillés pour traiter des considérations procédurales complexes associées au processus législatif. Si un législateur décidait de prendre part à une consultation avec des peuples autochtones, le stade auquel se tiendrait cette consultation relèverait de son pouvoir discrétionnaire. L’intervention des tribunaux à l’égard de l’exercice de ce pouvoir discrétionnaire contreviendrait au principe de la séparation des pouvoirs. Amener les tribunaux à encadrer l’exercice par le Parlement et les législatures de leurs pouvoirs et privilèges transformerait de fond en comble le système de gouvernement au Canada.</w:t>
      </w:r>
    </w:p>
    <w:p w:rsidR="003A1ADC" w:rsidRPr="003A1ADC" w:rsidRDefault="003A1ADC" w:rsidP="003A1ADC">
      <w:pPr>
        <w:pStyle w:val="SCCNormalDoubleSpacing"/>
        <w:spacing w:after="480" w:line="240" w:lineRule="auto"/>
        <w:rPr>
          <w:sz w:val="20"/>
          <w:lang w:val="fr-CA"/>
        </w:rPr>
      </w:pPr>
      <w:r w:rsidRPr="003A1ADC">
        <w:rPr>
          <w:sz w:val="20"/>
          <w:lang w:val="fr-CA"/>
        </w:rPr>
        <w:t xml:space="preserve">POURVOI contre un arrêt de la Cour d’appel fédérale (les juges Pelletier, Webb et de Montigny), 2016 CAF 311, [2017] R.C.F. 298, 405 D.L.R. (4th) 721, 5 C.E.L.R. (4th) 302, [2017] 1 C.N.L.R. 354, [2016] A.C.F. no 1389 (QL), 2016 </w:t>
      </w:r>
      <w:proofErr w:type="spellStart"/>
      <w:r w:rsidRPr="003A1ADC">
        <w:rPr>
          <w:sz w:val="20"/>
          <w:lang w:val="fr-CA"/>
        </w:rPr>
        <w:t>CarswellNat</w:t>
      </w:r>
      <w:proofErr w:type="spellEnd"/>
      <w:r w:rsidRPr="003A1ADC">
        <w:rPr>
          <w:sz w:val="20"/>
          <w:lang w:val="fr-CA"/>
        </w:rPr>
        <w:t xml:space="preserve"> 9957 (WL Can.), qui a infirmé un jugement déclaratoire du juge Hughes, 2014 CF 1244, 470 F.T.R. 243, 93 C.E.L.R. (3d) 199, [2015] 1 C.N.L.R. 243, [2014] A.C.F. no 1308 (QL), 2014 </w:t>
      </w:r>
      <w:proofErr w:type="spellStart"/>
      <w:r w:rsidRPr="003A1ADC">
        <w:rPr>
          <w:sz w:val="20"/>
          <w:lang w:val="fr-CA"/>
        </w:rPr>
        <w:t>CarswellNat</w:t>
      </w:r>
      <w:proofErr w:type="spellEnd"/>
      <w:r w:rsidRPr="003A1ADC">
        <w:rPr>
          <w:sz w:val="20"/>
          <w:lang w:val="fr-CA"/>
        </w:rPr>
        <w:t xml:space="preserve"> 8413 (WL Can.). Pourvoi rejeté.</w:t>
      </w:r>
    </w:p>
    <w:p w:rsidR="003A1ADC" w:rsidRPr="003A1ADC" w:rsidRDefault="003A1ADC" w:rsidP="003A1ADC">
      <w:pPr>
        <w:pStyle w:val="SCCNormalDoubleSpacing"/>
        <w:spacing w:after="480" w:line="240" w:lineRule="auto"/>
        <w:rPr>
          <w:sz w:val="20"/>
          <w:lang w:val="fr-CA"/>
        </w:rPr>
      </w:pPr>
      <w:r w:rsidRPr="003A1ADC">
        <w:rPr>
          <w:rStyle w:val="SCCCounselNameChar"/>
          <w:sz w:val="20"/>
          <w:lang w:val="fr-CA"/>
        </w:rPr>
        <w:tab/>
        <w:t xml:space="preserve">Robert J. M. </w:t>
      </w:r>
      <w:proofErr w:type="spellStart"/>
      <w:r w:rsidRPr="003A1ADC">
        <w:rPr>
          <w:rStyle w:val="SCCCounselNameChar"/>
          <w:sz w:val="20"/>
          <w:lang w:val="fr-CA"/>
        </w:rPr>
        <w:t>Janes</w:t>
      </w:r>
      <w:proofErr w:type="spellEnd"/>
      <w:r w:rsidRPr="003A1ADC">
        <w:rPr>
          <w:rStyle w:val="SCCCounselNameChar"/>
          <w:sz w:val="20"/>
          <w:lang w:val="fr-CA"/>
        </w:rPr>
        <w:t xml:space="preserve">, </w:t>
      </w:r>
      <w:proofErr w:type="spellStart"/>
      <w:r w:rsidRPr="003A1ADC">
        <w:rPr>
          <w:rStyle w:val="SCCCounselNameChar"/>
          <w:sz w:val="20"/>
          <w:lang w:val="fr-CA"/>
        </w:rPr>
        <w:t>c.r</w:t>
      </w:r>
      <w:proofErr w:type="spellEnd"/>
      <w:r w:rsidRPr="003A1ADC">
        <w:rPr>
          <w:rStyle w:val="SCCCounselNameChar"/>
          <w:sz w:val="20"/>
          <w:lang w:val="fr-CA"/>
        </w:rPr>
        <w:t>.</w:t>
      </w:r>
      <w:r w:rsidRPr="003A1ADC">
        <w:rPr>
          <w:rStyle w:val="SCCCounselSeparatorChar"/>
          <w:rFonts w:eastAsia="Calibri"/>
          <w:sz w:val="20"/>
        </w:rPr>
        <w:t xml:space="preserve">, </w:t>
      </w:r>
      <w:proofErr w:type="spellStart"/>
      <w:r w:rsidRPr="003A1ADC">
        <w:rPr>
          <w:rStyle w:val="SCCCounselNameChar"/>
          <w:sz w:val="20"/>
          <w:lang w:val="fr-CA"/>
        </w:rPr>
        <w:t>Karey</w:t>
      </w:r>
      <w:proofErr w:type="spellEnd"/>
      <w:r w:rsidRPr="003A1ADC">
        <w:rPr>
          <w:rStyle w:val="SCCCounselNameChar"/>
          <w:sz w:val="20"/>
          <w:lang w:val="fr-CA"/>
        </w:rPr>
        <w:t xml:space="preserve"> Brooks</w:t>
      </w:r>
      <w:r w:rsidRPr="003A1ADC">
        <w:rPr>
          <w:rStyle w:val="SCCCounselSeparatorChar"/>
          <w:rFonts w:eastAsia="Calibri"/>
          <w:sz w:val="20"/>
        </w:rPr>
        <w:t xml:space="preserve"> et </w:t>
      </w:r>
      <w:r w:rsidRPr="003A1ADC">
        <w:rPr>
          <w:rStyle w:val="SCCCounselNameChar"/>
          <w:sz w:val="20"/>
          <w:lang w:val="fr-CA"/>
        </w:rPr>
        <w:t>Estella White</w:t>
      </w:r>
      <w:r w:rsidRPr="003A1ADC">
        <w:rPr>
          <w:rStyle w:val="SCCCounselPartyRoleChar"/>
          <w:sz w:val="20"/>
          <w:lang w:val="fr-CA"/>
        </w:rPr>
        <w:t>, pour l’appelant.</w:t>
      </w:r>
    </w:p>
    <w:p w:rsidR="003A1ADC" w:rsidRPr="003A1ADC" w:rsidRDefault="003A1ADC" w:rsidP="003A1ADC">
      <w:pPr>
        <w:pStyle w:val="SCCNormalDoubleSpacing"/>
        <w:spacing w:after="480" w:line="240" w:lineRule="auto"/>
        <w:rPr>
          <w:sz w:val="20"/>
          <w:lang w:val="fr-CA"/>
        </w:rPr>
      </w:pPr>
      <w:r w:rsidRPr="003A1ADC">
        <w:rPr>
          <w:rStyle w:val="SCCCounselNameChar"/>
          <w:sz w:val="20"/>
          <w:lang w:val="fr-CA"/>
        </w:rPr>
        <w:tab/>
        <w:t xml:space="preserve">Christopher M. </w:t>
      </w:r>
      <w:proofErr w:type="spellStart"/>
      <w:r w:rsidRPr="003A1ADC">
        <w:rPr>
          <w:rStyle w:val="SCCCounselNameChar"/>
          <w:sz w:val="20"/>
          <w:lang w:val="fr-CA"/>
        </w:rPr>
        <w:t>Rupar</w:t>
      </w:r>
      <w:proofErr w:type="spellEnd"/>
      <w:r w:rsidRPr="003A1ADC">
        <w:rPr>
          <w:rStyle w:val="SCCCounselSeparatorChar"/>
          <w:rFonts w:eastAsia="Calibri"/>
          <w:sz w:val="20"/>
        </w:rPr>
        <w:t xml:space="preserve"> et </w:t>
      </w:r>
      <w:r w:rsidRPr="003A1ADC">
        <w:rPr>
          <w:rStyle w:val="SCCCounselNameChar"/>
          <w:sz w:val="20"/>
          <w:lang w:val="fr-CA"/>
        </w:rPr>
        <w:t xml:space="preserve">Cynthia </w:t>
      </w:r>
      <w:proofErr w:type="spellStart"/>
      <w:r w:rsidRPr="003A1ADC">
        <w:rPr>
          <w:rStyle w:val="SCCCounselNameChar"/>
          <w:sz w:val="20"/>
          <w:lang w:val="fr-CA"/>
        </w:rPr>
        <w:t>Dickins</w:t>
      </w:r>
      <w:proofErr w:type="spellEnd"/>
      <w:r w:rsidRPr="003A1ADC">
        <w:rPr>
          <w:rStyle w:val="SCCCounselPartyRoleChar"/>
          <w:sz w:val="20"/>
          <w:lang w:val="fr-CA"/>
        </w:rPr>
        <w:t>, pour les intimés.</w:t>
      </w:r>
    </w:p>
    <w:p w:rsidR="003A1ADC" w:rsidRPr="003A1ADC" w:rsidRDefault="003A1ADC" w:rsidP="003A1ADC">
      <w:pPr>
        <w:pStyle w:val="SCCNormalDoubleSpacing"/>
        <w:spacing w:after="480" w:line="240" w:lineRule="auto"/>
        <w:rPr>
          <w:sz w:val="20"/>
          <w:lang w:val="fr-CA"/>
        </w:rPr>
      </w:pPr>
      <w:r w:rsidRPr="003A1ADC">
        <w:rPr>
          <w:rStyle w:val="SCCCounselNameChar"/>
          <w:sz w:val="20"/>
          <w:lang w:val="fr-CA"/>
        </w:rPr>
        <w:lastRenderedPageBreak/>
        <w:tab/>
        <w:t>Samuel Chayer</w:t>
      </w:r>
      <w:r w:rsidRPr="003A1ADC">
        <w:rPr>
          <w:rStyle w:val="SCCCounselPartyRoleChar"/>
          <w:sz w:val="20"/>
          <w:lang w:val="fr-CA"/>
        </w:rPr>
        <w:t>, pour l’intervenante la procureure générale du Québec.</w:t>
      </w:r>
    </w:p>
    <w:p w:rsidR="003A1ADC" w:rsidRPr="003A1ADC" w:rsidRDefault="003A1ADC" w:rsidP="003A1ADC">
      <w:pPr>
        <w:pStyle w:val="SCCNormalDoubleSpacing"/>
        <w:spacing w:after="480" w:line="240" w:lineRule="auto"/>
        <w:rPr>
          <w:sz w:val="20"/>
          <w:lang w:val="fr-CA"/>
        </w:rPr>
      </w:pPr>
      <w:r w:rsidRPr="003A1ADC">
        <w:rPr>
          <w:rStyle w:val="SCCCounselNameChar"/>
          <w:sz w:val="20"/>
          <w:lang w:val="fr-CA"/>
        </w:rPr>
        <w:tab/>
        <w:t>William Gould</w:t>
      </w:r>
      <w:r w:rsidRPr="003A1ADC">
        <w:rPr>
          <w:rStyle w:val="SCCCounselSeparatorChar"/>
          <w:rFonts w:eastAsia="Calibri"/>
          <w:sz w:val="20"/>
        </w:rPr>
        <w:t xml:space="preserve"> et </w:t>
      </w:r>
      <w:proofErr w:type="spellStart"/>
      <w:r w:rsidRPr="003A1ADC">
        <w:rPr>
          <w:rStyle w:val="SCCCounselNameChar"/>
          <w:sz w:val="20"/>
          <w:lang w:val="fr-CA"/>
        </w:rPr>
        <w:t>Rachelle</w:t>
      </w:r>
      <w:proofErr w:type="spellEnd"/>
      <w:r w:rsidRPr="003A1ADC">
        <w:rPr>
          <w:rStyle w:val="SCCCounselNameChar"/>
          <w:sz w:val="20"/>
          <w:lang w:val="fr-CA"/>
        </w:rPr>
        <w:t xml:space="preserve"> Standing</w:t>
      </w:r>
      <w:r w:rsidRPr="003A1ADC">
        <w:rPr>
          <w:rStyle w:val="SCCCounselPartyRoleChar"/>
          <w:sz w:val="20"/>
          <w:lang w:val="fr-CA"/>
        </w:rPr>
        <w:t>, pour l’intervenant le procureur général du Nouveau</w:t>
      </w:r>
      <w:r w:rsidRPr="003A1ADC">
        <w:rPr>
          <w:rStyle w:val="SCCCounselPartyRoleChar"/>
          <w:sz w:val="20"/>
          <w:lang w:val="fr-CA"/>
        </w:rPr>
        <w:noBreakHyphen/>
        <w:t>Brunswick.</w:t>
      </w:r>
    </w:p>
    <w:p w:rsidR="003A1ADC" w:rsidRPr="003A1ADC" w:rsidRDefault="003A1ADC" w:rsidP="003A1ADC">
      <w:pPr>
        <w:pStyle w:val="SCCNormalDoubleSpacing"/>
        <w:spacing w:after="480" w:line="240" w:lineRule="auto"/>
        <w:rPr>
          <w:sz w:val="20"/>
          <w:lang w:val="fr-CA"/>
        </w:rPr>
      </w:pPr>
      <w:r w:rsidRPr="003A1ADC">
        <w:rPr>
          <w:rStyle w:val="SCCCounselNameChar"/>
          <w:sz w:val="20"/>
          <w:lang w:val="fr-CA"/>
        </w:rPr>
        <w:tab/>
        <w:t>Glen R. Thompson</w:t>
      </w:r>
      <w:r w:rsidRPr="003A1ADC">
        <w:rPr>
          <w:rStyle w:val="SCCCounselSeparatorChar"/>
          <w:rFonts w:eastAsia="Calibri"/>
          <w:sz w:val="20"/>
        </w:rPr>
        <w:t xml:space="preserve"> et </w:t>
      </w:r>
      <w:r w:rsidRPr="003A1ADC">
        <w:rPr>
          <w:rStyle w:val="SCCCounselNameChar"/>
          <w:sz w:val="20"/>
          <w:lang w:val="fr-CA"/>
        </w:rPr>
        <w:t xml:space="preserve">Heather </w:t>
      </w:r>
      <w:proofErr w:type="spellStart"/>
      <w:r w:rsidRPr="003A1ADC">
        <w:rPr>
          <w:rStyle w:val="SCCCounselNameChar"/>
          <w:sz w:val="20"/>
          <w:lang w:val="fr-CA"/>
        </w:rPr>
        <w:t>Cochran</w:t>
      </w:r>
      <w:proofErr w:type="spellEnd"/>
      <w:r w:rsidRPr="003A1ADC">
        <w:rPr>
          <w:rStyle w:val="SCCCounselPartyRoleChar"/>
          <w:sz w:val="20"/>
          <w:lang w:val="fr-CA"/>
        </w:rPr>
        <w:t>, pour l’intervenant le procureur général de la Colombie</w:t>
      </w:r>
      <w:r w:rsidRPr="003A1ADC">
        <w:rPr>
          <w:rStyle w:val="SCCCounselPartyRoleChar"/>
          <w:sz w:val="20"/>
          <w:lang w:val="fr-CA"/>
        </w:rPr>
        <w:noBreakHyphen/>
        <w:t>Britannique.</w:t>
      </w:r>
    </w:p>
    <w:p w:rsidR="003A1ADC" w:rsidRPr="003A1ADC" w:rsidRDefault="003A1ADC" w:rsidP="003A1ADC">
      <w:pPr>
        <w:pStyle w:val="SCCNormalDoubleSpacing"/>
        <w:spacing w:after="480" w:line="240" w:lineRule="auto"/>
        <w:rPr>
          <w:sz w:val="20"/>
          <w:lang w:val="fr-CA"/>
        </w:rPr>
      </w:pPr>
      <w:r w:rsidRPr="003A1ADC">
        <w:rPr>
          <w:rStyle w:val="SCCCounselNameChar"/>
          <w:sz w:val="20"/>
          <w:lang w:val="fr-CA"/>
        </w:rPr>
        <w:tab/>
        <w:t xml:space="preserve">Richard James </w:t>
      </w:r>
      <w:proofErr w:type="spellStart"/>
      <w:r w:rsidRPr="003A1ADC">
        <w:rPr>
          <w:rStyle w:val="SCCCounselNameChar"/>
          <w:sz w:val="20"/>
          <w:lang w:val="fr-CA"/>
        </w:rPr>
        <w:t>Fyfe</w:t>
      </w:r>
      <w:proofErr w:type="spellEnd"/>
      <w:r w:rsidRPr="003A1ADC">
        <w:rPr>
          <w:rStyle w:val="SCCCounselPartyRoleChar"/>
          <w:sz w:val="20"/>
          <w:lang w:val="fr-CA"/>
        </w:rPr>
        <w:t>, pour l’intervenant le procureur général de la Saskatchewan.</w:t>
      </w:r>
    </w:p>
    <w:p w:rsidR="003A1ADC" w:rsidRPr="003A1ADC" w:rsidRDefault="003A1ADC" w:rsidP="003A1ADC">
      <w:pPr>
        <w:pStyle w:val="SCCNormalDoubleSpacing"/>
        <w:spacing w:after="480" w:line="240" w:lineRule="auto"/>
        <w:rPr>
          <w:sz w:val="20"/>
          <w:lang w:val="fr-CA"/>
        </w:rPr>
      </w:pPr>
      <w:r w:rsidRPr="003A1ADC">
        <w:rPr>
          <w:rStyle w:val="SCCCounselNameChar"/>
          <w:sz w:val="20"/>
          <w:lang w:val="fr-CA"/>
        </w:rPr>
        <w:tab/>
        <w:t xml:space="preserve">Krista </w:t>
      </w:r>
      <w:proofErr w:type="spellStart"/>
      <w:r w:rsidRPr="003A1ADC">
        <w:rPr>
          <w:rStyle w:val="SCCCounselNameChar"/>
          <w:sz w:val="20"/>
          <w:lang w:val="fr-CA"/>
        </w:rPr>
        <w:t>Epton</w:t>
      </w:r>
      <w:proofErr w:type="spellEnd"/>
      <w:r w:rsidRPr="003A1ADC">
        <w:rPr>
          <w:rStyle w:val="SCCCounselPartyRoleChar"/>
          <w:sz w:val="20"/>
          <w:lang w:val="fr-CA"/>
        </w:rPr>
        <w:t>, pour l’intervenant le procureur général de l’Alberta.</w:t>
      </w:r>
    </w:p>
    <w:p w:rsidR="003A1ADC" w:rsidRPr="003A1ADC" w:rsidRDefault="003A1ADC" w:rsidP="003A1ADC">
      <w:pPr>
        <w:pStyle w:val="SCCNormalDoubleSpacing"/>
        <w:spacing w:after="480" w:line="240" w:lineRule="auto"/>
        <w:rPr>
          <w:sz w:val="20"/>
          <w:lang w:val="en-US"/>
        </w:rPr>
      </w:pPr>
      <w:r w:rsidRPr="003A1ADC">
        <w:rPr>
          <w:rStyle w:val="SCCCounselNameChar"/>
          <w:sz w:val="20"/>
          <w:lang w:val="fr-CA"/>
        </w:rPr>
        <w:tab/>
      </w:r>
      <w:r w:rsidRPr="003A1ADC">
        <w:rPr>
          <w:rStyle w:val="SCCCounselNameChar"/>
          <w:sz w:val="20"/>
          <w:lang w:val="en-US"/>
        </w:rPr>
        <w:t xml:space="preserve">Gregory J. McDade, </w:t>
      </w:r>
      <w:proofErr w:type="spellStart"/>
      <w:proofErr w:type="gramStart"/>
      <w:r w:rsidRPr="003A1ADC">
        <w:rPr>
          <w:rStyle w:val="SCCCounselNameChar"/>
          <w:sz w:val="20"/>
          <w:lang w:val="en-US"/>
        </w:rPr>
        <w:t>c.r</w:t>
      </w:r>
      <w:proofErr w:type="gramEnd"/>
      <w:r w:rsidRPr="003A1ADC">
        <w:rPr>
          <w:rStyle w:val="SCCCounselNameChar"/>
          <w:sz w:val="20"/>
          <w:lang w:val="en-US"/>
        </w:rPr>
        <w:t>.</w:t>
      </w:r>
      <w:proofErr w:type="spellEnd"/>
      <w:r w:rsidRPr="003A1ADC">
        <w:rPr>
          <w:rStyle w:val="SCCCounselSeparatorChar"/>
          <w:rFonts w:eastAsia="Calibri"/>
          <w:sz w:val="20"/>
          <w:lang w:val="en-US"/>
        </w:rPr>
        <w:t xml:space="preserve">, et </w:t>
      </w:r>
      <w:r w:rsidRPr="003A1ADC">
        <w:rPr>
          <w:rStyle w:val="SCCCounselNameChar"/>
          <w:sz w:val="20"/>
          <w:lang w:val="en-US"/>
        </w:rPr>
        <w:t xml:space="preserve">Kate </w:t>
      </w:r>
      <w:proofErr w:type="spellStart"/>
      <w:r w:rsidRPr="003A1ADC">
        <w:rPr>
          <w:rStyle w:val="SCCCounselNameChar"/>
          <w:sz w:val="20"/>
          <w:lang w:val="en-US"/>
        </w:rPr>
        <w:t>Blomfield</w:t>
      </w:r>
      <w:proofErr w:type="spellEnd"/>
      <w:r w:rsidRPr="003A1ADC">
        <w:rPr>
          <w:rStyle w:val="SCCCounselPartyRoleChar"/>
          <w:sz w:val="20"/>
          <w:lang w:val="en-US"/>
        </w:rPr>
        <w:t xml:space="preserve">, pour les </w:t>
      </w:r>
      <w:proofErr w:type="spellStart"/>
      <w:r w:rsidRPr="003A1ADC">
        <w:rPr>
          <w:rStyle w:val="SCCCounselPartyRoleChar"/>
          <w:sz w:val="20"/>
          <w:lang w:val="en-US"/>
        </w:rPr>
        <w:t>intervenants</w:t>
      </w:r>
      <w:proofErr w:type="spellEnd"/>
      <w:r w:rsidRPr="003A1ADC">
        <w:rPr>
          <w:rStyle w:val="SCCCounselPartyRoleChar"/>
          <w:sz w:val="20"/>
          <w:lang w:val="en-US"/>
        </w:rPr>
        <w:t xml:space="preserve"> Champagne and </w:t>
      </w:r>
      <w:proofErr w:type="spellStart"/>
      <w:r w:rsidRPr="003A1ADC">
        <w:rPr>
          <w:rStyle w:val="SCCCounselPartyRoleChar"/>
          <w:sz w:val="20"/>
          <w:lang w:val="en-US"/>
        </w:rPr>
        <w:t>Aishihik</w:t>
      </w:r>
      <w:proofErr w:type="spellEnd"/>
      <w:r w:rsidRPr="003A1ADC">
        <w:rPr>
          <w:rStyle w:val="SCCCounselPartyRoleChar"/>
          <w:sz w:val="20"/>
          <w:lang w:val="en-US"/>
        </w:rPr>
        <w:t xml:space="preserve"> First Nations, </w:t>
      </w:r>
      <w:proofErr w:type="spellStart"/>
      <w:r w:rsidRPr="003A1ADC">
        <w:rPr>
          <w:rStyle w:val="SCCCounselPartyRoleChar"/>
          <w:sz w:val="20"/>
          <w:lang w:val="en-US"/>
        </w:rPr>
        <w:t>Kwanlin</w:t>
      </w:r>
      <w:proofErr w:type="spellEnd"/>
      <w:r w:rsidRPr="003A1ADC">
        <w:rPr>
          <w:rStyle w:val="SCCCounselPartyRoleChar"/>
          <w:sz w:val="20"/>
          <w:lang w:val="en-US"/>
        </w:rPr>
        <w:t xml:space="preserve"> </w:t>
      </w:r>
      <w:proofErr w:type="spellStart"/>
      <w:r w:rsidRPr="003A1ADC">
        <w:rPr>
          <w:rStyle w:val="SCCCounselPartyRoleChar"/>
          <w:sz w:val="20"/>
          <w:lang w:val="en-US"/>
        </w:rPr>
        <w:t>Dün</w:t>
      </w:r>
      <w:proofErr w:type="spellEnd"/>
      <w:r w:rsidRPr="003A1ADC">
        <w:rPr>
          <w:rStyle w:val="SCCCounselPartyRoleChar"/>
          <w:sz w:val="20"/>
          <w:lang w:val="en-US"/>
        </w:rPr>
        <w:t xml:space="preserve"> First Nation, Little Salmon </w:t>
      </w:r>
      <w:proofErr w:type="spellStart"/>
      <w:r w:rsidRPr="003A1ADC">
        <w:rPr>
          <w:rStyle w:val="SCCCounselPartyRoleChar"/>
          <w:sz w:val="20"/>
          <w:lang w:val="en-US"/>
        </w:rPr>
        <w:t>Carmacks</w:t>
      </w:r>
      <w:proofErr w:type="spellEnd"/>
      <w:r w:rsidRPr="003A1ADC">
        <w:rPr>
          <w:rStyle w:val="SCCCounselPartyRoleChar"/>
          <w:sz w:val="20"/>
          <w:lang w:val="en-US"/>
        </w:rPr>
        <w:t xml:space="preserve"> First Nation, First Nation of Na</w:t>
      </w:r>
      <w:r w:rsidRPr="003A1ADC">
        <w:rPr>
          <w:rStyle w:val="SCCCounselPartyRoleChar"/>
          <w:sz w:val="20"/>
          <w:lang w:val="en-US"/>
        </w:rPr>
        <w:noBreakHyphen/>
        <w:t xml:space="preserve">Cho </w:t>
      </w:r>
      <w:proofErr w:type="spellStart"/>
      <w:r w:rsidRPr="003A1ADC">
        <w:rPr>
          <w:rStyle w:val="SCCCounselPartyRoleChar"/>
          <w:sz w:val="20"/>
          <w:lang w:val="en-US"/>
        </w:rPr>
        <w:t>Nyak</w:t>
      </w:r>
      <w:proofErr w:type="spellEnd"/>
      <w:r w:rsidRPr="003A1ADC">
        <w:rPr>
          <w:rStyle w:val="SCCCounselPartyRoleChar"/>
          <w:sz w:val="20"/>
          <w:lang w:val="en-US"/>
        </w:rPr>
        <w:t xml:space="preserve"> Dun, Teslin Tlingit Council et First Nations of the </w:t>
      </w:r>
      <w:proofErr w:type="spellStart"/>
      <w:r w:rsidRPr="003A1ADC">
        <w:rPr>
          <w:rStyle w:val="SCCCounselPartyRoleChar"/>
          <w:sz w:val="20"/>
          <w:lang w:val="en-US"/>
        </w:rPr>
        <w:t>Maa</w:t>
      </w:r>
      <w:r w:rsidRPr="003A1ADC">
        <w:rPr>
          <w:rStyle w:val="SCCCounselPartyRoleChar"/>
          <w:sz w:val="20"/>
          <w:lang w:val="en-US"/>
        </w:rPr>
        <w:noBreakHyphen/>
        <w:t>nulth</w:t>
      </w:r>
      <w:proofErr w:type="spellEnd"/>
      <w:r w:rsidRPr="003A1ADC">
        <w:rPr>
          <w:rStyle w:val="SCCCounselPartyRoleChar"/>
          <w:sz w:val="20"/>
          <w:lang w:val="en-US"/>
        </w:rPr>
        <w:t xml:space="preserve"> Treaty Society.</w:t>
      </w:r>
    </w:p>
    <w:p w:rsidR="003A1ADC" w:rsidRPr="003A1ADC" w:rsidRDefault="003A1ADC" w:rsidP="003A1ADC">
      <w:pPr>
        <w:pStyle w:val="SCCNormalDoubleSpacing"/>
        <w:spacing w:after="480" w:line="240" w:lineRule="auto"/>
        <w:rPr>
          <w:sz w:val="20"/>
          <w:lang w:val="fr-CA"/>
        </w:rPr>
      </w:pPr>
      <w:r w:rsidRPr="003A1ADC">
        <w:rPr>
          <w:rStyle w:val="SCCCounselNameChar"/>
          <w:sz w:val="20"/>
          <w:lang w:val="en-US"/>
        </w:rPr>
        <w:tab/>
      </w:r>
      <w:r w:rsidRPr="003A1ADC">
        <w:rPr>
          <w:rStyle w:val="SCCCounselNameChar"/>
          <w:sz w:val="20"/>
          <w:lang w:val="fr-CA"/>
        </w:rPr>
        <w:t xml:space="preserve">Julie McGregor </w:t>
      </w:r>
      <w:r w:rsidRPr="003A1ADC">
        <w:rPr>
          <w:rStyle w:val="SCCCounselSeparatorChar"/>
          <w:rFonts w:eastAsia="Calibri"/>
          <w:sz w:val="20"/>
        </w:rPr>
        <w:t xml:space="preserve">et </w:t>
      </w:r>
      <w:r w:rsidRPr="003A1ADC">
        <w:rPr>
          <w:rStyle w:val="SCCCounselNameChar"/>
          <w:sz w:val="20"/>
          <w:lang w:val="fr-CA"/>
        </w:rPr>
        <w:t xml:space="preserve">Stuart </w:t>
      </w:r>
      <w:proofErr w:type="spellStart"/>
      <w:r w:rsidRPr="003A1ADC">
        <w:rPr>
          <w:rStyle w:val="SCCCounselNameChar"/>
          <w:sz w:val="20"/>
          <w:lang w:val="fr-CA"/>
        </w:rPr>
        <w:t>Wuttke</w:t>
      </w:r>
      <w:proofErr w:type="spellEnd"/>
      <w:r w:rsidRPr="003A1ADC">
        <w:rPr>
          <w:rStyle w:val="SCCCounselPartyRoleChar"/>
          <w:sz w:val="20"/>
          <w:lang w:val="fr-CA"/>
        </w:rPr>
        <w:t>, pour l’intervenante l’Assemblée des Premières Nations.</w:t>
      </w:r>
    </w:p>
    <w:p w:rsidR="003A1ADC" w:rsidRPr="003A1ADC" w:rsidRDefault="003A1ADC" w:rsidP="003A1ADC">
      <w:pPr>
        <w:pStyle w:val="SCCNormalDoubleSpacing"/>
        <w:spacing w:after="480" w:line="240" w:lineRule="auto"/>
        <w:rPr>
          <w:sz w:val="20"/>
          <w:lang w:val="fr-CA"/>
        </w:rPr>
      </w:pPr>
      <w:r w:rsidRPr="003A1ADC">
        <w:rPr>
          <w:rStyle w:val="SCCCounselNameChar"/>
          <w:sz w:val="20"/>
          <w:lang w:val="fr-CA"/>
        </w:rPr>
        <w:tab/>
        <w:t>John Hurley</w:t>
      </w:r>
      <w:r w:rsidRPr="003A1ADC">
        <w:rPr>
          <w:rStyle w:val="SCCCounselSeparatorChar"/>
          <w:rFonts w:eastAsia="Calibri"/>
          <w:sz w:val="20"/>
        </w:rPr>
        <w:t xml:space="preserve"> et </w:t>
      </w:r>
      <w:r w:rsidRPr="003A1ADC">
        <w:rPr>
          <w:rStyle w:val="SCCCounselNameChar"/>
          <w:sz w:val="20"/>
          <w:lang w:val="fr-CA"/>
        </w:rPr>
        <w:t xml:space="preserve">François </w:t>
      </w:r>
      <w:proofErr w:type="spellStart"/>
      <w:r w:rsidRPr="003A1ADC">
        <w:rPr>
          <w:rStyle w:val="SCCCounselNameChar"/>
          <w:sz w:val="20"/>
          <w:lang w:val="fr-CA"/>
        </w:rPr>
        <w:t>Dandonneau</w:t>
      </w:r>
      <w:proofErr w:type="spellEnd"/>
      <w:r w:rsidRPr="003A1ADC">
        <w:rPr>
          <w:rStyle w:val="SCCCounselPartyRoleChar"/>
          <w:sz w:val="20"/>
          <w:lang w:val="fr-CA"/>
        </w:rPr>
        <w:t>, pour les intervenants le Grand Conseil des Cris (</w:t>
      </w:r>
      <w:proofErr w:type="spellStart"/>
      <w:r w:rsidRPr="003A1ADC">
        <w:rPr>
          <w:rStyle w:val="SCCCounselPartyRoleChar"/>
          <w:sz w:val="20"/>
          <w:lang w:val="fr-CA"/>
        </w:rPr>
        <w:t>Eeyou</w:t>
      </w:r>
      <w:proofErr w:type="spellEnd"/>
      <w:r w:rsidRPr="003A1ADC">
        <w:rPr>
          <w:rStyle w:val="SCCCounselPartyRoleChar"/>
          <w:sz w:val="20"/>
          <w:lang w:val="fr-CA"/>
        </w:rPr>
        <w:t xml:space="preserve"> </w:t>
      </w:r>
      <w:proofErr w:type="spellStart"/>
      <w:r w:rsidRPr="003A1ADC">
        <w:rPr>
          <w:rStyle w:val="SCCCounselPartyRoleChar"/>
          <w:sz w:val="20"/>
          <w:lang w:val="fr-CA"/>
        </w:rPr>
        <w:t>Istchee</w:t>
      </w:r>
      <w:proofErr w:type="spellEnd"/>
      <w:r w:rsidRPr="003A1ADC">
        <w:rPr>
          <w:rStyle w:val="SCCCounselPartyRoleChar"/>
          <w:sz w:val="20"/>
          <w:lang w:val="fr-CA"/>
        </w:rPr>
        <w:t>) et le Gouvernement de la nation crie.</w:t>
      </w:r>
    </w:p>
    <w:p w:rsidR="003A1ADC" w:rsidRPr="003A1ADC" w:rsidRDefault="003A1ADC" w:rsidP="003A1ADC">
      <w:pPr>
        <w:pStyle w:val="SCCNormalDoubleSpacing"/>
        <w:spacing w:after="480" w:line="240" w:lineRule="auto"/>
        <w:rPr>
          <w:sz w:val="20"/>
          <w:lang w:val="fr-CA"/>
        </w:rPr>
      </w:pPr>
      <w:r w:rsidRPr="003A1ADC">
        <w:rPr>
          <w:rStyle w:val="SCCCounselNameChar"/>
          <w:sz w:val="20"/>
          <w:lang w:val="fr-CA"/>
        </w:rPr>
        <w:tab/>
        <w:t>Jason T. Madden</w:t>
      </w:r>
      <w:r w:rsidRPr="003A1ADC">
        <w:rPr>
          <w:rStyle w:val="SCCCounselSeparatorChar"/>
          <w:rFonts w:eastAsia="Calibri"/>
          <w:sz w:val="20"/>
        </w:rPr>
        <w:t xml:space="preserve">, </w:t>
      </w:r>
      <w:r w:rsidRPr="003A1ADC">
        <w:rPr>
          <w:rStyle w:val="SCCCounselNameChar"/>
          <w:sz w:val="20"/>
          <w:lang w:val="fr-CA"/>
        </w:rPr>
        <w:t xml:space="preserve">Alexandria </w:t>
      </w:r>
      <w:proofErr w:type="spellStart"/>
      <w:r w:rsidRPr="003A1ADC">
        <w:rPr>
          <w:rStyle w:val="SCCCounselNameChar"/>
          <w:sz w:val="20"/>
          <w:lang w:val="fr-CA"/>
        </w:rPr>
        <w:t>Winterburn</w:t>
      </w:r>
      <w:proofErr w:type="spellEnd"/>
      <w:r w:rsidRPr="003A1ADC">
        <w:rPr>
          <w:rStyle w:val="SCCCounselSeparatorChar"/>
          <w:rFonts w:eastAsia="Calibri"/>
          <w:sz w:val="20"/>
        </w:rPr>
        <w:t xml:space="preserve"> et </w:t>
      </w:r>
      <w:r w:rsidRPr="003A1ADC">
        <w:rPr>
          <w:rStyle w:val="SCCCounselNameChar"/>
          <w:sz w:val="20"/>
          <w:lang w:val="fr-CA"/>
        </w:rPr>
        <w:t>Megan Strachan</w:t>
      </w:r>
      <w:r w:rsidRPr="003A1ADC">
        <w:rPr>
          <w:rStyle w:val="SCCCounselPartyRoleChar"/>
          <w:sz w:val="20"/>
          <w:lang w:val="fr-CA"/>
        </w:rPr>
        <w:t>, pour l’intervenante la Fédération métisse du Manitoba.</w:t>
      </w:r>
    </w:p>
    <w:p w:rsidR="003A1ADC" w:rsidRPr="003A1ADC" w:rsidRDefault="003A1ADC" w:rsidP="003A1ADC">
      <w:pPr>
        <w:pStyle w:val="SCCNormalDoubleSpacing"/>
        <w:spacing w:after="480" w:line="240" w:lineRule="auto"/>
        <w:rPr>
          <w:sz w:val="20"/>
          <w:lang w:val="en-US"/>
        </w:rPr>
      </w:pPr>
      <w:r w:rsidRPr="003A1ADC">
        <w:rPr>
          <w:rStyle w:val="SCCCounselNameChar"/>
          <w:sz w:val="20"/>
          <w:lang w:val="fr-CA"/>
        </w:rPr>
        <w:tab/>
      </w:r>
      <w:r w:rsidRPr="003A1ADC">
        <w:rPr>
          <w:rStyle w:val="SCCCounselNameChar"/>
          <w:sz w:val="20"/>
          <w:lang w:val="en-US"/>
        </w:rPr>
        <w:t xml:space="preserve">Brandon </w:t>
      </w:r>
      <w:proofErr w:type="spellStart"/>
      <w:r w:rsidRPr="003A1ADC">
        <w:rPr>
          <w:rStyle w:val="SCCCounselNameChar"/>
          <w:sz w:val="20"/>
          <w:lang w:val="en-US"/>
        </w:rPr>
        <w:t>Kain</w:t>
      </w:r>
      <w:proofErr w:type="spellEnd"/>
      <w:r w:rsidRPr="003A1ADC">
        <w:rPr>
          <w:rStyle w:val="SCCCounselSeparatorChar"/>
          <w:rFonts w:eastAsia="Calibri"/>
          <w:sz w:val="20"/>
          <w:lang w:val="en-US"/>
        </w:rPr>
        <w:t xml:space="preserve">, </w:t>
      </w:r>
      <w:r w:rsidRPr="003A1ADC">
        <w:rPr>
          <w:rStyle w:val="SCCCounselNameChar"/>
          <w:sz w:val="20"/>
          <w:lang w:val="en-US"/>
        </w:rPr>
        <w:t>Bryn Gray</w:t>
      </w:r>
      <w:r w:rsidRPr="003A1ADC">
        <w:rPr>
          <w:rStyle w:val="SCCCounselSeparatorChar"/>
          <w:rFonts w:eastAsia="Calibri"/>
          <w:sz w:val="20"/>
          <w:lang w:val="en-US"/>
        </w:rPr>
        <w:t xml:space="preserve"> </w:t>
      </w:r>
      <w:proofErr w:type="gramStart"/>
      <w:r w:rsidRPr="003A1ADC">
        <w:rPr>
          <w:rStyle w:val="SCCCounselSeparatorChar"/>
          <w:rFonts w:eastAsia="Calibri"/>
          <w:sz w:val="20"/>
          <w:lang w:val="en-US"/>
        </w:rPr>
        <w:t>et</w:t>
      </w:r>
      <w:proofErr w:type="gramEnd"/>
      <w:r w:rsidRPr="003A1ADC">
        <w:rPr>
          <w:rStyle w:val="SCCCounselSeparatorChar"/>
          <w:rFonts w:eastAsia="Calibri"/>
          <w:sz w:val="20"/>
          <w:lang w:val="en-US"/>
        </w:rPr>
        <w:t xml:space="preserve"> </w:t>
      </w:r>
      <w:r w:rsidRPr="003A1ADC">
        <w:rPr>
          <w:rStyle w:val="SCCCounselNameChar"/>
          <w:sz w:val="20"/>
          <w:lang w:val="en-US"/>
        </w:rPr>
        <w:t>Asher Honickman</w:t>
      </w:r>
      <w:r w:rsidRPr="003A1ADC">
        <w:rPr>
          <w:rStyle w:val="SCCCounselPartyRoleChar"/>
          <w:sz w:val="20"/>
          <w:lang w:val="en-US"/>
        </w:rPr>
        <w:t xml:space="preserve">, pour </w:t>
      </w:r>
      <w:proofErr w:type="spellStart"/>
      <w:r w:rsidRPr="003A1ADC">
        <w:rPr>
          <w:rStyle w:val="SCCCounselPartyRoleChar"/>
          <w:sz w:val="20"/>
          <w:lang w:val="en-US"/>
        </w:rPr>
        <w:t>l’intervenant</w:t>
      </w:r>
      <w:proofErr w:type="spellEnd"/>
      <w:r w:rsidRPr="003A1ADC">
        <w:rPr>
          <w:rStyle w:val="SCCCounselPartyRoleChar"/>
          <w:sz w:val="20"/>
          <w:lang w:val="en-US"/>
        </w:rPr>
        <w:t xml:space="preserve"> Advocates for the Rule of Law.</w:t>
      </w:r>
    </w:p>
    <w:p w:rsidR="003A1ADC" w:rsidRPr="003A1ADC" w:rsidRDefault="003A1ADC" w:rsidP="003A1ADC">
      <w:pPr>
        <w:pStyle w:val="SCCNormalDoubleSpacing"/>
        <w:spacing w:after="480" w:line="240" w:lineRule="auto"/>
        <w:rPr>
          <w:sz w:val="20"/>
          <w:lang w:val="en-US"/>
        </w:rPr>
      </w:pPr>
      <w:r w:rsidRPr="003A1ADC">
        <w:rPr>
          <w:rStyle w:val="SCCCounselNameChar"/>
          <w:sz w:val="20"/>
          <w:lang w:val="en-US"/>
        </w:rPr>
        <w:tab/>
        <w:t>Victor Carter</w:t>
      </w:r>
      <w:r w:rsidRPr="003A1ADC">
        <w:rPr>
          <w:rStyle w:val="SCCCounselSeparatorChar"/>
          <w:rFonts w:eastAsia="Calibri"/>
          <w:sz w:val="20"/>
          <w:lang w:val="en-US"/>
        </w:rPr>
        <w:t xml:space="preserve">, </w:t>
      </w:r>
      <w:r w:rsidRPr="003A1ADC">
        <w:rPr>
          <w:rStyle w:val="SCCCounselNameChar"/>
          <w:sz w:val="20"/>
          <w:lang w:val="en-US"/>
        </w:rPr>
        <w:t xml:space="preserve">Allison </w:t>
      </w:r>
      <w:proofErr w:type="spellStart"/>
      <w:r w:rsidRPr="003A1ADC">
        <w:rPr>
          <w:rStyle w:val="SCCCounselNameChar"/>
          <w:sz w:val="20"/>
          <w:lang w:val="en-US"/>
        </w:rPr>
        <w:t>Lachance</w:t>
      </w:r>
      <w:proofErr w:type="spellEnd"/>
      <w:r w:rsidRPr="003A1ADC">
        <w:rPr>
          <w:rStyle w:val="SCCCounselSeparatorChar"/>
          <w:rFonts w:eastAsia="Calibri"/>
          <w:sz w:val="20"/>
          <w:lang w:val="en-US"/>
        </w:rPr>
        <w:t xml:space="preserve"> </w:t>
      </w:r>
      <w:proofErr w:type="gramStart"/>
      <w:r w:rsidRPr="003A1ADC">
        <w:rPr>
          <w:rStyle w:val="SCCCounselSeparatorChar"/>
          <w:rFonts w:eastAsia="Calibri"/>
          <w:sz w:val="20"/>
          <w:lang w:val="en-US"/>
        </w:rPr>
        <w:t>et</w:t>
      </w:r>
      <w:proofErr w:type="gramEnd"/>
      <w:r w:rsidRPr="003A1ADC">
        <w:rPr>
          <w:rStyle w:val="SCCCounselSeparatorChar"/>
          <w:rFonts w:eastAsia="Calibri"/>
          <w:sz w:val="20"/>
          <w:lang w:val="en-US"/>
        </w:rPr>
        <w:t xml:space="preserve"> </w:t>
      </w:r>
      <w:r w:rsidRPr="003A1ADC">
        <w:rPr>
          <w:rStyle w:val="SCCCounselNameChar"/>
          <w:sz w:val="20"/>
          <w:lang w:val="en-US"/>
        </w:rPr>
        <w:t xml:space="preserve">Darryl </w:t>
      </w:r>
      <w:proofErr w:type="spellStart"/>
      <w:r w:rsidRPr="003A1ADC">
        <w:rPr>
          <w:rStyle w:val="SCCCounselNameChar"/>
          <w:sz w:val="20"/>
          <w:lang w:val="en-US"/>
        </w:rPr>
        <w:t>Korell</w:t>
      </w:r>
      <w:proofErr w:type="spellEnd"/>
      <w:r w:rsidRPr="003A1ADC">
        <w:rPr>
          <w:rStyle w:val="SCCCounselPartyRoleChar"/>
          <w:sz w:val="20"/>
          <w:lang w:val="en-US"/>
        </w:rPr>
        <w:t xml:space="preserve">, pour </w:t>
      </w:r>
      <w:proofErr w:type="spellStart"/>
      <w:r w:rsidRPr="003A1ADC">
        <w:rPr>
          <w:rStyle w:val="SCCCounselPartyRoleChar"/>
          <w:sz w:val="20"/>
          <w:lang w:val="en-US"/>
        </w:rPr>
        <w:t>l’intervenante</w:t>
      </w:r>
      <w:proofErr w:type="spellEnd"/>
      <w:r w:rsidRPr="003A1ADC">
        <w:rPr>
          <w:rStyle w:val="SCCCounselPartyRoleChar"/>
          <w:sz w:val="20"/>
          <w:lang w:val="en-US"/>
        </w:rPr>
        <w:t xml:space="preserve"> Federation of Sovereign Indigenous Nations.</w:t>
      </w:r>
    </w:p>
    <w:p w:rsidR="003A1ADC" w:rsidRPr="003A1ADC" w:rsidRDefault="003A1ADC" w:rsidP="003A1ADC">
      <w:pPr>
        <w:pStyle w:val="SCCNormalDoubleSpacing"/>
        <w:spacing w:before="480" w:after="480" w:line="240" w:lineRule="auto"/>
        <w:rPr>
          <w:sz w:val="20"/>
          <w:lang w:val="en-US"/>
        </w:rPr>
      </w:pPr>
      <w:r w:rsidRPr="003A1ADC">
        <w:rPr>
          <w:rStyle w:val="SCCCounselNameChar"/>
          <w:sz w:val="20"/>
          <w:lang w:val="en-US"/>
        </w:rPr>
        <w:tab/>
        <w:t xml:space="preserve">Karenna Williams </w:t>
      </w:r>
      <w:proofErr w:type="gramStart"/>
      <w:r w:rsidRPr="003A1ADC">
        <w:rPr>
          <w:rStyle w:val="SCCCounselSeparatorChar"/>
          <w:rFonts w:eastAsia="Calibri"/>
          <w:sz w:val="20"/>
          <w:lang w:val="en-US"/>
        </w:rPr>
        <w:t>et</w:t>
      </w:r>
      <w:proofErr w:type="gramEnd"/>
      <w:r w:rsidRPr="003A1ADC">
        <w:rPr>
          <w:rStyle w:val="SCCCounselNameChar"/>
          <w:sz w:val="20"/>
          <w:lang w:val="en-US"/>
        </w:rPr>
        <w:t xml:space="preserve"> Jeff Huberman</w:t>
      </w:r>
      <w:r w:rsidRPr="003A1ADC">
        <w:rPr>
          <w:rStyle w:val="SCCCounselPartyRoleChar"/>
          <w:sz w:val="20"/>
          <w:lang w:val="en-US"/>
        </w:rPr>
        <w:t xml:space="preserve">, pour </w:t>
      </w:r>
      <w:proofErr w:type="spellStart"/>
      <w:r w:rsidRPr="003A1ADC">
        <w:rPr>
          <w:rStyle w:val="SCCCounselPartyRoleChar"/>
          <w:sz w:val="20"/>
          <w:lang w:val="en-US"/>
        </w:rPr>
        <w:t>l’intervenant</w:t>
      </w:r>
      <w:proofErr w:type="spellEnd"/>
      <w:r w:rsidRPr="003A1ADC">
        <w:rPr>
          <w:rStyle w:val="SCCCounselPartyRoleChar"/>
          <w:sz w:val="20"/>
          <w:lang w:val="en-US"/>
        </w:rPr>
        <w:t xml:space="preserve"> </w:t>
      </w:r>
      <w:proofErr w:type="spellStart"/>
      <w:r w:rsidRPr="003A1ADC">
        <w:rPr>
          <w:rStyle w:val="SCCCounselPartyRoleChar"/>
          <w:sz w:val="20"/>
          <w:lang w:val="en-US"/>
        </w:rPr>
        <w:t>Gitanyow</w:t>
      </w:r>
      <w:proofErr w:type="spellEnd"/>
      <w:r w:rsidRPr="003A1ADC">
        <w:rPr>
          <w:rStyle w:val="SCCCounselPartyRoleChar"/>
          <w:sz w:val="20"/>
          <w:lang w:val="en-US"/>
        </w:rPr>
        <w:t xml:space="preserve"> Hereditary Chiefs.</w:t>
      </w:r>
    </w:p>
    <w:p w:rsidR="003A1ADC" w:rsidRPr="003A1ADC" w:rsidRDefault="003A1ADC" w:rsidP="003A1ADC">
      <w:pPr>
        <w:pStyle w:val="SCCNormalDoubleSpacing"/>
        <w:tabs>
          <w:tab w:val="left" w:pos="5376"/>
        </w:tabs>
        <w:spacing w:after="480" w:line="240" w:lineRule="auto"/>
        <w:rPr>
          <w:sz w:val="20"/>
          <w:lang w:val="fr-CA"/>
        </w:rPr>
      </w:pPr>
      <w:r w:rsidRPr="003A1ADC">
        <w:rPr>
          <w:i/>
          <w:sz w:val="20"/>
          <w:lang w:val="fr-CA"/>
        </w:rPr>
        <w:t>Pourvoi rejeté.</w:t>
      </w:r>
    </w:p>
    <w:p w:rsidR="003A1ADC" w:rsidRPr="003A1ADC" w:rsidRDefault="003A1ADC" w:rsidP="003A1ADC">
      <w:pPr>
        <w:pStyle w:val="SCCLawFirm"/>
        <w:spacing w:after="480" w:line="240" w:lineRule="auto"/>
        <w:rPr>
          <w:sz w:val="20"/>
          <w:lang w:val="fr-CA"/>
        </w:rPr>
      </w:pPr>
      <w:r w:rsidRPr="003A1ADC">
        <w:rPr>
          <w:sz w:val="20"/>
          <w:lang w:val="fr-CA"/>
        </w:rPr>
        <w:tab/>
        <w:t>Procureurs de l’appelant : JFK Law Corporation, Victoria et Vancouver.</w:t>
      </w:r>
    </w:p>
    <w:p w:rsidR="003A1ADC" w:rsidRPr="003A1ADC" w:rsidRDefault="003A1ADC" w:rsidP="003A1ADC">
      <w:pPr>
        <w:pStyle w:val="SCCLawFirm"/>
        <w:spacing w:after="480" w:line="240" w:lineRule="auto"/>
        <w:rPr>
          <w:sz w:val="20"/>
          <w:lang w:val="fr-CA"/>
        </w:rPr>
      </w:pPr>
      <w:r w:rsidRPr="003A1ADC">
        <w:rPr>
          <w:sz w:val="20"/>
          <w:lang w:val="fr-CA"/>
        </w:rPr>
        <w:tab/>
        <w:t>Procureur des intimés : Procureur général du Canada, Ottawa.</w:t>
      </w:r>
    </w:p>
    <w:p w:rsidR="003A1ADC" w:rsidRPr="003A1ADC" w:rsidRDefault="003A1ADC" w:rsidP="003A1ADC">
      <w:pPr>
        <w:pStyle w:val="SCCLawFirm"/>
        <w:spacing w:after="480" w:line="240" w:lineRule="auto"/>
        <w:rPr>
          <w:sz w:val="20"/>
          <w:lang w:val="fr-CA"/>
        </w:rPr>
      </w:pPr>
      <w:r w:rsidRPr="003A1ADC">
        <w:rPr>
          <w:sz w:val="20"/>
          <w:lang w:val="fr-CA"/>
        </w:rPr>
        <w:tab/>
        <w:t>Procureur de l’intervenante la procureure générale du Québec : Procureure générale du Québec, Québec.</w:t>
      </w:r>
    </w:p>
    <w:p w:rsidR="003A1ADC" w:rsidRPr="003A1ADC" w:rsidRDefault="003A1ADC" w:rsidP="003A1ADC">
      <w:pPr>
        <w:pStyle w:val="SCCLawFirm"/>
        <w:spacing w:after="480" w:line="240" w:lineRule="auto"/>
        <w:rPr>
          <w:sz w:val="20"/>
          <w:lang w:val="fr-CA"/>
        </w:rPr>
      </w:pPr>
      <w:r w:rsidRPr="003A1ADC">
        <w:rPr>
          <w:sz w:val="20"/>
          <w:lang w:val="fr-CA"/>
        </w:rPr>
        <w:lastRenderedPageBreak/>
        <w:tab/>
        <w:t>Procureur de l’intervenant le procureur général du Nouveau</w:t>
      </w:r>
      <w:r w:rsidRPr="003A1ADC">
        <w:rPr>
          <w:sz w:val="20"/>
          <w:lang w:val="fr-CA"/>
        </w:rPr>
        <w:noBreakHyphen/>
        <w:t>Brunswick : Procureur général du Nouveau</w:t>
      </w:r>
      <w:r w:rsidRPr="003A1ADC">
        <w:rPr>
          <w:sz w:val="20"/>
          <w:lang w:val="fr-CA"/>
        </w:rPr>
        <w:noBreakHyphen/>
        <w:t>Brunswick, Fredericton.</w:t>
      </w:r>
    </w:p>
    <w:p w:rsidR="003A1ADC" w:rsidRPr="003A1ADC" w:rsidRDefault="003A1ADC" w:rsidP="003A1ADC">
      <w:pPr>
        <w:pStyle w:val="SCCLawFirm"/>
        <w:spacing w:after="480" w:line="240" w:lineRule="auto"/>
        <w:rPr>
          <w:sz w:val="20"/>
          <w:lang w:val="fr-CA"/>
        </w:rPr>
      </w:pPr>
      <w:r w:rsidRPr="003A1ADC">
        <w:rPr>
          <w:sz w:val="20"/>
          <w:lang w:val="fr-CA"/>
        </w:rPr>
        <w:tab/>
        <w:t>Procureur de l’intervenant le procureur général de la Colombie</w:t>
      </w:r>
      <w:r w:rsidRPr="003A1ADC">
        <w:rPr>
          <w:sz w:val="20"/>
          <w:lang w:val="fr-CA"/>
        </w:rPr>
        <w:noBreakHyphen/>
        <w:t>Britannique : Procureur général de la Colombie</w:t>
      </w:r>
      <w:r w:rsidRPr="003A1ADC">
        <w:rPr>
          <w:sz w:val="20"/>
          <w:lang w:val="fr-CA"/>
        </w:rPr>
        <w:noBreakHyphen/>
        <w:t>Britannique, Victoria.</w:t>
      </w:r>
    </w:p>
    <w:p w:rsidR="003A1ADC" w:rsidRPr="003A1ADC" w:rsidRDefault="003A1ADC" w:rsidP="003A1ADC">
      <w:pPr>
        <w:pStyle w:val="SCCLawFirm"/>
        <w:spacing w:after="480" w:line="240" w:lineRule="auto"/>
        <w:rPr>
          <w:sz w:val="20"/>
          <w:lang w:val="fr-CA"/>
        </w:rPr>
      </w:pPr>
      <w:r w:rsidRPr="003A1ADC">
        <w:rPr>
          <w:sz w:val="20"/>
          <w:lang w:val="fr-CA"/>
        </w:rPr>
        <w:tab/>
        <w:t>Procureur de l’intervenant le procureur général de la Saskatchewan : Procureur général de la Saskatchewan, Regina.</w:t>
      </w:r>
    </w:p>
    <w:p w:rsidR="003A1ADC" w:rsidRPr="003A1ADC" w:rsidRDefault="003A1ADC" w:rsidP="003A1ADC">
      <w:pPr>
        <w:pStyle w:val="SCCLawFirm"/>
        <w:spacing w:after="480" w:line="240" w:lineRule="auto"/>
        <w:rPr>
          <w:sz w:val="20"/>
          <w:lang w:val="fr-CA"/>
        </w:rPr>
      </w:pPr>
      <w:r w:rsidRPr="003A1ADC">
        <w:rPr>
          <w:sz w:val="20"/>
          <w:lang w:val="fr-CA"/>
        </w:rPr>
        <w:tab/>
        <w:t>Procureur de l’intervenant le procureur général de l’Alberta : Procureur général de l’Alberta, Edmonton.</w:t>
      </w:r>
    </w:p>
    <w:p w:rsidR="003A1ADC" w:rsidRPr="003A1ADC" w:rsidRDefault="003A1ADC" w:rsidP="003A1ADC">
      <w:pPr>
        <w:pStyle w:val="SCCLawFirm"/>
        <w:spacing w:after="480" w:line="240" w:lineRule="auto"/>
        <w:rPr>
          <w:sz w:val="20"/>
          <w:lang w:val="en-US"/>
        </w:rPr>
      </w:pPr>
      <w:r w:rsidRPr="003A1ADC">
        <w:rPr>
          <w:sz w:val="20"/>
          <w:lang w:val="fr-CA"/>
        </w:rPr>
        <w:tab/>
      </w:r>
      <w:proofErr w:type="spellStart"/>
      <w:r w:rsidRPr="003A1ADC">
        <w:rPr>
          <w:sz w:val="20"/>
          <w:lang w:val="en-US"/>
        </w:rPr>
        <w:t>Procureurs</w:t>
      </w:r>
      <w:proofErr w:type="spellEnd"/>
      <w:r w:rsidRPr="003A1ADC">
        <w:rPr>
          <w:sz w:val="20"/>
          <w:lang w:val="en-US"/>
        </w:rPr>
        <w:t xml:space="preserve"> des </w:t>
      </w:r>
      <w:proofErr w:type="spellStart"/>
      <w:r w:rsidRPr="003A1ADC">
        <w:rPr>
          <w:sz w:val="20"/>
          <w:lang w:val="en-US"/>
        </w:rPr>
        <w:t>intervenants</w:t>
      </w:r>
      <w:proofErr w:type="spellEnd"/>
      <w:r w:rsidRPr="003A1ADC">
        <w:rPr>
          <w:sz w:val="20"/>
          <w:lang w:val="en-US"/>
        </w:rPr>
        <w:t xml:space="preserve"> Champagne and </w:t>
      </w:r>
      <w:proofErr w:type="spellStart"/>
      <w:r w:rsidRPr="003A1ADC">
        <w:rPr>
          <w:sz w:val="20"/>
          <w:lang w:val="en-US"/>
        </w:rPr>
        <w:t>Aishihik</w:t>
      </w:r>
      <w:proofErr w:type="spellEnd"/>
      <w:r w:rsidRPr="003A1ADC">
        <w:rPr>
          <w:sz w:val="20"/>
          <w:lang w:val="en-US"/>
        </w:rPr>
        <w:t xml:space="preserve"> First Nations, </w:t>
      </w:r>
      <w:proofErr w:type="spellStart"/>
      <w:r w:rsidRPr="003A1ADC">
        <w:rPr>
          <w:sz w:val="20"/>
          <w:lang w:val="en-US"/>
        </w:rPr>
        <w:t>Kwanlin</w:t>
      </w:r>
      <w:proofErr w:type="spellEnd"/>
      <w:r w:rsidRPr="003A1ADC">
        <w:rPr>
          <w:sz w:val="20"/>
          <w:lang w:val="en-US"/>
        </w:rPr>
        <w:t xml:space="preserve"> </w:t>
      </w:r>
      <w:proofErr w:type="spellStart"/>
      <w:r w:rsidRPr="003A1ADC">
        <w:rPr>
          <w:sz w:val="20"/>
          <w:lang w:val="en-US"/>
        </w:rPr>
        <w:t>Dün</w:t>
      </w:r>
      <w:proofErr w:type="spellEnd"/>
      <w:r w:rsidRPr="003A1ADC">
        <w:rPr>
          <w:sz w:val="20"/>
          <w:lang w:val="en-US"/>
        </w:rPr>
        <w:t xml:space="preserve"> First Nation, Little Salmon </w:t>
      </w:r>
      <w:proofErr w:type="spellStart"/>
      <w:r w:rsidRPr="003A1ADC">
        <w:rPr>
          <w:sz w:val="20"/>
          <w:lang w:val="en-US"/>
        </w:rPr>
        <w:t>Carmacks</w:t>
      </w:r>
      <w:proofErr w:type="spellEnd"/>
      <w:r w:rsidRPr="003A1ADC">
        <w:rPr>
          <w:sz w:val="20"/>
          <w:lang w:val="en-US"/>
        </w:rPr>
        <w:t xml:space="preserve"> First Nation, First Nation of Na</w:t>
      </w:r>
      <w:r w:rsidRPr="003A1ADC">
        <w:rPr>
          <w:sz w:val="20"/>
          <w:lang w:val="en-US"/>
        </w:rPr>
        <w:noBreakHyphen/>
        <w:t xml:space="preserve">Cho </w:t>
      </w:r>
      <w:proofErr w:type="spellStart"/>
      <w:r w:rsidRPr="003A1ADC">
        <w:rPr>
          <w:sz w:val="20"/>
          <w:lang w:val="en-US"/>
        </w:rPr>
        <w:t>Nyak</w:t>
      </w:r>
      <w:proofErr w:type="spellEnd"/>
      <w:r w:rsidRPr="003A1ADC">
        <w:rPr>
          <w:sz w:val="20"/>
          <w:lang w:val="en-US"/>
        </w:rPr>
        <w:t xml:space="preserve"> Dun, Teslin Tlingit Council, First Nations of the </w:t>
      </w:r>
      <w:proofErr w:type="spellStart"/>
      <w:r w:rsidRPr="003A1ADC">
        <w:rPr>
          <w:sz w:val="20"/>
          <w:lang w:val="en-US"/>
        </w:rPr>
        <w:t>Maa</w:t>
      </w:r>
      <w:r w:rsidRPr="003A1ADC">
        <w:rPr>
          <w:sz w:val="20"/>
          <w:lang w:val="en-US"/>
        </w:rPr>
        <w:noBreakHyphen/>
        <w:t>nulth</w:t>
      </w:r>
      <w:proofErr w:type="spellEnd"/>
      <w:r w:rsidRPr="003A1ADC">
        <w:rPr>
          <w:sz w:val="20"/>
          <w:lang w:val="en-US"/>
        </w:rPr>
        <w:t xml:space="preserve"> Treaty Society : Ratcliff &amp; Company, North Vancouver.</w:t>
      </w:r>
    </w:p>
    <w:p w:rsidR="003A1ADC" w:rsidRPr="003A1ADC" w:rsidRDefault="003A1ADC" w:rsidP="003A1ADC">
      <w:pPr>
        <w:pStyle w:val="SCCLawFirm"/>
        <w:spacing w:after="480" w:line="240" w:lineRule="auto"/>
        <w:rPr>
          <w:sz w:val="20"/>
          <w:lang w:val="fr-CA"/>
        </w:rPr>
      </w:pPr>
      <w:r w:rsidRPr="003A1ADC">
        <w:rPr>
          <w:sz w:val="20"/>
          <w:lang w:val="en-US"/>
        </w:rPr>
        <w:tab/>
      </w:r>
      <w:r w:rsidRPr="003A1ADC">
        <w:rPr>
          <w:sz w:val="20"/>
          <w:lang w:val="fr-CA"/>
        </w:rPr>
        <w:t>Procureur de l’intervenante l’Assemblée des Premières Nations : Assemblée des Premières Nations, Ottawa.</w:t>
      </w:r>
    </w:p>
    <w:p w:rsidR="003A1ADC" w:rsidRPr="003A1ADC" w:rsidRDefault="003A1ADC" w:rsidP="003A1ADC">
      <w:pPr>
        <w:pStyle w:val="SCCLawFirm"/>
        <w:spacing w:after="480" w:line="240" w:lineRule="auto"/>
        <w:rPr>
          <w:sz w:val="20"/>
          <w:lang w:val="fr-CA"/>
        </w:rPr>
      </w:pPr>
      <w:r w:rsidRPr="003A1ADC">
        <w:rPr>
          <w:sz w:val="20"/>
          <w:lang w:val="fr-CA"/>
        </w:rPr>
        <w:tab/>
        <w:t>Procureurs des intervenants le Grand Conseil des Cris (</w:t>
      </w:r>
      <w:proofErr w:type="spellStart"/>
      <w:r w:rsidRPr="003A1ADC">
        <w:rPr>
          <w:sz w:val="20"/>
          <w:lang w:val="fr-CA"/>
        </w:rPr>
        <w:t>Eeyou</w:t>
      </w:r>
      <w:proofErr w:type="spellEnd"/>
      <w:r w:rsidRPr="003A1ADC">
        <w:rPr>
          <w:sz w:val="20"/>
          <w:lang w:val="fr-CA"/>
        </w:rPr>
        <w:t xml:space="preserve"> </w:t>
      </w:r>
      <w:proofErr w:type="spellStart"/>
      <w:r w:rsidRPr="003A1ADC">
        <w:rPr>
          <w:sz w:val="20"/>
          <w:lang w:val="fr-CA"/>
        </w:rPr>
        <w:t>Istchee</w:t>
      </w:r>
      <w:proofErr w:type="spellEnd"/>
      <w:r w:rsidRPr="003A1ADC">
        <w:rPr>
          <w:sz w:val="20"/>
          <w:lang w:val="fr-CA"/>
        </w:rPr>
        <w:t>) et le Gouvernement de la nation crie : </w:t>
      </w:r>
      <w:proofErr w:type="spellStart"/>
      <w:r w:rsidRPr="003A1ADC">
        <w:rPr>
          <w:sz w:val="20"/>
          <w:lang w:val="fr-CA"/>
        </w:rPr>
        <w:t>Gowling</w:t>
      </w:r>
      <w:proofErr w:type="spellEnd"/>
      <w:r w:rsidRPr="003A1ADC">
        <w:rPr>
          <w:sz w:val="20"/>
          <w:lang w:val="fr-CA"/>
        </w:rPr>
        <w:t xml:space="preserve"> WLG (Canada), Montréal.</w:t>
      </w:r>
    </w:p>
    <w:p w:rsidR="003A1ADC" w:rsidRPr="003A1ADC" w:rsidRDefault="003A1ADC" w:rsidP="003A1ADC">
      <w:pPr>
        <w:pStyle w:val="SCCLawFirm"/>
        <w:spacing w:after="480" w:line="240" w:lineRule="auto"/>
        <w:rPr>
          <w:sz w:val="20"/>
          <w:lang w:val="fr-CA"/>
        </w:rPr>
      </w:pPr>
      <w:r w:rsidRPr="003A1ADC">
        <w:rPr>
          <w:sz w:val="20"/>
          <w:lang w:val="fr-CA"/>
        </w:rPr>
        <w:tab/>
        <w:t xml:space="preserve">Procureurs de l’intervenante la Fédération métisse du Manitoba : Pape Salter </w:t>
      </w:r>
      <w:proofErr w:type="spellStart"/>
      <w:r w:rsidRPr="003A1ADC">
        <w:rPr>
          <w:sz w:val="20"/>
          <w:lang w:val="fr-CA"/>
        </w:rPr>
        <w:t>Teillet</w:t>
      </w:r>
      <w:proofErr w:type="spellEnd"/>
      <w:r w:rsidRPr="003A1ADC">
        <w:rPr>
          <w:sz w:val="20"/>
          <w:lang w:val="fr-CA"/>
        </w:rPr>
        <w:t>, Toronto.</w:t>
      </w:r>
    </w:p>
    <w:p w:rsidR="003A1ADC" w:rsidRPr="003A1ADC" w:rsidRDefault="003A1ADC" w:rsidP="003A1ADC">
      <w:pPr>
        <w:pStyle w:val="SCCLawFirm"/>
        <w:spacing w:after="480" w:line="240" w:lineRule="auto"/>
        <w:rPr>
          <w:sz w:val="20"/>
          <w:lang w:val="en-US"/>
        </w:rPr>
      </w:pPr>
      <w:r w:rsidRPr="003A1ADC">
        <w:rPr>
          <w:sz w:val="20"/>
          <w:lang w:val="fr-CA"/>
        </w:rPr>
        <w:tab/>
      </w:r>
      <w:proofErr w:type="spellStart"/>
      <w:r w:rsidRPr="003A1ADC">
        <w:rPr>
          <w:sz w:val="20"/>
          <w:lang w:val="en-US"/>
        </w:rPr>
        <w:t>Procureurs</w:t>
      </w:r>
      <w:proofErr w:type="spellEnd"/>
      <w:r w:rsidRPr="003A1ADC">
        <w:rPr>
          <w:sz w:val="20"/>
          <w:lang w:val="en-US"/>
        </w:rPr>
        <w:t xml:space="preserve"> de </w:t>
      </w:r>
      <w:proofErr w:type="spellStart"/>
      <w:r w:rsidRPr="003A1ADC">
        <w:rPr>
          <w:sz w:val="20"/>
          <w:lang w:val="en-US"/>
        </w:rPr>
        <w:t>l’intervenant</w:t>
      </w:r>
      <w:proofErr w:type="spellEnd"/>
      <w:r w:rsidRPr="003A1ADC">
        <w:rPr>
          <w:sz w:val="20"/>
          <w:lang w:val="en-US"/>
        </w:rPr>
        <w:t xml:space="preserve"> Advocates for the Rule of </w:t>
      </w:r>
      <w:proofErr w:type="gramStart"/>
      <w:r w:rsidRPr="003A1ADC">
        <w:rPr>
          <w:sz w:val="20"/>
          <w:lang w:val="en-US"/>
        </w:rPr>
        <w:t>Law :</w:t>
      </w:r>
      <w:proofErr w:type="gramEnd"/>
      <w:r w:rsidRPr="003A1ADC">
        <w:rPr>
          <w:sz w:val="20"/>
          <w:lang w:val="en-US"/>
        </w:rPr>
        <w:t xml:space="preserve"> McCarthy </w:t>
      </w:r>
      <w:proofErr w:type="spellStart"/>
      <w:r w:rsidRPr="003A1ADC">
        <w:rPr>
          <w:sz w:val="20"/>
          <w:lang w:val="en-US"/>
        </w:rPr>
        <w:t>Tétrault</w:t>
      </w:r>
      <w:proofErr w:type="spellEnd"/>
      <w:r w:rsidRPr="003A1ADC">
        <w:rPr>
          <w:sz w:val="20"/>
          <w:lang w:val="en-US"/>
        </w:rPr>
        <w:t>, Toronto.</w:t>
      </w:r>
    </w:p>
    <w:p w:rsidR="003A1ADC" w:rsidRPr="003A1ADC" w:rsidRDefault="003A1ADC" w:rsidP="003A1ADC">
      <w:pPr>
        <w:pStyle w:val="SCCLawFirm"/>
        <w:spacing w:after="480" w:line="240" w:lineRule="auto"/>
        <w:rPr>
          <w:sz w:val="20"/>
          <w:lang w:val="en-US"/>
        </w:rPr>
      </w:pPr>
      <w:r w:rsidRPr="003A1ADC">
        <w:rPr>
          <w:sz w:val="20"/>
          <w:lang w:val="en-US"/>
        </w:rPr>
        <w:tab/>
      </w:r>
      <w:proofErr w:type="spellStart"/>
      <w:r w:rsidRPr="003A1ADC">
        <w:rPr>
          <w:sz w:val="20"/>
          <w:lang w:val="en-US"/>
        </w:rPr>
        <w:t>Procureurs</w:t>
      </w:r>
      <w:proofErr w:type="spellEnd"/>
      <w:r w:rsidRPr="003A1ADC">
        <w:rPr>
          <w:sz w:val="20"/>
          <w:lang w:val="en-US"/>
        </w:rPr>
        <w:t xml:space="preserve"> de </w:t>
      </w:r>
      <w:proofErr w:type="spellStart"/>
      <w:r w:rsidRPr="003A1ADC">
        <w:rPr>
          <w:sz w:val="20"/>
          <w:lang w:val="en-US"/>
        </w:rPr>
        <w:t>l’intervenante</w:t>
      </w:r>
      <w:proofErr w:type="spellEnd"/>
      <w:r w:rsidRPr="003A1ADC">
        <w:rPr>
          <w:sz w:val="20"/>
          <w:lang w:val="en-US"/>
        </w:rPr>
        <w:t xml:space="preserve"> Federation of Sovereign Indigenous </w:t>
      </w:r>
      <w:proofErr w:type="gramStart"/>
      <w:r w:rsidRPr="003A1ADC">
        <w:rPr>
          <w:sz w:val="20"/>
          <w:lang w:val="en-US"/>
        </w:rPr>
        <w:t>Nations :</w:t>
      </w:r>
      <w:proofErr w:type="gramEnd"/>
      <w:r w:rsidRPr="003A1ADC">
        <w:rPr>
          <w:sz w:val="20"/>
          <w:lang w:val="en-US"/>
        </w:rPr>
        <w:t> Federation of Sovereign Indigenous Nations, Saskatoon; Westaway Law Group Professional Corporation, Ottawa.</w:t>
      </w:r>
    </w:p>
    <w:p w:rsidR="003A1ADC" w:rsidRPr="003A1ADC" w:rsidRDefault="003A1ADC" w:rsidP="003A1ADC">
      <w:pPr>
        <w:pStyle w:val="SCCLawFirm"/>
        <w:spacing w:line="240" w:lineRule="auto"/>
        <w:rPr>
          <w:sz w:val="20"/>
          <w:lang w:val="fr-CA"/>
        </w:rPr>
      </w:pPr>
      <w:r w:rsidRPr="003A1ADC">
        <w:rPr>
          <w:sz w:val="20"/>
          <w:lang w:val="en-US"/>
        </w:rPr>
        <w:tab/>
      </w:r>
      <w:r w:rsidRPr="003A1ADC">
        <w:rPr>
          <w:sz w:val="20"/>
          <w:lang w:val="fr-CA"/>
        </w:rPr>
        <w:t xml:space="preserve">Procureurs de l’intervenant </w:t>
      </w:r>
      <w:proofErr w:type="spellStart"/>
      <w:r w:rsidRPr="003A1ADC">
        <w:rPr>
          <w:sz w:val="20"/>
          <w:lang w:val="fr-CA"/>
        </w:rPr>
        <w:t>Gitanyow</w:t>
      </w:r>
      <w:proofErr w:type="spellEnd"/>
      <w:r w:rsidRPr="003A1ADC">
        <w:rPr>
          <w:sz w:val="20"/>
          <w:lang w:val="fr-CA"/>
        </w:rPr>
        <w:t xml:space="preserve"> </w:t>
      </w:r>
      <w:proofErr w:type="spellStart"/>
      <w:r w:rsidRPr="003A1ADC">
        <w:rPr>
          <w:sz w:val="20"/>
          <w:lang w:val="fr-CA"/>
        </w:rPr>
        <w:t>Hereditary</w:t>
      </w:r>
      <w:proofErr w:type="spellEnd"/>
      <w:r w:rsidRPr="003A1ADC">
        <w:rPr>
          <w:sz w:val="20"/>
          <w:lang w:val="fr-CA"/>
        </w:rPr>
        <w:t xml:space="preserve"> Chiefs : Grant </w:t>
      </w:r>
      <w:proofErr w:type="spellStart"/>
      <w:r w:rsidRPr="003A1ADC">
        <w:rPr>
          <w:sz w:val="20"/>
          <w:lang w:val="fr-CA"/>
        </w:rPr>
        <w:t>Huberman</w:t>
      </w:r>
      <w:proofErr w:type="spellEnd"/>
      <w:r w:rsidRPr="003A1ADC">
        <w:rPr>
          <w:sz w:val="20"/>
          <w:lang w:val="fr-CA"/>
        </w:rPr>
        <w:t>, Vancouver.</w:t>
      </w:r>
    </w:p>
    <w:p w:rsidR="003A1ADC" w:rsidRPr="003A1ADC" w:rsidRDefault="003A1ADC" w:rsidP="003A1ADC">
      <w:pPr>
        <w:spacing w:before="240" w:after="240"/>
        <w:rPr>
          <w:sz w:val="20"/>
          <w:lang w:val="en-US"/>
        </w:rPr>
      </w:pPr>
    </w:p>
    <w:p w:rsidR="003A1ADC" w:rsidRPr="003A1ADC" w:rsidRDefault="003A1ADC" w:rsidP="004B5088">
      <w:pPr>
        <w:jc w:val="both"/>
        <w:rPr>
          <w:sz w:val="20"/>
          <w:lang w:val="en-US"/>
        </w:rPr>
      </w:pPr>
    </w:p>
    <w:p w:rsidR="003A1ADC" w:rsidRPr="003A1ADC" w:rsidRDefault="003A1ADC" w:rsidP="004B5088">
      <w:pPr>
        <w:jc w:val="both"/>
        <w:rPr>
          <w:sz w:val="20"/>
          <w:lang w:val="en-US"/>
        </w:rPr>
      </w:pPr>
    </w:p>
    <w:p w:rsidR="003A1ADC" w:rsidRPr="003A1ADC" w:rsidRDefault="003A1ADC" w:rsidP="004B5088">
      <w:pPr>
        <w:jc w:val="both"/>
        <w:rPr>
          <w:sz w:val="20"/>
          <w:lang w:val="en-US"/>
        </w:rPr>
      </w:pPr>
    </w:p>
    <w:p w:rsidR="00472360" w:rsidRDefault="00F13243" w:rsidP="00902E51">
      <w:pPr>
        <w:rPr>
          <w:rFonts w:cs="Times New Roman"/>
          <w:sz w:val="20"/>
          <w:szCs w:val="20"/>
          <w:lang w:val="fr-CA"/>
        </w:rPr>
      </w:pPr>
      <w:r>
        <w:rPr>
          <w:rFonts w:cs="Times New Roman"/>
          <w:sz w:val="20"/>
          <w:szCs w:val="20"/>
          <w:lang w:val="fr-CA"/>
        </w:rPr>
        <w:pict>
          <v:rect id="_x0000_i1069" style="width:144.3pt;height:1pt" o:hrpct="300" o:hralign="center" o:hrstd="t" o:hrnoshade="t" o:hr="t" fillcolor="black [3213]" stroked="f"/>
        </w:pict>
      </w:r>
    </w:p>
    <w:p w:rsidR="00902E51" w:rsidRDefault="00902E51" w:rsidP="00902E51">
      <w:pPr>
        <w:rPr>
          <w:rFonts w:cs="Times New Roman"/>
          <w:sz w:val="20"/>
          <w:szCs w:val="20"/>
          <w:lang w:val="fr-CA"/>
        </w:rPr>
      </w:pPr>
    </w:p>
    <w:p w:rsidR="0056248C" w:rsidRDefault="0056248C" w:rsidP="005C6840">
      <w:pPr>
        <w:jc w:val="both"/>
        <w:rPr>
          <w:sz w:val="20"/>
          <w:szCs w:val="20"/>
        </w:rPr>
      </w:pPr>
    </w:p>
    <w:p w:rsidR="0056248C" w:rsidRPr="00C50A5C" w:rsidRDefault="0056248C"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83"/>
          <w:headerReference w:type="default" r:id="rId84"/>
          <w:footerReference w:type="even" r:id="rId85"/>
          <w:footerReference w:type="default" r:id="rId86"/>
          <w:headerReference w:type="first" r:id="rId87"/>
          <w:footerReference w:type="first" r:id="rId88"/>
          <w:pgSz w:w="12240" w:h="15840"/>
          <w:pgMar w:top="720" w:right="965" w:bottom="1080" w:left="1656" w:header="576" w:footer="960" w:gutter="0"/>
          <w:cols w:space="720"/>
          <w:titlePg/>
          <w:docGrid w:linePitch="272"/>
        </w:sectPr>
      </w:pPr>
    </w:p>
    <w:p w:rsidR="003008F5" w:rsidRDefault="0041245B" w:rsidP="003008F5">
      <w:pPr>
        <w:tabs>
          <w:tab w:val="center" w:pos="5220"/>
          <w:tab w:val="right" w:pos="10800"/>
        </w:tabs>
        <w:rPr>
          <w:rFonts w:ascii="Arial" w:hAnsi="Arial" w:cs="Arial"/>
          <w:sz w:val="16"/>
          <w:szCs w:val="18"/>
          <w:lang w:val="fr-CA"/>
        </w:rPr>
      </w:pPr>
      <w:r>
        <w:rPr>
          <w:rFonts w:ascii="Arial" w:hAnsi="Arial" w:cs="Arial"/>
          <w:sz w:val="20"/>
          <w:lang w:val="fr-FR"/>
        </w:rPr>
        <w:lastRenderedPageBreak/>
        <w:tab/>
      </w:r>
      <w:r w:rsidR="003008F5">
        <w:rPr>
          <w:rFonts w:ascii="Arial" w:hAnsi="Arial" w:cs="Arial"/>
          <w:sz w:val="18"/>
          <w:lang w:val="fr-FR"/>
        </w:rPr>
        <w:t xml:space="preserve">   </w:t>
      </w:r>
      <w:r w:rsidR="003008F5">
        <w:rPr>
          <w:rFonts w:ascii="Arial" w:hAnsi="Arial" w:cs="Arial"/>
          <w:b/>
          <w:i/>
          <w:szCs w:val="28"/>
          <w:lang w:val="fr-FR"/>
        </w:rPr>
        <w:t>- 2018 -</w:t>
      </w:r>
      <w:r w:rsidR="003008F5">
        <w:rPr>
          <w:rFonts w:ascii="Arial" w:hAnsi="Arial" w:cs="Arial"/>
          <w:sz w:val="18"/>
          <w:lang w:val="fr-FR"/>
        </w:rPr>
        <w:t xml:space="preserve"> </w:t>
      </w:r>
      <w:r w:rsidR="003008F5">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3008F5" w:rsidTr="003008F5">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3008F5" w:rsidTr="003008F5">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4"/>
                <w:szCs w:val="14"/>
                <w:lang w:val="fr-FR"/>
              </w:rPr>
            </w:pPr>
            <w:r>
              <w:rPr>
                <w:rFonts w:ascii="Arial" w:hAnsi="Arial" w:cs="Arial"/>
                <w:b/>
                <w:sz w:val="14"/>
                <w:szCs w:val="14"/>
                <w:lang w:val="fr-FR"/>
              </w:rPr>
              <w:t>S</w:t>
            </w:r>
          </w:p>
          <w:p w:rsidR="003008F5" w:rsidRDefault="003008F5">
            <w:pPr>
              <w:tabs>
                <w:tab w:val="center" w:pos="5220"/>
                <w:tab w:val="right" w:pos="10440"/>
              </w:tabs>
              <w:jc w:val="center"/>
              <w:rPr>
                <w:rFonts w:ascii="Arial" w:hAnsi="Arial" w:cs="Arial"/>
                <w:b/>
                <w:sz w:val="14"/>
                <w:szCs w:val="14"/>
                <w:lang w:val="fr-FR"/>
              </w:rPr>
            </w:pPr>
            <w:r>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r>
      <w:tr w:rsidR="003008F5" w:rsidTr="003008F5">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r>
      <w:tr w:rsidR="003008F5" w:rsidTr="003008F5">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r>
      <w:tr w:rsidR="003008F5" w:rsidTr="003008F5">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r>
      <w:tr w:rsidR="003008F5" w:rsidTr="003008F5">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rPr>
                <w:rFonts w:ascii="Arial" w:hAnsi="Arial" w:cs="Arial"/>
                <w:sz w:val="13"/>
                <w:szCs w:val="13"/>
              </w:rPr>
            </w:pPr>
            <w:r>
              <w:rPr>
                <w:rFonts w:ascii="Arial" w:hAnsi="Arial" w:cs="Arial"/>
                <w:sz w:val="13"/>
                <w:szCs w:val="13"/>
              </w:rPr>
              <w:t xml:space="preserve"> 23 /</w:t>
            </w:r>
          </w:p>
          <w:p w:rsidR="003008F5" w:rsidRDefault="003008F5">
            <w:pPr>
              <w:rPr>
                <w:rFonts w:ascii="Arial" w:hAnsi="Arial" w:cs="Arial"/>
                <w:sz w:val="13"/>
                <w:szCs w:val="13"/>
              </w:rPr>
            </w:pPr>
            <w:r>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rPr>
                <w:rFonts w:ascii="Arial" w:hAnsi="Arial" w:cs="Arial"/>
                <w:sz w:val="13"/>
                <w:szCs w:val="13"/>
              </w:rPr>
            </w:pPr>
            <w:r>
              <w:rPr>
                <w:rFonts w:ascii="Arial" w:hAnsi="Arial" w:cs="Arial"/>
                <w:sz w:val="13"/>
                <w:szCs w:val="13"/>
              </w:rPr>
              <w:t xml:space="preserve"> 24 /</w:t>
            </w:r>
          </w:p>
          <w:p w:rsidR="003008F5" w:rsidRDefault="003008F5">
            <w:pPr>
              <w:rPr>
                <w:rFonts w:ascii="Arial" w:hAnsi="Arial" w:cs="Arial"/>
                <w:sz w:val="13"/>
                <w:szCs w:val="13"/>
              </w:rPr>
            </w:pPr>
            <w:r>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26</w:t>
            </w:r>
          </w:p>
        </w:tc>
        <w:tc>
          <w:tcPr>
            <w:tcW w:w="225" w:type="pct"/>
            <w:tcBorders>
              <w:top w:val="single" w:sz="4" w:space="0" w:color="auto"/>
              <w:left w:val="double" w:sz="6"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r>
    </w:tbl>
    <w:p w:rsidR="003008F5" w:rsidRDefault="003008F5" w:rsidP="003008F5">
      <w:pPr>
        <w:tabs>
          <w:tab w:val="center" w:pos="5220"/>
          <w:tab w:val="right" w:pos="10440"/>
        </w:tabs>
        <w:jc w:val="center"/>
        <w:rPr>
          <w:rFonts w:ascii="Arial" w:hAnsi="Arial" w:cs="Arial"/>
          <w:szCs w:val="28"/>
        </w:rPr>
      </w:pPr>
      <w:r>
        <w:rPr>
          <w:rFonts w:ascii="Arial" w:hAnsi="Arial" w:cs="Arial"/>
          <w:b/>
          <w:i/>
          <w:szCs w:val="28"/>
        </w:rPr>
        <w:t>- 2019 -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3008F5" w:rsidTr="003008F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3008F5" w:rsidTr="003008F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r>
      <w:tr w:rsidR="003008F5" w:rsidTr="003008F5">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rPr>
                <w:rFonts w:ascii="Arial" w:hAnsi="Arial" w:cs="Arial"/>
                <w:sz w:val="13"/>
                <w:szCs w:val="13"/>
              </w:rPr>
            </w:pPr>
            <w:r>
              <w:rPr>
                <w:rFonts w:ascii="Arial" w:hAnsi="Arial" w:cs="Arial"/>
                <w:sz w:val="13"/>
                <w:szCs w:val="13"/>
              </w:rPr>
              <w:t xml:space="preserve"> 24 /</w:t>
            </w:r>
          </w:p>
          <w:p w:rsidR="003008F5" w:rsidRDefault="003008F5">
            <w:pPr>
              <w:rPr>
                <w:rFonts w:ascii="Arial" w:hAnsi="Arial" w:cs="Arial"/>
                <w:sz w:val="13"/>
                <w:szCs w:val="13"/>
              </w:rPr>
            </w:pPr>
            <w:r>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r>
      <w:tr w:rsidR="003008F5" w:rsidTr="003008F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3008F5" w:rsidTr="003008F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000000" w:themeColor="text1"/>
              <w:bottom w:val="doub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r>
      <w:tr w:rsidR="003008F5" w:rsidTr="003008F5">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2"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both"/>
              <w:rPr>
                <w:rFonts w:ascii="Arial" w:hAnsi="Arial" w:cs="Arial"/>
                <w:sz w:val="13"/>
                <w:szCs w:val="13"/>
              </w:rPr>
            </w:pPr>
            <w:r>
              <w:rPr>
                <w:rFonts w:ascii="Arial" w:hAnsi="Arial" w:cs="Arial"/>
                <w:sz w:val="13"/>
                <w:szCs w:val="13"/>
              </w:rPr>
              <w:t xml:space="preserve"> 23 /</w:t>
            </w:r>
          </w:p>
          <w:p w:rsidR="003008F5" w:rsidRDefault="003008F5">
            <w:pPr>
              <w:jc w:val="both"/>
              <w:rPr>
                <w:rFonts w:ascii="Arial" w:hAnsi="Arial" w:cs="Arial"/>
                <w:sz w:val="13"/>
                <w:szCs w:val="13"/>
              </w:rPr>
            </w:pPr>
            <w:r>
              <w:rPr>
                <w:rFonts w:ascii="Arial" w:hAnsi="Arial" w:cs="Arial"/>
                <w:sz w:val="13"/>
                <w:szCs w:val="13"/>
              </w:rPr>
              <w:t xml:space="preserve">       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r>
      <w:tr w:rsidR="003008F5" w:rsidTr="003008F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SEPTEMBER – SEPTEMBRE</w:t>
            </w:r>
          </w:p>
        </w:tc>
      </w:tr>
      <w:tr w:rsidR="003008F5" w:rsidTr="003008F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6"/>
                <w:szCs w:val="16"/>
              </w:rPr>
            </w:pPr>
            <w:r>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b/>
                <w:sz w:val="13"/>
                <w:szCs w:val="13"/>
              </w:rPr>
            </w:pPr>
            <w:r>
              <w:rPr>
                <w:rFonts w:ascii="Arial" w:hAnsi="Arial" w:cs="Arial"/>
                <w:sz w:val="13"/>
                <w:szCs w:val="13"/>
              </w:rPr>
              <w:t>2</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r>
      <w:tr w:rsidR="003008F5" w:rsidTr="003008F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RH</w:t>
            </w:r>
          </w:p>
          <w:p w:rsidR="003008F5" w:rsidRDefault="003008F5">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r>
    </w:tbl>
    <w:p w:rsidR="003008F5" w:rsidRDefault="003008F5" w:rsidP="003008F5">
      <w:pPr>
        <w:tabs>
          <w:tab w:val="center" w:pos="5220"/>
          <w:tab w:val="right" w:pos="10440"/>
        </w:tabs>
        <w:rPr>
          <w:rFonts w:ascii="Arial" w:hAnsi="Arial" w:cs="Arial"/>
          <w:sz w:val="14"/>
          <w:szCs w:val="14"/>
          <w:lang w:val="fr-CA"/>
        </w:rPr>
      </w:pPr>
    </w:p>
    <w:tbl>
      <w:tblPr>
        <w:tblStyle w:val="TableGrid"/>
        <w:tblW w:w="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3580"/>
        <w:gridCol w:w="4140"/>
        <w:gridCol w:w="720"/>
      </w:tblGrid>
      <w:tr w:rsidR="003008F5" w:rsidTr="003008F5">
        <w:tc>
          <w:tcPr>
            <w:tcW w:w="1782" w:type="dxa"/>
            <w:tcBorders>
              <w:top w:val="nil"/>
              <w:left w:val="nil"/>
              <w:bottom w:val="nil"/>
              <w:right w:val="single" w:sz="4" w:space="0" w:color="000000" w:themeColor="text1"/>
            </w:tcBorders>
            <w:vAlign w:val="center"/>
            <w:hideMark/>
          </w:tcPr>
          <w:p w:rsidR="003008F5" w:rsidRDefault="003008F5">
            <w:pPr>
              <w:rPr>
                <w:rFonts w:ascii="Arial" w:hAnsi="Arial" w:cs="Arial"/>
                <w:b/>
                <w:sz w:val="14"/>
                <w:szCs w:val="14"/>
              </w:rPr>
            </w:pPr>
            <w:r>
              <w:rPr>
                <w:rFonts w:ascii="Arial" w:hAnsi="Arial" w:cs="Arial"/>
                <w:b/>
                <w:sz w:val="14"/>
                <w:szCs w:val="14"/>
              </w:rPr>
              <w:t>Sitting of the Court /</w:t>
            </w:r>
          </w:p>
          <w:p w:rsidR="003008F5" w:rsidRDefault="003008F5">
            <w:pPr>
              <w:rPr>
                <w:rFonts w:ascii="Arial" w:hAnsi="Arial" w:cs="Arial"/>
                <w:b/>
                <w:sz w:val="14"/>
                <w:szCs w:val="14"/>
              </w:rPr>
            </w:pPr>
            <w:r>
              <w:rPr>
                <w:rFonts w:ascii="Arial" w:hAnsi="Arial" w:cs="Arial"/>
                <w:b/>
                <w:sz w:val="14"/>
                <w:szCs w:val="14"/>
              </w:rPr>
              <w:t>Séance de la Cour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3008F5" w:rsidRDefault="003008F5">
            <w:pPr>
              <w:jc w:val="center"/>
              <w:rPr>
                <w:rFonts w:ascii="Arial" w:hAnsi="Arial" w:cs="Arial"/>
                <w:b/>
                <w:sz w:val="14"/>
                <w:szCs w:val="14"/>
              </w:rPr>
            </w:pPr>
          </w:p>
        </w:tc>
        <w:tc>
          <w:tcPr>
            <w:tcW w:w="3580" w:type="dxa"/>
            <w:tcBorders>
              <w:top w:val="nil"/>
              <w:left w:val="single" w:sz="4" w:space="0" w:color="000000" w:themeColor="text1"/>
              <w:bottom w:val="nil"/>
              <w:right w:val="nil"/>
            </w:tcBorders>
            <w:hideMark/>
          </w:tcPr>
          <w:p w:rsidR="003008F5" w:rsidRDefault="003008F5">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weeks</w:t>
            </w:r>
            <w:proofErr w:type="spellEnd"/>
            <w:r>
              <w:rPr>
                <w:rFonts w:ascii="Arial" w:hAnsi="Arial" w:cs="Arial"/>
                <w:b/>
                <w:sz w:val="14"/>
                <w:szCs w:val="14"/>
                <w:lang w:val="fr-CA"/>
              </w:rPr>
              <w:t xml:space="preserve"> / semaines séances de la Cour</w:t>
            </w:r>
          </w:p>
          <w:p w:rsidR="003008F5" w:rsidRDefault="003008F5">
            <w:pPr>
              <w:tabs>
                <w:tab w:val="left" w:pos="203"/>
              </w:tabs>
              <w:rPr>
                <w:rFonts w:ascii="Arial" w:hAnsi="Arial" w:cs="Arial"/>
                <w:b/>
                <w:sz w:val="14"/>
                <w:szCs w:val="14"/>
                <w:lang w:val="fr-CA"/>
              </w:rPr>
            </w:pPr>
            <w:r>
              <w:rPr>
                <w:rFonts w:ascii="Arial" w:hAnsi="Arial" w:cs="Arial"/>
                <w:b/>
                <w:sz w:val="14"/>
                <w:szCs w:val="14"/>
                <w:lang w:val="fr-CA"/>
              </w:rPr>
              <w:t xml:space="preserve">85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 journées séances de la Cour</w:t>
            </w:r>
          </w:p>
        </w:tc>
        <w:tc>
          <w:tcPr>
            <w:tcW w:w="4140" w:type="dxa"/>
            <w:tcMar>
              <w:top w:w="0" w:type="dxa"/>
              <w:left w:w="58" w:type="dxa"/>
              <w:bottom w:w="0" w:type="dxa"/>
              <w:right w:w="58" w:type="dxa"/>
            </w:tcMar>
            <w:hideMark/>
          </w:tcPr>
          <w:p w:rsidR="003008F5" w:rsidRDefault="003008F5">
            <w:pPr>
              <w:spacing w:after="120"/>
              <w:rPr>
                <w:rFonts w:ascii="Arial" w:hAnsi="Arial" w:cs="Arial"/>
                <w:b/>
                <w:sz w:val="14"/>
                <w:szCs w:val="14"/>
              </w:rPr>
            </w:pPr>
            <w:r>
              <w:rPr>
                <w:rFonts w:ascii="Arial" w:hAnsi="Arial" w:cs="Arial"/>
                <w:b/>
                <w:sz w:val="14"/>
                <w:szCs w:val="14"/>
              </w:rPr>
              <w:t xml:space="preserve">Rosh Hashanah / </w:t>
            </w:r>
            <w:proofErr w:type="spellStart"/>
            <w:r>
              <w:rPr>
                <w:rFonts w:ascii="Arial" w:hAnsi="Arial" w:cs="Arial"/>
                <w:b/>
                <w:sz w:val="14"/>
                <w:szCs w:val="14"/>
              </w:rPr>
              <w:t>Nouvel</w:t>
            </w:r>
            <w:proofErr w:type="spellEnd"/>
            <w:r>
              <w:rPr>
                <w:rFonts w:ascii="Arial" w:hAnsi="Arial" w:cs="Arial"/>
                <w:b/>
                <w:sz w:val="14"/>
                <w:szCs w:val="14"/>
              </w:rPr>
              <w:t xml:space="preserve"> An </w:t>
            </w:r>
            <w:proofErr w:type="spellStart"/>
            <w:r>
              <w:rPr>
                <w:rFonts w:ascii="Arial" w:hAnsi="Arial" w:cs="Arial"/>
                <w:b/>
                <w:sz w:val="14"/>
                <w:szCs w:val="14"/>
              </w:rPr>
              <w:t>juif</w:t>
            </w:r>
            <w:proofErr w:type="spellEnd"/>
            <w:r>
              <w:rPr>
                <w:rFonts w:ascii="Arial" w:hAnsi="Arial" w:cs="Arial"/>
                <w:b/>
                <w:sz w:val="14"/>
                <w:szCs w:val="14"/>
              </w:rPr>
              <w:t xml:space="preserve"> (2019-09-30 &amp; 2019-10-01)</w:t>
            </w:r>
          </w:p>
          <w:p w:rsidR="003008F5" w:rsidRDefault="003008F5">
            <w:pPr>
              <w:rPr>
                <w:rFonts w:ascii="Arial" w:hAnsi="Arial" w:cs="Arial"/>
                <w:b/>
                <w:sz w:val="14"/>
                <w:szCs w:val="14"/>
                <w:lang w:val="fr-CA"/>
              </w:rPr>
            </w:pPr>
            <w:r>
              <w:rPr>
                <w:rFonts w:ascii="Arial" w:hAnsi="Arial" w:cs="Arial"/>
                <w:b/>
                <w:sz w:val="14"/>
                <w:szCs w:val="14"/>
              </w:rPr>
              <w:t xml:space="preserve">Yom Kippur / Yom </w:t>
            </w:r>
            <w:proofErr w:type="spellStart"/>
            <w:r>
              <w:rPr>
                <w:rFonts w:ascii="Arial" w:hAnsi="Arial" w:cs="Arial"/>
                <w:b/>
                <w:sz w:val="14"/>
                <w:szCs w:val="14"/>
              </w:rPr>
              <w:t>Kippour</w:t>
            </w:r>
            <w:proofErr w:type="spellEnd"/>
            <w:r>
              <w:rPr>
                <w:rFonts w:ascii="Arial" w:hAnsi="Arial" w:cs="Arial"/>
                <w:b/>
                <w:sz w:val="14"/>
                <w:szCs w:val="14"/>
              </w:rPr>
              <w:t xml:space="preserve"> (2019-10-09)</w:t>
            </w:r>
          </w:p>
        </w:tc>
        <w:tc>
          <w:tcPr>
            <w:tcW w:w="720" w:type="dxa"/>
            <w:hideMark/>
          </w:tcPr>
          <w:p w:rsidR="003008F5" w:rsidRDefault="003008F5">
            <w:pPr>
              <w:spacing w:after="120"/>
              <w:jc w:val="center"/>
              <w:rPr>
                <w:rFonts w:ascii="Arial" w:hAnsi="Arial" w:cs="Arial"/>
                <w:b/>
                <w:sz w:val="14"/>
                <w:szCs w:val="14"/>
                <w:lang w:val="fr-CA"/>
              </w:rPr>
            </w:pPr>
            <w:r>
              <w:rPr>
                <w:rFonts w:ascii="Arial" w:hAnsi="Arial" w:cs="Arial"/>
                <w:b/>
                <w:sz w:val="14"/>
                <w:szCs w:val="14"/>
                <w:lang w:val="fr-CA"/>
              </w:rPr>
              <w:t>RH</w:t>
            </w:r>
          </w:p>
          <w:p w:rsidR="003008F5" w:rsidRDefault="003008F5">
            <w:pPr>
              <w:jc w:val="center"/>
              <w:rPr>
                <w:rFonts w:ascii="Arial" w:hAnsi="Arial" w:cs="Arial"/>
                <w:b/>
                <w:sz w:val="14"/>
                <w:szCs w:val="14"/>
                <w:lang w:val="fr-CA"/>
              </w:rPr>
            </w:pPr>
            <w:r>
              <w:rPr>
                <w:rFonts w:ascii="Arial" w:hAnsi="Arial" w:cs="Arial"/>
                <w:b/>
                <w:sz w:val="14"/>
                <w:szCs w:val="14"/>
                <w:lang w:val="fr-CA"/>
              </w:rPr>
              <w:t>YK</w:t>
            </w:r>
          </w:p>
        </w:tc>
      </w:tr>
      <w:tr w:rsidR="003008F5" w:rsidRPr="00DB1C5D" w:rsidTr="003008F5">
        <w:tc>
          <w:tcPr>
            <w:tcW w:w="1782" w:type="dxa"/>
            <w:tcBorders>
              <w:top w:val="nil"/>
              <w:left w:val="nil"/>
              <w:bottom w:val="nil"/>
              <w:right w:val="double" w:sz="4" w:space="0" w:color="auto"/>
            </w:tcBorders>
            <w:vAlign w:val="center"/>
            <w:hideMark/>
          </w:tcPr>
          <w:p w:rsidR="003008F5" w:rsidRDefault="003008F5">
            <w:pPr>
              <w:spacing w:before="60"/>
              <w:rPr>
                <w:rFonts w:ascii="Arial" w:hAnsi="Arial" w:cs="Arial"/>
                <w:b/>
                <w:sz w:val="14"/>
                <w:szCs w:val="14"/>
                <w:lang w:val="fr-CA"/>
              </w:rPr>
            </w:pPr>
            <w:r>
              <w:rPr>
                <w:rFonts w:ascii="Arial" w:hAnsi="Arial" w:cs="Arial"/>
                <w:b/>
                <w:sz w:val="14"/>
                <w:szCs w:val="14"/>
                <w:lang w:val="fr-CA"/>
              </w:rPr>
              <w:t xml:space="preserve">Court </w:t>
            </w:r>
            <w:proofErr w:type="spellStart"/>
            <w:r>
              <w:rPr>
                <w:rFonts w:ascii="Arial" w:hAnsi="Arial" w:cs="Arial"/>
                <w:b/>
                <w:sz w:val="14"/>
                <w:szCs w:val="14"/>
                <w:lang w:val="fr-CA"/>
              </w:rPr>
              <w:t>conference</w:t>
            </w:r>
            <w:proofErr w:type="spellEnd"/>
            <w:r>
              <w:rPr>
                <w:rFonts w:ascii="Arial" w:hAnsi="Arial" w:cs="Arial"/>
                <w:b/>
                <w:sz w:val="14"/>
                <w:szCs w:val="14"/>
                <w:lang w:val="fr-CA"/>
              </w:rPr>
              <w:t xml:space="preserve"> /</w:t>
            </w:r>
          </w:p>
          <w:p w:rsidR="003008F5" w:rsidRDefault="003008F5">
            <w:pPr>
              <w:rPr>
                <w:rFonts w:ascii="Arial" w:hAnsi="Arial" w:cs="Arial"/>
                <w:b/>
                <w:sz w:val="14"/>
                <w:szCs w:val="14"/>
                <w:lang w:val="fr-CA"/>
              </w:rPr>
            </w:pPr>
            <w:r>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3008F5" w:rsidRDefault="003008F5">
            <w:pPr>
              <w:jc w:val="center"/>
              <w:rPr>
                <w:rFonts w:ascii="Arial" w:hAnsi="Arial" w:cs="Arial"/>
                <w:b/>
                <w:sz w:val="14"/>
                <w:szCs w:val="14"/>
              </w:rPr>
            </w:pPr>
            <w:r>
              <w:rPr>
                <w:rFonts w:ascii="Arial" w:hAnsi="Arial" w:cs="Arial"/>
                <w:b/>
                <w:sz w:val="14"/>
                <w:szCs w:val="14"/>
              </w:rPr>
              <w:t>CC</w:t>
            </w:r>
          </w:p>
        </w:tc>
        <w:tc>
          <w:tcPr>
            <w:tcW w:w="3580" w:type="dxa"/>
            <w:tcBorders>
              <w:top w:val="nil"/>
              <w:left w:val="double" w:sz="4" w:space="0" w:color="auto"/>
              <w:bottom w:val="nil"/>
              <w:right w:val="nil"/>
            </w:tcBorders>
            <w:hideMark/>
          </w:tcPr>
          <w:p w:rsidR="003008F5" w:rsidRDefault="003008F5">
            <w:pPr>
              <w:tabs>
                <w:tab w:val="left" w:pos="203"/>
              </w:tabs>
              <w:spacing w:before="120"/>
              <w:rPr>
                <w:rFonts w:ascii="Arial" w:hAnsi="Arial" w:cs="Arial"/>
                <w:b/>
                <w:sz w:val="14"/>
                <w:szCs w:val="14"/>
                <w:lang w:val="fr-CA"/>
              </w:rPr>
            </w:pPr>
            <w:r>
              <w:rPr>
                <w:rFonts w:ascii="Arial" w:hAnsi="Arial" w:cs="Arial"/>
                <w:b/>
                <w:sz w:val="14"/>
                <w:szCs w:val="14"/>
                <w:lang w:val="fr-CA"/>
              </w:rPr>
              <w:t>9</w:t>
            </w:r>
            <w:r>
              <w:rPr>
                <w:rFonts w:ascii="Arial" w:hAnsi="Arial" w:cs="Arial"/>
                <w:b/>
                <w:sz w:val="14"/>
                <w:szCs w:val="14"/>
                <w:lang w:val="fr-CA"/>
              </w:rPr>
              <w:tab/>
              <w:t xml:space="preserve">Court </w:t>
            </w:r>
            <w:proofErr w:type="spellStart"/>
            <w:r>
              <w:rPr>
                <w:rFonts w:ascii="Arial" w:hAnsi="Arial" w:cs="Arial"/>
                <w:b/>
                <w:sz w:val="14"/>
                <w:szCs w:val="14"/>
                <w:lang w:val="fr-CA"/>
              </w:rPr>
              <w:t>conference</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w:t>
            </w:r>
          </w:p>
          <w:p w:rsidR="003008F5" w:rsidRDefault="003008F5">
            <w:pPr>
              <w:tabs>
                <w:tab w:val="left" w:pos="203"/>
              </w:tabs>
              <w:rPr>
                <w:rFonts w:ascii="Arial" w:hAnsi="Arial" w:cs="Arial"/>
                <w:b/>
                <w:sz w:val="14"/>
                <w:szCs w:val="14"/>
                <w:lang w:val="fr-CA"/>
              </w:rPr>
            </w:pPr>
            <w:r>
              <w:rPr>
                <w:rFonts w:ascii="Arial" w:hAnsi="Arial" w:cs="Arial"/>
                <w:b/>
                <w:sz w:val="14"/>
                <w:szCs w:val="14"/>
                <w:lang w:val="fr-CA"/>
              </w:rPr>
              <w:tab/>
              <w:t>jours de conférence de la Cour</w:t>
            </w:r>
          </w:p>
        </w:tc>
        <w:tc>
          <w:tcPr>
            <w:tcW w:w="4140" w:type="dxa"/>
            <w:tcMar>
              <w:top w:w="0" w:type="dxa"/>
              <w:left w:w="58" w:type="dxa"/>
              <w:bottom w:w="0" w:type="dxa"/>
              <w:right w:w="58" w:type="dxa"/>
            </w:tcMar>
          </w:tcPr>
          <w:p w:rsidR="003008F5" w:rsidRDefault="003008F5">
            <w:pPr>
              <w:rPr>
                <w:rFonts w:ascii="Arial" w:hAnsi="Arial" w:cs="Arial"/>
                <w:b/>
                <w:sz w:val="14"/>
                <w:szCs w:val="14"/>
                <w:lang w:val="fr-FR"/>
              </w:rPr>
            </w:pPr>
          </w:p>
        </w:tc>
        <w:tc>
          <w:tcPr>
            <w:tcW w:w="720" w:type="dxa"/>
          </w:tcPr>
          <w:p w:rsidR="003008F5" w:rsidRDefault="003008F5">
            <w:pPr>
              <w:jc w:val="center"/>
              <w:rPr>
                <w:rFonts w:ascii="Arial" w:hAnsi="Arial" w:cs="Arial"/>
                <w:b/>
                <w:sz w:val="14"/>
                <w:szCs w:val="14"/>
                <w:lang w:val="fr-FR"/>
              </w:rPr>
            </w:pPr>
          </w:p>
        </w:tc>
      </w:tr>
      <w:tr w:rsidR="003008F5" w:rsidTr="003008F5">
        <w:trPr>
          <w:trHeight w:val="528"/>
        </w:trPr>
        <w:tc>
          <w:tcPr>
            <w:tcW w:w="1782" w:type="dxa"/>
            <w:tcBorders>
              <w:top w:val="nil"/>
              <w:left w:val="nil"/>
              <w:bottom w:val="nil"/>
              <w:right w:val="double" w:sz="4" w:space="0" w:color="auto"/>
            </w:tcBorders>
            <w:vAlign w:val="center"/>
            <w:hideMark/>
          </w:tcPr>
          <w:p w:rsidR="003008F5" w:rsidRDefault="003008F5">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3008F5" w:rsidRDefault="003008F5">
            <w:pPr>
              <w:jc w:val="center"/>
              <w:rPr>
                <w:rFonts w:ascii="Arial" w:hAnsi="Arial" w:cs="Arial"/>
                <w:b/>
                <w:sz w:val="14"/>
                <w:szCs w:val="14"/>
              </w:rPr>
            </w:pPr>
            <w:r>
              <w:rPr>
                <w:rFonts w:ascii="Arial" w:hAnsi="Arial" w:cs="Arial"/>
                <w:b/>
                <w:sz w:val="14"/>
                <w:szCs w:val="14"/>
              </w:rPr>
              <w:t>H</w:t>
            </w:r>
          </w:p>
        </w:tc>
        <w:tc>
          <w:tcPr>
            <w:tcW w:w="3580" w:type="dxa"/>
            <w:tcBorders>
              <w:top w:val="nil"/>
              <w:left w:val="double" w:sz="4" w:space="0" w:color="auto"/>
              <w:bottom w:val="nil"/>
              <w:right w:val="nil"/>
            </w:tcBorders>
            <w:hideMark/>
          </w:tcPr>
          <w:p w:rsidR="003008F5" w:rsidRDefault="003008F5">
            <w:pPr>
              <w:tabs>
                <w:tab w:val="left" w:pos="203"/>
              </w:tabs>
              <w:spacing w:before="120"/>
              <w:rPr>
                <w:rFonts w:ascii="Arial" w:hAnsi="Arial" w:cs="Arial"/>
                <w:b/>
                <w:sz w:val="14"/>
                <w:szCs w:val="14"/>
                <w:lang w:val="fr-CA"/>
              </w:rPr>
            </w:pPr>
            <w:r>
              <w:rPr>
                <w:rFonts w:ascii="Arial" w:hAnsi="Arial" w:cs="Arial"/>
                <w:b/>
                <w:sz w:val="14"/>
                <w:szCs w:val="14"/>
                <w:lang w:val="fr-FR"/>
              </w:rPr>
              <w:t>5</w:t>
            </w:r>
            <w:r>
              <w:rPr>
                <w:rFonts w:ascii="Arial" w:hAnsi="Arial" w:cs="Arial"/>
                <w:b/>
                <w:sz w:val="14"/>
                <w:szCs w:val="14"/>
                <w:lang w:val="fr-FR"/>
              </w:rPr>
              <w:tab/>
            </w:r>
            <w:proofErr w:type="spellStart"/>
            <w:r>
              <w:rPr>
                <w:rFonts w:ascii="Arial" w:hAnsi="Arial" w:cs="Arial"/>
                <w:b/>
                <w:sz w:val="14"/>
                <w:szCs w:val="14"/>
                <w:lang w:val="fr-FR"/>
              </w:rPr>
              <w:t>holidays</w:t>
            </w:r>
            <w:proofErr w:type="spellEnd"/>
            <w:r>
              <w:rPr>
                <w:rFonts w:ascii="Arial" w:hAnsi="Arial" w:cs="Arial"/>
                <w:b/>
                <w:sz w:val="14"/>
                <w:szCs w:val="14"/>
                <w:lang w:val="fr-FR"/>
              </w:rPr>
              <w:t xml:space="preserve"> </w:t>
            </w:r>
            <w:proofErr w:type="spellStart"/>
            <w:r>
              <w:rPr>
                <w:rFonts w:ascii="Arial" w:hAnsi="Arial" w:cs="Arial"/>
                <w:b/>
                <w:sz w:val="14"/>
                <w:szCs w:val="14"/>
                <w:lang w:val="fr-FR"/>
              </w:rPr>
              <w:t>during</w:t>
            </w:r>
            <w:proofErr w:type="spellEnd"/>
            <w:r>
              <w:rPr>
                <w:rFonts w:ascii="Arial" w:hAnsi="Arial" w:cs="Arial"/>
                <w:b/>
                <w:sz w:val="14"/>
                <w:szCs w:val="14"/>
                <w:lang w:val="fr-FR"/>
              </w:rPr>
              <w:t xml:space="preserve"> </w:t>
            </w:r>
            <w:proofErr w:type="spellStart"/>
            <w:r>
              <w:rPr>
                <w:rFonts w:ascii="Arial" w:hAnsi="Arial" w:cs="Arial"/>
                <w:b/>
                <w:sz w:val="14"/>
                <w:szCs w:val="14"/>
                <w:lang w:val="fr-FR"/>
              </w:rPr>
              <w:t>sitting</w:t>
            </w:r>
            <w:proofErr w:type="spellEnd"/>
            <w:r>
              <w:rPr>
                <w:rFonts w:ascii="Arial" w:hAnsi="Arial" w:cs="Arial"/>
                <w:b/>
                <w:sz w:val="14"/>
                <w:szCs w:val="14"/>
                <w:lang w:val="fr-FR"/>
              </w:rPr>
              <w:t xml:space="preserve"> </w:t>
            </w:r>
            <w:proofErr w:type="spellStart"/>
            <w:r>
              <w:rPr>
                <w:rFonts w:ascii="Arial" w:hAnsi="Arial" w:cs="Arial"/>
                <w:b/>
                <w:sz w:val="14"/>
                <w:szCs w:val="14"/>
                <w:lang w:val="fr-FR"/>
              </w:rPr>
              <w:t>days</w:t>
            </w:r>
            <w:proofErr w:type="spellEnd"/>
            <w:r>
              <w:rPr>
                <w:rFonts w:ascii="Arial" w:hAnsi="Arial" w:cs="Arial"/>
                <w:b/>
                <w:sz w:val="14"/>
                <w:szCs w:val="14"/>
                <w:lang w:val="fr-FR"/>
              </w:rPr>
              <w:t xml:space="preserve"> / </w:t>
            </w:r>
          </w:p>
          <w:p w:rsidR="003008F5" w:rsidRDefault="003008F5">
            <w:pPr>
              <w:tabs>
                <w:tab w:val="left" w:pos="203"/>
              </w:tabs>
              <w:rPr>
                <w:rFonts w:ascii="Arial" w:hAnsi="Arial" w:cs="Arial"/>
                <w:b/>
                <w:sz w:val="14"/>
                <w:szCs w:val="14"/>
                <w:lang w:val="fr-CA"/>
              </w:rPr>
            </w:pPr>
            <w:r>
              <w:rPr>
                <w:rFonts w:ascii="Arial" w:hAnsi="Arial" w:cs="Arial"/>
                <w:b/>
                <w:sz w:val="14"/>
                <w:szCs w:val="14"/>
                <w:lang w:val="fr-CA"/>
              </w:rPr>
              <w:tab/>
              <w:t>jours fériés durant les séances</w:t>
            </w:r>
          </w:p>
        </w:tc>
        <w:tc>
          <w:tcPr>
            <w:tcW w:w="4140" w:type="dxa"/>
            <w:tcMar>
              <w:top w:w="0" w:type="dxa"/>
              <w:left w:w="58" w:type="dxa"/>
              <w:bottom w:w="0" w:type="dxa"/>
              <w:right w:w="58" w:type="dxa"/>
            </w:tcMar>
          </w:tcPr>
          <w:p w:rsidR="003008F5" w:rsidRDefault="003008F5">
            <w:pPr>
              <w:rPr>
                <w:rFonts w:ascii="Arial" w:hAnsi="Arial" w:cs="Arial"/>
                <w:b/>
                <w:sz w:val="14"/>
                <w:szCs w:val="14"/>
                <w:lang w:val="fr-FR"/>
              </w:rPr>
            </w:pPr>
          </w:p>
        </w:tc>
        <w:tc>
          <w:tcPr>
            <w:tcW w:w="720" w:type="dxa"/>
          </w:tcPr>
          <w:p w:rsidR="003008F5" w:rsidRDefault="003008F5">
            <w:pPr>
              <w:jc w:val="center"/>
              <w:rPr>
                <w:rFonts w:ascii="Arial" w:hAnsi="Arial" w:cs="Arial"/>
                <w:b/>
                <w:sz w:val="14"/>
                <w:szCs w:val="14"/>
                <w:lang w:val="fr-FR"/>
              </w:rPr>
            </w:pPr>
          </w:p>
        </w:tc>
      </w:tr>
    </w:tbl>
    <w:p w:rsidR="002410B8" w:rsidRPr="0022323B" w:rsidRDefault="002410B8" w:rsidP="003008F5">
      <w:pPr>
        <w:tabs>
          <w:tab w:val="center" w:pos="5489"/>
          <w:tab w:val="right" w:pos="10915"/>
        </w:tabs>
        <w:ind w:right="-91"/>
        <w:rPr>
          <w:lang w:val="fr-CA"/>
        </w:rPr>
      </w:pPr>
    </w:p>
    <w:sectPr w:rsidR="002410B8" w:rsidRPr="0022323B" w:rsidSect="003008F5">
      <w:headerReference w:type="default" r:id="rId89"/>
      <w:footerReference w:type="default" r:id="rId90"/>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243" w:rsidRDefault="00F13243" w:rsidP="00A87207">
      <w:r>
        <w:separator/>
      </w:r>
    </w:p>
  </w:endnote>
  <w:endnote w:type="continuationSeparator" w:id="0">
    <w:p w:rsidR="00F13243" w:rsidRDefault="00F1324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243" w:rsidRDefault="00F13243" w:rsidP="00A87207">
    <w:pPr>
      <w:pStyle w:val="Footer"/>
    </w:pPr>
    <w:r>
      <w:pict>
        <v:rect id="_x0000_i1046" style="width:480.95pt;height:1pt" o:hralign="center" o:hrstd="t" o:hrnoshade="t" o:hr="t" fillcolor="black [3213]" stroked="f"/>
      </w:pict>
    </w:r>
  </w:p>
  <w:p w:rsidR="00F13243" w:rsidRPr="00B7374B" w:rsidRDefault="00F1324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7409B">
      <w:rPr>
        <w:noProof/>
        <w:szCs w:val="24"/>
      </w:rPr>
      <w:t>1267</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243" w:rsidRDefault="00F13243" w:rsidP="00EB2B90">
    <w:pPr>
      <w:tabs>
        <w:tab w:val="center" w:pos="4680"/>
      </w:tabs>
    </w:pPr>
    <w:r>
      <w:pict>
        <v:rect id="_x0000_i1056" style="width:480.95pt;height:1pt" o:hralign="center" o:hrstd="t" o:hrnoshade="t" o:hr="t" fillcolor="black [3213]" stroked="f"/>
      </w:pict>
    </w:r>
  </w:p>
  <w:p w:rsidR="00F13243" w:rsidRPr="0031432F" w:rsidRDefault="00F13243" w:rsidP="00EB2B90">
    <w:pPr>
      <w:tabs>
        <w:tab w:val="center" w:pos="4680"/>
      </w:tabs>
    </w:pPr>
    <w:r>
      <w:tab/>
      <w:t xml:space="preserve">- </w:t>
    </w:r>
    <w:r>
      <w:fldChar w:fldCharType="begin"/>
    </w:r>
    <w:r>
      <w:instrText xml:space="preserve"> PAGE   \* MERGEFORMAT </w:instrText>
    </w:r>
    <w:r>
      <w:fldChar w:fldCharType="separate"/>
    </w:r>
    <w:r w:rsidR="00C7409B">
      <w:rPr>
        <w:noProof/>
      </w:rPr>
      <w:t>1286</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243" w:rsidRDefault="00F132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13243" w:rsidRDefault="00F132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13243" w:rsidRDefault="00F13243">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243" w:rsidRDefault="00F132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8" style="width:480.95pt;height:1pt" o:hralign="center" o:hrstd="t" o:hrnoshade="t" o:hr="t" fillcolor="black [3213]" stroked="f"/>
      </w:pict>
    </w:r>
  </w:p>
  <w:p w:rsidR="00F13243" w:rsidRDefault="00F13243"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243" w:rsidRDefault="00F13243">
    <w:pPr>
      <w:pStyle w:val="Footer"/>
      <w:rPr>
        <w:lang w:val="fr-CA"/>
      </w:rPr>
    </w:pPr>
    <w:r>
      <w:rPr>
        <w:lang w:val="fr-CA"/>
      </w:rPr>
      <w:pict>
        <v:rect id="_x0000_i1059" style="width:480.95pt;height:1pt" o:hralign="center" o:hrstd="t" o:hrnoshade="t" o:hr="t" fillcolor="black [3213]" stroked="f"/>
      </w:pict>
    </w:r>
  </w:p>
  <w:p w:rsidR="00F13243" w:rsidRDefault="00F13243" w:rsidP="00EB2B90">
    <w:pPr>
      <w:tabs>
        <w:tab w:val="center" w:pos="4680"/>
      </w:tabs>
    </w:pPr>
    <w:r>
      <w:tab/>
      <w:t xml:space="preserve">- </w:t>
    </w:r>
    <w:r>
      <w:fldChar w:fldCharType="begin"/>
    </w:r>
    <w:r>
      <w:instrText xml:space="preserve"> PAGE   \* MERGEFORMAT </w:instrText>
    </w:r>
    <w:r>
      <w:fldChar w:fldCharType="separate"/>
    </w:r>
    <w:r w:rsidR="00C7409B">
      <w:rPr>
        <w:noProof/>
      </w:rPr>
      <w:t>1288</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243" w:rsidRDefault="00F132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13243" w:rsidRDefault="00F132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13243" w:rsidRDefault="00F13243">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243" w:rsidRDefault="00F13243" w:rsidP="00732DB7">
    <w:r>
      <w:pict>
        <v:rect id="_x0000_i1063" style="width:480.95pt;height:1pt" o:hralign="center" o:hrstd="t" o:hrnoshade="t" o:hr="t" fillcolor="black" stroked="f"/>
      </w:pict>
    </w:r>
  </w:p>
  <w:p w:rsidR="00F13243" w:rsidRDefault="00F13243">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243" w:rsidRDefault="00F13243">
    <w:pPr>
      <w:pStyle w:val="Footer"/>
    </w:pPr>
    <w:r>
      <w:pict>
        <v:rect id="_x0000_i1064" style="width:480.95pt;height:1pt" o:hralign="center" o:hrstd="t" o:hrnoshade="t" o:hr="t" fillcolor="black" stroked="f"/>
      </w:pict>
    </w:r>
  </w:p>
  <w:p w:rsidR="00F13243" w:rsidRPr="00283C52" w:rsidRDefault="00F13243">
    <w:pPr>
      <w:pStyle w:val="Footer"/>
    </w:pPr>
    <w:r>
      <w:tab/>
    </w:r>
    <w:r w:rsidRPr="00283C52">
      <w:t xml:space="preserve">- </w:t>
    </w:r>
    <w:r w:rsidRPr="00283C52">
      <w:pgNum/>
    </w:r>
    <w:r w:rsidRPr="00283C52">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243" w:rsidRDefault="00F132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13243" w:rsidRDefault="00F132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13243" w:rsidRDefault="00F13243">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243" w:rsidRDefault="00F13243" w:rsidP="00732DB7">
    <w:r>
      <w:pict>
        <v:rect id="_x0000_i1066" style="width:480.95pt;height:1pt" o:hralign="center" o:hrstd="t" o:hrnoshade="t" o:hr="t" fillcolor="black" stroked="f"/>
      </w:pict>
    </w:r>
  </w:p>
  <w:p w:rsidR="00F13243" w:rsidRDefault="00F13243">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243" w:rsidRDefault="00F13243">
    <w:pPr>
      <w:pStyle w:val="Footer"/>
    </w:pPr>
    <w:r>
      <w:pict>
        <v:rect id="_x0000_i1067" style="width:480.95pt;height:1pt" o:hralign="center" o:hrstd="t" o:hrnoshade="t" o:hr="t" fillcolor="black [3213]" stroked="f"/>
      </w:pict>
    </w:r>
  </w:p>
  <w:p w:rsidR="00F13243" w:rsidRPr="003C2C0F" w:rsidRDefault="00F13243" w:rsidP="00697C62">
    <w:pPr>
      <w:tabs>
        <w:tab w:val="center" w:pos="4680"/>
      </w:tabs>
    </w:pPr>
    <w:r>
      <w:tab/>
      <w:t xml:space="preserve">- </w:t>
    </w:r>
    <w:r>
      <w:fldChar w:fldCharType="begin"/>
    </w:r>
    <w:r>
      <w:instrText xml:space="preserve"> PAGE   \* MERGEFORMAT </w:instrText>
    </w:r>
    <w:r>
      <w:fldChar w:fldCharType="separate"/>
    </w:r>
    <w:r w:rsidR="00C7409B">
      <w:rPr>
        <w:noProof/>
      </w:rPr>
      <w:t>1294</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243" w:rsidRDefault="00F13243" w:rsidP="00755F22">
    <w:pPr>
      <w:tabs>
        <w:tab w:val="left" w:pos="-1440"/>
        <w:tab w:val="left" w:pos="-720"/>
      </w:tabs>
    </w:pPr>
    <w:r>
      <w:pict>
        <v:rect id="_x0000_i1047" style="width:480.95pt;height:1pt" o:hralign="center" o:hrstd="t" o:hrnoshade="t" o:hr="t" fillcolor="black [3213]" stroked="f"/>
      </w:pict>
    </w:r>
  </w:p>
  <w:p w:rsidR="00F13243" w:rsidRPr="00954D22" w:rsidRDefault="00F13243"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C7409B">
      <w:rPr>
        <w:noProof/>
        <w:szCs w:val="24"/>
      </w:rPr>
      <w:t>1265</w:t>
    </w:r>
    <w:r>
      <w:rPr>
        <w:szCs w:val="24"/>
      </w:rPr>
      <w:fldChar w:fldCharType="end"/>
    </w:r>
    <w:r w:rsidRPr="00954D22">
      <w:rPr>
        <w:szCs w:val="24"/>
      </w:rPr>
      <w:t xml:space="preserve"> -</w:t>
    </w:r>
  </w:p>
  <w:p w:rsidR="00F13243" w:rsidRDefault="00F13243">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243" w:rsidRDefault="00F132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13243" w:rsidRDefault="00F132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13243" w:rsidRDefault="00F13243">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243" w:rsidRDefault="00F132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13243" w:rsidRDefault="00F132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0" style="width:480.95pt;height:1pt" o:hralign="center" o:hrstd="t" o:hrnoshade="t" o:hr="t" fillcolor="black [3213]" stroked="f"/>
      </w:pict>
    </w:r>
  </w:p>
  <w:p w:rsidR="00F13243" w:rsidRDefault="00F13243"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C7409B">
      <w:rPr>
        <w:noProof/>
        <w:szCs w:val="24"/>
      </w:rPr>
      <w:t>1302</w:t>
    </w:r>
    <w:r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243" w:rsidRDefault="00F13243" w:rsidP="00782AE4">
    <w:pPr>
      <w:tabs>
        <w:tab w:val="center" w:pos="4680"/>
      </w:tabs>
    </w:pPr>
    <w:r>
      <w:pict>
        <v:rect id="_x0000_i1071" style="width:480.95pt;height:1pt" o:hralign="center" o:hrstd="t" o:hrnoshade="t" o:hr="t" fillcolor="black [3213]" stroked="f"/>
      </w:pict>
    </w:r>
  </w:p>
  <w:p w:rsidR="00F13243" w:rsidRDefault="00F13243"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C7409B">
      <w:rPr>
        <w:noProof/>
        <w:szCs w:val="24"/>
      </w:rPr>
      <w:t>1295</w:t>
    </w:r>
    <w:r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243" w:rsidRPr="00924065" w:rsidRDefault="00F13243"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243" w:rsidRDefault="00F13243" w:rsidP="00A87207">
    <w:pPr>
      <w:pStyle w:val="Footer"/>
    </w:pPr>
    <w:r>
      <w:pict>
        <v:rect id="_x0000_i1049" style="width:480.95pt;height:1pt" o:hralign="center" o:hrstd="t" o:hrnoshade="t" o:hr="t" fillcolor="black [3213]" stroked="f"/>
      </w:pict>
    </w:r>
  </w:p>
  <w:p w:rsidR="00F13243" w:rsidRPr="00B7374B" w:rsidRDefault="00F1324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243" w:rsidRDefault="00F13243"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0" style="width:480.95pt;height:1pt" o:hralign="center" o:hrstd="t" o:hrnoshade="t" o:hr="t" fillcolor="black [3213]" stroked="f"/>
      </w:pict>
    </w:r>
  </w:p>
  <w:p w:rsidR="00F13243" w:rsidRPr="00954D22" w:rsidRDefault="00F1324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7409B">
      <w:rPr>
        <w:noProof/>
        <w:szCs w:val="24"/>
      </w:rPr>
      <w:t>1268</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243" w:rsidRDefault="00F132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F13243" w:rsidRDefault="00F132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13243" w:rsidRDefault="00F13243">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243" w:rsidRDefault="00F132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2" style="width:480.95pt;height:1pt" o:hralign="center" o:hrstd="t" o:hrnoshade="t" o:hr="t" fillcolor="black [3213]" stroked="f"/>
      </w:pict>
    </w:r>
  </w:p>
  <w:p w:rsidR="00F13243" w:rsidRPr="0009648D" w:rsidRDefault="00F13243" w:rsidP="00ED7E83">
    <w:pPr>
      <w:tabs>
        <w:tab w:val="center" w:pos="4680"/>
      </w:tabs>
    </w:pPr>
    <w:r>
      <w:tab/>
    </w:r>
    <w:r w:rsidRPr="0009648D">
      <w:t xml:space="preserve">- </w:t>
    </w:r>
    <w:r>
      <w:fldChar w:fldCharType="begin"/>
    </w:r>
    <w:r>
      <w:instrText xml:space="preserve"> PAGE   \* MERGEFORMAT </w:instrText>
    </w:r>
    <w:r>
      <w:fldChar w:fldCharType="separate"/>
    </w:r>
    <w:r w:rsidR="00C7409B">
      <w:rPr>
        <w:noProof/>
      </w:rPr>
      <w:t>1285</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243" w:rsidRDefault="00F13243">
    <w:pPr>
      <w:pStyle w:val="Footer"/>
      <w:rPr>
        <w:lang w:val="fr-CA"/>
      </w:rPr>
    </w:pPr>
    <w:r>
      <w:rPr>
        <w:lang w:val="fr-CA"/>
      </w:rPr>
      <w:pict>
        <v:rect id="_x0000_i1053" style="width:480.95pt;height:1pt" o:hralign="center" o:hrstd="t" o:hrnoshade="t" o:hr="t" fillcolor="black [3213]" stroked="f"/>
      </w:pict>
    </w:r>
  </w:p>
  <w:p w:rsidR="00F13243" w:rsidRDefault="00F13243" w:rsidP="00245129">
    <w:pPr>
      <w:tabs>
        <w:tab w:val="center" w:pos="4680"/>
      </w:tabs>
    </w:pPr>
    <w:r>
      <w:tab/>
    </w:r>
    <w:r w:rsidRPr="0009648D">
      <w:t xml:space="preserve">- </w:t>
    </w:r>
    <w:r>
      <w:fldChar w:fldCharType="begin"/>
    </w:r>
    <w:r>
      <w:instrText xml:space="preserve"> PAGE   \* MERGEFORMAT </w:instrText>
    </w:r>
    <w:r>
      <w:fldChar w:fldCharType="separate"/>
    </w:r>
    <w:r w:rsidR="00C7409B">
      <w:rPr>
        <w:noProof/>
      </w:rPr>
      <w:t>1269</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243" w:rsidRDefault="00F132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13243" w:rsidRDefault="00F132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13243" w:rsidRDefault="00F13243">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243" w:rsidRDefault="00F13243" w:rsidP="00755F22">
    <w:pPr>
      <w:tabs>
        <w:tab w:val="left" w:pos="-1440"/>
        <w:tab w:val="left" w:pos="-720"/>
      </w:tabs>
    </w:pPr>
    <w:r>
      <w:pict>
        <v:rect id="_x0000_i1055" style="width:480.95pt;height:1pt" o:hralign="center" o:hrstd="t" o:hrnoshade="t" o:hr="t" fillcolor="black [3213]" stroked="f"/>
      </w:pict>
    </w:r>
  </w:p>
  <w:p w:rsidR="00F13243" w:rsidRDefault="00F13243" w:rsidP="00EB2B90">
    <w:pPr>
      <w:tabs>
        <w:tab w:val="center" w:pos="4680"/>
      </w:tabs>
    </w:pPr>
    <w:r>
      <w:tab/>
      <w:t xml:space="preserve">- </w:t>
    </w:r>
    <w:r>
      <w:fldChar w:fldCharType="begin"/>
    </w:r>
    <w:r>
      <w:instrText xml:space="preserve"> PAGE   \* MERGEFORMAT </w:instrText>
    </w:r>
    <w:r>
      <w:fldChar w:fldCharType="separate"/>
    </w:r>
    <w:r w:rsidR="00C7409B">
      <w:rPr>
        <w:noProof/>
      </w:rPr>
      <w:t>1287</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243" w:rsidRDefault="00F13243" w:rsidP="00A87207">
      <w:r>
        <w:separator/>
      </w:r>
    </w:p>
  </w:footnote>
  <w:footnote w:type="continuationSeparator" w:id="0">
    <w:p w:rsidR="00F13243" w:rsidRDefault="00F1324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F13243" w:rsidRPr="0044776A" w:rsidTr="00245129">
      <w:tc>
        <w:tcPr>
          <w:tcW w:w="4290" w:type="dxa"/>
          <w:tcMar>
            <w:left w:w="0" w:type="dxa"/>
            <w:right w:w="0" w:type="dxa"/>
          </w:tcMar>
        </w:tcPr>
        <w:p w:rsidR="00F13243" w:rsidRPr="0044776A" w:rsidRDefault="00F13243"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F13243" w:rsidRPr="0044776A" w:rsidRDefault="00F13243" w:rsidP="002E2327">
          <w:pPr>
            <w:keepNext/>
            <w:keepLines/>
            <w:tabs>
              <w:tab w:val="left" w:pos="-1440"/>
              <w:tab w:val="left" w:pos="-720"/>
            </w:tabs>
            <w:jc w:val="center"/>
            <w:rPr>
              <w:sz w:val="20"/>
              <w:szCs w:val="20"/>
            </w:rPr>
          </w:pPr>
        </w:p>
        <w:p w:rsidR="00F13243" w:rsidRPr="0044776A" w:rsidRDefault="00F13243" w:rsidP="002E2327">
          <w:pPr>
            <w:keepNext/>
            <w:keepLines/>
            <w:tabs>
              <w:tab w:val="left" w:pos="-1440"/>
              <w:tab w:val="left" w:pos="-720"/>
            </w:tabs>
            <w:jc w:val="center"/>
            <w:rPr>
              <w:sz w:val="20"/>
              <w:szCs w:val="20"/>
            </w:rPr>
          </w:pPr>
        </w:p>
        <w:p w:rsidR="00F13243" w:rsidRPr="0044776A" w:rsidRDefault="00F13243" w:rsidP="002E2327">
          <w:pPr>
            <w:keepNext/>
            <w:keepLines/>
            <w:tabs>
              <w:tab w:val="left" w:pos="-1440"/>
              <w:tab w:val="left" w:pos="-720"/>
            </w:tabs>
            <w:jc w:val="center"/>
            <w:rPr>
              <w:sz w:val="20"/>
              <w:szCs w:val="20"/>
            </w:rPr>
          </w:pPr>
        </w:p>
      </w:tc>
      <w:tc>
        <w:tcPr>
          <w:tcW w:w="4320" w:type="dxa"/>
          <w:tcMar>
            <w:left w:w="0" w:type="dxa"/>
            <w:right w:w="0" w:type="dxa"/>
          </w:tcMar>
        </w:tcPr>
        <w:p w:rsidR="00F13243" w:rsidRPr="0044776A" w:rsidRDefault="00F13243" w:rsidP="002E2327">
          <w:pPr>
            <w:keepLines/>
            <w:rPr>
              <w:sz w:val="20"/>
              <w:szCs w:val="20"/>
              <w:lang w:val="fr-CA"/>
            </w:rPr>
          </w:pPr>
          <w:r w:rsidRPr="0044776A">
            <w:rPr>
              <w:sz w:val="20"/>
              <w:szCs w:val="20"/>
              <w:lang w:val="fr-CA"/>
            </w:rPr>
            <w:t>DEMANDES D'AUTORISATION D'APPEL DÉPOSÉES</w:t>
          </w:r>
        </w:p>
      </w:tc>
    </w:tr>
  </w:tbl>
  <w:p w:rsidR="00F13243" w:rsidRDefault="00F1324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243" w:rsidRDefault="00F1324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13243" w:rsidRPr="00DB1C5D">
      <w:tc>
        <w:tcPr>
          <w:tcW w:w="4200" w:type="dxa"/>
          <w:tcMar>
            <w:left w:w="0" w:type="dxa"/>
            <w:right w:w="0" w:type="dxa"/>
          </w:tcMar>
        </w:tcPr>
        <w:p w:rsidR="00F13243" w:rsidRDefault="00F132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F13243" w:rsidRDefault="00F132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13243" w:rsidRPr="00B01A03" w:rsidRDefault="00F1324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F13243" w:rsidRPr="00B01A03" w:rsidRDefault="00F132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13243" w:rsidRPr="00B01A03" w:rsidRDefault="00F132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13243" w:rsidRPr="00DB1C5D" w:rsidTr="00245129">
      <w:tc>
        <w:tcPr>
          <w:tcW w:w="4200" w:type="dxa"/>
          <w:tcMar>
            <w:left w:w="0" w:type="dxa"/>
            <w:right w:w="0" w:type="dxa"/>
          </w:tcMar>
        </w:tcPr>
        <w:p w:rsidR="00F13243" w:rsidRPr="00F40249" w:rsidRDefault="00F13243"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F13243" w:rsidRDefault="00F13243" w:rsidP="00102926">
          <w:pPr>
            <w:keepNext/>
            <w:keepLines/>
            <w:tabs>
              <w:tab w:val="left" w:pos="-1440"/>
              <w:tab w:val="left" w:pos="-720"/>
            </w:tabs>
            <w:jc w:val="center"/>
            <w:rPr>
              <w:sz w:val="20"/>
              <w:szCs w:val="20"/>
            </w:rPr>
          </w:pPr>
        </w:p>
        <w:p w:rsidR="00F13243" w:rsidRDefault="00F13243" w:rsidP="00102926">
          <w:pPr>
            <w:keepNext/>
            <w:keepLines/>
            <w:tabs>
              <w:tab w:val="left" w:pos="-1440"/>
              <w:tab w:val="left" w:pos="-720"/>
            </w:tabs>
            <w:jc w:val="center"/>
            <w:rPr>
              <w:sz w:val="20"/>
              <w:szCs w:val="20"/>
            </w:rPr>
          </w:pPr>
        </w:p>
        <w:p w:rsidR="00F13243" w:rsidRPr="00F40249" w:rsidRDefault="00F13243" w:rsidP="00102926">
          <w:pPr>
            <w:keepNext/>
            <w:keepLines/>
            <w:tabs>
              <w:tab w:val="left" w:pos="-1440"/>
              <w:tab w:val="left" w:pos="-720"/>
            </w:tabs>
            <w:jc w:val="center"/>
            <w:rPr>
              <w:sz w:val="20"/>
              <w:szCs w:val="20"/>
            </w:rPr>
          </w:pPr>
        </w:p>
      </w:tc>
      <w:tc>
        <w:tcPr>
          <w:tcW w:w="4230" w:type="dxa"/>
          <w:tcMar>
            <w:left w:w="0" w:type="dxa"/>
            <w:right w:w="0" w:type="dxa"/>
          </w:tcMar>
        </w:tcPr>
        <w:p w:rsidR="00F13243" w:rsidRPr="00F40249" w:rsidRDefault="00F13243"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F13243" w:rsidRPr="00B01A03" w:rsidRDefault="00F13243"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243" w:rsidRDefault="00F1324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13243" w:rsidRPr="00DB1C5D">
      <w:tc>
        <w:tcPr>
          <w:tcW w:w="4200" w:type="dxa"/>
          <w:tcMar>
            <w:left w:w="0" w:type="dxa"/>
            <w:right w:w="0" w:type="dxa"/>
          </w:tcMar>
        </w:tcPr>
        <w:p w:rsidR="00F13243" w:rsidRDefault="00F132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F13243" w:rsidRDefault="00F132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13243" w:rsidRPr="00283C52" w:rsidRDefault="00F1324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F13243" w:rsidRPr="00283C52" w:rsidRDefault="00F132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13243" w:rsidRPr="00283C52" w:rsidRDefault="00F132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13243" w:rsidRPr="00DB1C5D" w:rsidTr="00245129">
      <w:tc>
        <w:tcPr>
          <w:tcW w:w="4200" w:type="dxa"/>
          <w:tcMar>
            <w:left w:w="0" w:type="dxa"/>
            <w:right w:w="0" w:type="dxa"/>
          </w:tcMar>
        </w:tcPr>
        <w:p w:rsidR="00F13243" w:rsidRPr="00732DB7" w:rsidRDefault="00F13243"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F13243" w:rsidRPr="00732DB7" w:rsidRDefault="00F13243" w:rsidP="00732DB7">
          <w:pPr>
            <w:keepNext/>
            <w:keepLines/>
            <w:tabs>
              <w:tab w:val="left" w:pos="-1440"/>
              <w:tab w:val="left" w:pos="-720"/>
            </w:tabs>
            <w:jc w:val="center"/>
            <w:rPr>
              <w:sz w:val="20"/>
              <w:szCs w:val="20"/>
            </w:rPr>
          </w:pPr>
        </w:p>
        <w:p w:rsidR="00F13243" w:rsidRPr="00732DB7" w:rsidRDefault="00F13243" w:rsidP="00732DB7">
          <w:pPr>
            <w:keepNext/>
            <w:keepLines/>
            <w:tabs>
              <w:tab w:val="left" w:pos="-1440"/>
              <w:tab w:val="left" w:pos="-720"/>
            </w:tabs>
            <w:jc w:val="center"/>
            <w:rPr>
              <w:sz w:val="20"/>
              <w:szCs w:val="20"/>
            </w:rPr>
          </w:pPr>
        </w:p>
        <w:p w:rsidR="00F13243" w:rsidRPr="00732DB7" w:rsidRDefault="00F13243" w:rsidP="00732DB7">
          <w:pPr>
            <w:keepNext/>
            <w:keepLines/>
            <w:tabs>
              <w:tab w:val="left" w:pos="-1440"/>
              <w:tab w:val="left" w:pos="-720"/>
            </w:tabs>
            <w:jc w:val="center"/>
            <w:rPr>
              <w:sz w:val="20"/>
              <w:szCs w:val="20"/>
            </w:rPr>
          </w:pPr>
        </w:p>
      </w:tc>
      <w:tc>
        <w:tcPr>
          <w:tcW w:w="4080" w:type="dxa"/>
          <w:tcMar>
            <w:left w:w="0" w:type="dxa"/>
            <w:right w:w="0" w:type="dxa"/>
          </w:tcMar>
        </w:tcPr>
        <w:p w:rsidR="00F13243" w:rsidRPr="00732DB7" w:rsidRDefault="00F13243"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F13243" w:rsidRPr="00283C52" w:rsidRDefault="00F13243"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243" w:rsidRDefault="00F1324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13243" w:rsidRPr="00DB1C5D">
      <w:tc>
        <w:tcPr>
          <w:tcW w:w="4200" w:type="dxa"/>
          <w:tcMar>
            <w:left w:w="0" w:type="dxa"/>
            <w:right w:w="0" w:type="dxa"/>
          </w:tcMar>
        </w:tcPr>
        <w:p w:rsidR="00F13243" w:rsidRDefault="00F132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F13243" w:rsidRDefault="00F132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F13243" w:rsidRDefault="00F132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F13243" w:rsidRPr="003C2C0F" w:rsidRDefault="00F1324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F13243" w:rsidRPr="003C2C0F" w:rsidRDefault="00F132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F13243" w:rsidRPr="003C2C0F" w:rsidRDefault="00F132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13243" w:rsidRPr="00DB1C5D" w:rsidTr="00245129">
      <w:tc>
        <w:tcPr>
          <w:tcW w:w="4200" w:type="dxa"/>
          <w:tcMar>
            <w:left w:w="0" w:type="dxa"/>
            <w:right w:w="0" w:type="dxa"/>
          </w:tcMar>
        </w:tcPr>
        <w:p w:rsidR="00F13243" w:rsidRPr="00FF6EEC" w:rsidRDefault="00F13243" w:rsidP="00FF6EEC">
          <w:pPr>
            <w:rPr>
              <w:sz w:val="20"/>
              <w:szCs w:val="20"/>
            </w:rPr>
          </w:pPr>
          <w:r w:rsidRPr="00FF6EEC">
            <w:rPr>
              <w:sz w:val="20"/>
              <w:szCs w:val="20"/>
            </w:rPr>
            <w:t>PRONOUNCEMENTS OF APPEALS RESERVED</w:t>
          </w:r>
        </w:p>
      </w:tc>
      <w:tc>
        <w:tcPr>
          <w:tcW w:w="1200" w:type="dxa"/>
          <w:tcMar>
            <w:left w:w="0" w:type="dxa"/>
            <w:right w:w="0" w:type="dxa"/>
          </w:tcMar>
        </w:tcPr>
        <w:p w:rsidR="00F13243" w:rsidRPr="00FF6EEC" w:rsidRDefault="00F13243" w:rsidP="00FF6EEC">
          <w:pPr>
            <w:jc w:val="center"/>
            <w:rPr>
              <w:sz w:val="20"/>
              <w:szCs w:val="20"/>
            </w:rPr>
          </w:pPr>
        </w:p>
        <w:p w:rsidR="00F13243" w:rsidRPr="00FF6EEC" w:rsidRDefault="00F13243" w:rsidP="00FF6EEC">
          <w:pPr>
            <w:jc w:val="center"/>
            <w:rPr>
              <w:sz w:val="20"/>
              <w:szCs w:val="20"/>
            </w:rPr>
          </w:pPr>
        </w:p>
        <w:p w:rsidR="00F13243" w:rsidRPr="00FF6EEC" w:rsidRDefault="00F13243" w:rsidP="00FF6EEC">
          <w:pPr>
            <w:jc w:val="center"/>
            <w:rPr>
              <w:sz w:val="20"/>
              <w:szCs w:val="20"/>
            </w:rPr>
          </w:pPr>
        </w:p>
      </w:tc>
      <w:tc>
        <w:tcPr>
          <w:tcW w:w="4080" w:type="dxa"/>
          <w:tcMar>
            <w:left w:w="0" w:type="dxa"/>
            <w:right w:w="0" w:type="dxa"/>
          </w:tcMar>
        </w:tcPr>
        <w:p w:rsidR="00F13243" w:rsidRPr="00FF6EEC" w:rsidRDefault="00F13243" w:rsidP="00FF6EEC">
          <w:pPr>
            <w:rPr>
              <w:sz w:val="20"/>
              <w:szCs w:val="20"/>
              <w:lang w:val="fr-CA"/>
            </w:rPr>
          </w:pPr>
          <w:r w:rsidRPr="00FF6EEC">
            <w:rPr>
              <w:sz w:val="20"/>
              <w:szCs w:val="20"/>
              <w:lang w:val="fr-CA"/>
            </w:rPr>
            <w:t>JUGEMENTS RENDUS SUR LES APPELS EN DÉLIBÉRÉ</w:t>
          </w:r>
        </w:p>
      </w:tc>
    </w:tr>
  </w:tbl>
  <w:p w:rsidR="00F13243" w:rsidRPr="003C2C0F" w:rsidRDefault="00F13243"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243" w:rsidRDefault="00F132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243" w:rsidRDefault="00F1324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13243">
      <w:tc>
        <w:tcPr>
          <w:tcW w:w="4230" w:type="dxa"/>
          <w:tcMar>
            <w:left w:w="0" w:type="dxa"/>
            <w:right w:w="0" w:type="dxa"/>
          </w:tcMar>
        </w:tcPr>
        <w:p w:rsidR="00F13243" w:rsidRDefault="00F132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F13243" w:rsidRDefault="00F132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F13243" w:rsidRDefault="00F132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F13243" w:rsidRDefault="00F132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13243" w:rsidRDefault="00F132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F13243" w:rsidRDefault="00F1324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F13243" w:rsidRDefault="00F132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13243" w:rsidRDefault="00F132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13243" w:rsidRPr="00782AE4" w:rsidTr="00245129">
      <w:tc>
        <w:tcPr>
          <w:tcW w:w="4230" w:type="dxa"/>
          <w:tcMar>
            <w:left w:w="0" w:type="dxa"/>
            <w:right w:w="0" w:type="dxa"/>
          </w:tcMar>
        </w:tcPr>
        <w:p w:rsidR="00F13243" w:rsidRPr="00782AE4" w:rsidRDefault="00F13243" w:rsidP="00102926">
          <w:pPr>
            <w:keepNext/>
            <w:keepLines/>
            <w:tabs>
              <w:tab w:val="left" w:pos="-1440"/>
              <w:tab w:val="left" w:pos="-720"/>
            </w:tabs>
            <w:rPr>
              <w:sz w:val="20"/>
              <w:szCs w:val="20"/>
            </w:rPr>
          </w:pPr>
          <w:r w:rsidRPr="00782AE4">
            <w:rPr>
              <w:sz w:val="20"/>
              <w:szCs w:val="20"/>
            </w:rPr>
            <w:t xml:space="preserve">HEADNOTES OF RECENT </w:t>
          </w:r>
        </w:p>
        <w:p w:rsidR="00F13243" w:rsidRPr="00782AE4" w:rsidRDefault="00F132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F13243" w:rsidRDefault="00F13243" w:rsidP="00102926">
          <w:pPr>
            <w:keepNext/>
            <w:keepLines/>
            <w:tabs>
              <w:tab w:val="left" w:pos="-1440"/>
              <w:tab w:val="left" w:pos="-720"/>
            </w:tabs>
            <w:jc w:val="center"/>
            <w:rPr>
              <w:sz w:val="20"/>
              <w:szCs w:val="20"/>
            </w:rPr>
          </w:pPr>
        </w:p>
        <w:p w:rsidR="00F13243" w:rsidRDefault="00F13243" w:rsidP="00102926">
          <w:pPr>
            <w:keepNext/>
            <w:keepLines/>
            <w:tabs>
              <w:tab w:val="left" w:pos="-1440"/>
              <w:tab w:val="left" w:pos="-720"/>
            </w:tabs>
            <w:jc w:val="center"/>
            <w:rPr>
              <w:sz w:val="20"/>
              <w:szCs w:val="20"/>
            </w:rPr>
          </w:pPr>
        </w:p>
        <w:p w:rsidR="00F13243" w:rsidRPr="00782AE4" w:rsidRDefault="00F13243" w:rsidP="00102926">
          <w:pPr>
            <w:keepNext/>
            <w:keepLines/>
            <w:tabs>
              <w:tab w:val="left" w:pos="-1440"/>
              <w:tab w:val="left" w:pos="-720"/>
            </w:tabs>
            <w:jc w:val="center"/>
            <w:rPr>
              <w:sz w:val="20"/>
              <w:szCs w:val="20"/>
            </w:rPr>
          </w:pPr>
        </w:p>
      </w:tc>
      <w:tc>
        <w:tcPr>
          <w:tcW w:w="4080" w:type="dxa"/>
          <w:tcMar>
            <w:left w:w="0" w:type="dxa"/>
            <w:right w:w="0" w:type="dxa"/>
          </w:tcMar>
        </w:tcPr>
        <w:p w:rsidR="00F13243" w:rsidRPr="00102926" w:rsidRDefault="00F132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F13243" w:rsidRPr="00782AE4" w:rsidRDefault="00F13243" w:rsidP="00102926">
          <w:pPr>
            <w:keepLines/>
            <w:tabs>
              <w:tab w:val="left" w:pos="-1440"/>
              <w:tab w:val="left" w:pos="-720"/>
            </w:tabs>
            <w:rPr>
              <w:sz w:val="20"/>
              <w:szCs w:val="20"/>
            </w:rPr>
          </w:pPr>
          <w:r w:rsidRPr="00102926">
            <w:rPr>
              <w:sz w:val="20"/>
              <w:szCs w:val="20"/>
              <w:lang w:val="fr-CA"/>
            </w:rPr>
            <w:t>RÉCENTS</w:t>
          </w:r>
        </w:p>
      </w:tc>
    </w:tr>
  </w:tbl>
  <w:p w:rsidR="00F13243" w:rsidRDefault="00F13243"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243" w:rsidRDefault="00F13243">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243" w:rsidRDefault="00F132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13243" w:rsidRPr="00DB1C5D" w:rsidTr="00245129">
      <w:tc>
        <w:tcPr>
          <w:tcW w:w="4200" w:type="dxa"/>
          <w:tcMar>
            <w:left w:w="0" w:type="dxa"/>
            <w:right w:w="0" w:type="dxa"/>
          </w:tcMar>
        </w:tcPr>
        <w:p w:rsidR="00F13243" w:rsidRPr="0044776A" w:rsidRDefault="00F13243" w:rsidP="0044776A">
          <w:pPr>
            <w:keepNext/>
            <w:keepLines/>
            <w:widowControl w:val="0"/>
            <w:rPr>
              <w:sz w:val="20"/>
              <w:szCs w:val="20"/>
            </w:rPr>
          </w:pPr>
          <w:r>
            <w:rPr>
              <w:sz w:val="20"/>
              <w:szCs w:val="20"/>
            </w:rPr>
            <w:t>APPLICATIONS FOR LEAVE</w:t>
          </w:r>
        </w:p>
        <w:p w:rsidR="00F13243" w:rsidRPr="0044776A" w:rsidRDefault="00F13243"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F13243" w:rsidRPr="0044776A" w:rsidRDefault="00F13243" w:rsidP="0044776A">
          <w:pPr>
            <w:keepNext/>
            <w:keepLines/>
            <w:widowControl w:val="0"/>
            <w:jc w:val="center"/>
            <w:rPr>
              <w:sz w:val="20"/>
              <w:szCs w:val="20"/>
            </w:rPr>
          </w:pPr>
        </w:p>
        <w:p w:rsidR="00F13243" w:rsidRPr="0044776A" w:rsidRDefault="00F13243" w:rsidP="0044776A">
          <w:pPr>
            <w:keepNext/>
            <w:keepLines/>
            <w:widowControl w:val="0"/>
            <w:jc w:val="center"/>
            <w:rPr>
              <w:sz w:val="20"/>
              <w:szCs w:val="20"/>
            </w:rPr>
          </w:pPr>
        </w:p>
        <w:p w:rsidR="00F13243" w:rsidRPr="0044776A" w:rsidRDefault="00F13243" w:rsidP="0044776A">
          <w:pPr>
            <w:keepNext/>
            <w:keepLines/>
            <w:widowControl w:val="0"/>
            <w:jc w:val="center"/>
            <w:rPr>
              <w:sz w:val="20"/>
              <w:szCs w:val="20"/>
            </w:rPr>
          </w:pPr>
        </w:p>
      </w:tc>
      <w:tc>
        <w:tcPr>
          <w:tcW w:w="4080" w:type="dxa"/>
          <w:tcMar>
            <w:left w:w="0" w:type="dxa"/>
            <w:right w:w="0" w:type="dxa"/>
          </w:tcMar>
        </w:tcPr>
        <w:p w:rsidR="00F13243" w:rsidRPr="0044776A" w:rsidRDefault="00F13243" w:rsidP="0044776A">
          <w:pPr>
            <w:keepLines/>
            <w:widowControl w:val="0"/>
            <w:rPr>
              <w:sz w:val="20"/>
              <w:szCs w:val="20"/>
              <w:lang w:val="fr-CA"/>
            </w:rPr>
          </w:pPr>
          <w:r w:rsidRPr="0044776A">
            <w:rPr>
              <w:sz w:val="20"/>
              <w:szCs w:val="20"/>
              <w:lang w:val="fr-CA"/>
            </w:rPr>
            <w:t>DEMANDES SOUMISES À LA COUR DEPUIS LA DERNIÈRE PARUTION</w:t>
          </w:r>
        </w:p>
        <w:p w:rsidR="00F13243" w:rsidRPr="0044776A" w:rsidRDefault="00F13243" w:rsidP="0044776A">
          <w:pPr>
            <w:widowControl w:val="0"/>
            <w:rPr>
              <w:sz w:val="20"/>
              <w:szCs w:val="20"/>
              <w:lang w:val="fr-CA"/>
            </w:rPr>
          </w:pPr>
        </w:p>
      </w:tc>
    </w:tr>
  </w:tbl>
  <w:p w:rsidR="00F13243" w:rsidRPr="002E2327" w:rsidRDefault="00F13243">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243" w:rsidRDefault="00F1324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13243" w:rsidRPr="00DB1C5D">
      <w:tc>
        <w:tcPr>
          <w:tcW w:w="4200" w:type="dxa"/>
          <w:tcMar>
            <w:left w:w="0" w:type="dxa"/>
            <w:right w:w="0" w:type="dxa"/>
          </w:tcMar>
        </w:tcPr>
        <w:p w:rsidR="00F13243" w:rsidRDefault="00F132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F13243" w:rsidRDefault="00F132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F13243" w:rsidRDefault="00F1324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13243" w:rsidRPr="00FF6BA5" w:rsidRDefault="00F1324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F13243" w:rsidRPr="00FF6BA5" w:rsidRDefault="00F132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F13243" w:rsidRPr="00FF6BA5" w:rsidRDefault="00F132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F13243" w:rsidRPr="00FF6BA5" w:rsidRDefault="00F132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13243" w:rsidRPr="00DB1C5D" w:rsidTr="00245129">
      <w:tc>
        <w:tcPr>
          <w:tcW w:w="4200" w:type="dxa"/>
          <w:tcMar>
            <w:left w:w="0" w:type="dxa"/>
            <w:right w:w="0" w:type="dxa"/>
          </w:tcMar>
        </w:tcPr>
        <w:p w:rsidR="00F13243" w:rsidRPr="00755F22" w:rsidRDefault="00F132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F13243" w:rsidRPr="00755F22" w:rsidRDefault="00F132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F13243" w:rsidRPr="00755F22" w:rsidRDefault="00F1324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13243" w:rsidRPr="00755F22" w:rsidRDefault="00F1324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13243" w:rsidRPr="00755F22" w:rsidRDefault="00F1324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F13243" w:rsidRPr="00755F22" w:rsidRDefault="00F1324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F13243" w:rsidRPr="00FF6BA5" w:rsidRDefault="00F13243"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243" w:rsidRDefault="00F1324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13243">
      <w:tc>
        <w:tcPr>
          <w:tcW w:w="4230" w:type="dxa"/>
          <w:tcMar>
            <w:left w:w="0" w:type="dxa"/>
            <w:right w:w="0" w:type="dxa"/>
          </w:tcMar>
        </w:tcPr>
        <w:p w:rsidR="00F13243" w:rsidRDefault="00F132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F13243" w:rsidRDefault="00F1324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13243" w:rsidRDefault="00F1324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F13243">
      <w:trPr>
        <w:gridAfter w:val="2"/>
        <w:wAfter w:w="5250" w:type="dxa"/>
      </w:trPr>
      <w:tc>
        <w:tcPr>
          <w:tcW w:w="4230" w:type="dxa"/>
          <w:tcMar>
            <w:left w:w="0" w:type="dxa"/>
            <w:right w:w="0" w:type="dxa"/>
          </w:tcMar>
        </w:tcPr>
        <w:p w:rsidR="00F13243" w:rsidRDefault="00F132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13243" w:rsidRDefault="00F132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13243" w:rsidRPr="00755F22" w:rsidTr="00245129">
      <w:tc>
        <w:tcPr>
          <w:tcW w:w="4230" w:type="dxa"/>
          <w:tcMar>
            <w:left w:w="0" w:type="dxa"/>
            <w:right w:w="0" w:type="dxa"/>
          </w:tcMar>
        </w:tcPr>
        <w:p w:rsidR="00F13243" w:rsidRPr="00755F22" w:rsidRDefault="00F13243" w:rsidP="00831CA9">
          <w:pPr>
            <w:keepNext/>
            <w:keepLines/>
            <w:rPr>
              <w:sz w:val="20"/>
              <w:szCs w:val="20"/>
            </w:rPr>
          </w:pPr>
          <w:r w:rsidRPr="00755F22">
            <w:rPr>
              <w:sz w:val="20"/>
              <w:szCs w:val="20"/>
            </w:rPr>
            <w:t>MOTIONS</w:t>
          </w:r>
        </w:p>
      </w:tc>
      <w:tc>
        <w:tcPr>
          <w:tcW w:w="1170" w:type="dxa"/>
          <w:tcMar>
            <w:left w:w="0" w:type="dxa"/>
            <w:right w:w="0" w:type="dxa"/>
          </w:tcMar>
        </w:tcPr>
        <w:p w:rsidR="00F13243" w:rsidRPr="00755F22" w:rsidRDefault="00F13243" w:rsidP="00831CA9">
          <w:pPr>
            <w:keepLines/>
            <w:jc w:val="center"/>
            <w:rPr>
              <w:sz w:val="20"/>
              <w:szCs w:val="20"/>
            </w:rPr>
          </w:pPr>
        </w:p>
        <w:p w:rsidR="00F13243" w:rsidRPr="00755F22" w:rsidRDefault="00F13243" w:rsidP="00831CA9">
          <w:pPr>
            <w:keepLines/>
            <w:tabs>
              <w:tab w:val="left" w:pos="-1440"/>
              <w:tab w:val="left" w:pos="-720"/>
            </w:tabs>
            <w:jc w:val="center"/>
            <w:rPr>
              <w:sz w:val="20"/>
              <w:szCs w:val="20"/>
            </w:rPr>
          </w:pPr>
        </w:p>
      </w:tc>
      <w:tc>
        <w:tcPr>
          <w:tcW w:w="4080" w:type="dxa"/>
          <w:tcMar>
            <w:left w:w="0" w:type="dxa"/>
            <w:right w:w="0" w:type="dxa"/>
          </w:tcMar>
        </w:tcPr>
        <w:p w:rsidR="00F13243" w:rsidRPr="00BA6468" w:rsidRDefault="00F13243" w:rsidP="00BA6468">
          <w:pPr>
            <w:keepLines/>
            <w:rPr>
              <w:sz w:val="20"/>
              <w:szCs w:val="20"/>
              <w:lang w:val="fr-CA"/>
            </w:rPr>
          </w:pPr>
          <w:r w:rsidRPr="00BA6468">
            <w:rPr>
              <w:sz w:val="20"/>
              <w:szCs w:val="20"/>
              <w:lang w:val="fr-CA"/>
            </w:rPr>
            <w:t>REQUÊTES</w:t>
          </w:r>
        </w:p>
      </w:tc>
    </w:tr>
  </w:tbl>
  <w:p w:rsidR="00F13243" w:rsidRDefault="00F13243"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8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2C"/>
    <w:rsid w:val="00002704"/>
    <w:rsid w:val="00020DC3"/>
    <w:rsid w:val="000251FC"/>
    <w:rsid w:val="0003223B"/>
    <w:rsid w:val="000327B2"/>
    <w:rsid w:val="0004528B"/>
    <w:rsid w:val="00060581"/>
    <w:rsid w:val="00064FBA"/>
    <w:rsid w:val="000771F6"/>
    <w:rsid w:val="00090708"/>
    <w:rsid w:val="00091FA6"/>
    <w:rsid w:val="00096BD9"/>
    <w:rsid w:val="000B2AD2"/>
    <w:rsid w:val="000B3C9A"/>
    <w:rsid w:val="000B40A2"/>
    <w:rsid w:val="000B4624"/>
    <w:rsid w:val="000C0ACD"/>
    <w:rsid w:val="000C0D2A"/>
    <w:rsid w:val="000C5CE8"/>
    <w:rsid w:val="000E27A5"/>
    <w:rsid w:val="000E2959"/>
    <w:rsid w:val="000F0B60"/>
    <w:rsid w:val="00102926"/>
    <w:rsid w:val="0010587F"/>
    <w:rsid w:val="00111C6B"/>
    <w:rsid w:val="0012102B"/>
    <w:rsid w:val="00121C9D"/>
    <w:rsid w:val="0013369E"/>
    <w:rsid w:val="0013595D"/>
    <w:rsid w:val="00164E6D"/>
    <w:rsid w:val="001668F8"/>
    <w:rsid w:val="00183454"/>
    <w:rsid w:val="00195F99"/>
    <w:rsid w:val="001B157C"/>
    <w:rsid w:val="001B4006"/>
    <w:rsid w:val="001B5C23"/>
    <w:rsid w:val="001D0D5F"/>
    <w:rsid w:val="001D6B8C"/>
    <w:rsid w:val="001F1F83"/>
    <w:rsid w:val="001F40DF"/>
    <w:rsid w:val="001F43F8"/>
    <w:rsid w:val="001F6B2D"/>
    <w:rsid w:val="002021A9"/>
    <w:rsid w:val="002139A7"/>
    <w:rsid w:val="00215F7C"/>
    <w:rsid w:val="0022323B"/>
    <w:rsid w:val="0023192C"/>
    <w:rsid w:val="002410B8"/>
    <w:rsid w:val="00242AEE"/>
    <w:rsid w:val="00245129"/>
    <w:rsid w:val="00245879"/>
    <w:rsid w:val="00253236"/>
    <w:rsid w:val="00255553"/>
    <w:rsid w:val="002669C7"/>
    <w:rsid w:val="00267FD5"/>
    <w:rsid w:val="00274D34"/>
    <w:rsid w:val="00283ED8"/>
    <w:rsid w:val="002868D0"/>
    <w:rsid w:val="00290BF2"/>
    <w:rsid w:val="0029559A"/>
    <w:rsid w:val="002A008C"/>
    <w:rsid w:val="002A27D1"/>
    <w:rsid w:val="002A48F4"/>
    <w:rsid w:val="002A4AFA"/>
    <w:rsid w:val="002B516C"/>
    <w:rsid w:val="002D72EB"/>
    <w:rsid w:val="002E2327"/>
    <w:rsid w:val="002E3583"/>
    <w:rsid w:val="002E5576"/>
    <w:rsid w:val="002F3E51"/>
    <w:rsid w:val="0030050B"/>
    <w:rsid w:val="003008F5"/>
    <w:rsid w:val="00302DE1"/>
    <w:rsid w:val="00314D3A"/>
    <w:rsid w:val="003206B7"/>
    <w:rsid w:val="003310D6"/>
    <w:rsid w:val="00331B52"/>
    <w:rsid w:val="003359D3"/>
    <w:rsid w:val="00351475"/>
    <w:rsid w:val="00355967"/>
    <w:rsid w:val="00382C47"/>
    <w:rsid w:val="00384384"/>
    <w:rsid w:val="003866AE"/>
    <w:rsid w:val="003A1ADC"/>
    <w:rsid w:val="003B0CBA"/>
    <w:rsid w:val="003B3977"/>
    <w:rsid w:val="003B545A"/>
    <w:rsid w:val="003C1CFE"/>
    <w:rsid w:val="003C28C4"/>
    <w:rsid w:val="003C5450"/>
    <w:rsid w:val="003E1D4C"/>
    <w:rsid w:val="003E5F3E"/>
    <w:rsid w:val="00400F0D"/>
    <w:rsid w:val="00403BCD"/>
    <w:rsid w:val="0041245B"/>
    <w:rsid w:val="004137A0"/>
    <w:rsid w:val="00422D9A"/>
    <w:rsid w:val="00432989"/>
    <w:rsid w:val="00440E24"/>
    <w:rsid w:val="0044776A"/>
    <w:rsid w:val="00460AFC"/>
    <w:rsid w:val="00472360"/>
    <w:rsid w:val="0047471F"/>
    <w:rsid w:val="004B195E"/>
    <w:rsid w:val="004B5088"/>
    <w:rsid w:val="004B66B4"/>
    <w:rsid w:val="004B7F60"/>
    <w:rsid w:val="004C1AAC"/>
    <w:rsid w:val="004E1E0A"/>
    <w:rsid w:val="004E4794"/>
    <w:rsid w:val="004E5524"/>
    <w:rsid w:val="004F090E"/>
    <w:rsid w:val="00501F3C"/>
    <w:rsid w:val="0052229C"/>
    <w:rsid w:val="00524FDC"/>
    <w:rsid w:val="00527CC7"/>
    <w:rsid w:val="0056248C"/>
    <w:rsid w:val="0056734C"/>
    <w:rsid w:val="00571CA4"/>
    <w:rsid w:val="00582136"/>
    <w:rsid w:val="00592C12"/>
    <w:rsid w:val="005B7B54"/>
    <w:rsid w:val="005C5E4E"/>
    <w:rsid w:val="005C6840"/>
    <w:rsid w:val="005F07EF"/>
    <w:rsid w:val="005F1ED8"/>
    <w:rsid w:val="005F263E"/>
    <w:rsid w:val="005F5535"/>
    <w:rsid w:val="00600252"/>
    <w:rsid w:val="00612A40"/>
    <w:rsid w:val="0062714A"/>
    <w:rsid w:val="00634998"/>
    <w:rsid w:val="00675479"/>
    <w:rsid w:val="00680709"/>
    <w:rsid w:val="00681F61"/>
    <w:rsid w:val="00696BF9"/>
    <w:rsid w:val="00697C62"/>
    <w:rsid w:val="006A329B"/>
    <w:rsid w:val="006A7EB8"/>
    <w:rsid w:val="006B6926"/>
    <w:rsid w:val="006C3F47"/>
    <w:rsid w:val="006C5F7A"/>
    <w:rsid w:val="006E06AF"/>
    <w:rsid w:val="006F350F"/>
    <w:rsid w:val="00732DB7"/>
    <w:rsid w:val="0074238B"/>
    <w:rsid w:val="00745EF7"/>
    <w:rsid w:val="00755C62"/>
    <w:rsid w:val="00755F22"/>
    <w:rsid w:val="00766E4A"/>
    <w:rsid w:val="007820CE"/>
    <w:rsid w:val="00782AE4"/>
    <w:rsid w:val="0079724F"/>
    <w:rsid w:val="007A3EAE"/>
    <w:rsid w:val="007B4DFF"/>
    <w:rsid w:val="007C04FC"/>
    <w:rsid w:val="007C3AA8"/>
    <w:rsid w:val="007C3DB0"/>
    <w:rsid w:val="007C47C2"/>
    <w:rsid w:val="007C645B"/>
    <w:rsid w:val="007D3E0F"/>
    <w:rsid w:val="007E4282"/>
    <w:rsid w:val="007F387B"/>
    <w:rsid w:val="00801E07"/>
    <w:rsid w:val="00802863"/>
    <w:rsid w:val="008112A9"/>
    <w:rsid w:val="0081473A"/>
    <w:rsid w:val="00814C85"/>
    <w:rsid w:val="00815B3C"/>
    <w:rsid w:val="0081610A"/>
    <w:rsid w:val="0082284E"/>
    <w:rsid w:val="0082672C"/>
    <w:rsid w:val="0082783A"/>
    <w:rsid w:val="00831CA9"/>
    <w:rsid w:val="0083252A"/>
    <w:rsid w:val="00845C2A"/>
    <w:rsid w:val="00850E1F"/>
    <w:rsid w:val="0085476B"/>
    <w:rsid w:val="00856477"/>
    <w:rsid w:val="0086340B"/>
    <w:rsid w:val="008902B1"/>
    <w:rsid w:val="00890FEB"/>
    <w:rsid w:val="008917AE"/>
    <w:rsid w:val="00895E7E"/>
    <w:rsid w:val="008A5C1A"/>
    <w:rsid w:val="008D292F"/>
    <w:rsid w:val="008D5528"/>
    <w:rsid w:val="008E03DC"/>
    <w:rsid w:val="008F0901"/>
    <w:rsid w:val="008F141E"/>
    <w:rsid w:val="008F302C"/>
    <w:rsid w:val="00902E51"/>
    <w:rsid w:val="00910AE1"/>
    <w:rsid w:val="00924065"/>
    <w:rsid w:val="00925E45"/>
    <w:rsid w:val="00930D68"/>
    <w:rsid w:val="00932DB4"/>
    <w:rsid w:val="00941A4B"/>
    <w:rsid w:val="00946242"/>
    <w:rsid w:val="0095096B"/>
    <w:rsid w:val="009640F3"/>
    <w:rsid w:val="0096482B"/>
    <w:rsid w:val="00970CD3"/>
    <w:rsid w:val="009723FA"/>
    <w:rsid w:val="00984546"/>
    <w:rsid w:val="00996510"/>
    <w:rsid w:val="009C21B7"/>
    <w:rsid w:val="009D19F6"/>
    <w:rsid w:val="009D1F15"/>
    <w:rsid w:val="009D555E"/>
    <w:rsid w:val="009F3024"/>
    <w:rsid w:val="009F39BA"/>
    <w:rsid w:val="00A0355E"/>
    <w:rsid w:val="00A375D1"/>
    <w:rsid w:val="00A40F5B"/>
    <w:rsid w:val="00A51D10"/>
    <w:rsid w:val="00A52A83"/>
    <w:rsid w:val="00A6552C"/>
    <w:rsid w:val="00A87207"/>
    <w:rsid w:val="00A935AA"/>
    <w:rsid w:val="00A956D3"/>
    <w:rsid w:val="00AB2201"/>
    <w:rsid w:val="00AD1D34"/>
    <w:rsid w:val="00AD3259"/>
    <w:rsid w:val="00AF1715"/>
    <w:rsid w:val="00AF3904"/>
    <w:rsid w:val="00B010C0"/>
    <w:rsid w:val="00B418CC"/>
    <w:rsid w:val="00B4740D"/>
    <w:rsid w:val="00B61629"/>
    <w:rsid w:val="00B632E8"/>
    <w:rsid w:val="00B7374B"/>
    <w:rsid w:val="00B74B6A"/>
    <w:rsid w:val="00B90DC0"/>
    <w:rsid w:val="00BA116A"/>
    <w:rsid w:val="00BA5582"/>
    <w:rsid w:val="00BA6468"/>
    <w:rsid w:val="00BA756F"/>
    <w:rsid w:val="00BB1D44"/>
    <w:rsid w:val="00BB5174"/>
    <w:rsid w:val="00BD06DA"/>
    <w:rsid w:val="00BD4217"/>
    <w:rsid w:val="00BE2B4A"/>
    <w:rsid w:val="00BF250F"/>
    <w:rsid w:val="00BF25F3"/>
    <w:rsid w:val="00BF6875"/>
    <w:rsid w:val="00C01FCB"/>
    <w:rsid w:val="00C070FF"/>
    <w:rsid w:val="00C158A1"/>
    <w:rsid w:val="00C16429"/>
    <w:rsid w:val="00C1697B"/>
    <w:rsid w:val="00C21644"/>
    <w:rsid w:val="00C21CB5"/>
    <w:rsid w:val="00C406CA"/>
    <w:rsid w:val="00C46376"/>
    <w:rsid w:val="00C50A5C"/>
    <w:rsid w:val="00C50FDF"/>
    <w:rsid w:val="00C63381"/>
    <w:rsid w:val="00C73D06"/>
    <w:rsid w:val="00C73E1B"/>
    <w:rsid w:val="00C7409B"/>
    <w:rsid w:val="00C7556C"/>
    <w:rsid w:val="00C759B4"/>
    <w:rsid w:val="00C77713"/>
    <w:rsid w:val="00C77A52"/>
    <w:rsid w:val="00C85BB7"/>
    <w:rsid w:val="00CA2DEA"/>
    <w:rsid w:val="00CB3520"/>
    <w:rsid w:val="00CB43D5"/>
    <w:rsid w:val="00CC2430"/>
    <w:rsid w:val="00CC4D84"/>
    <w:rsid w:val="00CD617A"/>
    <w:rsid w:val="00CE198A"/>
    <w:rsid w:val="00CE1E9A"/>
    <w:rsid w:val="00CF08C8"/>
    <w:rsid w:val="00D004FC"/>
    <w:rsid w:val="00D10265"/>
    <w:rsid w:val="00D17E89"/>
    <w:rsid w:val="00D2259D"/>
    <w:rsid w:val="00D23D8C"/>
    <w:rsid w:val="00D60590"/>
    <w:rsid w:val="00D64901"/>
    <w:rsid w:val="00D76BDF"/>
    <w:rsid w:val="00D818B6"/>
    <w:rsid w:val="00D82B05"/>
    <w:rsid w:val="00D862C1"/>
    <w:rsid w:val="00D93B50"/>
    <w:rsid w:val="00D94028"/>
    <w:rsid w:val="00D94670"/>
    <w:rsid w:val="00DA46F6"/>
    <w:rsid w:val="00DA756F"/>
    <w:rsid w:val="00DB1C5D"/>
    <w:rsid w:val="00DC0577"/>
    <w:rsid w:val="00DD0B49"/>
    <w:rsid w:val="00DE0502"/>
    <w:rsid w:val="00DE349D"/>
    <w:rsid w:val="00DE467A"/>
    <w:rsid w:val="00DE5F0D"/>
    <w:rsid w:val="00E06DFA"/>
    <w:rsid w:val="00E20A0A"/>
    <w:rsid w:val="00E240C2"/>
    <w:rsid w:val="00E2643C"/>
    <w:rsid w:val="00E32F3A"/>
    <w:rsid w:val="00E356C7"/>
    <w:rsid w:val="00E414CA"/>
    <w:rsid w:val="00E41A5A"/>
    <w:rsid w:val="00E45FE4"/>
    <w:rsid w:val="00E46519"/>
    <w:rsid w:val="00E64FA7"/>
    <w:rsid w:val="00E75CFD"/>
    <w:rsid w:val="00E770CB"/>
    <w:rsid w:val="00E8544A"/>
    <w:rsid w:val="00E903A1"/>
    <w:rsid w:val="00E940EB"/>
    <w:rsid w:val="00E942C2"/>
    <w:rsid w:val="00E9703F"/>
    <w:rsid w:val="00EB2B90"/>
    <w:rsid w:val="00EC066A"/>
    <w:rsid w:val="00EC3F05"/>
    <w:rsid w:val="00ED7E83"/>
    <w:rsid w:val="00EE091F"/>
    <w:rsid w:val="00EF4B63"/>
    <w:rsid w:val="00F0068D"/>
    <w:rsid w:val="00F0576D"/>
    <w:rsid w:val="00F13243"/>
    <w:rsid w:val="00F14E6D"/>
    <w:rsid w:val="00F15EA8"/>
    <w:rsid w:val="00F16C8D"/>
    <w:rsid w:val="00F26C61"/>
    <w:rsid w:val="00F33CCE"/>
    <w:rsid w:val="00F40249"/>
    <w:rsid w:val="00F46F31"/>
    <w:rsid w:val="00F526C8"/>
    <w:rsid w:val="00F761A3"/>
    <w:rsid w:val="00F9272D"/>
    <w:rsid w:val="00F9518C"/>
    <w:rsid w:val="00FA316E"/>
    <w:rsid w:val="00FA3373"/>
    <w:rsid w:val="00FA59EF"/>
    <w:rsid w:val="00FB19A2"/>
    <w:rsid w:val="00FB4A2E"/>
    <w:rsid w:val="00FC2AA5"/>
    <w:rsid w:val="00FE36EF"/>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F31"/>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BanSummary">
    <w:name w:val="SCC.BanSummary"/>
    <w:basedOn w:val="Normal"/>
    <w:next w:val="Normal"/>
    <w:link w:val="SCCBanSummaryChar"/>
    <w:rsid w:val="001668F8"/>
    <w:pPr>
      <w:jc w:val="both"/>
    </w:pPr>
    <w:rPr>
      <w:rFonts w:eastAsia="Calibri" w:cs="Times New Roman"/>
      <w:smallCaps/>
    </w:rPr>
  </w:style>
  <w:style w:type="character" w:customStyle="1" w:styleId="SCCBanSummaryChar">
    <w:name w:val="SCC.BanSummary Char"/>
    <w:basedOn w:val="DefaultParagraphFont"/>
    <w:link w:val="SCCBanSummary"/>
    <w:rsid w:val="001668F8"/>
    <w:rPr>
      <w:rFonts w:eastAsia="Calibri" w:cs="Times New Roman"/>
      <w:smallCaps/>
      <w:lang w:val="en-CA"/>
    </w:rPr>
  </w:style>
  <w:style w:type="paragraph" w:customStyle="1" w:styleId="SCCLsocSubfileSeparator">
    <w:name w:val="SCC.Lsoc.SubfileSeparator"/>
    <w:basedOn w:val="Normal"/>
    <w:next w:val="Normal"/>
    <w:link w:val="SCCLsocSubfileSeparatorChar"/>
    <w:rsid w:val="003A1ADC"/>
    <w:pPr>
      <w:spacing w:after="720"/>
    </w:pPr>
    <w:rPr>
      <w:rFonts w:eastAsia="Times New Roman" w:cs="Times New Roman"/>
      <w:szCs w:val="20"/>
      <w:lang w:eastAsia="en-CA"/>
    </w:rPr>
  </w:style>
  <w:style w:type="character" w:customStyle="1" w:styleId="SCCLsocSubfileSeparatorChar">
    <w:name w:val="SCC.Lsoc.SubfileSeparator Char"/>
    <w:basedOn w:val="DefaultParagraphFont"/>
    <w:link w:val="SCCLsocSubfileSeparator"/>
    <w:rsid w:val="003A1ADC"/>
    <w:rPr>
      <w:rFonts w:eastAsia="Times New Roman" w:cs="Times New Roman"/>
      <w:szCs w:val="20"/>
      <w:lang w:val="en-CA" w:eastAsia="en-CA"/>
    </w:rPr>
  </w:style>
  <w:style w:type="paragraph" w:styleId="BalloonText">
    <w:name w:val="Balloon Text"/>
    <w:basedOn w:val="Normal"/>
    <w:link w:val="BalloonTextChar"/>
    <w:uiPriority w:val="99"/>
    <w:semiHidden/>
    <w:unhideWhenUsed/>
    <w:rsid w:val="003C2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8C4"/>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canlii.org/fr/ca/caf/doc/2015/2015caf285/2015caf285.html?autocompleteStr=2015%20CAF%20285&amp;autocompletePos=1" TargetMode="External"/><Relationship Id="rId39" Type="http://schemas.openxmlformats.org/officeDocument/2006/relationships/hyperlink" Target="https://www.canlii.org/fr/qc/qccs/doc/2017/2017qccs896/2017qccs896.html?resultIndex=6" TargetMode="External"/><Relationship Id="rId21" Type="http://schemas.openxmlformats.org/officeDocument/2006/relationships/hyperlink" Target="https://www.canlii.org/en/bc/bcsc/doc/2016/2016bcsc1803/2016bcsc1803.html?autocompleteStr=2016%20BCSC%201803&amp;autocompletePos=1" TargetMode="External"/><Relationship Id="rId34" Type="http://schemas.openxmlformats.org/officeDocument/2006/relationships/hyperlink" Target="https://www.canlii.org/en/bc/bcca/doc/2018/2018bcca259/2018bcca259.html?resultIndex=1" TargetMode="External"/><Relationship Id="rId42" Type="http://schemas.openxmlformats.org/officeDocument/2006/relationships/hyperlink" Target="http://canlii.ca/t/hpsw9" TargetMode="External"/><Relationship Id="rId47" Type="http://schemas.openxmlformats.org/officeDocument/2006/relationships/hyperlink" Target="http://canlii.ca/t/h0rfl" TargetMode="External"/><Relationship Id="rId50" Type="http://schemas.openxmlformats.org/officeDocument/2006/relationships/header" Target="header6.xml"/><Relationship Id="rId55" Type="http://schemas.openxmlformats.org/officeDocument/2006/relationships/header" Target="header8.xml"/><Relationship Id="rId63" Type="http://schemas.openxmlformats.org/officeDocument/2006/relationships/footer" Target="footer11.xml"/><Relationship Id="rId68" Type="http://schemas.openxmlformats.org/officeDocument/2006/relationships/hyperlink" Target="http://www.scc-csc.ca/case-dossier/info/sum-som-eng.aspx?cas=37769" TargetMode="External"/><Relationship Id="rId76" Type="http://schemas.openxmlformats.org/officeDocument/2006/relationships/header" Target="header17.xml"/><Relationship Id="rId84" Type="http://schemas.openxmlformats.org/officeDocument/2006/relationships/header" Target="header21.xml"/><Relationship Id="rId89" Type="http://schemas.openxmlformats.org/officeDocument/2006/relationships/header" Target="header23.xml"/><Relationship Id="rId7" Type="http://schemas.openxmlformats.org/officeDocument/2006/relationships/endnotes" Target="endnotes.xml"/><Relationship Id="rId71" Type="http://schemas.openxmlformats.org/officeDocument/2006/relationships/header" Target="header15.xm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canlii.org/en/bc/bcsc/doc/2016/2016bcsc2083/2016bcsc2083.html?autocompleteStr=2016%20BCSC%202083&amp;autocompletePos=1" TargetMode="External"/><Relationship Id="rId11" Type="http://schemas.openxmlformats.org/officeDocument/2006/relationships/header" Target="header1.xml"/><Relationship Id="rId24" Type="http://schemas.openxmlformats.org/officeDocument/2006/relationships/hyperlink" Target="https://www.canlii.org/en/ca/fca/doc/2015/2015fca285/2015fca285.html" TargetMode="External"/><Relationship Id="rId32" Type="http://schemas.openxmlformats.org/officeDocument/2006/relationships/hyperlink" Target="https://www.canlii.org/en/bc/bcsc/doc/2016/2016bcsc2083/2016bcsc2083.html?autocompleteStr=2016%20BCSC%202083&amp;autocompletePos=1" TargetMode="External"/><Relationship Id="rId37" Type="http://schemas.openxmlformats.org/officeDocument/2006/relationships/hyperlink" Target="https://www.canlii.org/fr/qc/qcca/doc/2017/2017qcca1074/2017qcca1074.html?resultIndex=5" TargetMode="External"/><Relationship Id="rId40" Type="http://schemas.openxmlformats.org/officeDocument/2006/relationships/hyperlink" Target="https://www.canlii.org/fr/qc/qcca/doc/2017/2017qcca1074/2017qcca1074.html?resultIndex=5" TargetMode="External"/><Relationship Id="rId45" Type="http://schemas.openxmlformats.org/officeDocument/2006/relationships/hyperlink" Target="https://www.canlii.org/en/ns/nsca/doc/2017/2017nsca89/2017nsca89.html?resultIndex=1" TargetMode="External"/><Relationship Id="rId53" Type="http://schemas.openxmlformats.org/officeDocument/2006/relationships/header" Target="header7.xml"/><Relationship Id="rId58" Type="http://schemas.openxmlformats.org/officeDocument/2006/relationships/footer" Target="footer9.xml"/><Relationship Id="rId66" Type="http://schemas.openxmlformats.org/officeDocument/2006/relationships/footer" Target="footer13.xml"/><Relationship Id="rId74" Type="http://schemas.openxmlformats.org/officeDocument/2006/relationships/header" Target="header16.xml"/><Relationship Id="rId79" Type="http://schemas.openxmlformats.org/officeDocument/2006/relationships/footer" Target="footer18.xml"/><Relationship Id="rId87" Type="http://schemas.openxmlformats.org/officeDocument/2006/relationships/header" Target="header22.xml"/><Relationship Id="rId5" Type="http://schemas.openxmlformats.org/officeDocument/2006/relationships/webSettings" Target="webSettings.xml"/><Relationship Id="rId61" Type="http://schemas.openxmlformats.org/officeDocument/2006/relationships/header" Target="header11.xml"/><Relationship Id="rId82" Type="http://schemas.openxmlformats.org/officeDocument/2006/relationships/hyperlink" Target="http://www.scc-csc.ca/case-dossier/info/sum-som-eng.aspx?cas=37441" TargetMode="External"/><Relationship Id="rId90" Type="http://schemas.openxmlformats.org/officeDocument/2006/relationships/footer" Target="footer23.xml"/><Relationship Id="rId19" Type="http://schemas.openxmlformats.org/officeDocument/2006/relationships/hyperlink" Target="https://www.canlii.org/en/bc/bcsc/doc/2016/2016bcsc1803/2016bcsc1803.html?autocompleteStr=2016%20BCSC%201803&amp;autocompletePos=1" TargetMode="External"/><Relationship Id="rId14" Type="http://schemas.openxmlformats.org/officeDocument/2006/relationships/footer" Target="footer2.xml"/><Relationship Id="rId22" Type="http://schemas.openxmlformats.org/officeDocument/2006/relationships/hyperlink" Target="https://www.canlii.org/en/bc/bcca/doc/2018/2018bcca47/2018bcca47.html?autocompleteStr=2018%20BCCA%2047&amp;autocompletePos=1" TargetMode="External"/><Relationship Id="rId27" Type="http://schemas.openxmlformats.org/officeDocument/2006/relationships/hyperlink" Target="https://www.canlii.org/en/ca/fct/doc/2016/2016fc455/2016fc455.html" TargetMode="External"/><Relationship Id="rId30" Type="http://schemas.openxmlformats.org/officeDocument/2006/relationships/hyperlink" Target="https://www.canlii.org/en/bc/bcca/doc/2017/2017bcca374/2017bcca374.html?autocompleteStr=2017%20bcca%20374&amp;autocompletePos=1" TargetMode="External"/><Relationship Id="rId35" Type="http://schemas.openxmlformats.org/officeDocument/2006/relationships/hyperlink" Target="https://www.canlii.org/fr/qc/qccrt/doc/2015/2015qccrt276/2015qccrt276.html?resultIndex=9" TargetMode="External"/><Relationship Id="rId43" Type="http://schemas.openxmlformats.org/officeDocument/2006/relationships/hyperlink" Target="http://canlii.ca/t/gt339" TargetMode="External"/><Relationship Id="rId48" Type="http://schemas.openxmlformats.org/officeDocument/2006/relationships/hyperlink" Target="http://canlii.ca/t/h0rfl" TargetMode="External"/><Relationship Id="rId56" Type="http://schemas.openxmlformats.org/officeDocument/2006/relationships/header" Target="header9.xml"/><Relationship Id="rId64" Type="http://schemas.openxmlformats.org/officeDocument/2006/relationships/footer" Target="footer12.xml"/><Relationship Id="rId69" Type="http://schemas.openxmlformats.org/officeDocument/2006/relationships/hyperlink" Target="http://www.scc-csc.ca/case-dossier/info/sum-som-eng.aspx?cas=37971" TargetMode="External"/><Relationship Id="rId77" Type="http://schemas.openxmlformats.org/officeDocument/2006/relationships/header" Target="header18.xml"/><Relationship Id="rId8" Type="http://schemas.openxmlformats.org/officeDocument/2006/relationships/image" Target="media/image1.wmf"/><Relationship Id="rId51" Type="http://schemas.openxmlformats.org/officeDocument/2006/relationships/footer" Target="footer5.xml"/><Relationship Id="rId72" Type="http://schemas.openxmlformats.org/officeDocument/2006/relationships/footer" Target="footer14.xml"/><Relationship Id="rId80" Type="http://schemas.openxmlformats.org/officeDocument/2006/relationships/header" Target="header19.xml"/><Relationship Id="rId85" Type="http://schemas.openxmlformats.org/officeDocument/2006/relationships/footer" Target="footer2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fr/ca/cfpi/doc/2005/2005cf115/2005cf115.html" TargetMode="External"/><Relationship Id="rId33" Type="http://schemas.openxmlformats.org/officeDocument/2006/relationships/hyperlink" Target="https://www.canlii.org/en/bc/bcca/doc/2017/2017bcca374/2017bcca374.html?autocompleteStr=2017%20bcca%20374&amp;autocompletePos=1" TargetMode="External"/><Relationship Id="rId38" Type="http://schemas.openxmlformats.org/officeDocument/2006/relationships/hyperlink" Target="https://www.canlii.org/fr/qc/qccrt/doc/2015/2015qccrt276/2015qccrt276.html?resultIndex=9" TargetMode="External"/><Relationship Id="rId46" Type="http://schemas.openxmlformats.org/officeDocument/2006/relationships/hyperlink" Target="https://www.canlii.org/en/ns/nsca/doc/2017/2017nsca89/2017nsca89.html?resultIndex=1" TargetMode="External"/><Relationship Id="rId59" Type="http://schemas.openxmlformats.org/officeDocument/2006/relationships/header" Target="header10.xml"/><Relationship Id="rId67" Type="http://schemas.openxmlformats.org/officeDocument/2006/relationships/hyperlink" Target="http://www.scc-csc.ca/case-dossier/info/sum-som-eng.aspx?cas=37725" TargetMode="External"/><Relationship Id="rId20" Type="http://schemas.openxmlformats.org/officeDocument/2006/relationships/hyperlink" Target="https://www.canlii.org/en/bc/bcca/doc/2018/2018bcca47/2018bcca47.html?autocompleteStr=2018%20BCCA%2047&amp;autocompletePos=1" TargetMode="External"/><Relationship Id="rId41" Type="http://schemas.openxmlformats.org/officeDocument/2006/relationships/hyperlink" Target="http://canlii.ca/t/gt339" TargetMode="External"/><Relationship Id="rId54" Type="http://schemas.openxmlformats.org/officeDocument/2006/relationships/footer" Target="footer7.xml"/><Relationship Id="rId62" Type="http://schemas.openxmlformats.org/officeDocument/2006/relationships/header" Target="header12.xml"/><Relationship Id="rId70" Type="http://schemas.openxmlformats.org/officeDocument/2006/relationships/header" Target="header14.xml"/><Relationship Id="rId75" Type="http://schemas.openxmlformats.org/officeDocument/2006/relationships/footer" Target="footer16.xml"/><Relationship Id="rId83" Type="http://schemas.openxmlformats.org/officeDocument/2006/relationships/header" Target="header20.xml"/><Relationship Id="rId88" Type="http://schemas.openxmlformats.org/officeDocument/2006/relationships/footer" Target="footer22.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canlii.org/en/ca/fct/doc/2005/2005fc115/2005fc115.html" TargetMode="External"/><Relationship Id="rId28" Type="http://schemas.openxmlformats.org/officeDocument/2006/relationships/hyperlink" Target="https://www.canlii.org/fr/ca/cfpi/doc/2016/2016cf455/2016cf455.html?autocompleteStr=t-674-05&amp;autocompletePos=1" TargetMode="External"/><Relationship Id="rId36" Type="http://schemas.openxmlformats.org/officeDocument/2006/relationships/hyperlink" Target="https://www.canlii.org/fr/qc/qccs/doc/2017/2017qccs896/2017qccs896.html?resultIndex=6" TargetMode="External"/><Relationship Id="rId49" Type="http://schemas.openxmlformats.org/officeDocument/2006/relationships/header" Target="header5.xml"/><Relationship Id="rId57" Type="http://schemas.openxmlformats.org/officeDocument/2006/relationships/footer" Target="footer8.xml"/><Relationship Id="rId10" Type="http://schemas.openxmlformats.org/officeDocument/2006/relationships/hyperlink" Target="http://www.scc-csc.ca" TargetMode="External"/><Relationship Id="rId31" Type="http://schemas.openxmlformats.org/officeDocument/2006/relationships/hyperlink" Target="https://www.canlii.org/en/bc/bcca/doc/2018/2018bcca259/2018bcca259.html?resultIndex=1" TargetMode="External"/><Relationship Id="rId44" Type="http://schemas.openxmlformats.org/officeDocument/2006/relationships/hyperlink" Target="http://canlii.ca/t/hpsw9" TargetMode="External"/><Relationship Id="rId52" Type="http://schemas.openxmlformats.org/officeDocument/2006/relationships/footer" Target="footer6.xml"/><Relationship Id="rId60" Type="http://schemas.openxmlformats.org/officeDocument/2006/relationships/footer" Target="footer10.xml"/><Relationship Id="rId65" Type="http://schemas.openxmlformats.org/officeDocument/2006/relationships/header" Target="header13.xml"/><Relationship Id="rId73" Type="http://schemas.openxmlformats.org/officeDocument/2006/relationships/footer" Target="footer15.xml"/><Relationship Id="rId78" Type="http://schemas.openxmlformats.org/officeDocument/2006/relationships/footer" Target="footer17.xml"/><Relationship Id="rId81" Type="http://schemas.openxmlformats.org/officeDocument/2006/relationships/footer" Target="footer19.xml"/><Relationship Id="rId86"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yperlink" Target="http://www.scc-cs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Comm\24%20%20OP_MGT_CASES-GEST_OP_INSTANCE\11%20Communications%20(Case-Related)\01%20Bulletin%20of%20Proceedings\Draft\Word%20Templates\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85F47-7C89-42D1-862B-8FDBE64D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Revised</Template>
  <TotalTime>0</TotalTime>
  <Pages>46</Pages>
  <Words>20512</Words>
  <Characters>116920</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2018-10-09T14:07:00Z</dcterms:created>
  <dcterms:modified xsi:type="dcterms:W3CDTF">2018-10-12T17:06:00Z</dcterms:modified>
</cp:coreProperties>
</file>